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36F14">
      <w:pPr>
        <w:spacing w:line="360" w:lineRule="auto"/>
        <w:ind w:right="-1"/>
        <w:rPr>
          <w:rFonts w:hint="eastAsia" w:ascii="宋体" w:hAnsi="宋体" w:cs="宋体"/>
          <w:b/>
          <w:color w:val="auto"/>
          <w:kern w:val="2"/>
          <w:sz w:val="56"/>
          <w:szCs w:val="48"/>
          <w:highlight w:val="none"/>
        </w:rPr>
      </w:pPr>
      <w:bookmarkStart w:id="0" w:name="OLE_LINK8"/>
      <w:bookmarkStart w:id="1" w:name="OLE_LINK7"/>
    </w:p>
    <w:p w14:paraId="677C3A46">
      <w:pPr>
        <w:spacing w:line="360" w:lineRule="auto"/>
        <w:ind w:right="-1" w:firstLine="420"/>
        <w:jc w:val="center"/>
        <w:rPr>
          <w:rFonts w:hint="eastAsia" w:ascii="宋体" w:hAnsi="宋体" w:cs="宋体"/>
          <w:b/>
          <w:color w:val="auto"/>
          <w:kern w:val="2"/>
          <w:sz w:val="56"/>
          <w:szCs w:val="48"/>
          <w:highlight w:val="none"/>
        </w:rPr>
      </w:pPr>
      <w:r>
        <w:rPr>
          <w:rFonts w:hint="eastAsia" w:ascii="宋体" w:hAnsi="宋体" w:cs="宋体"/>
          <w:b/>
          <w:color w:val="auto"/>
          <w:kern w:val="2"/>
          <w:sz w:val="56"/>
          <w:szCs w:val="48"/>
          <w:highlight w:val="none"/>
        </w:rPr>
        <w:t>白云区东平汽车小镇二期AB2201088地块开发项目勘察设计施工总承包（EPC）</w:t>
      </w:r>
    </w:p>
    <w:bookmarkEnd w:id="0"/>
    <w:bookmarkEnd w:id="1"/>
    <w:p w14:paraId="3BB3B2E2">
      <w:pPr>
        <w:pStyle w:val="2"/>
        <w:spacing w:line="360" w:lineRule="auto"/>
        <w:rPr>
          <w:color w:val="auto"/>
          <w:highlight w:val="none"/>
          <w:lang w:val="en-US"/>
        </w:rPr>
      </w:pPr>
    </w:p>
    <w:p w14:paraId="443C3FE1">
      <w:pPr>
        <w:pStyle w:val="2"/>
        <w:spacing w:line="360" w:lineRule="auto"/>
        <w:rPr>
          <w:color w:val="auto"/>
          <w:highlight w:val="none"/>
        </w:rPr>
      </w:pPr>
    </w:p>
    <w:p w14:paraId="23505B48">
      <w:pPr>
        <w:spacing w:line="360" w:lineRule="auto"/>
        <w:jc w:val="both"/>
        <w:rPr>
          <w:rFonts w:ascii="宋体" w:hAnsi="宋体" w:cs="宋体"/>
          <w:color w:val="auto"/>
          <w:kern w:val="1"/>
          <w:sz w:val="72"/>
          <w:szCs w:val="72"/>
          <w:highlight w:val="none"/>
        </w:rPr>
      </w:pPr>
    </w:p>
    <w:p w14:paraId="12D74C59">
      <w:pPr>
        <w:spacing w:line="360" w:lineRule="auto"/>
        <w:jc w:val="center"/>
        <w:rPr>
          <w:rFonts w:ascii="宋体" w:hAnsi="宋体" w:cs="宋体"/>
          <w:color w:val="auto"/>
          <w:kern w:val="1"/>
          <w:sz w:val="84"/>
          <w:szCs w:val="84"/>
          <w:highlight w:val="none"/>
        </w:rPr>
      </w:pPr>
      <w:r>
        <w:rPr>
          <w:rFonts w:hint="eastAsia" w:ascii="宋体" w:hAnsi="宋体" w:cs="宋体"/>
          <w:b/>
          <w:bCs/>
          <w:color w:val="auto"/>
          <w:kern w:val="1"/>
          <w:sz w:val="84"/>
          <w:szCs w:val="84"/>
          <w:highlight w:val="none"/>
        </w:rPr>
        <w:t>招 标 文 件</w:t>
      </w:r>
    </w:p>
    <w:p w14:paraId="1E14A0C8">
      <w:pPr>
        <w:spacing w:line="360" w:lineRule="auto"/>
        <w:rPr>
          <w:rFonts w:hint="eastAsia" w:ascii="宋体" w:hAnsi="宋体" w:cs="宋体"/>
          <w:color w:val="auto"/>
          <w:kern w:val="1"/>
          <w:sz w:val="32"/>
          <w:szCs w:val="32"/>
          <w:highlight w:val="none"/>
        </w:rPr>
      </w:pPr>
    </w:p>
    <w:p w14:paraId="186021FD">
      <w:pPr>
        <w:spacing w:line="360" w:lineRule="auto"/>
        <w:rPr>
          <w:rFonts w:ascii="宋体" w:hAnsi="宋体" w:cs="宋体"/>
          <w:color w:val="auto"/>
          <w:kern w:val="1"/>
          <w:highlight w:val="none"/>
        </w:rPr>
      </w:pPr>
    </w:p>
    <w:p w14:paraId="65704A4A">
      <w:pPr>
        <w:pStyle w:val="2"/>
        <w:rPr>
          <w:rFonts w:ascii="宋体" w:hAnsi="宋体" w:cs="Times New Roman"/>
          <w:color w:val="auto"/>
          <w:kern w:val="0"/>
          <w:highlight w:val="none"/>
        </w:rPr>
      </w:pPr>
    </w:p>
    <w:p w14:paraId="7FB43BB0">
      <w:pPr>
        <w:pStyle w:val="2"/>
        <w:rPr>
          <w:color w:val="auto"/>
          <w:highlight w:val="none"/>
          <w:lang w:val="en-US"/>
        </w:rPr>
      </w:pPr>
    </w:p>
    <w:p w14:paraId="792860E5">
      <w:pPr>
        <w:spacing w:line="360" w:lineRule="auto"/>
        <w:ind w:firstLine="707" w:firstLineChars="220"/>
        <w:rPr>
          <w:rFonts w:hint="eastAsia" w:ascii="宋体" w:hAnsi="宋体" w:cs="宋体"/>
          <w:b/>
          <w:color w:val="auto"/>
          <w:kern w:val="1"/>
          <w:sz w:val="32"/>
          <w:szCs w:val="32"/>
          <w:highlight w:val="none"/>
        </w:rPr>
      </w:pPr>
      <w:r>
        <w:rPr>
          <w:rFonts w:hint="eastAsia" w:ascii="宋体" w:hAnsi="宋体" w:cs="宋体"/>
          <w:b/>
          <w:color w:val="auto"/>
          <w:kern w:val="1"/>
          <w:sz w:val="32"/>
          <w:szCs w:val="32"/>
          <w:highlight w:val="none"/>
        </w:rPr>
        <w:t>招   标   人：广州云凌汽车投资有限公司</w:t>
      </w:r>
    </w:p>
    <w:p w14:paraId="7FEE5CAD">
      <w:pPr>
        <w:pStyle w:val="30"/>
        <w:spacing w:line="360" w:lineRule="auto"/>
        <w:ind w:firstLine="643" w:firstLineChars="200"/>
        <w:rPr>
          <w:rFonts w:hint="eastAsia" w:ascii="宋体" w:hAnsi="宋体" w:cs="宋体"/>
          <w:b/>
          <w:color w:val="auto"/>
          <w:kern w:val="1"/>
          <w:sz w:val="32"/>
          <w:szCs w:val="32"/>
          <w:highlight w:val="none"/>
        </w:rPr>
      </w:pPr>
      <w:bookmarkStart w:id="2" w:name="_Hlk69809718"/>
      <w:r>
        <w:rPr>
          <w:rFonts w:hint="eastAsia" w:ascii="宋体" w:hAnsi="宋体" w:cs="宋体"/>
          <w:b/>
          <w:color w:val="auto"/>
          <w:kern w:val="1"/>
          <w:sz w:val="32"/>
          <w:szCs w:val="32"/>
          <w:highlight w:val="none"/>
        </w:rPr>
        <w:t>招标代理机构：</w:t>
      </w:r>
      <w:bookmarkEnd w:id="2"/>
      <w:r>
        <w:rPr>
          <w:rFonts w:hint="eastAsia" w:ascii="宋体" w:hAnsi="宋体" w:cs="宋体"/>
          <w:b/>
          <w:color w:val="auto"/>
          <w:kern w:val="1"/>
          <w:sz w:val="32"/>
          <w:szCs w:val="32"/>
          <w:highlight w:val="none"/>
        </w:rPr>
        <w:t xml:space="preserve">广东省城规建设监理有限公司 </w:t>
      </w:r>
    </w:p>
    <w:p w14:paraId="1BEE46E2">
      <w:pPr>
        <w:pStyle w:val="30"/>
        <w:spacing w:line="360" w:lineRule="auto"/>
        <w:ind w:firstLine="643" w:firstLineChars="200"/>
        <w:rPr>
          <w:rFonts w:ascii="宋体" w:hAnsi="宋体" w:cs="宋体"/>
          <w:b/>
          <w:color w:val="auto"/>
          <w:kern w:val="1"/>
          <w:sz w:val="32"/>
          <w:szCs w:val="32"/>
          <w:highlight w:val="none"/>
        </w:rPr>
      </w:pPr>
      <w:r>
        <w:rPr>
          <w:rFonts w:hint="eastAsia" w:ascii="宋体" w:hAnsi="宋体" w:cs="宋体"/>
          <w:b/>
          <w:color w:val="auto"/>
          <w:kern w:val="2"/>
          <w:sz w:val="32"/>
          <w:szCs w:val="32"/>
          <w:highlight w:val="none"/>
        </w:rPr>
        <w:t xml:space="preserve">日 </w:t>
      </w:r>
      <w:r>
        <w:rPr>
          <w:rFonts w:ascii="宋体" w:hAnsi="宋体" w:cs="宋体"/>
          <w:b/>
          <w:color w:val="auto"/>
          <w:kern w:val="2"/>
          <w:sz w:val="32"/>
          <w:szCs w:val="32"/>
          <w:highlight w:val="none"/>
        </w:rPr>
        <w:t xml:space="preserve">       </w:t>
      </w:r>
      <w:r>
        <w:rPr>
          <w:rFonts w:hint="eastAsia" w:ascii="宋体" w:hAnsi="宋体" w:cs="宋体"/>
          <w:b/>
          <w:color w:val="auto"/>
          <w:kern w:val="2"/>
          <w:sz w:val="32"/>
          <w:szCs w:val="32"/>
          <w:highlight w:val="none"/>
        </w:rPr>
        <w:t>期：</w:t>
      </w:r>
      <w:r>
        <w:rPr>
          <w:rFonts w:hint="eastAsia" w:ascii="宋体" w:hAnsi="宋体" w:cs="宋体"/>
          <w:b/>
          <w:color w:val="auto"/>
          <w:kern w:val="1"/>
          <w:sz w:val="32"/>
          <w:szCs w:val="32"/>
          <w:highlight w:val="none"/>
        </w:rPr>
        <w:t>202</w:t>
      </w:r>
      <w:r>
        <w:rPr>
          <w:rFonts w:hint="eastAsia" w:ascii="宋体" w:hAnsi="宋体" w:cs="宋体"/>
          <w:b/>
          <w:color w:val="auto"/>
          <w:kern w:val="1"/>
          <w:sz w:val="32"/>
          <w:szCs w:val="32"/>
          <w:highlight w:val="none"/>
          <w:lang w:eastAsia="zh-CN"/>
        </w:rPr>
        <w:t>5</w:t>
      </w:r>
      <w:r>
        <w:rPr>
          <w:rFonts w:hint="eastAsia" w:ascii="宋体" w:hAnsi="宋体" w:cs="宋体"/>
          <w:b/>
          <w:color w:val="auto"/>
          <w:kern w:val="1"/>
          <w:sz w:val="32"/>
          <w:szCs w:val="32"/>
          <w:highlight w:val="none"/>
        </w:rPr>
        <w:t>年</w:t>
      </w:r>
      <w:r>
        <w:rPr>
          <w:rFonts w:hint="eastAsia" w:ascii="宋体" w:hAnsi="宋体" w:cs="宋体"/>
          <w:b/>
          <w:color w:val="auto"/>
          <w:kern w:val="1"/>
          <w:sz w:val="32"/>
          <w:szCs w:val="32"/>
          <w:highlight w:val="none"/>
          <w:lang w:val="en-US" w:eastAsia="zh-CN"/>
        </w:rPr>
        <w:t>3</w:t>
      </w:r>
      <w:r>
        <w:rPr>
          <w:rFonts w:hint="eastAsia" w:ascii="宋体" w:hAnsi="宋体" w:cs="宋体"/>
          <w:b/>
          <w:color w:val="auto"/>
          <w:kern w:val="1"/>
          <w:sz w:val="32"/>
          <w:szCs w:val="32"/>
          <w:highlight w:val="none"/>
        </w:rPr>
        <w:t>月</w:t>
      </w:r>
      <w:bookmarkStart w:id="3" w:name="_Toc144974478"/>
      <w:bookmarkEnd w:id="3"/>
      <w:bookmarkStart w:id="4" w:name="_Toc300834926"/>
      <w:bookmarkEnd w:id="4"/>
      <w:bookmarkStart w:id="5" w:name="_Toc152042286"/>
      <w:bookmarkEnd w:id="5"/>
      <w:bookmarkStart w:id="6" w:name="_Toc367729707"/>
      <w:bookmarkEnd w:id="6"/>
      <w:bookmarkStart w:id="7" w:name="_Toc247527532"/>
      <w:bookmarkEnd w:id="7"/>
    </w:p>
    <w:p w14:paraId="167B3266">
      <w:pPr>
        <w:pStyle w:val="30"/>
        <w:spacing w:line="360" w:lineRule="auto"/>
        <w:ind w:firstLine="3092" w:firstLineChars="1100"/>
        <w:rPr>
          <w:rFonts w:ascii="宋体" w:hAnsi="宋体" w:cs="宋体"/>
          <w:b/>
          <w:color w:val="auto"/>
          <w:sz w:val="28"/>
          <w:highlight w:val="none"/>
        </w:rPr>
        <w:sectPr>
          <w:headerReference r:id="rId6" w:type="first"/>
          <w:headerReference r:id="rId5" w:type="default"/>
          <w:footerReference r:id="rId7" w:type="default"/>
          <w:pgSz w:w="11906" w:h="16838"/>
          <w:pgMar w:top="1134" w:right="1134" w:bottom="1134" w:left="1134" w:header="851" w:footer="992" w:gutter="0"/>
          <w:pgNumType w:start="0"/>
          <w:cols w:space="720" w:num="1"/>
        </w:sectPr>
      </w:pPr>
    </w:p>
    <w:p w14:paraId="69466D6F">
      <w:pPr>
        <w:pStyle w:val="30"/>
        <w:spacing w:line="360" w:lineRule="auto"/>
        <w:ind w:firstLine="3092" w:firstLineChars="1100"/>
        <w:rPr>
          <w:rFonts w:ascii="宋体" w:hAnsi="宋体" w:cs="宋体"/>
          <w:b/>
          <w:color w:val="auto"/>
          <w:sz w:val="28"/>
          <w:highlight w:val="none"/>
        </w:rPr>
      </w:pPr>
      <w:r>
        <w:rPr>
          <w:rFonts w:hint="eastAsia" w:ascii="宋体" w:hAnsi="宋体" w:cs="宋体"/>
          <w:b/>
          <w:color w:val="auto"/>
          <w:sz w:val="28"/>
          <w:highlight w:val="none"/>
        </w:rPr>
        <w:t>目     录</w:t>
      </w:r>
    </w:p>
    <w:p w14:paraId="6B18D247">
      <w:pPr>
        <w:pStyle w:val="25"/>
        <w:tabs>
          <w:tab w:val="left" w:pos="840"/>
          <w:tab w:val="right" w:leader="dot" w:pos="9030"/>
        </w:tabs>
        <w:rPr>
          <w:rFonts w:ascii="宋体" w:hAnsi="宋体"/>
          <w:b w:val="0"/>
          <w:caps w:val="0"/>
          <w:color w:val="auto"/>
          <w:kern w:val="2"/>
          <w:sz w:val="24"/>
          <w:szCs w:val="24"/>
          <w:highlight w:val="none"/>
        </w:rPr>
      </w:pPr>
      <w:bookmarkStart w:id="8" w:name="_Toc152042303"/>
      <w:bookmarkEnd w:id="8"/>
      <w:bookmarkStart w:id="9" w:name="_Toc152042302"/>
      <w:bookmarkEnd w:id="9"/>
      <w:bookmarkStart w:id="10" w:name="_Toc144974494"/>
      <w:bookmarkEnd w:id="10"/>
      <w:bookmarkStart w:id="11" w:name="_Toc144974495"/>
      <w:bookmarkEnd w:id="11"/>
      <w:bookmarkStart w:id="12" w:name="_Toc247513949"/>
      <w:bookmarkEnd w:id="12"/>
      <w:bookmarkStart w:id="13" w:name="_Toc247527550"/>
      <w:bookmarkEnd w:id="13"/>
      <w:bookmarkStart w:id="14" w:name="_Toc247513950"/>
      <w:bookmarkEnd w:id="14"/>
      <w:bookmarkStart w:id="15" w:name="_Toc152045526"/>
      <w:bookmarkEnd w:id="15"/>
      <w:bookmarkStart w:id="16" w:name="_Toc247527551"/>
      <w:bookmarkEnd w:id="16"/>
      <w:bookmarkStart w:id="17" w:name="_Toc443505819"/>
      <w:bookmarkEnd w:id="17"/>
      <w:bookmarkStart w:id="18" w:name="_Toc152045527"/>
      <w:bookmarkEnd w:id="18"/>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"1-1" \h \u </w:instrText>
      </w:r>
      <w:r>
        <w:rPr>
          <w:rFonts w:hint="eastAsia" w:ascii="宋体" w:hAnsi="宋体" w:cs="宋体"/>
          <w:color w:val="auto"/>
          <w:sz w:val="24"/>
          <w:szCs w:val="24"/>
          <w:highlight w:val="none"/>
        </w:rPr>
        <w:fldChar w:fldCharType="separate"/>
      </w:r>
      <w:r>
        <w:rPr>
          <w:rStyle w:val="41"/>
          <w:rFonts w:ascii="宋体" w:hAnsi="宋体"/>
          <w:color w:val="auto"/>
          <w:sz w:val="24"/>
          <w:szCs w:val="24"/>
          <w:highlight w:val="none"/>
        </w:rPr>
        <w:fldChar w:fldCharType="begin"/>
      </w:r>
      <w:r>
        <w:rPr>
          <w:rStyle w:val="41"/>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"_Toc169076293"</w:instrText>
      </w:r>
      <w:r>
        <w:rPr>
          <w:rStyle w:val="41"/>
          <w:rFonts w:ascii="宋体" w:hAnsi="宋体"/>
          <w:color w:val="auto"/>
          <w:sz w:val="24"/>
          <w:szCs w:val="24"/>
          <w:highlight w:val="none"/>
        </w:rPr>
        <w:instrText xml:space="preserve"> </w:instrText>
      </w:r>
      <w:r>
        <w:rPr>
          <w:rStyle w:val="41"/>
          <w:rFonts w:ascii="宋体" w:hAnsi="宋体"/>
          <w:color w:val="auto"/>
          <w:sz w:val="24"/>
          <w:szCs w:val="24"/>
          <w:highlight w:val="none"/>
        </w:rPr>
        <w:fldChar w:fldCharType="separate"/>
      </w:r>
      <w:r>
        <w:rPr>
          <w:rStyle w:val="41"/>
          <w:rFonts w:hint="eastAsia" w:ascii="宋体" w:hAnsi="宋体" w:cs="宋体"/>
          <w:color w:val="auto"/>
          <w:sz w:val="24"/>
          <w:szCs w:val="24"/>
          <w:highlight w:val="none"/>
        </w:rPr>
        <w:t>第一章</w:t>
      </w:r>
      <w:r>
        <w:rPr>
          <w:rFonts w:ascii="宋体" w:hAnsi="宋体"/>
          <w:b w:val="0"/>
          <w:caps w:val="0"/>
          <w:color w:val="auto"/>
          <w:kern w:val="2"/>
          <w:sz w:val="24"/>
          <w:szCs w:val="24"/>
          <w:highlight w:val="none"/>
        </w:rPr>
        <w:tab/>
      </w:r>
      <w:r>
        <w:rPr>
          <w:rStyle w:val="41"/>
          <w:rFonts w:hint="eastAsia" w:ascii="宋体" w:hAnsi="宋体" w:cs="宋体"/>
          <w:color w:val="auto"/>
          <w:sz w:val="24"/>
          <w:szCs w:val="24"/>
          <w:highlight w:val="none"/>
        </w:rPr>
        <w:t>招标公告（另册）</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_Toc169076293 \h </w:instrText>
      </w:r>
      <w:r>
        <w:rPr>
          <w:rFonts w:ascii="宋体" w:hAnsi="宋体"/>
          <w:color w:val="auto"/>
          <w:sz w:val="24"/>
          <w:szCs w:val="24"/>
          <w:highlight w:val="none"/>
        </w:rPr>
        <w:fldChar w:fldCharType="separate"/>
      </w:r>
      <w:r>
        <w:rPr>
          <w:rFonts w:ascii="宋体" w:hAnsi="宋体"/>
          <w:color w:val="auto"/>
          <w:sz w:val="24"/>
          <w:szCs w:val="24"/>
          <w:highlight w:val="none"/>
        </w:rPr>
        <w:t>1</w:t>
      </w:r>
      <w:r>
        <w:rPr>
          <w:rFonts w:ascii="宋体" w:hAnsi="宋体"/>
          <w:color w:val="auto"/>
          <w:sz w:val="24"/>
          <w:szCs w:val="24"/>
          <w:highlight w:val="none"/>
        </w:rPr>
        <w:fldChar w:fldCharType="end"/>
      </w:r>
      <w:r>
        <w:rPr>
          <w:rStyle w:val="41"/>
          <w:rFonts w:ascii="宋体" w:hAnsi="宋体"/>
          <w:color w:val="auto"/>
          <w:sz w:val="24"/>
          <w:szCs w:val="24"/>
          <w:highlight w:val="none"/>
        </w:rPr>
        <w:fldChar w:fldCharType="end"/>
      </w:r>
    </w:p>
    <w:p w14:paraId="269CCBA3">
      <w:pPr>
        <w:pStyle w:val="25"/>
        <w:tabs>
          <w:tab w:val="right" w:leader="dot" w:pos="9030"/>
        </w:tabs>
        <w:rPr>
          <w:rFonts w:ascii="宋体" w:hAnsi="宋体"/>
          <w:b w:val="0"/>
          <w:caps w:val="0"/>
          <w:color w:val="auto"/>
          <w:kern w:val="2"/>
          <w:sz w:val="24"/>
          <w:szCs w:val="24"/>
          <w:highlight w:val="none"/>
        </w:rPr>
      </w:pPr>
      <w:r>
        <w:rPr>
          <w:rStyle w:val="41"/>
          <w:rFonts w:ascii="宋体" w:hAnsi="宋体"/>
          <w:color w:val="auto"/>
          <w:sz w:val="24"/>
          <w:szCs w:val="24"/>
          <w:highlight w:val="none"/>
        </w:rPr>
        <w:fldChar w:fldCharType="begin"/>
      </w:r>
      <w:r>
        <w:rPr>
          <w:rStyle w:val="41"/>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"_Toc169076294"</w:instrText>
      </w:r>
      <w:r>
        <w:rPr>
          <w:rStyle w:val="41"/>
          <w:rFonts w:ascii="宋体" w:hAnsi="宋体"/>
          <w:color w:val="auto"/>
          <w:sz w:val="24"/>
          <w:szCs w:val="24"/>
          <w:highlight w:val="none"/>
        </w:rPr>
        <w:instrText xml:space="preserve"> </w:instrText>
      </w:r>
      <w:r>
        <w:rPr>
          <w:rStyle w:val="41"/>
          <w:rFonts w:ascii="宋体" w:hAnsi="宋体"/>
          <w:color w:val="auto"/>
          <w:sz w:val="24"/>
          <w:szCs w:val="24"/>
          <w:highlight w:val="none"/>
        </w:rPr>
        <w:fldChar w:fldCharType="separate"/>
      </w:r>
      <w:r>
        <w:rPr>
          <w:rStyle w:val="41"/>
          <w:rFonts w:hint="eastAsia" w:ascii="宋体" w:hAnsi="宋体" w:cs="宋体"/>
          <w:color w:val="auto"/>
          <w:sz w:val="24"/>
          <w:szCs w:val="24"/>
          <w:highlight w:val="none"/>
        </w:rPr>
        <w:t>第二章</w:t>
      </w:r>
      <w:r>
        <w:rPr>
          <w:rStyle w:val="41"/>
          <w:rFonts w:ascii="宋体" w:hAnsi="宋体" w:cs="宋体"/>
          <w:color w:val="auto"/>
          <w:sz w:val="24"/>
          <w:szCs w:val="24"/>
          <w:highlight w:val="none"/>
        </w:rPr>
        <w:t xml:space="preserve"> </w:t>
      </w:r>
      <w:r>
        <w:rPr>
          <w:rStyle w:val="41"/>
          <w:rFonts w:hint="eastAsia" w:ascii="宋体" w:hAnsi="宋体" w:cs="宋体"/>
          <w:color w:val="auto"/>
          <w:sz w:val="24"/>
          <w:szCs w:val="24"/>
          <w:highlight w:val="none"/>
        </w:rPr>
        <w:t>投标人须知</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_Toc169076294 \h </w:instrText>
      </w:r>
      <w:r>
        <w:rPr>
          <w:rFonts w:ascii="宋体" w:hAnsi="宋体"/>
          <w:color w:val="auto"/>
          <w:sz w:val="24"/>
          <w:szCs w:val="24"/>
          <w:highlight w:val="none"/>
        </w:rPr>
        <w:fldChar w:fldCharType="separate"/>
      </w:r>
      <w:r>
        <w:rPr>
          <w:rFonts w:ascii="宋体" w:hAnsi="宋体"/>
          <w:color w:val="auto"/>
          <w:sz w:val="24"/>
          <w:szCs w:val="24"/>
          <w:highlight w:val="none"/>
        </w:rPr>
        <w:t>2</w:t>
      </w:r>
      <w:r>
        <w:rPr>
          <w:rFonts w:ascii="宋体" w:hAnsi="宋体"/>
          <w:color w:val="auto"/>
          <w:sz w:val="24"/>
          <w:szCs w:val="24"/>
          <w:highlight w:val="none"/>
        </w:rPr>
        <w:fldChar w:fldCharType="end"/>
      </w:r>
      <w:r>
        <w:rPr>
          <w:rStyle w:val="41"/>
          <w:rFonts w:ascii="宋体" w:hAnsi="宋体"/>
          <w:color w:val="auto"/>
          <w:sz w:val="24"/>
          <w:szCs w:val="24"/>
          <w:highlight w:val="none"/>
        </w:rPr>
        <w:fldChar w:fldCharType="end"/>
      </w:r>
    </w:p>
    <w:p w14:paraId="63CB66BC">
      <w:pPr>
        <w:pStyle w:val="25"/>
        <w:tabs>
          <w:tab w:val="right" w:leader="dot" w:pos="9030"/>
        </w:tabs>
        <w:rPr>
          <w:rFonts w:ascii="宋体" w:hAnsi="宋体"/>
          <w:b w:val="0"/>
          <w:caps w:val="0"/>
          <w:color w:val="auto"/>
          <w:kern w:val="2"/>
          <w:sz w:val="24"/>
          <w:szCs w:val="24"/>
          <w:highlight w:val="none"/>
        </w:rPr>
      </w:pPr>
      <w:r>
        <w:rPr>
          <w:rStyle w:val="41"/>
          <w:rFonts w:ascii="宋体" w:hAnsi="宋体"/>
          <w:color w:val="auto"/>
          <w:sz w:val="24"/>
          <w:szCs w:val="24"/>
          <w:highlight w:val="none"/>
        </w:rPr>
        <w:fldChar w:fldCharType="begin"/>
      </w:r>
      <w:r>
        <w:rPr>
          <w:rStyle w:val="41"/>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"_Toc169076295"</w:instrText>
      </w:r>
      <w:r>
        <w:rPr>
          <w:rStyle w:val="41"/>
          <w:rFonts w:ascii="宋体" w:hAnsi="宋体"/>
          <w:color w:val="auto"/>
          <w:sz w:val="24"/>
          <w:szCs w:val="24"/>
          <w:highlight w:val="none"/>
        </w:rPr>
        <w:instrText xml:space="preserve"> </w:instrText>
      </w:r>
      <w:r>
        <w:rPr>
          <w:rStyle w:val="41"/>
          <w:rFonts w:ascii="宋体" w:hAnsi="宋体"/>
          <w:color w:val="auto"/>
          <w:sz w:val="24"/>
          <w:szCs w:val="24"/>
          <w:highlight w:val="none"/>
        </w:rPr>
        <w:fldChar w:fldCharType="separate"/>
      </w:r>
      <w:r>
        <w:rPr>
          <w:rStyle w:val="41"/>
          <w:rFonts w:hint="eastAsia" w:ascii="宋体" w:hAnsi="宋体" w:cs="宋体"/>
          <w:color w:val="auto"/>
          <w:sz w:val="24"/>
          <w:szCs w:val="24"/>
          <w:highlight w:val="none"/>
        </w:rPr>
        <w:t>第三章</w:t>
      </w:r>
      <w:r>
        <w:rPr>
          <w:rStyle w:val="41"/>
          <w:rFonts w:ascii="宋体" w:hAnsi="宋体" w:cs="宋体"/>
          <w:color w:val="auto"/>
          <w:sz w:val="24"/>
          <w:szCs w:val="24"/>
          <w:highlight w:val="none"/>
        </w:rPr>
        <w:t xml:space="preserve"> </w:t>
      </w:r>
      <w:r>
        <w:rPr>
          <w:rStyle w:val="41"/>
          <w:rFonts w:hint="eastAsia" w:ascii="宋体" w:hAnsi="宋体" w:cs="宋体"/>
          <w:color w:val="auto"/>
          <w:sz w:val="24"/>
          <w:szCs w:val="24"/>
          <w:highlight w:val="none"/>
        </w:rPr>
        <w:t>评标办法（综合评估法）</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_Toc169076295 \h </w:instrText>
      </w:r>
      <w:r>
        <w:rPr>
          <w:rFonts w:ascii="宋体" w:hAnsi="宋体"/>
          <w:color w:val="auto"/>
          <w:sz w:val="24"/>
          <w:szCs w:val="24"/>
          <w:highlight w:val="none"/>
        </w:rPr>
        <w:fldChar w:fldCharType="separate"/>
      </w:r>
      <w:r>
        <w:rPr>
          <w:rFonts w:ascii="宋体" w:hAnsi="宋体"/>
          <w:color w:val="auto"/>
          <w:sz w:val="24"/>
          <w:szCs w:val="24"/>
          <w:highlight w:val="none"/>
        </w:rPr>
        <w:t>26</w:t>
      </w:r>
      <w:r>
        <w:rPr>
          <w:rFonts w:ascii="宋体" w:hAnsi="宋体"/>
          <w:color w:val="auto"/>
          <w:sz w:val="24"/>
          <w:szCs w:val="24"/>
          <w:highlight w:val="none"/>
        </w:rPr>
        <w:fldChar w:fldCharType="end"/>
      </w:r>
      <w:r>
        <w:rPr>
          <w:rStyle w:val="41"/>
          <w:rFonts w:ascii="宋体" w:hAnsi="宋体"/>
          <w:color w:val="auto"/>
          <w:sz w:val="24"/>
          <w:szCs w:val="24"/>
          <w:highlight w:val="none"/>
        </w:rPr>
        <w:fldChar w:fldCharType="end"/>
      </w:r>
    </w:p>
    <w:p w14:paraId="5F4213AC">
      <w:pPr>
        <w:pStyle w:val="25"/>
        <w:tabs>
          <w:tab w:val="right" w:leader="dot" w:pos="9030"/>
        </w:tabs>
        <w:rPr>
          <w:rFonts w:ascii="宋体" w:hAnsi="宋体"/>
          <w:b w:val="0"/>
          <w:caps w:val="0"/>
          <w:color w:val="auto"/>
          <w:kern w:val="2"/>
          <w:sz w:val="24"/>
          <w:szCs w:val="24"/>
          <w:highlight w:val="none"/>
        </w:rPr>
      </w:pPr>
      <w:r>
        <w:rPr>
          <w:rStyle w:val="41"/>
          <w:rFonts w:ascii="宋体" w:hAnsi="宋体"/>
          <w:color w:val="auto"/>
          <w:sz w:val="24"/>
          <w:szCs w:val="24"/>
          <w:highlight w:val="none"/>
        </w:rPr>
        <w:fldChar w:fldCharType="begin"/>
      </w:r>
      <w:r>
        <w:rPr>
          <w:rStyle w:val="41"/>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"_Toc169076296"</w:instrText>
      </w:r>
      <w:r>
        <w:rPr>
          <w:rStyle w:val="41"/>
          <w:rFonts w:ascii="宋体" w:hAnsi="宋体"/>
          <w:color w:val="auto"/>
          <w:sz w:val="24"/>
          <w:szCs w:val="24"/>
          <w:highlight w:val="none"/>
        </w:rPr>
        <w:instrText xml:space="preserve"> </w:instrText>
      </w:r>
      <w:r>
        <w:rPr>
          <w:rStyle w:val="41"/>
          <w:rFonts w:ascii="宋体" w:hAnsi="宋体"/>
          <w:color w:val="auto"/>
          <w:sz w:val="24"/>
          <w:szCs w:val="24"/>
          <w:highlight w:val="none"/>
        </w:rPr>
        <w:fldChar w:fldCharType="separate"/>
      </w:r>
      <w:r>
        <w:rPr>
          <w:rStyle w:val="41"/>
          <w:rFonts w:hint="eastAsia" w:ascii="宋体" w:hAnsi="宋体" w:cs="宋体"/>
          <w:color w:val="auto"/>
          <w:sz w:val="24"/>
          <w:szCs w:val="24"/>
          <w:highlight w:val="none"/>
        </w:rPr>
        <w:t>第四章</w:t>
      </w:r>
      <w:r>
        <w:rPr>
          <w:rStyle w:val="41"/>
          <w:rFonts w:ascii="宋体" w:hAnsi="宋体" w:cs="宋体"/>
          <w:color w:val="auto"/>
          <w:sz w:val="24"/>
          <w:szCs w:val="24"/>
          <w:highlight w:val="none"/>
        </w:rPr>
        <w:t xml:space="preserve"> </w:t>
      </w:r>
      <w:r>
        <w:rPr>
          <w:rStyle w:val="41"/>
          <w:rFonts w:hint="eastAsia" w:ascii="宋体" w:hAnsi="宋体" w:cs="宋体"/>
          <w:color w:val="auto"/>
          <w:sz w:val="24"/>
          <w:szCs w:val="24"/>
          <w:highlight w:val="none"/>
        </w:rPr>
        <w:t>合同条款及格式</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_Toc169076296 \h </w:instrText>
      </w:r>
      <w:r>
        <w:rPr>
          <w:rFonts w:ascii="宋体" w:hAnsi="宋体"/>
          <w:color w:val="auto"/>
          <w:sz w:val="24"/>
          <w:szCs w:val="24"/>
          <w:highlight w:val="none"/>
        </w:rPr>
        <w:fldChar w:fldCharType="separate"/>
      </w:r>
      <w:r>
        <w:rPr>
          <w:rFonts w:ascii="宋体" w:hAnsi="宋体"/>
          <w:color w:val="auto"/>
          <w:sz w:val="24"/>
          <w:szCs w:val="24"/>
          <w:highlight w:val="none"/>
        </w:rPr>
        <w:t>51</w:t>
      </w:r>
      <w:r>
        <w:rPr>
          <w:rFonts w:ascii="宋体" w:hAnsi="宋体"/>
          <w:color w:val="auto"/>
          <w:sz w:val="24"/>
          <w:szCs w:val="24"/>
          <w:highlight w:val="none"/>
        </w:rPr>
        <w:fldChar w:fldCharType="end"/>
      </w:r>
      <w:r>
        <w:rPr>
          <w:rStyle w:val="41"/>
          <w:rFonts w:ascii="宋体" w:hAnsi="宋体"/>
          <w:color w:val="auto"/>
          <w:sz w:val="24"/>
          <w:szCs w:val="24"/>
          <w:highlight w:val="none"/>
        </w:rPr>
        <w:fldChar w:fldCharType="end"/>
      </w:r>
    </w:p>
    <w:p w14:paraId="4541BEDC">
      <w:pPr>
        <w:pStyle w:val="25"/>
        <w:tabs>
          <w:tab w:val="right" w:leader="dot" w:pos="9030"/>
        </w:tabs>
        <w:rPr>
          <w:rFonts w:ascii="宋体" w:hAnsi="宋体"/>
          <w:b w:val="0"/>
          <w:caps w:val="0"/>
          <w:color w:val="auto"/>
          <w:kern w:val="2"/>
          <w:sz w:val="24"/>
          <w:szCs w:val="24"/>
          <w:highlight w:val="none"/>
        </w:rPr>
      </w:pPr>
      <w:r>
        <w:rPr>
          <w:rStyle w:val="41"/>
          <w:rFonts w:ascii="宋体" w:hAnsi="宋体"/>
          <w:color w:val="auto"/>
          <w:sz w:val="24"/>
          <w:szCs w:val="24"/>
          <w:highlight w:val="none"/>
        </w:rPr>
        <w:fldChar w:fldCharType="begin"/>
      </w:r>
      <w:r>
        <w:rPr>
          <w:rStyle w:val="41"/>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"_Toc169076297"</w:instrText>
      </w:r>
      <w:r>
        <w:rPr>
          <w:rStyle w:val="41"/>
          <w:rFonts w:ascii="宋体" w:hAnsi="宋体"/>
          <w:color w:val="auto"/>
          <w:sz w:val="24"/>
          <w:szCs w:val="24"/>
          <w:highlight w:val="none"/>
        </w:rPr>
        <w:instrText xml:space="preserve"> </w:instrText>
      </w:r>
      <w:r>
        <w:rPr>
          <w:rStyle w:val="41"/>
          <w:rFonts w:ascii="宋体" w:hAnsi="宋体"/>
          <w:color w:val="auto"/>
          <w:sz w:val="24"/>
          <w:szCs w:val="24"/>
          <w:highlight w:val="none"/>
        </w:rPr>
        <w:fldChar w:fldCharType="separate"/>
      </w:r>
      <w:r>
        <w:rPr>
          <w:rStyle w:val="41"/>
          <w:rFonts w:hint="eastAsia" w:ascii="宋体" w:hAnsi="宋体"/>
          <w:color w:val="auto"/>
          <w:sz w:val="24"/>
          <w:szCs w:val="24"/>
          <w:highlight w:val="none"/>
        </w:rPr>
        <w:t>第五章</w:t>
      </w:r>
      <w:r>
        <w:rPr>
          <w:rStyle w:val="41"/>
          <w:rFonts w:ascii="宋体" w:hAnsi="宋体"/>
          <w:color w:val="auto"/>
          <w:sz w:val="24"/>
          <w:szCs w:val="24"/>
          <w:highlight w:val="none"/>
        </w:rPr>
        <w:t xml:space="preserve"> </w:t>
      </w:r>
      <w:r>
        <w:rPr>
          <w:rStyle w:val="41"/>
          <w:rFonts w:hint="eastAsia" w:ascii="宋体" w:hAnsi="宋体"/>
          <w:color w:val="auto"/>
          <w:sz w:val="24"/>
          <w:szCs w:val="24"/>
          <w:highlight w:val="none"/>
        </w:rPr>
        <w:t>招标人要求</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_Toc169076297 \h </w:instrText>
      </w:r>
      <w:r>
        <w:rPr>
          <w:rFonts w:ascii="宋体" w:hAnsi="宋体"/>
          <w:color w:val="auto"/>
          <w:sz w:val="24"/>
          <w:szCs w:val="24"/>
          <w:highlight w:val="none"/>
        </w:rPr>
        <w:fldChar w:fldCharType="separate"/>
      </w:r>
      <w:r>
        <w:rPr>
          <w:rFonts w:ascii="宋体" w:hAnsi="宋体"/>
          <w:color w:val="auto"/>
          <w:sz w:val="24"/>
          <w:szCs w:val="24"/>
          <w:highlight w:val="none"/>
        </w:rPr>
        <w:t>52</w:t>
      </w:r>
      <w:r>
        <w:rPr>
          <w:rFonts w:ascii="宋体" w:hAnsi="宋体"/>
          <w:color w:val="auto"/>
          <w:sz w:val="24"/>
          <w:szCs w:val="24"/>
          <w:highlight w:val="none"/>
        </w:rPr>
        <w:fldChar w:fldCharType="end"/>
      </w:r>
      <w:r>
        <w:rPr>
          <w:rStyle w:val="41"/>
          <w:rFonts w:ascii="宋体" w:hAnsi="宋体"/>
          <w:color w:val="auto"/>
          <w:sz w:val="24"/>
          <w:szCs w:val="24"/>
          <w:highlight w:val="none"/>
        </w:rPr>
        <w:fldChar w:fldCharType="end"/>
      </w:r>
    </w:p>
    <w:p w14:paraId="57AC6C5D">
      <w:pPr>
        <w:pStyle w:val="25"/>
        <w:tabs>
          <w:tab w:val="right" w:leader="dot" w:pos="9030"/>
        </w:tabs>
        <w:rPr>
          <w:rFonts w:ascii="宋体" w:hAnsi="宋体"/>
          <w:b w:val="0"/>
          <w:caps w:val="0"/>
          <w:color w:val="auto"/>
          <w:kern w:val="2"/>
          <w:sz w:val="24"/>
          <w:szCs w:val="24"/>
          <w:highlight w:val="none"/>
        </w:rPr>
      </w:pPr>
      <w:r>
        <w:rPr>
          <w:rStyle w:val="41"/>
          <w:rFonts w:ascii="宋体" w:hAnsi="宋体"/>
          <w:color w:val="auto"/>
          <w:sz w:val="24"/>
          <w:szCs w:val="24"/>
          <w:highlight w:val="none"/>
        </w:rPr>
        <w:fldChar w:fldCharType="begin"/>
      </w:r>
      <w:r>
        <w:rPr>
          <w:rStyle w:val="41"/>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"_Toc169076298"</w:instrText>
      </w:r>
      <w:r>
        <w:rPr>
          <w:rStyle w:val="41"/>
          <w:rFonts w:ascii="宋体" w:hAnsi="宋体"/>
          <w:color w:val="auto"/>
          <w:sz w:val="24"/>
          <w:szCs w:val="24"/>
          <w:highlight w:val="none"/>
        </w:rPr>
        <w:instrText xml:space="preserve"> </w:instrText>
      </w:r>
      <w:r>
        <w:rPr>
          <w:rStyle w:val="41"/>
          <w:rFonts w:ascii="宋体" w:hAnsi="宋体"/>
          <w:color w:val="auto"/>
          <w:sz w:val="24"/>
          <w:szCs w:val="24"/>
          <w:highlight w:val="none"/>
        </w:rPr>
        <w:fldChar w:fldCharType="separate"/>
      </w:r>
      <w:r>
        <w:rPr>
          <w:rStyle w:val="41"/>
          <w:rFonts w:hint="eastAsia" w:ascii="宋体" w:hAnsi="宋体"/>
          <w:color w:val="auto"/>
          <w:sz w:val="24"/>
          <w:szCs w:val="24"/>
          <w:highlight w:val="none"/>
        </w:rPr>
        <w:t>第六章</w:t>
      </w:r>
      <w:r>
        <w:rPr>
          <w:rStyle w:val="41"/>
          <w:rFonts w:ascii="宋体" w:hAnsi="宋体"/>
          <w:color w:val="auto"/>
          <w:sz w:val="24"/>
          <w:szCs w:val="24"/>
          <w:highlight w:val="none"/>
        </w:rPr>
        <w:t xml:space="preserve"> </w:t>
      </w:r>
      <w:r>
        <w:rPr>
          <w:rStyle w:val="41"/>
          <w:rFonts w:hint="eastAsia" w:ascii="宋体" w:hAnsi="宋体"/>
          <w:color w:val="auto"/>
          <w:sz w:val="24"/>
          <w:szCs w:val="24"/>
          <w:highlight w:val="none"/>
        </w:rPr>
        <w:t>招标人提供的资料</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_Toc169076298 \h </w:instrText>
      </w:r>
      <w:r>
        <w:rPr>
          <w:rFonts w:ascii="宋体" w:hAnsi="宋体"/>
          <w:color w:val="auto"/>
          <w:sz w:val="24"/>
          <w:szCs w:val="24"/>
          <w:highlight w:val="none"/>
        </w:rPr>
        <w:fldChar w:fldCharType="separate"/>
      </w:r>
      <w:r>
        <w:rPr>
          <w:rFonts w:ascii="宋体" w:hAnsi="宋体"/>
          <w:color w:val="auto"/>
          <w:sz w:val="24"/>
          <w:szCs w:val="24"/>
          <w:highlight w:val="none"/>
        </w:rPr>
        <w:t>53</w:t>
      </w:r>
      <w:r>
        <w:rPr>
          <w:rFonts w:ascii="宋体" w:hAnsi="宋体"/>
          <w:color w:val="auto"/>
          <w:sz w:val="24"/>
          <w:szCs w:val="24"/>
          <w:highlight w:val="none"/>
        </w:rPr>
        <w:fldChar w:fldCharType="end"/>
      </w:r>
      <w:r>
        <w:rPr>
          <w:rStyle w:val="41"/>
          <w:rFonts w:ascii="宋体" w:hAnsi="宋体"/>
          <w:color w:val="auto"/>
          <w:sz w:val="24"/>
          <w:szCs w:val="24"/>
          <w:highlight w:val="none"/>
        </w:rPr>
        <w:fldChar w:fldCharType="end"/>
      </w:r>
    </w:p>
    <w:p w14:paraId="389219CE">
      <w:pPr>
        <w:pStyle w:val="25"/>
        <w:tabs>
          <w:tab w:val="right" w:leader="dot" w:pos="9030"/>
        </w:tabs>
        <w:rPr>
          <w:rFonts w:ascii="宋体" w:hAnsi="宋体"/>
          <w:b w:val="0"/>
          <w:caps w:val="0"/>
          <w:color w:val="auto"/>
          <w:kern w:val="2"/>
          <w:sz w:val="24"/>
          <w:szCs w:val="24"/>
          <w:highlight w:val="none"/>
        </w:rPr>
      </w:pPr>
      <w:r>
        <w:rPr>
          <w:rStyle w:val="41"/>
          <w:rFonts w:ascii="宋体" w:hAnsi="宋体"/>
          <w:color w:val="auto"/>
          <w:sz w:val="24"/>
          <w:szCs w:val="24"/>
          <w:highlight w:val="none"/>
        </w:rPr>
        <w:fldChar w:fldCharType="begin"/>
      </w:r>
      <w:r>
        <w:rPr>
          <w:rStyle w:val="41"/>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"_Toc169076299"</w:instrText>
      </w:r>
      <w:r>
        <w:rPr>
          <w:rStyle w:val="41"/>
          <w:rFonts w:ascii="宋体" w:hAnsi="宋体"/>
          <w:color w:val="auto"/>
          <w:sz w:val="24"/>
          <w:szCs w:val="24"/>
          <w:highlight w:val="none"/>
        </w:rPr>
        <w:instrText xml:space="preserve"> </w:instrText>
      </w:r>
      <w:r>
        <w:rPr>
          <w:rStyle w:val="41"/>
          <w:rFonts w:ascii="宋体" w:hAnsi="宋体"/>
          <w:color w:val="auto"/>
          <w:sz w:val="24"/>
          <w:szCs w:val="24"/>
          <w:highlight w:val="none"/>
        </w:rPr>
        <w:fldChar w:fldCharType="separate"/>
      </w:r>
      <w:r>
        <w:rPr>
          <w:rStyle w:val="41"/>
          <w:rFonts w:hint="eastAsia" w:ascii="宋体" w:hAnsi="宋体"/>
          <w:color w:val="auto"/>
          <w:sz w:val="24"/>
          <w:szCs w:val="24"/>
          <w:highlight w:val="none"/>
        </w:rPr>
        <w:t>第七章</w:t>
      </w:r>
      <w:r>
        <w:rPr>
          <w:rStyle w:val="41"/>
          <w:rFonts w:ascii="宋体" w:hAnsi="宋体"/>
          <w:color w:val="auto"/>
          <w:sz w:val="24"/>
          <w:szCs w:val="24"/>
          <w:highlight w:val="none"/>
        </w:rPr>
        <w:t xml:space="preserve"> </w:t>
      </w:r>
      <w:r>
        <w:rPr>
          <w:rStyle w:val="41"/>
          <w:rFonts w:hint="eastAsia" w:ascii="宋体" w:hAnsi="宋体"/>
          <w:color w:val="auto"/>
          <w:sz w:val="24"/>
          <w:szCs w:val="24"/>
          <w:highlight w:val="none"/>
        </w:rPr>
        <w:t>投标文件格式</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_Toc169076299 \h </w:instrText>
      </w:r>
      <w:r>
        <w:rPr>
          <w:rFonts w:ascii="宋体" w:hAnsi="宋体"/>
          <w:color w:val="auto"/>
          <w:sz w:val="24"/>
          <w:szCs w:val="24"/>
          <w:highlight w:val="none"/>
        </w:rPr>
        <w:fldChar w:fldCharType="separate"/>
      </w:r>
      <w:r>
        <w:rPr>
          <w:rFonts w:ascii="宋体" w:hAnsi="宋体"/>
          <w:color w:val="auto"/>
          <w:sz w:val="24"/>
          <w:szCs w:val="24"/>
          <w:highlight w:val="none"/>
        </w:rPr>
        <w:t>54</w:t>
      </w:r>
      <w:r>
        <w:rPr>
          <w:rFonts w:ascii="宋体" w:hAnsi="宋体"/>
          <w:color w:val="auto"/>
          <w:sz w:val="24"/>
          <w:szCs w:val="24"/>
          <w:highlight w:val="none"/>
        </w:rPr>
        <w:fldChar w:fldCharType="end"/>
      </w:r>
      <w:r>
        <w:rPr>
          <w:rStyle w:val="41"/>
          <w:rFonts w:ascii="宋体" w:hAnsi="宋体"/>
          <w:color w:val="auto"/>
          <w:sz w:val="24"/>
          <w:szCs w:val="24"/>
          <w:highlight w:val="none"/>
        </w:rPr>
        <w:fldChar w:fldCharType="end"/>
      </w:r>
    </w:p>
    <w:p w14:paraId="4E67C4B8">
      <w:pPr>
        <w:pStyle w:val="25"/>
        <w:tabs>
          <w:tab w:val="right" w:leader="dot" w:pos="9030"/>
        </w:tabs>
        <w:rPr>
          <w:rFonts w:ascii="宋体" w:hAnsi="宋体"/>
          <w:b w:val="0"/>
          <w:caps w:val="0"/>
          <w:color w:val="auto"/>
          <w:kern w:val="2"/>
          <w:sz w:val="24"/>
          <w:szCs w:val="24"/>
          <w:highlight w:val="none"/>
        </w:rPr>
      </w:pPr>
      <w:r>
        <w:rPr>
          <w:rStyle w:val="41"/>
          <w:rFonts w:ascii="宋体" w:hAnsi="宋体"/>
          <w:color w:val="auto"/>
          <w:sz w:val="24"/>
          <w:szCs w:val="24"/>
          <w:highlight w:val="none"/>
        </w:rPr>
        <w:fldChar w:fldCharType="begin"/>
      </w:r>
      <w:r>
        <w:rPr>
          <w:rStyle w:val="41"/>
          <w:rFonts w:ascii="宋体" w:hAnsi="宋体"/>
          <w:color w:val="auto"/>
          <w:sz w:val="24"/>
          <w:szCs w:val="24"/>
          <w:highlight w:val="none"/>
        </w:rPr>
        <w:instrText xml:space="preserve"> </w:instrText>
      </w:r>
      <w:r>
        <w:rPr>
          <w:rFonts w:ascii="宋体" w:hAnsi="宋体"/>
          <w:color w:val="auto"/>
          <w:sz w:val="24"/>
          <w:szCs w:val="24"/>
          <w:highlight w:val="none"/>
        </w:rPr>
        <w:instrText xml:space="preserve">HYPERLINK \l "_Toc169076300"</w:instrText>
      </w:r>
      <w:r>
        <w:rPr>
          <w:rStyle w:val="41"/>
          <w:rFonts w:ascii="宋体" w:hAnsi="宋体"/>
          <w:color w:val="auto"/>
          <w:sz w:val="24"/>
          <w:szCs w:val="24"/>
          <w:highlight w:val="none"/>
        </w:rPr>
        <w:instrText xml:space="preserve"> </w:instrText>
      </w:r>
      <w:r>
        <w:rPr>
          <w:rStyle w:val="41"/>
          <w:rFonts w:ascii="宋体" w:hAnsi="宋体"/>
          <w:color w:val="auto"/>
          <w:sz w:val="24"/>
          <w:szCs w:val="24"/>
          <w:highlight w:val="none"/>
        </w:rPr>
        <w:fldChar w:fldCharType="separate"/>
      </w:r>
      <w:r>
        <w:rPr>
          <w:rStyle w:val="41"/>
          <w:rFonts w:hint="eastAsia" w:ascii="宋体" w:hAnsi="宋体" w:cs="方正大标宋简体"/>
          <w:color w:val="auto"/>
          <w:sz w:val="24"/>
          <w:szCs w:val="24"/>
          <w:highlight w:val="none"/>
          <w:lang w:bidi="ar"/>
        </w:rPr>
        <w:t>第八章</w:t>
      </w:r>
      <w:r>
        <w:rPr>
          <w:rStyle w:val="41"/>
          <w:rFonts w:ascii="宋体" w:hAnsi="宋体" w:cs="方正大标宋简体"/>
          <w:color w:val="auto"/>
          <w:sz w:val="24"/>
          <w:szCs w:val="24"/>
          <w:highlight w:val="none"/>
          <w:lang w:bidi="ar"/>
        </w:rPr>
        <w:t xml:space="preserve"> </w:t>
      </w:r>
      <w:r>
        <w:rPr>
          <w:rStyle w:val="41"/>
          <w:rFonts w:hint="eastAsia" w:ascii="宋体" w:hAnsi="宋体" w:cs="方正大标宋简体"/>
          <w:color w:val="auto"/>
          <w:sz w:val="24"/>
          <w:szCs w:val="24"/>
          <w:highlight w:val="none"/>
          <w:lang w:bidi="ar"/>
        </w:rPr>
        <w:t>其他资料</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_Toc169076300 \h </w:instrText>
      </w:r>
      <w:r>
        <w:rPr>
          <w:rFonts w:ascii="宋体" w:hAnsi="宋体"/>
          <w:color w:val="auto"/>
          <w:sz w:val="24"/>
          <w:szCs w:val="24"/>
          <w:highlight w:val="none"/>
        </w:rPr>
        <w:fldChar w:fldCharType="separate"/>
      </w:r>
      <w:r>
        <w:rPr>
          <w:rFonts w:ascii="宋体" w:hAnsi="宋体"/>
          <w:color w:val="auto"/>
          <w:sz w:val="24"/>
          <w:szCs w:val="24"/>
          <w:highlight w:val="none"/>
        </w:rPr>
        <w:t>78</w:t>
      </w:r>
      <w:r>
        <w:rPr>
          <w:rFonts w:ascii="宋体" w:hAnsi="宋体"/>
          <w:color w:val="auto"/>
          <w:sz w:val="24"/>
          <w:szCs w:val="24"/>
          <w:highlight w:val="none"/>
        </w:rPr>
        <w:fldChar w:fldCharType="end"/>
      </w:r>
      <w:r>
        <w:rPr>
          <w:rStyle w:val="41"/>
          <w:rFonts w:ascii="宋体" w:hAnsi="宋体"/>
          <w:color w:val="auto"/>
          <w:sz w:val="24"/>
          <w:szCs w:val="24"/>
          <w:highlight w:val="none"/>
        </w:rPr>
        <w:fldChar w:fldCharType="end"/>
      </w:r>
    </w:p>
    <w:p w14:paraId="435E0AC9">
      <w:pPr>
        <w:pStyle w:val="25"/>
        <w:tabs>
          <w:tab w:val="right" w:leader="dot" w:pos="9297"/>
        </w:tabs>
        <w:spacing w:line="360" w:lineRule="auto"/>
        <w:rPr>
          <w:rFonts w:ascii="宋体" w:hAnsi="宋体" w:cs="宋体"/>
          <w:color w:val="auto"/>
          <w:highlight w:val="none"/>
        </w:rPr>
      </w:pPr>
      <w:r>
        <w:rPr>
          <w:rFonts w:hint="eastAsia" w:ascii="宋体" w:hAnsi="宋体" w:cs="宋体"/>
          <w:color w:val="auto"/>
          <w:sz w:val="24"/>
          <w:szCs w:val="24"/>
          <w:highlight w:val="none"/>
        </w:rPr>
        <w:fldChar w:fldCharType="end"/>
      </w:r>
    </w:p>
    <w:p w14:paraId="6F32BA6F">
      <w:pPr>
        <w:pStyle w:val="3"/>
        <w:numPr>
          <w:ilvl w:val="0"/>
          <w:numId w:val="1"/>
        </w:numPr>
        <w:spacing w:line="360" w:lineRule="auto"/>
        <w:jc w:val="center"/>
        <w:rPr>
          <w:rFonts w:ascii="宋体" w:hAnsi="宋体" w:cs="宋体"/>
          <w:color w:val="auto"/>
          <w:highlight w:val="none"/>
        </w:rPr>
        <w:sectPr>
          <w:footerReference r:id="rId8" w:type="default"/>
          <w:pgSz w:w="11906" w:h="16838"/>
          <w:pgMar w:top="1134" w:right="1134" w:bottom="1134" w:left="1134" w:header="851" w:footer="992" w:gutter="0"/>
          <w:pgNumType w:start="1"/>
          <w:cols w:space="720" w:num="1"/>
        </w:sectPr>
      </w:pPr>
      <w:bookmarkStart w:id="19" w:name="_Toc5620293"/>
      <w:bookmarkStart w:id="417" w:name="_GoBack"/>
      <w:bookmarkEnd w:id="417"/>
    </w:p>
    <w:p w14:paraId="4562841E">
      <w:pPr>
        <w:pStyle w:val="3"/>
        <w:numPr>
          <w:ilvl w:val="0"/>
          <w:numId w:val="1"/>
        </w:numPr>
        <w:spacing w:line="360" w:lineRule="auto"/>
        <w:jc w:val="center"/>
        <w:rPr>
          <w:rFonts w:ascii="宋体" w:hAnsi="宋体" w:cs="宋体"/>
          <w:color w:val="auto"/>
          <w:highlight w:val="none"/>
        </w:rPr>
      </w:pPr>
      <w:r>
        <w:rPr>
          <w:rFonts w:hint="eastAsia" w:ascii="宋体" w:hAnsi="宋体" w:cs="宋体"/>
          <w:color w:val="auto"/>
          <w:highlight w:val="none"/>
        </w:rPr>
        <w:t xml:space="preserve"> </w:t>
      </w:r>
      <w:bookmarkStart w:id="20" w:name="_Toc17070"/>
      <w:bookmarkStart w:id="21" w:name="_Toc169076293"/>
      <w:r>
        <w:rPr>
          <w:rFonts w:hint="eastAsia" w:ascii="宋体" w:hAnsi="宋体" w:cs="宋体"/>
          <w:color w:val="auto"/>
          <w:highlight w:val="none"/>
        </w:rPr>
        <w:t>招标公告（另册）</w:t>
      </w:r>
      <w:bookmarkEnd w:id="19"/>
      <w:bookmarkEnd w:id="20"/>
      <w:bookmarkEnd w:id="21"/>
    </w:p>
    <w:p w14:paraId="430E3A62">
      <w:pPr>
        <w:pStyle w:val="3"/>
        <w:spacing w:line="360" w:lineRule="auto"/>
        <w:jc w:val="center"/>
        <w:rPr>
          <w:rFonts w:ascii="宋体" w:hAnsi="宋体" w:cs="宋体"/>
          <w:color w:val="auto"/>
          <w:highlight w:val="none"/>
        </w:rPr>
      </w:pPr>
      <w:r>
        <w:rPr>
          <w:color w:val="auto"/>
          <w:highlight w:val="none"/>
        </w:rPr>
        <w:br w:type="page"/>
      </w:r>
      <w:bookmarkStart w:id="22" w:name="_Toc12275"/>
      <w:bookmarkEnd w:id="22"/>
      <w:bookmarkStart w:id="23" w:name="_Toc28666"/>
      <w:bookmarkStart w:id="24" w:name="_Toc5620294"/>
      <w:bookmarkStart w:id="25" w:name="_Toc169076294"/>
      <w:r>
        <w:rPr>
          <w:rFonts w:hint="eastAsia" w:ascii="宋体" w:hAnsi="宋体" w:cs="宋体"/>
          <w:color w:val="auto"/>
          <w:highlight w:val="none"/>
        </w:rPr>
        <w:t>第二章 投标人须知</w:t>
      </w:r>
      <w:bookmarkEnd w:id="23"/>
      <w:bookmarkEnd w:id="24"/>
      <w:bookmarkEnd w:id="25"/>
    </w:p>
    <w:p w14:paraId="02278167">
      <w:pPr>
        <w:pStyle w:val="4"/>
        <w:spacing w:before="100" w:after="100" w:line="360" w:lineRule="auto"/>
        <w:jc w:val="center"/>
        <w:rPr>
          <w:rFonts w:ascii="宋体" w:hAnsi="宋体" w:eastAsia="宋体" w:cs="宋体"/>
          <w:color w:val="auto"/>
          <w:highlight w:val="none"/>
          <w:lang w:val="zh-CN"/>
        </w:rPr>
      </w:pPr>
      <w:bookmarkStart w:id="26" w:name="_Toc362816479"/>
      <w:bookmarkEnd w:id="26"/>
      <w:bookmarkStart w:id="27" w:name="_Toc300834948"/>
      <w:bookmarkEnd w:id="27"/>
      <w:bookmarkStart w:id="28" w:name="_Toc357089510"/>
      <w:bookmarkEnd w:id="28"/>
      <w:bookmarkStart w:id="29" w:name="_Toc152045528"/>
      <w:bookmarkEnd w:id="29"/>
      <w:bookmarkStart w:id="30" w:name="_Toc247513951"/>
      <w:bookmarkEnd w:id="30"/>
      <w:bookmarkStart w:id="31" w:name="_Toc247527552"/>
      <w:bookmarkEnd w:id="31"/>
      <w:bookmarkStart w:id="32" w:name="_Toc152042304"/>
      <w:bookmarkEnd w:id="32"/>
      <w:bookmarkStart w:id="33" w:name="_Toc443505821"/>
      <w:bookmarkEnd w:id="33"/>
      <w:bookmarkStart w:id="34" w:name="_Toc30749"/>
      <w:bookmarkEnd w:id="34"/>
      <w:bookmarkStart w:id="35" w:name="_Toc144974496"/>
      <w:bookmarkEnd w:id="35"/>
      <w:bookmarkStart w:id="36" w:name="_Toc6703"/>
      <w:bookmarkEnd w:id="36"/>
      <w:bookmarkStart w:id="37" w:name="_Toc5620295"/>
      <w:bookmarkStart w:id="38" w:name="_Toc18684"/>
      <w:r>
        <w:rPr>
          <w:rFonts w:hint="eastAsia" w:ascii="宋体" w:hAnsi="宋体" w:eastAsia="宋体" w:cs="宋体"/>
          <w:color w:val="auto"/>
          <w:highlight w:val="none"/>
          <w:lang w:val="zh-CN"/>
        </w:rPr>
        <w:t>投标人须知前附表</w:t>
      </w:r>
      <w:bookmarkEnd w:id="37"/>
      <w:bookmarkEnd w:id="38"/>
    </w:p>
    <w:tbl>
      <w:tblPr>
        <w:tblStyle w:val="36"/>
        <w:tblW w:w="10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543"/>
        <w:gridCol w:w="6585"/>
      </w:tblGrid>
      <w:tr w14:paraId="4F4A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84" w:type="dxa"/>
            <w:noWrap w:val="0"/>
            <w:vAlign w:val="center"/>
          </w:tcPr>
          <w:p w14:paraId="4CC56F2E">
            <w:pPr>
              <w:keepNext w:val="0"/>
              <w:keepLines w:val="0"/>
              <w:suppressLineNumbers w:val="0"/>
              <w:wordWrap w:val="0"/>
              <w:spacing w:before="0" w:beforeAutospacing="0" w:after="0" w:afterAutospacing="0" w:line="240" w:lineRule="auto"/>
              <w:ind w:left="-134" w:right="-107"/>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2543" w:type="dxa"/>
            <w:noWrap w:val="0"/>
            <w:vAlign w:val="center"/>
          </w:tcPr>
          <w:p w14:paraId="7FFE0EEC">
            <w:pPr>
              <w:keepNext w:val="0"/>
              <w:keepLines w:val="0"/>
              <w:suppressLineNumbers w:val="0"/>
              <w:wordWrap w:val="0"/>
              <w:spacing w:before="0" w:beforeAutospacing="0" w:after="0" w:afterAutospacing="0" w:line="240" w:lineRule="auto"/>
              <w:ind w:left="0" w:right="0"/>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条  款  名  称</w:t>
            </w:r>
          </w:p>
        </w:tc>
        <w:tc>
          <w:tcPr>
            <w:tcW w:w="6585" w:type="dxa"/>
            <w:noWrap w:val="0"/>
            <w:vAlign w:val="center"/>
          </w:tcPr>
          <w:p w14:paraId="443F46B4">
            <w:pPr>
              <w:keepNext w:val="0"/>
              <w:keepLines w:val="0"/>
              <w:suppressLineNumbers w:val="0"/>
              <w:wordWrap w:val="0"/>
              <w:spacing w:before="0" w:beforeAutospacing="0" w:after="0" w:afterAutospacing="0" w:line="240" w:lineRule="auto"/>
              <w:ind w:left="0" w:right="0"/>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编  列  内  容</w:t>
            </w:r>
          </w:p>
        </w:tc>
      </w:tr>
      <w:tr w14:paraId="5C57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7BC8C4F4">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1.1.2</w:t>
            </w:r>
          </w:p>
        </w:tc>
        <w:tc>
          <w:tcPr>
            <w:tcW w:w="2543" w:type="dxa"/>
            <w:noWrap w:val="0"/>
            <w:vAlign w:val="center"/>
          </w:tcPr>
          <w:p w14:paraId="786A9BE9">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招标人</w:t>
            </w:r>
          </w:p>
        </w:tc>
        <w:tc>
          <w:tcPr>
            <w:tcW w:w="6585" w:type="dxa"/>
            <w:noWrap w:val="0"/>
            <w:vAlign w:val="center"/>
          </w:tcPr>
          <w:p w14:paraId="180A36E9">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1"/>
                <w:szCs w:val="21"/>
                <w:highlight w:val="none"/>
              </w:rPr>
              <w:t>招标人</w:t>
            </w:r>
            <w:r>
              <w:rPr>
                <w:rFonts w:hint="eastAsia" w:ascii="宋体" w:hAnsi="宋体" w:cs="宋体"/>
                <w:color w:val="auto"/>
                <w:kern w:val="2"/>
                <w:szCs w:val="21"/>
                <w:highlight w:val="none"/>
              </w:rPr>
              <w:t>名称：</w:t>
            </w:r>
            <w:r>
              <w:rPr>
                <w:rFonts w:hint="eastAsia" w:ascii="宋体" w:hAnsi="宋体" w:cs="宋体"/>
                <w:color w:val="auto"/>
                <w:kern w:val="2"/>
                <w:szCs w:val="21"/>
                <w:highlight w:val="none"/>
                <w:u w:val="single"/>
              </w:rPr>
              <w:t>广州云凌汽车投资有限公司</w:t>
            </w:r>
          </w:p>
          <w:p w14:paraId="2BF1F4D4">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u w:val="single"/>
              </w:rPr>
            </w:pPr>
            <w:r>
              <w:rPr>
                <w:rFonts w:hint="eastAsia" w:ascii="宋体" w:hAnsi="宋体" w:cs="宋体"/>
                <w:color w:val="auto"/>
                <w:kern w:val="2"/>
                <w:szCs w:val="21"/>
                <w:highlight w:val="none"/>
              </w:rPr>
              <w:t>地址：</w:t>
            </w:r>
            <w:r>
              <w:rPr>
                <w:rFonts w:hint="eastAsia" w:ascii="宋体" w:hAnsi="宋体" w:cs="宋体"/>
                <w:color w:val="auto"/>
                <w:kern w:val="2"/>
                <w:szCs w:val="21"/>
                <w:highlight w:val="none"/>
                <w:u w:val="single"/>
              </w:rPr>
              <w:t>广州市白云区广州民营科技园科泰二路13号高新区产业创新园1栋4层401-658</w:t>
            </w:r>
          </w:p>
          <w:p w14:paraId="62828C45">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u w:val="single"/>
              </w:rPr>
            </w:pPr>
            <w:r>
              <w:rPr>
                <w:rFonts w:hint="eastAsia" w:ascii="宋体" w:hAnsi="宋体" w:cs="宋体"/>
                <w:color w:val="auto"/>
                <w:kern w:val="2"/>
                <w:szCs w:val="21"/>
                <w:highlight w:val="none"/>
                <w:u w:val="single"/>
              </w:rPr>
              <w:t>联 系 人：曾小姐</w:t>
            </w:r>
          </w:p>
          <w:p w14:paraId="76E9586C">
            <w:pPr>
              <w:pStyle w:val="35"/>
              <w:keepNext w:val="0"/>
              <w:keepLines w:val="0"/>
              <w:suppressLineNumbers w:val="0"/>
              <w:spacing w:before="0" w:beforeAutospacing="0" w:afterAutospacing="0"/>
              <w:ind w:left="0" w:leftChars="0" w:right="0" w:firstLine="0" w:firstLineChars="0"/>
              <w:rPr>
                <w:rFonts w:hint="default" w:ascii="宋体" w:hAnsi="宋体" w:cs="宋体"/>
                <w:color w:val="auto"/>
                <w:kern w:val="2"/>
                <w:szCs w:val="21"/>
                <w:highlight w:val="none"/>
                <w:lang w:eastAsia="zh-CN"/>
              </w:rPr>
            </w:pPr>
            <w:r>
              <w:rPr>
                <w:rFonts w:hint="eastAsia" w:ascii="宋体" w:hAnsi="宋体" w:cs="宋体"/>
                <w:color w:val="auto"/>
                <w:kern w:val="2"/>
                <w:szCs w:val="21"/>
                <w:highlight w:val="none"/>
                <w:u w:val="single"/>
                <w:lang w:eastAsia="zh-CN"/>
              </w:rPr>
              <w:t>联系电话：020-32782532</w:t>
            </w:r>
          </w:p>
        </w:tc>
      </w:tr>
      <w:tr w14:paraId="178A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40B76C47">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1.1.3</w:t>
            </w:r>
          </w:p>
        </w:tc>
        <w:tc>
          <w:tcPr>
            <w:tcW w:w="2543" w:type="dxa"/>
            <w:noWrap w:val="0"/>
            <w:vAlign w:val="center"/>
          </w:tcPr>
          <w:p w14:paraId="026735AD">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招标代理机构</w:t>
            </w:r>
          </w:p>
        </w:tc>
        <w:tc>
          <w:tcPr>
            <w:tcW w:w="6585" w:type="dxa"/>
            <w:noWrap w:val="0"/>
            <w:vAlign w:val="center"/>
          </w:tcPr>
          <w:p w14:paraId="7F037698">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名称：</w:t>
            </w:r>
            <w:r>
              <w:rPr>
                <w:rFonts w:hint="eastAsia" w:ascii="宋体" w:hAnsi="宋体" w:cs="宋体"/>
                <w:color w:val="auto"/>
                <w:kern w:val="2"/>
                <w:szCs w:val="21"/>
                <w:highlight w:val="none"/>
                <w:u w:val="single"/>
              </w:rPr>
              <w:t>广东省城规建设监理有限公司</w:t>
            </w:r>
          </w:p>
          <w:p w14:paraId="50973CAD">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地址：</w:t>
            </w:r>
            <w:r>
              <w:rPr>
                <w:rFonts w:hint="eastAsia" w:ascii="宋体" w:hAnsi="宋体" w:cs="宋体"/>
                <w:color w:val="auto"/>
                <w:kern w:val="2"/>
                <w:szCs w:val="21"/>
                <w:highlight w:val="none"/>
                <w:u w:val="single"/>
              </w:rPr>
              <w:t>广州市白云区启德路77号法务大厦北塔六楼</w:t>
            </w:r>
          </w:p>
          <w:p w14:paraId="5EB15C26">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联系人：</w:t>
            </w:r>
            <w:r>
              <w:rPr>
                <w:rFonts w:hint="eastAsia" w:ascii="宋体" w:hAnsi="宋体" w:cs="宋体"/>
                <w:color w:val="auto"/>
                <w:kern w:val="2"/>
                <w:szCs w:val="21"/>
                <w:highlight w:val="none"/>
                <w:u w:val="single"/>
              </w:rPr>
              <w:t>陈工、李工</w:t>
            </w:r>
            <w:r>
              <w:rPr>
                <w:rFonts w:hint="eastAsia" w:ascii="宋体" w:hAnsi="宋体" w:cs="宋体"/>
                <w:color w:val="auto"/>
                <w:kern w:val="2"/>
                <w:szCs w:val="21"/>
                <w:highlight w:val="none"/>
              </w:rPr>
              <w:t xml:space="preserve">       </w:t>
            </w:r>
          </w:p>
          <w:p w14:paraId="0D14B52B">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电话：</w:t>
            </w:r>
            <w:r>
              <w:rPr>
                <w:rFonts w:hint="eastAsia" w:ascii="宋体" w:hAnsi="宋体" w:cs="宋体"/>
                <w:color w:val="auto"/>
                <w:kern w:val="2"/>
                <w:szCs w:val="21"/>
                <w:highlight w:val="none"/>
                <w:u w:val="single"/>
              </w:rPr>
              <w:t>020-83560819</w:t>
            </w:r>
          </w:p>
        </w:tc>
      </w:tr>
      <w:tr w14:paraId="60F4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70CE1037">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1.1.4</w:t>
            </w:r>
          </w:p>
        </w:tc>
        <w:tc>
          <w:tcPr>
            <w:tcW w:w="2543" w:type="dxa"/>
            <w:noWrap w:val="0"/>
            <w:vAlign w:val="center"/>
          </w:tcPr>
          <w:p w14:paraId="38232AE3">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项目名称</w:t>
            </w:r>
          </w:p>
        </w:tc>
        <w:tc>
          <w:tcPr>
            <w:tcW w:w="6585" w:type="dxa"/>
            <w:noWrap w:val="0"/>
            <w:vAlign w:val="center"/>
          </w:tcPr>
          <w:p w14:paraId="3C0AF114">
            <w:pPr>
              <w:keepNext w:val="0"/>
              <w:keepLines w:val="0"/>
              <w:suppressLineNumbers w:val="0"/>
              <w:wordWrap w:val="0"/>
              <w:spacing w:before="0" w:beforeAutospacing="0" w:after="0" w:afterAutospacing="0" w:line="240" w:lineRule="auto"/>
              <w:ind w:left="0" w:right="0"/>
              <w:rPr>
                <w:rFonts w:hint="eastAsia" w:ascii="宋体" w:hAnsi="宋体" w:cs="宋体"/>
                <w:color w:val="auto"/>
                <w:kern w:val="1"/>
                <w:szCs w:val="21"/>
                <w:highlight w:val="none"/>
              </w:rPr>
            </w:pPr>
            <w:bookmarkStart w:id="39" w:name="OLE_LINK9"/>
            <w:bookmarkStart w:id="40" w:name="OLE_LINK10"/>
            <w:r>
              <w:rPr>
                <w:rFonts w:hint="eastAsia" w:ascii="宋体" w:hAnsi="宋体" w:cs="宋体"/>
                <w:color w:val="auto"/>
                <w:kern w:val="2"/>
                <w:szCs w:val="21"/>
                <w:highlight w:val="none"/>
              </w:rPr>
              <w:t>白云区东平汽车小镇二期AB2201088地块开发项目勘察设计施工总承包（EPC）</w:t>
            </w:r>
            <w:bookmarkEnd w:id="39"/>
            <w:bookmarkEnd w:id="40"/>
          </w:p>
        </w:tc>
      </w:tr>
      <w:tr w14:paraId="1745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3D9502FC">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1.1.5</w:t>
            </w:r>
          </w:p>
        </w:tc>
        <w:tc>
          <w:tcPr>
            <w:tcW w:w="2543" w:type="dxa"/>
            <w:noWrap w:val="0"/>
            <w:vAlign w:val="center"/>
          </w:tcPr>
          <w:p w14:paraId="131AE408">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建设地点</w:t>
            </w:r>
          </w:p>
        </w:tc>
        <w:tc>
          <w:tcPr>
            <w:tcW w:w="6585" w:type="dxa"/>
            <w:noWrap w:val="0"/>
            <w:vAlign w:val="center"/>
          </w:tcPr>
          <w:p w14:paraId="512375A5">
            <w:pPr>
              <w:keepNext w:val="0"/>
              <w:keepLines w:val="0"/>
              <w:suppressLineNumbers w:val="0"/>
              <w:spacing w:before="0" w:beforeAutospacing="0" w:afterAutospacing="0" w:line="240" w:lineRule="auto"/>
              <w:ind w:left="0" w:right="0"/>
              <w:rPr>
                <w:rFonts w:hint="eastAsia" w:ascii="宋体" w:hAnsi="宋体" w:cs="宋体"/>
                <w:color w:val="auto"/>
                <w:kern w:val="1"/>
                <w:szCs w:val="21"/>
                <w:highlight w:val="none"/>
              </w:rPr>
            </w:pPr>
            <w:r>
              <w:rPr>
                <w:rFonts w:hint="eastAsia" w:ascii="宋体" w:hAnsi="宋体" w:cs="宋体"/>
                <w:color w:val="auto"/>
                <w:kern w:val="2"/>
                <w:szCs w:val="21"/>
                <w:highlight w:val="none"/>
              </w:rPr>
              <w:t>永平街到广从一路东侧，地铁 14 号线东平站 A 出口东侧</w:t>
            </w:r>
          </w:p>
        </w:tc>
      </w:tr>
      <w:tr w14:paraId="0A09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71326651">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1.2.1</w:t>
            </w:r>
          </w:p>
        </w:tc>
        <w:tc>
          <w:tcPr>
            <w:tcW w:w="2543" w:type="dxa"/>
            <w:noWrap w:val="0"/>
            <w:vAlign w:val="center"/>
          </w:tcPr>
          <w:p w14:paraId="1DBE4F05">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资金来源及比例</w:t>
            </w:r>
          </w:p>
        </w:tc>
        <w:tc>
          <w:tcPr>
            <w:tcW w:w="6585" w:type="dxa"/>
            <w:noWrap w:val="0"/>
            <w:vAlign w:val="center"/>
          </w:tcPr>
          <w:p w14:paraId="06A06221">
            <w:pPr>
              <w:keepNext w:val="0"/>
              <w:keepLines w:val="0"/>
              <w:suppressLineNumbers w:val="0"/>
              <w:spacing w:before="0" w:beforeAutospacing="0" w:afterAutospacing="0" w:line="240" w:lineRule="auto"/>
              <w:ind w:left="0" w:right="0"/>
              <w:rPr>
                <w:rFonts w:hint="eastAsia" w:ascii="宋体" w:hAnsi="宋体" w:cs="宋体"/>
                <w:color w:val="auto"/>
                <w:kern w:val="1"/>
                <w:szCs w:val="21"/>
                <w:highlight w:val="none"/>
              </w:rPr>
            </w:pPr>
            <w:r>
              <w:rPr>
                <w:rFonts w:hint="eastAsia" w:ascii="宋体" w:hAnsi="宋体" w:cs="宋体"/>
                <w:color w:val="auto"/>
                <w:kern w:val="2"/>
                <w:szCs w:val="21"/>
                <w:highlight w:val="none"/>
              </w:rPr>
              <w:t>自筹资金</w:t>
            </w:r>
          </w:p>
        </w:tc>
      </w:tr>
      <w:tr w14:paraId="1EB9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6388A623">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1.2.2</w:t>
            </w:r>
          </w:p>
        </w:tc>
        <w:tc>
          <w:tcPr>
            <w:tcW w:w="2543" w:type="dxa"/>
            <w:noWrap w:val="0"/>
            <w:vAlign w:val="center"/>
          </w:tcPr>
          <w:p w14:paraId="34E16224">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资金落实情况</w:t>
            </w:r>
          </w:p>
        </w:tc>
        <w:tc>
          <w:tcPr>
            <w:tcW w:w="6585" w:type="dxa"/>
            <w:noWrap w:val="0"/>
            <w:vAlign w:val="center"/>
          </w:tcPr>
          <w:p w14:paraId="2F89B4FE">
            <w:pPr>
              <w:keepNext w:val="0"/>
              <w:keepLines w:val="0"/>
              <w:suppressLineNumbers w:val="0"/>
              <w:spacing w:before="0" w:beforeAutospacing="0" w:afterAutospacing="0" w:line="240" w:lineRule="auto"/>
              <w:ind w:left="0" w:right="0"/>
              <w:rPr>
                <w:rFonts w:hint="eastAsia" w:ascii="宋体" w:hAnsi="宋体" w:cs="宋体"/>
                <w:color w:val="auto"/>
                <w:kern w:val="1"/>
                <w:szCs w:val="21"/>
                <w:highlight w:val="none"/>
              </w:rPr>
            </w:pPr>
            <w:r>
              <w:rPr>
                <w:rFonts w:hint="eastAsia" w:ascii="宋体" w:hAnsi="宋体" w:cs="宋体"/>
                <w:color w:val="auto"/>
                <w:kern w:val="2"/>
                <w:szCs w:val="21"/>
                <w:highlight w:val="none"/>
              </w:rPr>
              <w:t>已落实。</w:t>
            </w:r>
          </w:p>
        </w:tc>
      </w:tr>
      <w:tr w14:paraId="62CD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 w:type="dxa"/>
            <w:noWrap w:val="0"/>
            <w:vAlign w:val="center"/>
          </w:tcPr>
          <w:p w14:paraId="6B2CEB49">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1.3.1</w:t>
            </w:r>
          </w:p>
        </w:tc>
        <w:tc>
          <w:tcPr>
            <w:tcW w:w="2543" w:type="dxa"/>
            <w:noWrap w:val="0"/>
            <w:vAlign w:val="center"/>
          </w:tcPr>
          <w:p w14:paraId="27FF0036">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招标范围</w:t>
            </w:r>
          </w:p>
        </w:tc>
        <w:tc>
          <w:tcPr>
            <w:tcW w:w="6585" w:type="dxa"/>
            <w:noWrap w:val="0"/>
            <w:vAlign w:val="center"/>
          </w:tcPr>
          <w:p w14:paraId="1E6649E4">
            <w:pPr>
              <w:keepNext w:val="0"/>
              <w:keepLines w:val="0"/>
              <w:suppressLineNumbers w:val="0"/>
              <w:spacing w:before="0" w:beforeAutospacing="0" w:afterAutospacing="0" w:line="240" w:lineRule="auto"/>
              <w:ind w:left="0" w:right="0"/>
              <w:rPr>
                <w:rFonts w:hint="eastAsia" w:ascii="宋体" w:hAnsi="宋体" w:cs="宋体"/>
                <w:color w:val="auto"/>
                <w:kern w:val="1"/>
                <w:szCs w:val="21"/>
                <w:highlight w:val="none"/>
              </w:rPr>
            </w:pPr>
            <w:r>
              <w:rPr>
                <w:rFonts w:hint="eastAsia" w:ascii="宋体" w:hAnsi="宋体" w:cs="宋体"/>
                <w:color w:val="auto"/>
                <w:kern w:val="2"/>
                <w:szCs w:val="21"/>
                <w:highlight w:val="none"/>
              </w:rPr>
              <w:t>详见招标公告</w:t>
            </w:r>
          </w:p>
        </w:tc>
      </w:tr>
      <w:tr w14:paraId="2249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shd w:val="clear" w:color="auto" w:fill="auto"/>
            <w:noWrap w:val="0"/>
            <w:vAlign w:val="center"/>
          </w:tcPr>
          <w:p w14:paraId="2C11E01B">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1.3.2</w:t>
            </w:r>
          </w:p>
        </w:tc>
        <w:tc>
          <w:tcPr>
            <w:tcW w:w="2543" w:type="dxa"/>
            <w:shd w:val="clear" w:color="auto" w:fill="auto"/>
            <w:noWrap w:val="0"/>
            <w:vAlign w:val="center"/>
          </w:tcPr>
          <w:p w14:paraId="5CCE3FAB">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计划工期</w:t>
            </w:r>
          </w:p>
        </w:tc>
        <w:tc>
          <w:tcPr>
            <w:tcW w:w="6585" w:type="dxa"/>
            <w:shd w:val="clear" w:color="auto" w:fill="FFFFFF"/>
            <w:noWrap w:val="0"/>
            <w:vAlign w:val="center"/>
          </w:tcPr>
          <w:p w14:paraId="0BCEB00D">
            <w:pPr>
              <w:keepNext w:val="0"/>
              <w:keepLines w:val="0"/>
              <w:suppressLineNumbers w:val="0"/>
              <w:spacing w:before="0" w:beforeAutospacing="0" w:afterAutospacing="0" w:line="240" w:lineRule="auto"/>
              <w:ind w:left="0" w:right="0"/>
              <w:rPr>
                <w:rFonts w:hint="eastAsia" w:ascii="宋体" w:hAnsi="宋体" w:cs="宋体"/>
                <w:color w:val="auto"/>
                <w:kern w:val="1"/>
                <w:szCs w:val="21"/>
                <w:highlight w:val="none"/>
              </w:rPr>
            </w:pPr>
            <w:r>
              <w:rPr>
                <w:rFonts w:hint="eastAsia" w:ascii="宋体" w:hAnsi="宋体" w:cs="宋体"/>
                <w:color w:val="auto"/>
                <w:kern w:val="2"/>
                <w:szCs w:val="21"/>
                <w:highlight w:val="none"/>
              </w:rPr>
              <w:t>暂定</w:t>
            </w:r>
            <w:r>
              <w:rPr>
                <w:rFonts w:hint="eastAsia" w:ascii="宋体" w:hAnsi="宋体" w:cs="宋体"/>
                <w:color w:val="auto"/>
                <w:kern w:val="2"/>
                <w:szCs w:val="21"/>
                <w:highlight w:val="none"/>
                <w:lang w:eastAsia="zh-CN"/>
              </w:rPr>
              <w:t>2</w:t>
            </w:r>
            <w:r>
              <w:rPr>
                <w:rFonts w:hint="eastAsia" w:ascii="宋体" w:hAnsi="宋体" w:cs="宋体"/>
                <w:color w:val="auto"/>
                <w:kern w:val="2"/>
                <w:szCs w:val="21"/>
                <w:highlight w:val="none"/>
                <w:lang w:val="en-US" w:eastAsia="zh-CN"/>
              </w:rPr>
              <w:t>4</w:t>
            </w:r>
            <w:r>
              <w:rPr>
                <w:rFonts w:hint="eastAsia" w:ascii="宋体" w:hAnsi="宋体" w:cs="宋体"/>
                <w:color w:val="auto"/>
                <w:kern w:val="2"/>
                <w:szCs w:val="21"/>
                <w:highlight w:val="none"/>
              </w:rPr>
              <w:t>个月（具体以合同约定为准）</w:t>
            </w:r>
          </w:p>
        </w:tc>
      </w:tr>
      <w:tr w14:paraId="6484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3FB45F6E">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1.3.3</w:t>
            </w:r>
          </w:p>
        </w:tc>
        <w:tc>
          <w:tcPr>
            <w:tcW w:w="2543" w:type="dxa"/>
            <w:noWrap w:val="0"/>
            <w:vAlign w:val="center"/>
          </w:tcPr>
          <w:p w14:paraId="4532821B">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质量标准</w:t>
            </w:r>
          </w:p>
        </w:tc>
        <w:tc>
          <w:tcPr>
            <w:tcW w:w="6585" w:type="dxa"/>
            <w:noWrap w:val="0"/>
            <w:vAlign w:val="center"/>
          </w:tcPr>
          <w:p w14:paraId="21DDF683">
            <w:pPr>
              <w:keepNext w:val="0"/>
              <w:keepLines w:val="0"/>
              <w:suppressLineNumbers w:val="0"/>
              <w:snapToGrid w:val="0"/>
              <w:spacing w:before="0" w:beforeAutospacing="0" w:afterAutospacing="0" w:line="240" w:lineRule="auto"/>
              <w:ind w:left="-55" w:leftChars="-26" w:right="-59" w:rightChars="-28"/>
              <w:rPr>
                <w:rFonts w:hint="eastAsia" w:ascii="宋体" w:hAnsi="宋体" w:cs="宋体"/>
                <w:color w:val="auto"/>
                <w:kern w:val="1"/>
                <w:szCs w:val="21"/>
                <w:highlight w:val="none"/>
              </w:rPr>
            </w:pPr>
            <w:r>
              <w:rPr>
                <w:rFonts w:hint="eastAsia" w:ascii="宋体" w:hAnsi="宋体" w:cs="宋体"/>
                <w:color w:val="auto"/>
                <w:kern w:val="2"/>
                <w:szCs w:val="21"/>
                <w:highlight w:val="none"/>
              </w:rPr>
              <w:t>详见招标公告</w:t>
            </w:r>
          </w:p>
        </w:tc>
      </w:tr>
      <w:tr w14:paraId="68F6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54488324">
            <w:pPr>
              <w:keepNext w:val="0"/>
              <w:keepLines w:val="0"/>
              <w:suppressLineNumbers w:val="0"/>
              <w:snapToGrid w:val="0"/>
              <w:spacing w:before="0" w:beforeAutospacing="0" w:afterAutospacing="0" w:line="240" w:lineRule="auto"/>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1.4.1</w:t>
            </w:r>
          </w:p>
        </w:tc>
        <w:tc>
          <w:tcPr>
            <w:tcW w:w="2543" w:type="dxa"/>
            <w:noWrap w:val="0"/>
            <w:vAlign w:val="center"/>
          </w:tcPr>
          <w:p w14:paraId="5B554834">
            <w:pPr>
              <w:keepNext w:val="0"/>
              <w:keepLines w:val="0"/>
              <w:suppressLineNumbers w:val="0"/>
              <w:snapToGrid w:val="0"/>
              <w:spacing w:before="0" w:beforeAutospacing="0" w:afterAutospacing="0" w:line="240" w:lineRule="auto"/>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投标人资质条件、能力和信誉</w:t>
            </w:r>
          </w:p>
        </w:tc>
        <w:tc>
          <w:tcPr>
            <w:tcW w:w="6585" w:type="dxa"/>
            <w:noWrap w:val="0"/>
            <w:vAlign w:val="center"/>
          </w:tcPr>
          <w:p w14:paraId="5C22547F">
            <w:pPr>
              <w:keepNext w:val="0"/>
              <w:keepLines w:val="0"/>
              <w:suppressLineNumbers w:val="0"/>
              <w:snapToGrid w:val="0"/>
              <w:spacing w:before="0" w:beforeAutospacing="0" w:afterAutospacing="0" w:line="240" w:lineRule="auto"/>
              <w:ind w:left="0" w:right="-59" w:rightChars="-28"/>
              <w:rPr>
                <w:rFonts w:hint="eastAsia" w:ascii="宋体" w:hAnsi="宋体" w:cs="宋体"/>
                <w:color w:val="auto"/>
                <w:kern w:val="1"/>
                <w:szCs w:val="21"/>
                <w:highlight w:val="none"/>
              </w:rPr>
            </w:pPr>
            <w:r>
              <w:rPr>
                <w:rFonts w:hint="eastAsia" w:ascii="宋体" w:hAnsi="宋体" w:cs="宋体"/>
                <w:color w:val="auto"/>
                <w:kern w:val="2"/>
                <w:szCs w:val="21"/>
                <w:highlight w:val="none"/>
              </w:rPr>
              <w:t>详见本项目招标公告。</w:t>
            </w:r>
          </w:p>
        </w:tc>
      </w:tr>
      <w:tr w14:paraId="7DA4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2B82D93C">
            <w:pPr>
              <w:keepNext w:val="0"/>
              <w:keepLines w:val="0"/>
              <w:suppressLineNumbers w:val="0"/>
              <w:snapToGrid w:val="0"/>
              <w:spacing w:before="0" w:beforeAutospacing="0" w:afterAutospacing="0" w:line="240" w:lineRule="auto"/>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1.4.2</w:t>
            </w:r>
          </w:p>
        </w:tc>
        <w:tc>
          <w:tcPr>
            <w:tcW w:w="2543" w:type="dxa"/>
            <w:noWrap w:val="0"/>
            <w:vAlign w:val="center"/>
          </w:tcPr>
          <w:p w14:paraId="7C3B68C3">
            <w:pPr>
              <w:keepNext w:val="0"/>
              <w:keepLines w:val="0"/>
              <w:suppressLineNumbers w:val="0"/>
              <w:snapToGrid w:val="0"/>
              <w:spacing w:before="0" w:beforeAutospacing="0" w:afterAutospacing="0" w:line="240" w:lineRule="auto"/>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是否接受联合体投标</w:t>
            </w:r>
          </w:p>
        </w:tc>
        <w:tc>
          <w:tcPr>
            <w:tcW w:w="6585" w:type="dxa"/>
            <w:noWrap w:val="0"/>
            <w:vAlign w:val="center"/>
          </w:tcPr>
          <w:p w14:paraId="4BD1EFC6">
            <w:pPr>
              <w:keepNext w:val="0"/>
              <w:keepLines w:val="0"/>
              <w:suppressLineNumbers w:val="0"/>
              <w:topLinePunct/>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□不接受</w:t>
            </w:r>
          </w:p>
          <w:p w14:paraId="240DB4A1">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■接受，应满足下列要求：</w:t>
            </w:r>
            <w:r>
              <w:rPr>
                <w:rFonts w:hint="eastAsia" w:ascii="宋体" w:hAnsi="宋体" w:cs="宋体"/>
                <w:color w:val="auto"/>
                <w:kern w:val="2"/>
                <w:szCs w:val="21"/>
                <w:highlight w:val="none"/>
                <w:u w:val="single"/>
              </w:rPr>
              <w:t>详见本项目招标公告</w:t>
            </w:r>
          </w:p>
        </w:tc>
      </w:tr>
      <w:tr w14:paraId="4E89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1E994BD2">
            <w:pPr>
              <w:keepNext w:val="0"/>
              <w:keepLines w:val="0"/>
              <w:suppressLineNumbers w:val="0"/>
              <w:snapToGrid w:val="0"/>
              <w:spacing w:before="0" w:beforeAutospacing="0" w:afterAutospacing="0" w:line="240" w:lineRule="auto"/>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1.5</w:t>
            </w:r>
          </w:p>
        </w:tc>
        <w:tc>
          <w:tcPr>
            <w:tcW w:w="2543" w:type="dxa"/>
            <w:noWrap w:val="0"/>
            <w:vAlign w:val="center"/>
          </w:tcPr>
          <w:p w14:paraId="263C1953">
            <w:pPr>
              <w:keepNext w:val="0"/>
              <w:keepLines w:val="0"/>
              <w:suppressLineNumbers w:val="0"/>
              <w:snapToGrid w:val="0"/>
              <w:spacing w:before="0" w:beforeAutospacing="0" w:afterAutospacing="0" w:line="240" w:lineRule="auto"/>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费用承担和设计成果补偿</w:t>
            </w:r>
          </w:p>
        </w:tc>
        <w:tc>
          <w:tcPr>
            <w:tcW w:w="6585" w:type="dxa"/>
            <w:noWrap w:val="0"/>
            <w:vAlign w:val="center"/>
          </w:tcPr>
          <w:p w14:paraId="25801679">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■不补偿</w:t>
            </w:r>
          </w:p>
          <w:p w14:paraId="2936CDFF">
            <w:pPr>
              <w:keepNext w:val="0"/>
              <w:keepLines w:val="0"/>
              <w:suppressLineNumbers w:val="0"/>
              <w:snapToGrid w:val="0"/>
              <w:spacing w:before="0" w:beforeAutospacing="0" w:afterAutospacing="0" w:line="240" w:lineRule="auto"/>
              <w:ind w:left="-55" w:leftChars="-26" w:right="-59" w:rightChars="-28"/>
              <w:rPr>
                <w:rFonts w:hint="eastAsia" w:ascii="宋体" w:hAnsi="宋体" w:cs="宋体"/>
                <w:color w:val="auto"/>
                <w:kern w:val="1"/>
                <w:szCs w:val="21"/>
                <w:highlight w:val="none"/>
              </w:rPr>
            </w:pPr>
            <w:r>
              <w:rPr>
                <w:rFonts w:hint="eastAsia" w:ascii="宋体" w:hAnsi="宋体" w:cs="宋体"/>
                <w:color w:val="auto"/>
                <w:kern w:val="2"/>
                <w:szCs w:val="21"/>
                <w:highlight w:val="none"/>
              </w:rPr>
              <w:t>□补偿，补偿标准：</w:t>
            </w:r>
          </w:p>
        </w:tc>
      </w:tr>
      <w:tr w14:paraId="241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7969E62B">
            <w:pPr>
              <w:keepNext w:val="0"/>
              <w:keepLines w:val="0"/>
              <w:suppressLineNumbers w:val="0"/>
              <w:snapToGrid w:val="0"/>
              <w:spacing w:before="0" w:beforeAutospacing="0" w:afterAutospacing="0" w:line="240" w:lineRule="auto"/>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1.9.1</w:t>
            </w:r>
          </w:p>
        </w:tc>
        <w:tc>
          <w:tcPr>
            <w:tcW w:w="2543" w:type="dxa"/>
            <w:noWrap w:val="0"/>
            <w:vAlign w:val="center"/>
          </w:tcPr>
          <w:p w14:paraId="35FC47B4">
            <w:pPr>
              <w:keepNext w:val="0"/>
              <w:keepLines w:val="0"/>
              <w:suppressLineNumbers w:val="0"/>
              <w:snapToGrid w:val="0"/>
              <w:spacing w:before="0" w:beforeAutospacing="0" w:afterAutospacing="0" w:line="240" w:lineRule="auto"/>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踏勘</w:t>
            </w:r>
          </w:p>
        </w:tc>
        <w:tc>
          <w:tcPr>
            <w:tcW w:w="6585" w:type="dxa"/>
            <w:noWrap w:val="0"/>
            <w:vAlign w:val="center"/>
          </w:tcPr>
          <w:p w14:paraId="7B409425">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■不组织：</w:t>
            </w:r>
            <w:r>
              <w:rPr>
                <w:rFonts w:hint="eastAsia" w:ascii="宋体" w:hAnsi="宋体" w:cs="宋体"/>
                <w:color w:val="auto"/>
                <w:kern w:val="2"/>
                <w:szCs w:val="21"/>
                <w:highlight w:val="none"/>
                <w:u w:val="single"/>
              </w:rPr>
              <w:t>自行踏勘。投标人不进行踏勘的，视为已熟知现场条件，自行承担相关风险。</w:t>
            </w:r>
          </w:p>
          <w:p w14:paraId="50DC84E0">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□组织，踏勘时间：</w:t>
            </w:r>
          </w:p>
          <w:p w14:paraId="2A940DDB">
            <w:pPr>
              <w:keepNext w:val="0"/>
              <w:keepLines w:val="0"/>
              <w:suppressLineNumbers w:val="0"/>
              <w:snapToGrid w:val="0"/>
              <w:spacing w:before="0" w:beforeAutospacing="0" w:afterAutospacing="0" w:line="240" w:lineRule="auto"/>
              <w:ind w:left="-55" w:leftChars="-26" w:right="-59" w:rightChars="-28" w:firstLine="840" w:firstLineChars="400"/>
              <w:rPr>
                <w:rFonts w:hint="eastAsia" w:ascii="宋体" w:hAnsi="宋体" w:cs="宋体"/>
                <w:color w:val="auto"/>
                <w:kern w:val="1"/>
                <w:szCs w:val="21"/>
                <w:highlight w:val="none"/>
              </w:rPr>
            </w:pPr>
            <w:r>
              <w:rPr>
                <w:rFonts w:hint="eastAsia" w:ascii="宋体" w:hAnsi="宋体" w:cs="宋体"/>
                <w:color w:val="auto"/>
                <w:kern w:val="2"/>
                <w:szCs w:val="21"/>
                <w:highlight w:val="none"/>
              </w:rPr>
              <w:t>踏勘集中地点：</w:t>
            </w:r>
          </w:p>
        </w:tc>
      </w:tr>
      <w:tr w14:paraId="59E9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05BD634C">
            <w:pPr>
              <w:keepNext w:val="0"/>
              <w:keepLines w:val="0"/>
              <w:suppressLineNumbers w:val="0"/>
              <w:snapToGrid w:val="0"/>
              <w:spacing w:before="0" w:beforeAutospacing="0" w:afterAutospacing="0" w:line="240" w:lineRule="auto"/>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1.10.1</w:t>
            </w:r>
          </w:p>
        </w:tc>
        <w:tc>
          <w:tcPr>
            <w:tcW w:w="2543" w:type="dxa"/>
            <w:noWrap w:val="0"/>
            <w:vAlign w:val="center"/>
          </w:tcPr>
          <w:p w14:paraId="3B939BBB">
            <w:pPr>
              <w:keepNext w:val="0"/>
              <w:keepLines w:val="0"/>
              <w:suppressLineNumbers w:val="0"/>
              <w:snapToGrid w:val="0"/>
              <w:spacing w:before="0" w:beforeAutospacing="0" w:afterAutospacing="0" w:line="240" w:lineRule="auto"/>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投标预备会</w:t>
            </w:r>
          </w:p>
        </w:tc>
        <w:tc>
          <w:tcPr>
            <w:tcW w:w="6585" w:type="dxa"/>
            <w:noWrap w:val="0"/>
            <w:vAlign w:val="center"/>
          </w:tcPr>
          <w:p w14:paraId="71C05889">
            <w:pPr>
              <w:keepNext w:val="0"/>
              <w:keepLines w:val="0"/>
              <w:suppressLineNumbers w:val="0"/>
              <w:topLinePunct/>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■不召开</w:t>
            </w:r>
          </w:p>
          <w:p w14:paraId="0C8EE84F">
            <w:pPr>
              <w:keepNext w:val="0"/>
              <w:keepLines w:val="0"/>
              <w:suppressLineNumbers w:val="0"/>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□召开，召开时间：</w:t>
            </w:r>
          </w:p>
          <w:p w14:paraId="627D1BF1">
            <w:pPr>
              <w:keepNext w:val="0"/>
              <w:keepLines w:val="0"/>
              <w:suppressLineNumbers w:val="0"/>
              <w:snapToGrid w:val="0"/>
              <w:spacing w:before="0" w:beforeAutospacing="0" w:afterAutospacing="0" w:line="240" w:lineRule="auto"/>
              <w:ind w:left="-55" w:leftChars="-26" w:right="-59" w:rightChars="-28" w:firstLine="840" w:firstLineChars="400"/>
              <w:rPr>
                <w:rFonts w:hint="eastAsia" w:ascii="宋体" w:hAnsi="宋体" w:cs="宋体"/>
                <w:color w:val="auto"/>
                <w:kern w:val="1"/>
                <w:szCs w:val="21"/>
                <w:highlight w:val="none"/>
              </w:rPr>
            </w:pPr>
            <w:r>
              <w:rPr>
                <w:rFonts w:hint="eastAsia" w:ascii="宋体" w:hAnsi="宋体" w:cs="宋体"/>
                <w:color w:val="auto"/>
                <w:kern w:val="2"/>
                <w:szCs w:val="21"/>
                <w:highlight w:val="none"/>
              </w:rPr>
              <w:t>召开地点：</w:t>
            </w:r>
          </w:p>
        </w:tc>
      </w:tr>
      <w:tr w14:paraId="24CB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2B3E3B1B">
            <w:pPr>
              <w:keepNext w:val="0"/>
              <w:keepLines w:val="0"/>
              <w:suppressLineNumbers w:val="0"/>
              <w:snapToGrid w:val="0"/>
              <w:spacing w:before="0" w:beforeAutospacing="0" w:afterAutospacing="0" w:line="240" w:lineRule="auto"/>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1.10.2</w:t>
            </w:r>
          </w:p>
        </w:tc>
        <w:tc>
          <w:tcPr>
            <w:tcW w:w="2543" w:type="dxa"/>
            <w:noWrap w:val="0"/>
            <w:vAlign w:val="center"/>
          </w:tcPr>
          <w:p w14:paraId="0C9A8433">
            <w:pPr>
              <w:keepNext w:val="0"/>
              <w:keepLines w:val="0"/>
              <w:suppressLineNumbers w:val="0"/>
              <w:snapToGrid w:val="0"/>
              <w:spacing w:before="0" w:beforeAutospacing="0" w:afterAutospacing="0" w:line="240" w:lineRule="auto"/>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招标答疑</w:t>
            </w:r>
          </w:p>
        </w:tc>
        <w:tc>
          <w:tcPr>
            <w:tcW w:w="6585" w:type="dxa"/>
            <w:noWrap w:val="0"/>
            <w:vAlign w:val="center"/>
          </w:tcPr>
          <w:p w14:paraId="2CAEF3F7">
            <w:pPr>
              <w:keepNext w:val="0"/>
              <w:keepLines w:val="0"/>
              <w:suppressLineNumbers w:val="0"/>
              <w:snapToGrid w:val="0"/>
              <w:spacing w:before="0" w:beforeAutospacing="0" w:afterAutospacing="0" w:line="240" w:lineRule="auto"/>
              <w:ind w:left="-55" w:leftChars="-26" w:right="-59" w:rightChars="-28"/>
              <w:rPr>
                <w:rFonts w:hint="eastAsia" w:ascii="宋体" w:hAnsi="宋体" w:cs="宋体"/>
                <w:color w:val="auto"/>
                <w:kern w:val="1"/>
                <w:szCs w:val="21"/>
                <w:highlight w:val="none"/>
              </w:rPr>
            </w:pPr>
            <w:r>
              <w:rPr>
                <w:rFonts w:hint="eastAsia" w:ascii="宋体" w:hAnsi="宋体" w:cs="宋体"/>
                <w:color w:val="auto"/>
                <w:kern w:val="1"/>
                <w:szCs w:val="21"/>
                <w:highlight w:val="none"/>
              </w:rPr>
              <w:t>1.本项目采用网上答疑方式。</w:t>
            </w:r>
          </w:p>
          <w:p w14:paraId="5E557FD1">
            <w:pPr>
              <w:keepNext w:val="0"/>
              <w:keepLines w:val="0"/>
              <w:suppressLineNumbers w:val="0"/>
              <w:snapToGrid w:val="0"/>
              <w:spacing w:before="0" w:beforeAutospacing="0" w:afterAutospacing="0" w:line="240" w:lineRule="auto"/>
              <w:ind w:left="-55" w:leftChars="-26" w:right="-59" w:rightChars="-28"/>
              <w:rPr>
                <w:rFonts w:hint="eastAsia" w:ascii="宋体" w:hAnsi="宋体" w:cs="宋体"/>
                <w:color w:val="auto"/>
                <w:kern w:val="1"/>
                <w:szCs w:val="21"/>
                <w:highlight w:val="none"/>
              </w:rPr>
            </w:pPr>
            <w:r>
              <w:rPr>
                <w:rFonts w:hint="eastAsia" w:ascii="宋体" w:hAnsi="宋体" w:cs="宋体"/>
                <w:color w:val="auto"/>
                <w:kern w:val="1"/>
                <w:szCs w:val="21"/>
                <w:highlight w:val="none"/>
              </w:rPr>
              <w:t>2.投标人疑问期限：在投标截止日期前18日，将投标疑问通过</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1"/>
                <w:szCs w:val="21"/>
                <w:highlight w:val="none"/>
              </w:rPr>
              <w:t>交易平台提交。</w:t>
            </w:r>
          </w:p>
          <w:p w14:paraId="2BC513BD">
            <w:pPr>
              <w:keepNext w:val="0"/>
              <w:keepLines w:val="0"/>
              <w:suppressLineNumbers w:val="0"/>
              <w:snapToGrid w:val="0"/>
              <w:spacing w:before="0" w:beforeAutospacing="0" w:afterAutospacing="0" w:line="240" w:lineRule="auto"/>
              <w:ind w:left="-55" w:leftChars="-26" w:right="-59" w:rightChars="-28"/>
              <w:rPr>
                <w:rFonts w:hint="eastAsia" w:ascii="宋体" w:hAnsi="宋体" w:cs="宋体"/>
                <w:color w:val="auto"/>
                <w:kern w:val="1"/>
                <w:szCs w:val="21"/>
                <w:highlight w:val="none"/>
              </w:rPr>
            </w:pPr>
            <w:r>
              <w:rPr>
                <w:rFonts w:hint="eastAsia" w:ascii="宋体" w:hAnsi="宋体" w:cs="宋体"/>
                <w:color w:val="auto"/>
                <w:kern w:val="1"/>
                <w:szCs w:val="21"/>
                <w:highlight w:val="none"/>
              </w:rPr>
              <w:t>3.招标人澄清、修补或答疑期限：在递交投标文件截止日期前15日，答疑纪要在</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1"/>
                <w:szCs w:val="21"/>
                <w:highlight w:val="none"/>
              </w:rPr>
              <w:t xml:space="preserve">（http://www.gzggzy.cn/）发布。 </w:t>
            </w:r>
          </w:p>
          <w:p w14:paraId="046A4A79">
            <w:pPr>
              <w:keepNext w:val="0"/>
              <w:keepLines w:val="0"/>
              <w:suppressLineNumbers w:val="0"/>
              <w:snapToGrid w:val="0"/>
              <w:spacing w:before="0" w:beforeAutospacing="0" w:afterAutospacing="0" w:line="240" w:lineRule="auto"/>
              <w:ind w:left="-55" w:leftChars="-26" w:right="-59" w:rightChars="-28"/>
              <w:rPr>
                <w:rFonts w:hint="eastAsia" w:ascii="宋体" w:hAnsi="宋体" w:cs="宋体"/>
                <w:color w:val="auto"/>
                <w:kern w:val="1"/>
                <w:szCs w:val="21"/>
                <w:highlight w:val="none"/>
              </w:rPr>
            </w:pPr>
            <w:r>
              <w:rPr>
                <w:rFonts w:hint="eastAsia" w:ascii="宋体" w:hAnsi="宋体" w:cs="宋体"/>
                <w:color w:val="auto"/>
                <w:kern w:val="1"/>
                <w:szCs w:val="21"/>
                <w:highlight w:val="none"/>
              </w:rPr>
              <w:t>4.网上答疑的相关事项详见本章第2.2款。</w:t>
            </w:r>
          </w:p>
        </w:tc>
      </w:tr>
      <w:tr w14:paraId="3730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7D74595D">
            <w:pPr>
              <w:keepNext w:val="0"/>
              <w:keepLines w:val="0"/>
              <w:suppressLineNumbers w:val="0"/>
              <w:snapToGrid w:val="0"/>
              <w:spacing w:before="0" w:beforeAutospacing="0" w:afterAutospacing="0" w:line="240" w:lineRule="exact"/>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1.11.1</w:t>
            </w:r>
          </w:p>
        </w:tc>
        <w:tc>
          <w:tcPr>
            <w:tcW w:w="2543" w:type="dxa"/>
            <w:noWrap w:val="0"/>
            <w:vAlign w:val="center"/>
          </w:tcPr>
          <w:p w14:paraId="614AEC5A">
            <w:pPr>
              <w:keepNext w:val="0"/>
              <w:keepLines w:val="0"/>
              <w:suppressLineNumbers w:val="0"/>
              <w:snapToGrid w:val="0"/>
              <w:spacing w:before="0" w:beforeAutospacing="0" w:afterAutospacing="0" w:line="240" w:lineRule="exact"/>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招标人规定由分包人承担的工作</w:t>
            </w:r>
          </w:p>
        </w:tc>
        <w:tc>
          <w:tcPr>
            <w:tcW w:w="6585" w:type="dxa"/>
            <w:noWrap w:val="0"/>
            <w:vAlign w:val="center"/>
          </w:tcPr>
          <w:p w14:paraId="2BEC8B9C">
            <w:pPr>
              <w:keepNext w:val="0"/>
              <w:keepLines w:val="0"/>
              <w:suppressLineNumbers w:val="0"/>
              <w:snapToGrid w:val="0"/>
              <w:spacing w:before="0" w:beforeAutospacing="0" w:afterAutospacing="0"/>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无。</w:t>
            </w:r>
          </w:p>
        </w:tc>
      </w:tr>
      <w:tr w14:paraId="088C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792BEEDD">
            <w:pPr>
              <w:keepNext w:val="0"/>
              <w:keepLines w:val="0"/>
              <w:suppressLineNumbers w:val="0"/>
              <w:snapToGrid w:val="0"/>
              <w:spacing w:before="0" w:beforeAutospacing="0" w:afterAutospacing="0" w:line="240" w:lineRule="exact"/>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1.11.2</w:t>
            </w:r>
          </w:p>
        </w:tc>
        <w:tc>
          <w:tcPr>
            <w:tcW w:w="2543" w:type="dxa"/>
            <w:noWrap w:val="0"/>
            <w:vAlign w:val="center"/>
          </w:tcPr>
          <w:p w14:paraId="1A60718F">
            <w:pPr>
              <w:keepNext w:val="0"/>
              <w:keepLines w:val="0"/>
              <w:suppressLineNumbers w:val="0"/>
              <w:snapToGrid w:val="0"/>
              <w:spacing w:before="0" w:beforeAutospacing="0" w:afterAutospacing="0" w:line="240" w:lineRule="exact"/>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投标人拟分包的工作</w:t>
            </w:r>
          </w:p>
        </w:tc>
        <w:tc>
          <w:tcPr>
            <w:tcW w:w="6585" w:type="dxa"/>
            <w:noWrap w:val="0"/>
            <w:vAlign w:val="center"/>
          </w:tcPr>
          <w:p w14:paraId="14512C9F">
            <w:pPr>
              <w:keepNext w:val="0"/>
              <w:keepLines w:val="0"/>
              <w:suppressLineNumbers w:val="0"/>
              <w:topLinePunct/>
              <w:snapToGrid w:val="0"/>
              <w:spacing w:before="0" w:beforeAutospacing="0" w:afterAutospacing="0"/>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□不允许</w:t>
            </w:r>
          </w:p>
          <w:p w14:paraId="2AA4925B">
            <w:pPr>
              <w:keepNext w:val="0"/>
              <w:keepLines w:val="0"/>
              <w:suppressLineNumbers w:val="0"/>
              <w:snapToGrid w:val="0"/>
              <w:spacing w:before="0" w:beforeAutospacing="0" w:afterAutospacing="0"/>
              <w:ind w:left="-55" w:leftChars="-26" w:right="-59" w:rightChars="-28"/>
              <w:rPr>
                <w:rFonts w:hint="eastAsia" w:ascii="宋体" w:hAnsi="宋体" w:cs="宋体"/>
                <w:color w:val="auto"/>
                <w:kern w:val="1"/>
                <w:szCs w:val="21"/>
                <w:highlight w:val="none"/>
              </w:rPr>
            </w:pPr>
            <w:r>
              <w:rPr>
                <w:rFonts w:hint="eastAsia" w:ascii="宋体" w:hAnsi="宋体" w:cs="宋体"/>
                <w:color w:val="auto"/>
                <w:kern w:val="2"/>
                <w:szCs w:val="21"/>
                <w:highlight w:val="none"/>
              </w:rPr>
              <w:t>■允许，经招标人同意，中标人可以把中标项目的部分非主体、非关键性工作分包给具有相应资质和能力的专业单位实施，但不得再次分包。</w:t>
            </w:r>
          </w:p>
        </w:tc>
      </w:tr>
      <w:tr w14:paraId="19CF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2D69A162">
            <w:pPr>
              <w:keepNext w:val="0"/>
              <w:keepLines w:val="0"/>
              <w:suppressLineNumbers w:val="0"/>
              <w:snapToGrid w:val="0"/>
              <w:spacing w:before="0" w:beforeAutospacing="0" w:afterAutospacing="0" w:line="240" w:lineRule="auto"/>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1.12</w:t>
            </w:r>
          </w:p>
        </w:tc>
        <w:tc>
          <w:tcPr>
            <w:tcW w:w="2543" w:type="dxa"/>
            <w:noWrap w:val="0"/>
            <w:vAlign w:val="center"/>
          </w:tcPr>
          <w:p w14:paraId="253330D4">
            <w:pPr>
              <w:keepNext w:val="0"/>
              <w:keepLines w:val="0"/>
              <w:suppressLineNumbers w:val="0"/>
              <w:topLinePunct/>
              <w:snapToGrid w:val="0"/>
              <w:spacing w:before="0" w:beforeAutospacing="0" w:afterAutospacing="0" w:line="240" w:lineRule="auto"/>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偏离</w:t>
            </w:r>
          </w:p>
        </w:tc>
        <w:tc>
          <w:tcPr>
            <w:tcW w:w="6585" w:type="dxa"/>
            <w:noWrap w:val="0"/>
            <w:vAlign w:val="center"/>
          </w:tcPr>
          <w:p w14:paraId="47623387">
            <w:pPr>
              <w:keepNext w:val="0"/>
              <w:keepLines w:val="0"/>
              <w:suppressLineNumbers w:val="0"/>
              <w:topLinePunct/>
              <w:snapToGrid w:val="0"/>
              <w:spacing w:before="0" w:beforeAutospacing="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■不允许</w:t>
            </w:r>
          </w:p>
          <w:p w14:paraId="5145EBA8">
            <w:pPr>
              <w:keepNext w:val="0"/>
              <w:keepLines w:val="0"/>
              <w:suppressLineNumbers w:val="0"/>
              <w:topLinePunct/>
              <w:snapToGrid w:val="0"/>
              <w:spacing w:before="0" w:beforeAutospacing="0" w:afterAutospacing="0" w:line="240" w:lineRule="auto"/>
              <w:ind w:left="-55" w:leftChars="-26" w:right="-59" w:rightChars="-28"/>
              <w:rPr>
                <w:rFonts w:hint="eastAsia" w:ascii="宋体" w:hAnsi="宋体" w:cs="宋体"/>
                <w:color w:val="auto"/>
                <w:kern w:val="1"/>
                <w:szCs w:val="21"/>
                <w:highlight w:val="none"/>
              </w:rPr>
            </w:pPr>
            <w:r>
              <w:rPr>
                <w:rFonts w:hint="eastAsia" w:ascii="宋体" w:hAnsi="宋体" w:cs="宋体"/>
                <w:color w:val="auto"/>
                <w:kern w:val="2"/>
                <w:szCs w:val="21"/>
                <w:highlight w:val="none"/>
              </w:rPr>
              <w:t>□允许，允许偏离的内容、偏离范围和幅度</w:t>
            </w:r>
          </w:p>
        </w:tc>
      </w:tr>
      <w:tr w14:paraId="65BA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31F66BF4">
            <w:pPr>
              <w:keepNext w:val="0"/>
              <w:keepLines w:val="0"/>
              <w:suppressLineNumbers w:val="0"/>
              <w:snapToGrid w:val="0"/>
              <w:spacing w:before="0" w:beforeAutospacing="0" w:afterAutospacing="0" w:line="240" w:lineRule="exact"/>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2.1</w:t>
            </w:r>
          </w:p>
        </w:tc>
        <w:tc>
          <w:tcPr>
            <w:tcW w:w="2543" w:type="dxa"/>
            <w:noWrap w:val="0"/>
            <w:vAlign w:val="center"/>
          </w:tcPr>
          <w:p w14:paraId="6AA433C7">
            <w:pPr>
              <w:keepNext w:val="0"/>
              <w:keepLines w:val="0"/>
              <w:suppressLineNumbers w:val="0"/>
              <w:snapToGrid w:val="0"/>
              <w:spacing w:before="0" w:beforeAutospacing="0" w:afterAutospacing="0" w:line="240" w:lineRule="exact"/>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构成招标文件的其他资料</w:t>
            </w:r>
          </w:p>
        </w:tc>
        <w:tc>
          <w:tcPr>
            <w:tcW w:w="6585" w:type="dxa"/>
            <w:noWrap w:val="0"/>
            <w:vAlign w:val="center"/>
          </w:tcPr>
          <w:p w14:paraId="7C6E8C82">
            <w:pPr>
              <w:keepNext w:val="0"/>
              <w:keepLines w:val="0"/>
              <w:suppressLineNumbers w:val="0"/>
              <w:snapToGrid w:val="0"/>
              <w:spacing w:before="0" w:beforeAutospacing="0" w:afterAutospacing="0"/>
              <w:ind w:left="-55" w:leftChars="-26" w:right="-59" w:rightChars="-28"/>
              <w:rPr>
                <w:rFonts w:hint="eastAsia" w:ascii="宋体" w:hAnsi="宋体" w:cs="宋体"/>
                <w:color w:val="auto"/>
                <w:kern w:val="1"/>
                <w:szCs w:val="21"/>
                <w:highlight w:val="none"/>
              </w:rPr>
            </w:pPr>
            <w:r>
              <w:rPr>
                <w:rFonts w:hint="eastAsia" w:ascii="宋体" w:hAnsi="宋体" w:cs="宋体"/>
                <w:color w:val="auto"/>
                <w:kern w:val="2"/>
                <w:szCs w:val="21"/>
                <w:highlight w:val="none"/>
              </w:rPr>
              <w:t>补充公告、答疑纪要、澄清文件等（如有）</w:t>
            </w:r>
          </w:p>
        </w:tc>
      </w:tr>
      <w:tr w14:paraId="7BC8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12BAF53F">
            <w:pPr>
              <w:keepNext w:val="0"/>
              <w:keepLines w:val="0"/>
              <w:suppressLineNumbers w:val="0"/>
              <w:snapToGrid w:val="0"/>
              <w:spacing w:before="0" w:beforeAutospacing="0" w:afterAutospacing="0" w:line="240" w:lineRule="exact"/>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2.2.2</w:t>
            </w:r>
          </w:p>
        </w:tc>
        <w:tc>
          <w:tcPr>
            <w:tcW w:w="2543" w:type="dxa"/>
            <w:noWrap w:val="0"/>
            <w:vAlign w:val="center"/>
          </w:tcPr>
          <w:p w14:paraId="0D0ADB54">
            <w:pPr>
              <w:keepNext w:val="0"/>
              <w:keepLines w:val="0"/>
              <w:suppressLineNumbers w:val="0"/>
              <w:snapToGrid w:val="0"/>
              <w:spacing w:before="0" w:beforeAutospacing="0" w:afterAutospacing="0" w:line="240" w:lineRule="exact"/>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投标人要求澄清招标文件的截止时间</w:t>
            </w:r>
          </w:p>
        </w:tc>
        <w:tc>
          <w:tcPr>
            <w:tcW w:w="6585" w:type="dxa"/>
            <w:noWrap w:val="0"/>
            <w:vAlign w:val="center"/>
          </w:tcPr>
          <w:p w14:paraId="2E9BA950">
            <w:pPr>
              <w:keepNext w:val="0"/>
              <w:keepLines w:val="0"/>
              <w:suppressLineNumbers w:val="0"/>
              <w:snapToGrid w:val="0"/>
              <w:spacing w:before="0" w:beforeAutospacing="0" w:afterAutospacing="0"/>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时间：在提交投标文件截止时间18天前提出。</w:t>
            </w:r>
          </w:p>
          <w:p w14:paraId="06C3D334">
            <w:pPr>
              <w:keepNext w:val="0"/>
              <w:keepLines w:val="0"/>
              <w:suppressLineNumbers w:val="0"/>
              <w:snapToGrid w:val="0"/>
              <w:spacing w:before="0" w:beforeAutospacing="0" w:afterAutospacing="0"/>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形式：投标人疑问通过网上提交。网上答疑的操作指南为：登陆</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2"/>
                <w:szCs w:val="21"/>
                <w:highlight w:val="none"/>
              </w:rPr>
              <w:t>网站交易系统→进入“我的投标”专区→进入“招标答疑”选项→通过项目编号或名称找到所需的项目→在答疑时间内点击“答疑提问-新增提问”→提出问题(提问一律不得署名)。具体操作方法详见《建设工程全流程电子化项目操作指南》。</w:t>
            </w:r>
          </w:p>
        </w:tc>
      </w:tr>
      <w:tr w14:paraId="0267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57AD2035">
            <w:pPr>
              <w:keepNext w:val="0"/>
              <w:keepLines w:val="0"/>
              <w:suppressLineNumbers w:val="0"/>
              <w:snapToGrid w:val="0"/>
              <w:spacing w:before="0" w:beforeAutospacing="0" w:afterAutospacing="0" w:line="240" w:lineRule="exact"/>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2.2.3</w:t>
            </w:r>
          </w:p>
        </w:tc>
        <w:tc>
          <w:tcPr>
            <w:tcW w:w="2543" w:type="dxa"/>
            <w:noWrap w:val="0"/>
            <w:vAlign w:val="center"/>
          </w:tcPr>
          <w:p w14:paraId="0BC15315">
            <w:pPr>
              <w:keepNext w:val="0"/>
              <w:keepLines w:val="0"/>
              <w:suppressLineNumbers w:val="0"/>
              <w:snapToGrid w:val="0"/>
              <w:spacing w:before="0" w:beforeAutospacing="0" w:afterAutospacing="0" w:line="240" w:lineRule="exact"/>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投标人确认收到招标文件澄清的时间</w:t>
            </w:r>
          </w:p>
        </w:tc>
        <w:tc>
          <w:tcPr>
            <w:tcW w:w="6585" w:type="dxa"/>
            <w:noWrap w:val="0"/>
            <w:vAlign w:val="center"/>
          </w:tcPr>
          <w:p w14:paraId="78DD8C0C">
            <w:pPr>
              <w:keepNext w:val="0"/>
              <w:keepLines w:val="0"/>
              <w:suppressLineNumbers w:val="0"/>
              <w:snapToGrid w:val="0"/>
              <w:spacing w:before="0" w:beforeAutospacing="0" w:afterAutospacing="0"/>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在广州交易集团有限公司（广州公共资源交易中心）网站“项目查询（日程安排、答疑纪要）”专区发布时视为投标人收到。</w:t>
            </w:r>
          </w:p>
        </w:tc>
      </w:tr>
      <w:tr w14:paraId="23F5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2E023EA2">
            <w:pPr>
              <w:keepNext w:val="0"/>
              <w:keepLines w:val="0"/>
              <w:suppressLineNumbers w:val="0"/>
              <w:snapToGrid w:val="0"/>
              <w:spacing w:before="0" w:beforeAutospacing="0" w:afterAutospacing="0" w:line="240" w:lineRule="exact"/>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2.3.2</w:t>
            </w:r>
          </w:p>
        </w:tc>
        <w:tc>
          <w:tcPr>
            <w:tcW w:w="2543" w:type="dxa"/>
            <w:noWrap w:val="0"/>
            <w:vAlign w:val="center"/>
          </w:tcPr>
          <w:p w14:paraId="674C0163">
            <w:pPr>
              <w:keepNext w:val="0"/>
              <w:keepLines w:val="0"/>
              <w:suppressLineNumbers w:val="0"/>
              <w:snapToGrid w:val="0"/>
              <w:spacing w:before="0" w:beforeAutospacing="0" w:afterAutospacing="0" w:line="240" w:lineRule="exact"/>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投标人确认收到招标文件修改的时间</w:t>
            </w:r>
          </w:p>
        </w:tc>
        <w:tc>
          <w:tcPr>
            <w:tcW w:w="6585" w:type="dxa"/>
            <w:noWrap w:val="0"/>
            <w:vAlign w:val="center"/>
          </w:tcPr>
          <w:p w14:paraId="63C9072E">
            <w:pPr>
              <w:keepNext w:val="0"/>
              <w:keepLines w:val="0"/>
              <w:suppressLineNumbers w:val="0"/>
              <w:snapToGrid w:val="0"/>
              <w:spacing w:before="0" w:beforeAutospacing="0" w:afterAutospacing="0"/>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在广州交易集团有限公司（广州公共资源交易中心）网站“项目查询（日程安排、答疑纪要）”专区发布时视为投标人收到。</w:t>
            </w:r>
          </w:p>
        </w:tc>
      </w:tr>
      <w:tr w14:paraId="2D28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5C96DDA9">
            <w:pPr>
              <w:keepNext w:val="0"/>
              <w:keepLines w:val="0"/>
              <w:suppressLineNumbers w:val="0"/>
              <w:snapToGrid w:val="0"/>
              <w:spacing w:before="0" w:beforeAutospacing="0" w:after="0" w:afterAutospacing="0" w:line="240" w:lineRule="auto"/>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3.1.1</w:t>
            </w:r>
          </w:p>
        </w:tc>
        <w:tc>
          <w:tcPr>
            <w:tcW w:w="2543" w:type="dxa"/>
            <w:noWrap w:val="0"/>
            <w:vAlign w:val="center"/>
          </w:tcPr>
          <w:p w14:paraId="291E3F09">
            <w:pPr>
              <w:keepNext w:val="0"/>
              <w:keepLines w:val="0"/>
              <w:suppressLineNumbers w:val="0"/>
              <w:snapToGrid w:val="0"/>
              <w:spacing w:before="0" w:beforeAutospacing="0" w:after="0" w:afterAutospacing="0" w:line="240" w:lineRule="auto"/>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构成投标文件的其他资料</w:t>
            </w:r>
          </w:p>
        </w:tc>
        <w:tc>
          <w:tcPr>
            <w:tcW w:w="6585" w:type="dxa"/>
            <w:noWrap w:val="0"/>
            <w:vAlign w:val="center"/>
          </w:tcPr>
          <w:p w14:paraId="3B5FA0C9">
            <w:pPr>
              <w:keepNext w:val="0"/>
              <w:keepLines w:val="0"/>
              <w:suppressLineNumbers w:val="0"/>
              <w:snapToGrid w:val="0"/>
              <w:spacing w:before="0" w:beforeAutospacing="0" w:after="0" w:afterAutospacing="0" w:line="240" w:lineRule="auto"/>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投标文件的组成详见“3.1投标文件的组成”</w:t>
            </w:r>
          </w:p>
        </w:tc>
      </w:tr>
      <w:tr w14:paraId="1F2B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14861257">
            <w:pPr>
              <w:keepNext w:val="0"/>
              <w:keepLines w:val="0"/>
              <w:suppressLineNumbers w:val="0"/>
              <w:snapToGrid w:val="0"/>
              <w:spacing w:before="0" w:beforeAutospacing="0" w:afterAutospacing="0" w:line="240" w:lineRule="exact"/>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3.2.3</w:t>
            </w:r>
          </w:p>
        </w:tc>
        <w:tc>
          <w:tcPr>
            <w:tcW w:w="2543" w:type="dxa"/>
            <w:noWrap w:val="0"/>
            <w:vAlign w:val="center"/>
          </w:tcPr>
          <w:p w14:paraId="1DE01A62">
            <w:pPr>
              <w:keepNext w:val="0"/>
              <w:keepLines w:val="0"/>
              <w:suppressLineNumbers w:val="0"/>
              <w:snapToGrid w:val="0"/>
              <w:spacing w:before="0" w:beforeAutospacing="0" w:afterAutospacing="0" w:line="240" w:lineRule="exact"/>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招标控制价</w:t>
            </w:r>
          </w:p>
        </w:tc>
        <w:tc>
          <w:tcPr>
            <w:tcW w:w="6585" w:type="dxa"/>
            <w:noWrap w:val="0"/>
            <w:vAlign w:val="center"/>
          </w:tcPr>
          <w:p w14:paraId="541F6944">
            <w:pPr>
              <w:keepNext w:val="0"/>
              <w:keepLines w:val="0"/>
              <w:widowControl/>
              <w:suppressLineNumbers w:val="0"/>
              <w:snapToGrid w:val="0"/>
              <w:spacing w:before="0" w:beforeAutospacing="0" w:after="0" w:afterAutospacing="0" w:line="279" w:lineRule="auto"/>
              <w:ind w:left="0" w:right="-59" w:rightChars="-28"/>
              <w:rPr>
                <w:rFonts w:hint="eastAsia" w:ascii="宋体" w:hAnsi="宋体" w:cs="宋体"/>
                <w:color w:val="auto"/>
                <w:kern w:val="0"/>
                <w:szCs w:val="21"/>
                <w:highlight w:val="none"/>
              </w:rPr>
            </w:pPr>
            <w:r>
              <w:rPr>
                <w:rFonts w:hint="eastAsia" w:ascii="宋体" w:hAnsi="宋体" w:cs="宋体"/>
                <w:color w:val="auto"/>
                <w:kern w:val="0"/>
                <w:szCs w:val="21"/>
                <w:highlight w:val="none"/>
              </w:rPr>
              <w:t>最高投标限价：人民币</w:t>
            </w:r>
            <w:r>
              <w:rPr>
                <w:rFonts w:hint="eastAsia" w:ascii="Times New Roman" w:hAnsi="Times New Roman" w:eastAsia="仿宋_GB2312"/>
                <w:color w:val="auto"/>
                <w:kern w:val="2"/>
                <w:szCs w:val="32"/>
                <w:highlight w:val="none"/>
              </w:rPr>
              <w:t>37340.</w:t>
            </w:r>
            <w:r>
              <w:rPr>
                <w:rFonts w:hint="eastAsia" w:ascii="Times New Roman" w:hAnsi="Times New Roman" w:eastAsia="仿宋_GB2312"/>
                <w:color w:val="auto"/>
                <w:kern w:val="2"/>
                <w:szCs w:val="32"/>
                <w:highlight w:val="none"/>
                <w:lang w:val="en-US" w:eastAsia="zh-CN"/>
              </w:rPr>
              <w:t>77</w:t>
            </w:r>
            <w:r>
              <w:rPr>
                <w:rFonts w:hint="eastAsia" w:ascii="宋体" w:hAnsi="宋体" w:cs="宋体"/>
                <w:color w:val="auto"/>
                <w:kern w:val="0"/>
                <w:szCs w:val="21"/>
                <w:highlight w:val="none"/>
              </w:rPr>
              <w:t>万元</w:t>
            </w:r>
          </w:p>
          <w:p w14:paraId="576219A9">
            <w:pPr>
              <w:keepNext w:val="0"/>
              <w:keepLines w:val="0"/>
              <w:widowControl/>
              <w:suppressLineNumbers w:val="0"/>
              <w:snapToGrid w:val="0"/>
              <w:spacing w:before="0" w:beforeAutospacing="0" w:after="0" w:afterAutospacing="0" w:line="279" w:lineRule="auto"/>
              <w:ind w:left="0" w:right="-59" w:rightChars="-28"/>
              <w:rPr>
                <w:rFonts w:hint="eastAsia" w:ascii="宋体" w:hAnsi="宋体" w:cs="宋体"/>
                <w:color w:val="auto"/>
                <w:kern w:val="0"/>
                <w:szCs w:val="21"/>
                <w:highlight w:val="none"/>
              </w:rPr>
            </w:pPr>
            <w:r>
              <w:rPr>
                <w:rFonts w:hint="eastAsia" w:ascii="宋体" w:hAnsi="宋体" w:cs="宋体"/>
                <w:color w:val="auto"/>
                <w:kern w:val="0"/>
                <w:szCs w:val="21"/>
                <w:highlight w:val="none"/>
              </w:rPr>
              <w:t>[其中：勘察费最高投标限价为</w:t>
            </w:r>
            <w:r>
              <w:rPr>
                <w:rFonts w:hint="eastAsia" w:ascii="宋体" w:hAnsi="宋体" w:cs="宋体"/>
                <w:color w:val="auto"/>
                <w:kern w:val="0"/>
                <w:szCs w:val="21"/>
                <w:highlight w:val="none"/>
                <w:u w:val="single"/>
              </w:rPr>
              <w:t>287.16</w:t>
            </w:r>
            <w:r>
              <w:rPr>
                <w:rFonts w:hint="eastAsia" w:ascii="宋体" w:hAnsi="宋体" w:cs="宋体"/>
                <w:color w:val="auto"/>
                <w:kern w:val="0"/>
                <w:szCs w:val="21"/>
                <w:highlight w:val="none"/>
              </w:rPr>
              <w:t>万元；</w:t>
            </w:r>
          </w:p>
          <w:p w14:paraId="4EDDF54C">
            <w:pPr>
              <w:keepNext w:val="0"/>
              <w:keepLines w:val="0"/>
              <w:widowControl/>
              <w:suppressLineNumbers w:val="0"/>
              <w:snapToGrid w:val="0"/>
              <w:spacing w:before="0" w:beforeAutospacing="0" w:after="0" w:afterAutospacing="0" w:line="279" w:lineRule="auto"/>
              <w:ind w:left="0" w:right="-59" w:rightChars="-28"/>
              <w:rPr>
                <w:rFonts w:hint="eastAsia" w:ascii="宋体" w:hAnsi="宋体" w:cs="宋体"/>
                <w:color w:val="auto"/>
                <w:kern w:val="0"/>
                <w:szCs w:val="21"/>
                <w:highlight w:val="none"/>
              </w:rPr>
            </w:pPr>
            <w:r>
              <w:rPr>
                <w:rFonts w:hint="eastAsia" w:ascii="宋体" w:hAnsi="宋体" w:cs="宋体"/>
                <w:color w:val="auto"/>
                <w:kern w:val="0"/>
                <w:szCs w:val="21"/>
                <w:highlight w:val="none"/>
              </w:rPr>
              <w:t>设计费最高投标限价为</w:t>
            </w:r>
            <w:r>
              <w:rPr>
                <w:rFonts w:hint="eastAsia" w:ascii="宋体" w:hAnsi="宋体" w:cs="宋体"/>
                <w:color w:val="auto"/>
                <w:kern w:val="0"/>
                <w:szCs w:val="21"/>
                <w:highlight w:val="none"/>
                <w:u w:val="single"/>
              </w:rPr>
              <w:t>857.04</w:t>
            </w:r>
            <w:r>
              <w:rPr>
                <w:rFonts w:hint="eastAsia" w:ascii="宋体" w:hAnsi="宋体" w:cs="宋体"/>
                <w:color w:val="auto"/>
                <w:kern w:val="0"/>
                <w:szCs w:val="21"/>
                <w:highlight w:val="none"/>
              </w:rPr>
              <w:t>万元；</w:t>
            </w:r>
          </w:p>
          <w:p w14:paraId="76E86C42">
            <w:pPr>
              <w:keepNext w:val="0"/>
              <w:keepLines w:val="0"/>
              <w:widowControl/>
              <w:suppressLineNumbers w:val="0"/>
              <w:snapToGrid w:val="0"/>
              <w:spacing w:before="0" w:beforeAutospacing="0" w:after="0" w:afterAutospacing="0" w:line="279" w:lineRule="auto"/>
              <w:ind w:left="0" w:right="-59" w:rightChars="-28"/>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建安工程费最高投标限价为</w:t>
            </w:r>
            <w:r>
              <w:rPr>
                <w:rFonts w:hint="eastAsia" w:ascii="宋体" w:hAnsi="宋体" w:eastAsia="宋体" w:cs="宋体"/>
                <w:color w:val="auto"/>
                <w:kern w:val="2"/>
                <w:szCs w:val="21"/>
                <w:highlight w:val="none"/>
                <w:u w:val="single"/>
              </w:rPr>
              <w:t>36196.57</w:t>
            </w:r>
            <w:r>
              <w:rPr>
                <w:rFonts w:hint="eastAsia" w:ascii="宋体" w:hAnsi="宋体" w:cs="宋体"/>
                <w:color w:val="auto"/>
                <w:kern w:val="0"/>
                <w:szCs w:val="21"/>
                <w:highlight w:val="none"/>
              </w:rPr>
              <w:t>万元]</w:t>
            </w:r>
          </w:p>
          <w:p w14:paraId="2D562599">
            <w:pPr>
              <w:keepNext w:val="0"/>
              <w:keepLines w:val="0"/>
              <w:suppressLineNumbers w:val="0"/>
              <w:snapToGrid w:val="0"/>
              <w:spacing w:before="0" w:beforeAutospacing="0" w:after="0" w:afterAutospacing="0" w:line="279" w:lineRule="auto"/>
              <w:ind w:left="0" w:right="-59" w:rightChars="-28"/>
              <w:rPr>
                <w:rFonts w:hint="default" w:ascii="宋体" w:hAnsi="宋体" w:cs="宋体"/>
                <w:color w:val="auto"/>
                <w:kern w:val="2"/>
                <w:szCs w:val="21"/>
                <w:highlight w:val="none"/>
              </w:rPr>
            </w:pPr>
            <w:r>
              <w:rPr>
                <w:rFonts w:hint="eastAsia" w:ascii="宋体" w:hAnsi="宋体" w:cs="宋体"/>
                <w:b/>
                <w:color w:val="auto"/>
                <w:kern w:val="0"/>
                <w:szCs w:val="21"/>
                <w:highlight w:val="none"/>
                <w:u w:val="single"/>
              </w:rPr>
              <w:t>注：投标人未按要求报价或投标报价（含投标总报价、建安工程费报价、勘察费报价、设计费报价）超过上述相应最高投标限价的为无效标。勘察费各项投标报价超过其单价最高投标限价及总价最高投标限价的为无效标，各单价最高投标限价及总价最高投标限价以</w:t>
            </w:r>
            <w:r>
              <w:rPr>
                <w:rFonts w:hint="eastAsia"/>
                <w:color w:val="auto"/>
                <w:kern w:val="2"/>
                <w:szCs w:val="21"/>
                <w:highlight w:val="none"/>
              </w:rPr>
              <w:t>《</w:t>
            </w:r>
            <w:r>
              <w:rPr>
                <w:rFonts w:hint="eastAsia" w:ascii="宋体" w:hAnsi="宋体"/>
                <w:color w:val="auto"/>
                <w:kern w:val="2"/>
                <w:szCs w:val="21"/>
                <w:highlight w:val="none"/>
                <w:lang w:bidi="ar"/>
              </w:rPr>
              <w:t>勘察费最高限价表</w:t>
            </w:r>
            <w:r>
              <w:rPr>
                <w:rFonts w:hint="eastAsia"/>
                <w:color w:val="auto"/>
                <w:kern w:val="2"/>
                <w:szCs w:val="21"/>
                <w:highlight w:val="none"/>
              </w:rPr>
              <w:t>》</w:t>
            </w:r>
            <w:r>
              <w:rPr>
                <w:rFonts w:hint="eastAsia"/>
                <w:color w:val="auto"/>
                <w:kern w:val="2"/>
                <w:szCs w:val="21"/>
                <w:highlight w:val="none"/>
                <w:lang w:val="zh-CN"/>
              </w:rPr>
              <w:t>及</w:t>
            </w:r>
            <w:r>
              <w:rPr>
                <w:rFonts w:hint="eastAsia" w:ascii="宋体" w:hAnsi="宋体" w:cs="宋体"/>
                <w:b/>
                <w:color w:val="auto"/>
                <w:kern w:val="0"/>
                <w:szCs w:val="21"/>
                <w:highlight w:val="none"/>
                <w:u w:val="single"/>
              </w:rPr>
              <w:t>分项报价表列明为准。</w:t>
            </w:r>
          </w:p>
        </w:tc>
      </w:tr>
      <w:tr w14:paraId="07CF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6CC986D0">
            <w:pPr>
              <w:keepNext w:val="0"/>
              <w:keepLines w:val="0"/>
              <w:suppressLineNumbers w:val="0"/>
              <w:snapToGrid w:val="0"/>
              <w:spacing w:before="0" w:beforeAutospacing="0" w:afterAutospacing="0" w:line="240" w:lineRule="exact"/>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3.2.3.2</w:t>
            </w:r>
          </w:p>
        </w:tc>
        <w:tc>
          <w:tcPr>
            <w:tcW w:w="2543" w:type="dxa"/>
            <w:noWrap w:val="0"/>
            <w:vAlign w:val="center"/>
          </w:tcPr>
          <w:p w14:paraId="6E721E34">
            <w:pPr>
              <w:keepNext w:val="0"/>
              <w:keepLines w:val="0"/>
              <w:suppressLineNumbers w:val="0"/>
              <w:snapToGrid w:val="0"/>
              <w:spacing w:before="0" w:beforeAutospacing="0" w:afterAutospacing="0"/>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投标报价的其他要求</w:t>
            </w:r>
          </w:p>
        </w:tc>
        <w:tc>
          <w:tcPr>
            <w:tcW w:w="6585" w:type="dxa"/>
            <w:noWrap w:val="0"/>
            <w:vAlign w:val="center"/>
          </w:tcPr>
          <w:p w14:paraId="587BAD9B">
            <w:pPr>
              <w:keepNext w:val="0"/>
              <w:keepLines w:val="0"/>
              <w:suppressLineNumbers w:val="0"/>
              <w:snapToGrid w:val="0"/>
              <w:spacing w:before="0" w:beforeAutospacing="0" w:afterAutospacing="0"/>
              <w:ind w:left="-55" w:leftChars="-26" w:right="-59" w:rightChars="-28"/>
              <w:rPr>
                <w:rFonts w:hint="default" w:ascii="宋体" w:hAnsi="宋体" w:cs="宋体"/>
                <w:color w:val="auto"/>
                <w:kern w:val="2"/>
                <w:szCs w:val="21"/>
                <w:highlight w:val="none"/>
                <w:u w:val="single"/>
              </w:rPr>
            </w:pPr>
            <w:r>
              <w:rPr>
                <w:rFonts w:hint="eastAsia" w:ascii="宋体" w:hAnsi="宋体" w:cs="宋体"/>
                <w:color w:val="auto"/>
                <w:kern w:val="2"/>
                <w:szCs w:val="21"/>
                <w:highlight w:val="none"/>
                <w:u w:val="single"/>
              </w:rPr>
              <w:t>（1）勘察费：投标报价不得高于勘察费最高投标限价，由投标人根据招标文件要求以及企业自身情况填报报价及下浮率。结算方式按照合同约定的相应条款执行。</w:t>
            </w:r>
          </w:p>
          <w:p w14:paraId="41785130">
            <w:pPr>
              <w:keepNext w:val="0"/>
              <w:keepLines w:val="0"/>
              <w:suppressLineNumbers w:val="0"/>
              <w:snapToGrid w:val="0"/>
              <w:spacing w:before="0" w:beforeAutospacing="0" w:afterAutospacing="0"/>
              <w:ind w:left="-55" w:leftChars="-26" w:right="-59" w:rightChars="-28"/>
              <w:rPr>
                <w:rFonts w:hint="default" w:ascii="宋体" w:hAnsi="宋体" w:cs="宋体"/>
                <w:color w:val="auto"/>
                <w:kern w:val="2"/>
                <w:szCs w:val="21"/>
                <w:highlight w:val="none"/>
                <w:u w:val="single"/>
              </w:rPr>
            </w:pPr>
            <w:r>
              <w:rPr>
                <w:rFonts w:hint="eastAsia" w:ascii="宋体" w:hAnsi="宋体" w:cs="宋体"/>
                <w:color w:val="auto"/>
                <w:kern w:val="2"/>
                <w:szCs w:val="21"/>
                <w:highlight w:val="none"/>
                <w:u w:val="single"/>
              </w:rPr>
              <w:t>（2）设计费：投标报价不得高于设计费最高投标限价，由投标人根据招标文件要求以及企业自身情况填报报价及下浮率。结算方式按照合同约定的相应条款执行。</w:t>
            </w:r>
          </w:p>
          <w:p w14:paraId="62473051">
            <w:pPr>
              <w:keepNext w:val="0"/>
              <w:keepLines w:val="0"/>
              <w:suppressLineNumbers w:val="0"/>
              <w:snapToGrid w:val="0"/>
              <w:spacing w:before="0" w:beforeAutospacing="0" w:afterAutospacing="0"/>
              <w:ind w:left="-55" w:leftChars="-26" w:right="-59" w:rightChars="-28"/>
              <w:rPr>
                <w:rFonts w:hint="eastAsia" w:ascii="宋体" w:hAnsi="宋体" w:cs="宋体"/>
                <w:color w:val="auto"/>
                <w:kern w:val="2"/>
                <w:szCs w:val="21"/>
                <w:highlight w:val="none"/>
                <w:u w:val="single"/>
              </w:rPr>
            </w:pPr>
            <w:r>
              <w:rPr>
                <w:rFonts w:hint="eastAsia" w:ascii="宋体" w:hAnsi="宋体" w:cs="宋体"/>
                <w:color w:val="auto"/>
                <w:kern w:val="2"/>
                <w:szCs w:val="21"/>
                <w:highlight w:val="none"/>
                <w:u w:val="single"/>
              </w:rPr>
              <w:t>（3）建安工程费：投标报价不得高于建安工程费最高投标限价，由投标人根据招标文件要求以及企业自身情况填报报价及下浮率。结算方式按照合同相关约定执行。</w:t>
            </w:r>
          </w:p>
          <w:p w14:paraId="0EC4514E">
            <w:pPr>
              <w:keepNext w:val="0"/>
              <w:keepLines w:val="0"/>
              <w:suppressLineNumbers w:val="0"/>
              <w:snapToGrid w:val="0"/>
              <w:spacing w:before="0" w:beforeAutospacing="0" w:afterAutospacing="0"/>
              <w:ind w:left="-55" w:leftChars="-26" w:right="-59" w:rightChars="-28"/>
              <w:rPr>
                <w:rFonts w:hint="eastAsia" w:ascii="宋体" w:hAnsi="宋体" w:eastAsia="宋体" w:cs="宋体"/>
                <w:color w:val="auto"/>
                <w:kern w:val="2"/>
                <w:szCs w:val="21"/>
                <w:highlight w:val="none"/>
                <w:u w:val="single"/>
              </w:rPr>
            </w:pPr>
            <w:r>
              <w:rPr>
                <w:rFonts w:hint="eastAsia" w:ascii="宋体" w:hAnsi="宋体" w:eastAsia="宋体" w:cs="宋体"/>
                <w:color w:val="auto"/>
                <w:kern w:val="2"/>
                <w:szCs w:val="21"/>
                <w:highlight w:val="none"/>
                <w:u w:val="single"/>
                <w:lang w:eastAsia="zh-CN"/>
              </w:rPr>
              <w:t>（</w:t>
            </w:r>
            <w:r>
              <w:rPr>
                <w:rFonts w:hint="eastAsia" w:ascii="宋体" w:hAnsi="宋体" w:eastAsia="宋体" w:cs="宋体"/>
                <w:color w:val="auto"/>
                <w:kern w:val="2"/>
                <w:szCs w:val="21"/>
                <w:highlight w:val="none"/>
                <w:u w:val="single"/>
                <w:lang w:val="en-US" w:eastAsia="zh-CN"/>
              </w:rPr>
              <w:t>4</w:t>
            </w:r>
            <w:r>
              <w:rPr>
                <w:rFonts w:hint="eastAsia" w:ascii="宋体" w:hAnsi="宋体" w:eastAsia="宋体" w:cs="宋体"/>
                <w:color w:val="auto"/>
                <w:kern w:val="2"/>
                <w:szCs w:val="21"/>
                <w:highlight w:val="none"/>
                <w:u w:val="single"/>
                <w:lang w:eastAsia="zh-CN"/>
              </w:rPr>
              <w:t>）</w:t>
            </w:r>
            <w:r>
              <w:rPr>
                <w:rFonts w:hint="eastAsia" w:ascii="宋体" w:hAnsi="宋体" w:eastAsia="宋体" w:cs="宋体"/>
                <w:color w:val="auto"/>
                <w:kern w:val="2"/>
                <w:szCs w:val="21"/>
                <w:highlight w:val="none"/>
                <w:u w:val="single"/>
              </w:rPr>
              <w:t>本项目投标中标的总价仅为暂定合同价，中标总价不作为竣工结算的依据，在预算编制完成前可作为拨付工程进度款的依据。本项目施工图审查通过后，根据最终确认的施工图纸，由中标人采用</w:t>
            </w:r>
            <w:r>
              <w:rPr>
                <w:rFonts w:hint="eastAsia" w:ascii="宋体" w:hAnsi="宋体" w:cs="宋体"/>
                <w:color w:val="auto"/>
                <w:kern w:val="2"/>
                <w:szCs w:val="21"/>
                <w:highlight w:val="none"/>
                <w:u w:val="single"/>
                <w:lang w:val="en-US" w:eastAsia="zh-CN"/>
              </w:rPr>
              <w:t>工程量</w:t>
            </w:r>
            <w:r>
              <w:rPr>
                <w:rFonts w:hint="eastAsia" w:ascii="宋体" w:hAnsi="宋体" w:eastAsia="宋体" w:cs="宋体"/>
                <w:color w:val="auto"/>
                <w:kern w:val="2"/>
                <w:szCs w:val="21"/>
                <w:highlight w:val="none"/>
                <w:u w:val="single"/>
              </w:rPr>
              <w:t>清单模式编制施工图预算作为概算建安工程费</w:t>
            </w:r>
            <w:r>
              <w:rPr>
                <w:rFonts w:hint="eastAsia" w:ascii="宋体" w:hAnsi="宋体" w:cs="宋体"/>
                <w:color w:val="auto"/>
                <w:kern w:val="2"/>
                <w:szCs w:val="21"/>
                <w:highlight w:val="none"/>
                <w:u w:val="single"/>
                <w:lang w:val="en-US" w:eastAsia="zh-CN"/>
              </w:rPr>
              <w:t>进行申报</w:t>
            </w:r>
            <w:r>
              <w:rPr>
                <w:rFonts w:hint="eastAsia" w:ascii="宋体" w:hAnsi="宋体" w:eastAsia="宋体" w:cs="宋体"/>
                <w:color w:val="auto"/>
                <w:kern w:val="2"/>
                <w:szCs w:val="21"/>
                <w:highlight w:val="none"/>
                <w:u w:val="single"/>
              </w:rPr>
              <w:t>，经</w:t>
            </w:r>
            <w:r>
              <w:rPr>
                <w:rFonts w:hint="eastAsia" w:ascii="宋体" w:hAnsi="宋体" w:eastAsia="宋体" w:cs="宋体"/>
                <w:color w:val="auto"/>
                <w:kern w:val="2"/>
                <w:szCs w:val="21"/>
                <w:highlight w:val="none"/>
                <w:u w:val="single"/>
                <w:lang w:val="en-US" w:eastAsia="zh-CN"/>
              </w:rPr>
              <w:t>招标人指定的</w:t>
            </w:r>
            <w:r>
              <w:rPr>
                <w:rFonts w:hint="eastAsia" w:ascii="宋体" w:hAnsi="宋体" w:eastAsia="宋体" w:cs="宋体"/>
                <w:color w:val="auto"/>
                <w:kern w:val="2"/>
                <w:szCs w:val="21"/>
                <w:highlight w:val="none"/>
                <w:u w:val="single"/>
              </w:rPr>
              <w:t>第三方造价咨询机构按合同约定的方法审定概算并经</w:t>
            </w:r>
            <w:r>
              <w:rPr>
                <w:rFonts w:hint="eastAsia" w:ascii="宋体" w:hAnsi="宋体" w:eastAsia="宋体" w:cs="宋体"/>
                <w:color w:val="auto"/>
                <w:kern w:val="2"/>
                <w:szCs w:val="21"/>
                <w:highlight w:val="none"/>
                <w:u w:val="single"/>
                <w:lang w:val="en-US" w:eastAsia="zh-CN"/>
              </w:rPr>
              <w:t>招标人</w:t>
            </w:r>
            <w:r>
              <w:rPr>
                <w:rFonts w:hint="eastAsia" w:ascii="宋体" w:hAnsi="宋体" w:eastAsia="宋体" w:cs="宋体"/>
                <w:color w:val="auto"/>
                <w:kern w:val="2"/>
                <w:szCs w:val="21"/>
                <w:highlight w:val="none"/>
                <w:u w:val="single"/>
              </w:rPr>
              <w:t>有权决策机构审批通过后，得出概算建安工程费</w:t>
            </w:r>
            <w:r>
              <w:rPr>
                <w:rFonts w:hint="eastAsia" w:ascii="宋体" w:hAnsi="宋体" w:cs="宋体"/>
                <w:color w:val="auto"/>
                <w:kern w:val="2"/>
                <w:szCs w:val="21"/>
                <w:highlight w:val="none"/>
                <w:u w:val="single"/>
                <w:lang w:val="en-US" w:eastAsia="zh-CN"/>
              </w:rPr>
              <w:t>总价及单价</w:t>
            </w:r>
            <w:r>
              <w:rPr>
                <w:rFonts w:hint="eastAsia" w:ascii="宋体" w:hAnsi="宋体" w:eastAsia="宋体" w:cs="宋体"/>
                <w:color w:val="auto"/>
                <w:kern w:val="2"/>
                <w:szCs w:val="21"/>
                <w:highlight w:val="none"/>
                <w:u w:val="single"/>
              </w:rPr>
              <w:t>，以</w:t>
            </w:r>
            <w:r>
              <w:rPr>
                <w:rFonts w:hint="eastAsia" w:ascii="宋体" w:hAnsi="宋体" w:cs="宋体"/>
                <w:color w:val="auto"/>
                <w:kern w:val="2"/>
                <w:szCs w:val="21"/>
                <w:highlight w:val="none"/>
                <w:u w:val="single"/>
                <w:lang w:val="en-US" w:eastAsia="zh-CN"/>
              </w:rPr>
              <w:t>得出的</w:t>
            </w:r>
            <w:r>
              <w:rPr>
                <w:rFonts w:hint="eastAsia" w:ascii="宋体" w:hAnsi="宋体" w:eastAsia="宋体" w:cs="宋体"/>
                <w:color w:val="auto"/>
                <w:kern w:val="2"/>
                <w:szCs w:val="21"/>
                <w:highlight w:val="none"/>
                <w:u w:val="single"/>
              </w:rPr>
              <w:t>概算建安工程费</w:t>
            </w:r>
            <w:r>
              <w:rPr>
                <w:rFonts w:hint="eastAsia" w:ascii="宋体" w:hAnsi="宋体" w:cs="宋体"/>
                <w:color w:val="auto"/>
                <w:kern w:val="2"/>
                <w:szCs w:val="21"/>
                <w:highlight w:val="none"/>
                <w:u w:val="single"/>
                <w:lang w:val="en-US" w:eastAsia="zh-CN"/>
              </w:rPr>
              <w:t>总价及单价签订</w:t>
            </w:r>
            <w:r>
              <w:rPr>
                <w:rFonts w:hint="eastAsia" w:ascii="宋体" w:hAnsi="宋体" w:eastAsia="宋体" w:cs="宋体"/>
                <w:color w:val="auto"/>
                <w:kern w:val="2"/>
                <w:szCs w:val="21"/>
                <w:highlight w:val="none"/>
                <w:u w:val="single"/>
                <w:lang w:val="en-US" w:eastAsia="zh-CN"/>
              </w:rPr>
              <w:t>补充协议</w:t>
            </w:r>
            <w:r>
              <w:rPr>
                <w:rFonts w:hint="eastAsia" w:ascii="宋体" w:hAnsi="宋体" w:cs="宋体"/>
                <w:color w:val="auto"/>
                <w:kern w:val="2"/>
                <w:szCs w:val="21"/>
                <w:highlight w:val="none"/>
                <w:u w:val="single"/>
                <w:lang w:val="en-US" w:eastAsia="zh-CN"/>
              </w:rPr>
              <w:t>，</w:t>
            </w:r>
            <w:r>
              <w:rPr>
                <w:rFonts w:hint="eastAsia" w:ascii="宋体" w:hAnsi="宋体" w:eastAsia="宋体" w:cs="宋体"/>
                <w:color w:val="auto"/>
                <w:kern w:val="2"/>
                <w:szCs w:val="21"/>
                <w:highlight w:val="none"/>
                <w:u w:val="single"/>
              </w:rPr>
              <w:t>作为</w:t>
            </w:r>
            <w:r>
              <w:rPr>
                <w:rFonts w:hint="eastAsia" w:ascii="宋体" w:hAnsi="宋体" w:eastAsia="宋体" w:cs="宋体"/>
                <w:color w:val="auto"/>
                <w:kern w:val="2"/>
                <w:szCs w:val="21"/>
                <w:highlight w:val="none"/>
                <w:u w:val="single"/>
                <w:lang w:val="en-US" w:eastAsia="zh-CN"/>
              </w:rPr>
              <w:t>后续</w:t>
            </w:r>
            <w:r>
              <w:rPr>
                <w:rFonts w:hint="eastAsia" w:ascii="宋体" w:hAnsi="宋体" w:eastAsia="宋体" w:cs="宋体"/>
                <w:color w:val="auto"/>
                <w:kern w:val="2"/>
                <w:szCs w:val="21"/>
                <w:highlight w:val="none"/>
                <w:u w:val="single"/>
              </w:rPr>
              <w:t>进度款支付和结算的依据</w:t>
            </w:r>
            <w:r>
              <w:rPr>
                <w:rFonts w:hint="eastAsia" w:ascii="宋体" w:hAnsi="宋体" w:eastAsia="宋体" w:cs="宋体"/>
                <w:color w:val="auto"/>
                <w:kern w:val="2"/>
                <w:szCs w:val="21"/>
                <w:highlight w:val="none"/>
                <w:u w:val="single"/>
                <w:lang w:eastAsia="zh-CN"/>
              </w:rPr>
              <w:t>。</w:t>
            </w:r>
          </w:p>
          <w:p w14:paraId="15EFD303">
            <w:pPr>
              <w:pStyle w:val="4"/>
              <w:suppressLineNumbers w:val="0"/>
              <w:spacing w:before="0" w:beforeAutospacing="0" w:after="0" w:afterAutospacing="0" w:line="360" w:lineRule="auto"/>
              <w:ind w:left="0" w:right="0"/>
              <w:outlineLvl w:val="1"/>
              <w:rPr>
                <w:rFonts w:hint="default"/>
                <w:color w:val="auto"/>
                <w:kern w:val="2"/>
                <w:highlight w:val="none"/>
              </w:rPr>
            </w:pPr>
            <w:r>
              <w:rPr>
                <w:rFonts w:hint="eastAsia" w:ascii="宋体" w:hAnsi="宋体" w:eastAsia="宋体" w:cs="宋体"/>
                <w:color w:val="auto"/>
                <w:kern w:val="2"/>
                <w:sz w:val="21"/>
                <w:szCs w:val="21"/>
                <w:highlight w:val="none"/>
                <w:u w:val="single"/>
              </w:rPr>
              <w:t>注：合同约定下浮率按照合同相关约定执行。</w:t>
            </w:r>
          </w:p>
        </w:tc>
      </w:tr>
      <w:tr w14:paraId="20C8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192CC117">
            <w:pPr>
              <w:keepNext w:val="0"/>
              <w:keepLines w:val="0"/>
              <w:suppressLineNumbers w:val="0"/>
              <w:snapToGrid w:val="0"/>
              <w:spacing w:before="0" w:beforeAutospacing="0" w:afterAutospacing="0" w:line="240" w:lineRule="exact"/>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3.3.1</w:t>
            </w:r>
          </w:p>
        </w:tc>
        <w:tc>
          <w:tcPr>
            <w:tcW w:w="2543" w:type="dxa"/>
            <w:noWrap w:val="0"/>
            <w:vAlign w:val="center"/>
          </w:tcPr>
          <w:p w14:paraId="2AD5C034">
            <w:pPr>
              <w:keepNext w:val="0"/>
              <w:keepLines w:val="0"/>
              <w:suppressLineNumbers w:val="0"/>
              <w:snapToGrid w:val="0"/>
              <w:spacing w:before="0" w:beforeAutospacing="0" w:afterAutospacing="0" w:line="240" w:lineRule="exact"/>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投标有效期</w:t>
            </w:r>
          </w:p>
        </w:tc>
        <w:tc>
          <w:tcPr>
            <w:tcW w:w="6585" w:type="dxa"/>
            <w:noWrap w:val="0"/>
            <w:vAlign w:val="center"/>
          </w:tcPr>
          <w:p w14:paraId="7F8F17B1">
            <w:pPr>
              <w:keepNext w:val="0"/>
              <w:keepLines w:val="0"/>
              <w:suppressLineNumbers w:val="0"/>
              <w:snapToGrid w:val="0"/>
              <w:spacing w:before="0" w:beforeAutospacing="0" w:afterAutospacing="0"/>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u w:val="single"/>
              </w:rPr>
              <w:t xml:space="preserve"> 120 </w:t>
            </w:r>
            <w:r>
              <w:rPr>
                <w:rFonts w:hint="eastAsia" w:ascii="宋体" w:hAnsi="宋体" w:cs="宋体"/>
                <w:color w:val="auto"/>
                <w:kern w:val="2"/>
                <w:szCs w:val="21"/>
                <w:highlight w:val="none"/>
              </w:rPr>
              <w:t>日历天</w:t>
            </w:r>
            <w:r>
              <w:rPr>
                <w:rFonts w:hint="eastAsia" w:ascii="宋体" w:hAnsi="宋体" w:cs="宋体"/>
                <w:color w:val="auto"/>
                <w:kern w:val="0"/>
                <w:szCs w:val="21"/>
                <w:highlight w:val="none"/>
              </w:rPr>
              <w:t>（从递交投标文件截止之日计起），如出现异议或投诉，则投标有效期自动延长至异议或投诉处理结束，确定中标人并发放中标通知书为止。中标人的投标有效期自动延期至合同履行完毕。</w:t>
            </w:r>
          </w:p>
        </w:tc>
      </w:tr>
      <w:tr w14:paraId="6C20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73364B70">
            <w:pPr>
              <w:keepNext w:val="0"/>
              <w:keepLines w:val="0"/>
              <w:suppressLineNumbers w:val="0"/>
              <w:snapToGrid w:val="0"/>
              <w:spacing w:before="0" w:beforeAutospacing="0" w:afterAutospacing="0" w:line="240" w:lineRule="exact"/>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3.4.1</w:t>
            </w:r>
          </w:p>
        </w:tc>
        <w:tc>
          <w:tcPr>
            <w:tcW w:w="2543" w:type="dxa"/>
            <w:noWrap w:val="0"/>
            <w:vAlign w:val="center"/>
          </w:tcPr>
          <w:p w14:paraId="6D6B3BCC">
            <w:pPr>
              <w:keepNext w:val="0"/>
              <w:keepLines w:val="0"/>
              <w:suppressLineNumbers w:val="0"/>
              <w:spacing w:before="0" w:beforeAutospacing="0" w:afterAutospacing="0"/>
              <w:ind w:left="0" w:right="0"/>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投标担保</w:t>
            </w:r>
          </w:p>
        </w:tc>
        <w:tc>
          <w:tcPr>
            <w:tcW w:w="6585" w:type="dxa"/>
            <w:noWrap w:val="0"/>
            <w:vAlign w:val="center"/>
          </w:tcPr>
          <w:p w14:paraId="525127BE">
            <w:pPr>
              <w:keepNext w:val="0"/>
              <w:keepLines w:val="0"/>
              <w:widowControl/>
              <w:suppressLineNumbers w:val="0"/>
              <w:spacing w:before="0" w:beforeAutospacing="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投标担保的金额：人民币</w:t>
            </w:r>
            <w:r>
              <w:rPr>
                <w:rFonts w:hint="eastAsia" w:ascii="宋体" w:hAnsi="宋体" w:cs="宋体"/>
                <w:b/>
                <w:bCs/>
                <w:color w:val="auto"/>
                <w:kern w:val="2"/>
                <w:szCs w:val="21"/>
                <w:highlight w:val="none"/>
                <w:u w:val="single"/>
              </w:rPr>
              <w:t xml:space="preserve"> 20</w:t>
            </w:r>
            <w:r>
              <w:rPr>
                <w:rFonts w:hint="eastAsia" w:ascii="宋体" w:hAnsi="宋体" w:cs="宋体"/>
                <w:color w:val="auto"/>
                <w:kern w:val="2"/>
                <w:szCs w:val="21"/>
                <w:highlight w:val="none"/>
              </w:rPr>
              <w:t>万元</w:t>
            </w:r>
          </w:p>
          <w:p w14:paraId="062D212F">
            <w:pPr>
              <w:keepNext w:val="0"/>
              <w:keepLines w:val="0"/>
              <w:widowControl/>
              <w:suppressLineNumbers w:val="0"/>
              <w:spacing w:before="0" w:beforeAutospacing="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投标保证金有效期：大于或等于投标有效期。</w:t>
            </w:r>
          </w:p>
          <w:p w14:paraId="0DE5A65A">
            <w:pPr>
              <w:keepNext w:val="0"/>
              <w:keepLines w:val="0"/>
              <w:widowControl/>
              <w:suppressLineNumbers w:val="0"/>
              <w:spacing w:before="0" w:beforeAutospacing="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1、投标保证金可采用现金、支票、转账、投标保证保险、投标保函（银行或专业担保公司出具）的形式，须在递交投标文件截止时间前完成缴纳。</w:t>
            </w:r>
          </w:p>
          <w:p w14:paraId="1E6871DA">
            <w:pPr>
              <w:keepNext w:val="0"/>
              <w:keepLines w:val="0"/>
              <w:widowControl/>
              <w:suppressLineNumbers w:val="0"/>
              <w:spacing w:before="0" w:beforeAutospacing="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2、如采用现金或者转账或者支票形式提交的由广州交易集团有限公司代收。缴纳情况以开标时广州交易集团有限公司（广州公共资源交易中心）查询为准。具体操作流程详见广州交易集团有限公司（广州公共资源交易中心）最新的投标保证金缴纳操作指引或自行咨询交易中心。</w:t>
            </w:r>
          </w:p>
          <w:p w14:paraId="3AC67CAD">
            <w:pPr>
              <w:keepNext w:val="0"/>
              <w:keepLines w:val="0"/>
              <w:widowControl/>
              <w:suppressLineNumbers w:val="0"/>
              <w:spacing w:before="0" w:beforeAutospacing="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3、如采用保函（纸质版）或保险等形式提交的，银行保函需开具给招标人，银行保函有效期不少于投标有效期。保证保险需开具给招标人（受益人也必须是招标人），保证保险有效期不少于投标有效期。在开标前不强制要求提交纸质原件（建议投标截止时间前单独密封纸质版复印件递交至开标室用于开标），但投标人应在投标文件中提交投标保函或投标保证保险扫描件并加盖投标人电子印章，由中标候选人在中标候选人公示前提交并在网上公示。</w:t>
            </w:r>
          </w:p>
          <w:p w14:paraId="00625324">
            <w:pPr>
              <w:keepNext w:val="0"/>
              <w:keepLines w:val="0"/>
              <w:widowControl/>
              <w:suppressLineNumbers w:val="0"/>
              <w:spacing w:before="0" w:beforeAutospacing="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4、本项目允许递交电子保函，具体操作详见广州交易集团有限公司（广州公共资源交易中心）电子保函操作指引。缴纳情况以开标时广州交易集团有限公司（广州公共资源交易中心）网站查询为准。</w:t>
            </w:r>
          </w:p>
          <w:p w14:paraId="1D2E28A2">
            <w:pPr>
              <w:keepNext w:val="0"/>
              <w:keepLines w:val="0"/>
              <w:widowControl/>
              <w:suppressLineNumbers w:val="0"/>
              <w:spacing w:before="0" w:beforeAutospacing="0" w:afterAutospacing="0"/>
              <w:ind w:left="0" w:right="0"/>
              <w:rPr>
                <w:rFonts w:hint="default" w:ascii="宋体" w:hAnsi="宋体" w:cs="宋体"/>
                <w:color w:val="auto"/>
                <w:kern w:val="2"/>
                <w:szCs w:val="21"/>
                <w:highlight w:val="none"/>
                <w:lang w:bidi="ar"/>
              </w:rPr>
            </w:pPr>
            <w:r>
              <w:rPr>
                <w:rFonts w:hint="eastAsia" w:ascii="宋体" w:hAnsi="宋体" w:cs="宋体"/>
                <w:color w:val="auto"/>
                <w:kern w:val="2"/>
                <w:szCs w:val="21"/>
                <w:highlight w:val="none"/>
              </w:rPr>
              <w:t>5.联合体投标的，其投标保证金由主办方递交。</w:t>
            </w:r>
          </w:p>
        </w:tc>
      </w:tr>
      <w:tr w14:paraId="0810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075AEAA5">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3.6</w:t>
            </w:r>
          </w:p>
        </w:tc>
        <w:tc>
          <w:tcPr>
            <w:tcW w:w="2543" w:type="dxa"/>
            <w:noWrap w:val="0"/>
            <w:vAlign w:val="center"/>
          </w:tcPr>
          <w:p w14:paraId="43F10DF5">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是否允许递交备选投标方案</w:t>
            </w:r>
          </w:p>
        </w:tc>
        <w:tc>
          <w:tcPr>
            <w:tcW w:w="6585" w:type="dxa"/>
            <w:noWrap w:val="0"/>
            <w:vAlign w:val="center"/>
          </w:tcPr>
          <w:p w14:paraId="1D2D05C5">
            <w:pPr>
              <w:pStyle w:val="12"/>
              <w:keepNext w:val="0"/>
              <w:keepLines w:val="0"/>
              <w:suppressLineNumbers w:val="0"/>
              <w:wordWrap w:val="0"/>
              <w:spacing w:before="0" w:beforeAutospacing="0" w:after="0" w:afterAutospacing="0" w:line="240" w:lineRule="auto"/>
              <w:ind w:left="0" w:right="0"/>
              <w:rPr>
                <w:rFonts w:hint="eastAsia"/>
                <w:color w:val="auto"/>
                <w:kern w:val="1"/>
                <w:sz w:val="21"/>
                <w:szCs w:val="21"/>
                <w:highlight w:val="none"/>
              </w:rPr>
            </w:pPr>
            <w:r>
              <w:rPr>
                <w:rFonts w:hint="eastAsia"/>
                <w:color w:val="auto"/>
                <w:kern w:val="1"/>
                <w:sz w:val="21"/>
                <w:szCs w:val="21"/>
                <w:highlight w:val="none"/>
              </w:rPr>
              <w:t>■不允许</w:t>
            </w:r>
          </w:p>
          <w:p w14:paraId="05AD1B04">
            <w:pPr>
              <w:keepNext w:val="0"/>
              <w:keepLines w:val="0"/>
              <w:suppressLineNumbers w:val="0"/>
              <w:wordWrap w:val="0"/>
              <w:spacing w:before="0" w:beforeAutospacing="0" w:after="0" w:afterAutospacing="0" w:line="240" w:lineRule="auto"/>
              <w:ind w:left="0" w:right="0"/>
              <w:rPr>
                <w:rFonts w:hint="eastAsia" w:ascii="宋体" w:hAnsi="宋体" w:cs="宋体"/>
                <w:color w:val="auto"/>
                <w:kern w:val="1"/>
                <w:szCs w:val="21"/>
                <w:highlight w:val="none"/>
              </w:rPr>
            </w:pPr>
            <w:r>
              <w:rPr>
                <w:rFonts w:hint="eastAsia" w:ascii="宋体" w:hAnsi="宋体" w:cs="宋体"/>
                <w:color w:val="auto"/>
                <w:kern w:val="1"/>
                <w:szCs w:val="21"/>
                <w:highlight w:val="none"/>
              </w:rPr>
              <w:t>□允许</w:t>
            </w:r>
          </w:p>
        </w:tc>
      </w:tr>
      <w:tr w14:paraId="0FFF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2EF2478E">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3.7.3</w:t>
            </w:r>
          </w:p>
        </w:tc>
        <w:tc>
          <w:tcPr>
            <w:tcW w:w="2543" w:type="dxa"/>
            <w:noWrap w:val="0"/>
            <w:vAlign w:val="center"/>
          </w:tcPr>
          <w:p w14:paraId="2EB43534">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文件盖章签署</w:t>
            </w:r>
          </w:p>
        </w:tc>
        <w:tc>
          <w:tcPr>
            <w:tcW w:w="6585" w:type="dxa"/>
            <w:noWrap w:val="0"/>
            <w:vAlign w:val="center"/>
          </w:tcPr>
          <w:p w14:paraId="343DD34B">
            <w:pPr>
              <w:keepNext w:val="0"/>
              <w:keepLines w:val="0"/>
              <w:suppressLineNumbers w:val="0"/>
              <w:wordWrap w:val="0"/>
              <w:spacing w:before="0" w:beforeAutospacing="0" w:after="0" w:afterAutospacing="0" w:line="240" w:lineRule="auto"/>
              <w:ind w:left="0" w:right="0"/>
              <w:rPr>
                <w:rFonts w:hint="eastAsia" w:ascii="宋体" w:hAnsi="宋体" w:cs="宋体"/>
                <w:color w:val="auto"/>
                <w:kern w:val="1"/>
                <w:szCs w:val="21"/>
                <w:highlight w:val="none"/>
                <w:u w:val="single"/>
              </w:rPr>
            </w:pPr>
            <w:r>
              <w:rPr>
                <w:rFonts w:hint="eastAsia" w:ascii="宋体" w:hAnsi="宋体" w:cs="宋体"/>
                <w:bCs/>
                <w:color w:val="auto"/>
                <w:kern w:val="1"/>
                <w:szCs w:val="21"/>
                <w:highlight w:val="none"/>
              </w:rPr>
              <w:t>除“暗标文件”外，所有其他投标文件的所有证书证件、证明文件及招标文件所附格式要求盖章处需加盖电子印章。</w:t>
            </w:r>
            <w:r>
              <w:rPr>
                <w:rFonts w:hint="eastAsia" w:ascii="宋体" w:hAnsi="宋体" w:cs="宋体"/>
                <w:color w:val="auto"/>
                <w:kern w:val="2"/>
                <w:szCs w:val="21"/>
                <w:highlight w:val="none"/>
              </w:rPr>
              <w:t>投标人采用单位数字证书，按招标文件要求在相应位置加盖电子印章。投标文件中需个人签字或盖章的，应加盖个人电子印章或在线下完成后扫描上传。按照交易平台关于全流程电子化项目的相关指南进行操作。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cs="宋体"/>
                <w:b/>
                <w:bCs/>
                <w:color w:val="auto"/>
                <w:kern w:val="2"/>
                <w:szCs w:val="21"/>
                <w:highlight w:val="none"/>
              </w:rPr>
              <w:t>联合体投标时，除联合体协议书必须联合体各方分别按要求进行签字、盖章外，其他资料若需要签字或盖章的均可由联合体主办方签字或盖章，法定代表人证明书及授权委托证明书可由联合体主办方出具。</w:t>
            </w:r>
          </w:p>
        </w:tc>
      </w:tr>
      <w:tr w14:paraId="215B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202D7956">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4.1.1</w:t>
            </w:r>
          </w:p>
        </w:tc>
        <w:tc>
          <w:tcPr>
            <w:tcW w:w="2543" w:type="dxa"/>
            <w:noWrap w:val="0"/>
            <w:vAlign w:val="center"/>
          </w:tcPr>
          <w:p w14:paraId="2E2B77C5">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投标文件加密要求</w:t>
            </w:r>
          </w:p>
        </w:tc>
        <w:tc>
          <w:tcPr>
            <w:tcW w:w="6585" w:type="dxa"/>
            <w:noWrap w:val="0"/>
            <w:vAlign w:val="center"/>
          </w:tcPr>
          <w:p w14:paraId="0DF6582A">
            <w:pPr>
              <w:keepNext w:val="0"/>
              <w:keepLines w:val="0"/>
              <w:suppressLineNumbers w:val="0"/>
              <w:wordWrap w:val="0"/>
              <w:spacing w:before="0" w:beforeAutospacing="0" w:after="0" w:afterAutospacing="0" w:line="240" w:lineRule="auto"/>
              <w:ind w:left="0" w:right="0"/>
              <w:rPr>
                <w:rFonts w:hint="eastAsia" w:ascii="宋体" w:hAnsi="宋体" w:cs="宋体"/>
                <w:color w:val="auto"/>
                <w:kern w:val="1"/>
                <w:szCs w:val="21"/>
                <w:highlight w:val="none"/>
              </w:rPr>
            </w:pPr>
            <w:r>
              <w:rPr>
                <w:rFonts w:hint="eastAsia" w:ascii="宋体" w:hAnsi="宋体" w:cs="宋体"/>
                <w:color w:val="auto"/>
                <w:kern w:val="1"/>
                <w:szCs w:val="21"/>
                <w:highlight w:val="none"/>
              </w:rPr>
              <w:t>1、网上递交的电子投标文件须进行加密。具体操作详见广州交易集团有限公司（广州公共资源交易中心）交易平台相关操作指南。</w:t>
            </w:r>
          </w:p>
          <w:p w14:paraId="0771BBFC">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1"/>
                <w:szCs w:val="21"/>
                <w:highlight w:val="none"/>
              </w:rPr>
              <w:t>2、未按要求加密的投标文件，招标人将予以拒收。</w:t>
            </w:r>
          </w:p>
        </w:tc>
      </w:tr>
      <w:tr w14:paraId="0744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723F94F9">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4.1.2</w:t>
            </w:r>
          </w:p>
        </w:tc>
        <w:tc>
          <w:tcPr>
            <w:tcW w:w="2543" w:type="dxa"/>
            <w:noWrap w:val="0"/>
            <w:vAlign w:val="center"/>
          </w:tcPr>
          <w:p w14:paraId="482D0AD4">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封套上应载明的信息</w:t>
            </w:r>
          </w:p>
        </w:tc>
        <w:tc>
          <w:tcPr>
            <w:tcW w:w="6585" w:type="dxa"/>
            <w:noWrap w:val="0"/>
            <w:vAlign w:val="center"/>
          </w:tcPr>
          <w:p w14:paraId="68B45C92">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如有提交备用电子投标文件光盘或u盘，封套上应注明如下信息：</w:t>
            </w:r>
          </w:p>
          <w:p w14:paraId="2779083E">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u w:val="single"/>
              </w:rPr>
            </w:pPr>
            <w:r>
              <w:rPr>
                <w:rFonts w:hint="eastAsia" w:ascii="宋体" w:hAnsi="宋体" w:cs="宋体"/>
                <w:color w:val="auto"/>
                <w:kern w:val="2"/>
                <w:szCs w:val="21"/>
                <w:highlight w:val="none"/>
              </w:rPr>
              <w:t>招标人名称：</w:t>
            </w:r>
            <w:r>
              <w:rPr>
                <w:rFonts w:hint="eastAsia" w:ascii="宋体" w:hAnsi="宋体" w:cs="宋体"/>
                <w:color w:val="auto"/>
                <w:kern w:val="2"/>
                <w:szCs w:val="21"/>
                <w:highlight w:val="none"/>
                <w:u w:val="single"/>
              </w:rPr>
              <w:t xml:space="preserve">               </w:t>
            </w:r>
          </w:p>
          <w:p w14:paraId="613E2418">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招标人地址：</w:t>
            </w:r>
            <w:r>
              <w:rPr>
                <w:rFonts w:hint="eastAsia" w:ascii="宋体" w:hAnsi="宋体" w:cs="宋体"/>
                <w:color w:val="auto"/>
                <w:kern w:val="2"/>
                <w:szCs w:val="21"/>
                <w:highlight w:val="none"/>
                <w:u w:val="single"/>
              </w:rPr>
              <w:t xml:space="preserve">               </w:t>
            </w:r>
          </w:p>
          <w:p w14:paraId="084427DD">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u w:val="single"/>
              </w:rPr>
              <w:t xml:space="preserve">               </w:t>
            </w:r>
            <w:r>
              <w:rPr>
                <w:rFonts w:hint="eastAsia" w:ascii="宋体" w:hAnsi="宋体" w:cs="宋体"/>
                <w:color w:val="auto"/>
                <w:kern w:val="2"/>
                <w:szCs w:val="21"/>
                <w:highlight w:val="none"/>
              </w:rPr>
              <w:t>项目投标文件</w:t>
            </w:r>
          </w:p>
          <w:p w14:paraId="73CAF3CC">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u w:val="single"/>
              </w:rPr>
            </w:pPr>
            <w:r>
              <w:rPr>
                <w:rFonts w:hint="eastAsia" w:ascii="宋体" w:hAnsi="宋体" w:cs="宋体"/>
                <w:color w:val="auto"/>
                <w:kern w:val="2"/>
                <w:szCs w:val="21"/>
                <w:highlight w:val="none"/>
              </w:rPr>
              <w:t>招标项目编号：</w:t>
            </w:r>
            <w:r>
              <w:rPr>
                <w:rFonts w:hint="eastAsia" w:ascii="宋体" w:hAnsi="宋体" w:cs="宋体"/>
                <w:color w:val="auto"/>
                <w:kern w:val="2"/>
                <w:szCs w:val="21"/>
                <w:highlight w:val="none"/>
                <w:u w:val="single"/>
              </w:rPr>
              <w:t xml:space="preserve">        </w:t>
            </w:r>
          </w:p>
          <w:p w14:paraId="177D65C3">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投标人名称：</w:t>
            </w:r>
            <w:r>
              <w:rPr>
                <w:rFonts w:hint="eastAsia" w:ascii="宋体" w:hAnsi="宋体" w:cs="宋体"/>
                <w:color w:val="auto"/>
                <w:kern w:val="2"/>
                <w:szCs w:val="21"/>
                <w:highlight w:val="none"/>
                <w:u w:val="single"/>
              </w:rPr>
              <w:t xml:space="preserve">         </w:t>
            </w:r>
            <w:r>
              <w:rPr>
                <w:rFonts w:hint="eastAsia" w:ascii="宋体" w:hAnsi="宋体" w:cs="宋体"/>
                <w:color w:val="auto"/>
                <w:kern w:val="2"/>
                <w:szCs w:val="21"/>
                <w:highlight w:val="none"/>
              </w:rPr>
              <w:t xml:space="preserve">      </w:t>
            </w:r>
          </w:p>
          <w:p w14:paraId="25EB92C1">
            <w:pPr>
              <w:keepNext w:val="0"/>
              <w:keepLines w:val="0"/>
              <w:suppressLineNumbers w:val="0"/>
              <w:wordWrap w:val="0"/>
              <w:spacing w:before="0" w:beforeAutospacing="0" w:after="0" w:afterAutospacing="0" w:line="240" w:lineRule="auto"/>
              <w:ind w:left="0" w:right="0"/>
              <w:rPr>
                <w:rFonts w:hint="eastAsia" w:ascii="宋体" w:hAnsi="宋体" w:cs="宋体"/>
                <w:color w:val="auto"/>
                <w:kern w:val="1"/>
                <w:szCs w:val="21"/>
                <w:highlight w:val="none"/>
              </w:rPr>
            </w:pPr>
            <w:r>
              <w:rPr>
                <w:rFonts w:hint="eastAsia" w:ascii="宋体" w:hAnsi="宋体" w:cs="宋体"/>
                <w:color w:val="auto"/>
                <w:kern w:val="2"/>
                <w:szCs w:val="21"/>
                <w:highlight w:val="none"/>
              </w:rPr>
              <w:t>在</w:t>
            </w:r>
            <w:r>
              <w:rPr>
                <w:rFonts w:hint="eastAsia" w:ascii="宋体" w:hAnsi="宋体" w:cs="宋体"/>
                <w:color w:val="auto"/>
                <w:kern w:val="2"/>
                <w:szCs w:val="21"/>
                <w:highlight w:val="none"/>
                <w:u w:val="single"/>
              </w:rPr>
              <w:t xml:space="preserve">    </w:t>
            </w:r>
            <w:r>
              <w:rPr>
                <w:rFonts w:hint="eastAsia" w:ascii="宋体" w:hAnsi="宋体" w:cs="宋体"/>
                <w:color w:val="auto"/>
                <w:kern w:val="2"/>
                <w:szCs w:val="21"/>
                <w:highlight w:val="none"/>
              </w:rPr>
              <w:t>年</w:t>
            </w:r>
            <w:r>
              <w:rPr>
                <w:rFonts w:hint="eastAsia" w:ascii="宋体" w:hAnsi="宋体" w:cs="宋体"/>
                <w:color w:val="auto"/>
                <w:kern w:val="2"/>
                <w:szCs w:val="21"/>
                <w:highlight w:val="none"/>
                <w:u w:val="single"/>
              </w:rPr>
              <w:t xml:space="preserve">  </w:t>
            </w:r>
            <w:r>
              <w:rPr>
                <w:rFonts w:hint="eastAsia" w:ascii="宋体" w:hAnsi="宋体" w:cs="宋体"/>
                <w:color w:val="auto"/>
                <w:kern w:val="2"/>
                <w:szCs w:val="21"/>
                <w:highlight w:val="none"/>
              </w:rPr>
              <w:t>月</w:t>
            </w:r>
            <w:r>
              <w:rPr>
                <w:rFonts w:hint="eastAsia" w:ascii="宋体" w:hAnsi="宋体" w:cs="宋体"/>
                <w:color w:val="auto"/>
                <w:kern w:val="2"/>
                <w:szCs w:val="21"/>
                <w:highlight w:val="none"/>
                <w:u w:val="single"/>
              </w:rPr>
              <w:t xml:space="preserve">  </w:t>
            </w:r>
            <w:r>
              <w:rPr>
                <w:rFonts w:hint="eastAsia" w:ascii="宋体" w:hAnsi="宋体" w:cs="宋体"/>
                <w:color w:val="auto"/>
                <w:kern w:val="2"/>
                <w:szCs w:val="21"/>
                <w:highlight w:val="none"/>
              </w:rPr>
              <w:t>日</w:t>
            </w:r>
            <w:r>
              <w:rPr>
                <w:rFonts w:hint="eastAsia" w:ascii="宋体" w:hAnsi="宋体" w:cs="宋体"/>
                <w:color w:val="auto"/>
                <w:kern w:val="2"/>
                <w:szCs w:val="21"/>
                <w:highlight w:val="none"/>
                <w:u w:val="single"/>
              </w:rPr>
              <w:t xml:space="preserve">  </w:t>
            </w:r>
            <w:r>
              <w:rPr>
                <w:rFonts w:hint="eastAsia" w:ascii="宋体" w:hAnsi="宋体" w:cs="宋体"/>
                <w:color w:val="auto"/>
                <w:kern w:val="2"/>
                <w:szCs w:val="21"/>
                <w:highlight w:val="none"/>
              </w:rPr>
              <w:t>时</w:t>
            </w:r>
            <w:r>
              <w:rPr>
                <w:rFonts w:hint="eastAsia" w:ascii="宋体" w:hAnsi="宋体" w:cs="宋体"/>
                <w:color w:val="auto"/>
                <w:kern w:val="2"/>
                <w:szCs w:val="21"/>
                <w:highlight w:val="none"/>
                <w:u w:val="single"/>
              </w:rPr>
              <w:t xml:space="preserve">  </w:t>
            </w:r>
            <w:r>
              <w:rPr>
                <w:rFonts w:hint="eastAsia" w:ascii="宋体" w:hAnsi="宋体" w:cs="宋体"/>
                <w:color w:val="auto"/>
                <w:kern w:val="2"/>
                <w:szCs w:val="21"/>
                <w:highlight w:val="none"/>
              </w:rPr>
              <w:t>分前不得开启（填入开标时间）</w:t>
            </w:r>
          </w:p>
        </w:tc>
      </w:tr>
      <w:tr w14:paraId="029C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7E51B6D2">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rPr>
              <w:t>4.2.1</w:t>
            </w:r>
          </w:p>
        </w:tc>
        <w:tc>
          <w:tcPr>
            <w:tcW w:w="2543" w:type="dxa"/>
            <w:noWrap w:val="0"/>
            <w:vAlign w:val="center"/>
          </w:tcPr>
          <w:p w14:paraId="3BAC577D">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bCs/>
                <w:color w:val="auto"/>
                <w:kern w:val="1"/>
                <w:szCs w:val="21"/>
                <w:highlight w:val="none"/>
              </w:rPr>
              <w:t>投标截止时间</w:t>
            </w:r>
          </w:p>
        </w:tc>
        <w:tc>
          <w:tcPr>
            <w:tcW w:w="6585" w:type="dxa"/>
            <w:noWrap w:val="0"/>
            <w:vAlign w:val="center"/>
          </w:tcPr>
          <w:p w14:paraId="453A35FF">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投标截止时间：</w:t>
            </w:r>
            <w:r>
              <w:rPr>
                <w:rFonts w:hint="eastAsia" w:ascii="宋体" w:hAnsi="宋体" w:cs="宋体"/>
                <w:color w:val="auto"/>
                <w:kern w:val="2"/>
                <w:szCs w:val="21"/>
                <w:highlight w:val="none"/>
                <w:u w:val="single"/>
              </w:rPr>
              <w:t xml:space="preserve">    </w:t>
            </w:r>
            <w:r>
              <w:rPr>
                <w:rFonts w:hint="eastAsia" w:ascii="宋体" w:hAnsi="宋体" w:cs="宋体"/>
                <w:color w:val="auto"/>
                <w:kern w:val="2"/>
                <w:szCs w:val="21"/>
                <w:highlight w:val="none"/>
              </w:rPr>
              <w:t>年</w:t>
            </w:r>
            <w:r>
              <w:rPr>
                <w:rFonts w:hint="eastAsia" w:ascii="宋体" w:hAnsi="宋体" w:cs="宋体"/>
                <w:color w:val="auto"/>
                <w:kern w:val="2"/>
                <w:szCs w:val="21"/>
                <w:highlight w:val="none"/>
                <w:u w:val="single"/>
              </w:rPr>
              <w:t xml:space="preserve">  </w:t>
            </w:r>
            <w:r>
              <w:rPr>
                <w:rFonts w:hint="eastAsia" w:ascii="宋体" w:hAnsi="宋体" w:cs="宋体"/>
                <w:color w:val="auto"/>
                <w:kern w:val="2"/>
                <w:szCs w:val="21"/>
                <w:highlight w:val="none"/>
              </w:rPr>
              <w:t>月</w:t>
            </w:r>
            <w:r>
              <w:rPr>
                <w:rFonts w:hint="eastAsia" w:ascii="宋体" w:hAnsi="宋体" w:cs="宋体"/>
                <w:color w:val="auto"/>
                <w:kern w:val="2"/>
                <w:szCs w:val="21"/>
                <w:highlight w:val="none"/>
                <w:u w:val="single"/>
              </w:rPr>
              <w:t xml:space="preserve">  </w:t>
            </w:r>
            <w:r>
              <w:rPr>
                <w:rFonts w:hint="eastAsia" w:ascii="宋体" w:hAnsi="宋体" w:cs="宋体"/>
                <w:color w:val="auto"/>
                <w:kern w:val="2"/>
                <w:szCs w:val="21"/>
                <w:highlight w:val="none"/>
              </w:rPr>
              <w:t>日</w:t>
            </w:r>
            <w:r>
              <w:rPr>
                <w:rFonts w:hint="eastAsia" w:ascii="宋体" w:hAnsi="宋体" w:cs="宋体"/>
                <w:color w:val="auto"/>
                <w:kern w:val="2"/>
                <w:szCs w:val="21"/>
                <w:highlight w:val="none"/>
                <w:u w:val="single"/>
              </w:rPr>
              <w:t xml:space="preserve">  </w:t>
            </w:r>
            <w:r>
              <w:rPr>
                <w:rFonts w:hint="eastAsia" w:ascii="宋体" w:hAnsi="宋体" w:cs="宋体"/>
                <w:color w:val="auto"/>
                <w:kern w:val="2"/>
                <w:szCs w:val="21"/>
                <w:highlight w:val="none"/>
              </w:rPr>
              <w:t>时</w:t>
            </w:r>
            <w:r>
              <w:rPr>
                <w:rFonts w:hint="eastAsia" w:ascii="宋体" w:hAnsi="宋体" w:cs="宋体"/>
                <w:color w:val="auto"/>
                <w:kern w:val="2"/>
                <w:szCs w:val="21"/>
                <w:highlight w:val="none"/>
                <w:u w:val="single"/>
              </w:rPr>
              <w:t xml:space="preserve">  </w:t>
            </w:r>
            <w:r>
              <w:rPr>
                <w:rFonts w:hint="eastAsia" w:ascii="宋体" w:hAnsi="宋体" w:cs="宋体"/>
                <w:color w:val="auto"/>
                <w:kern w:val="2"/>
                <w:szCs w:val="21"/>
                <w:highlight w:val="none"/>
              </w:rPr>
              <w:t>分；</w:t>
            </w:r>
          </w:p>
          <w:p w14:paraId="46BE9D2F">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u w:val="single"/>
              </w:rPr>
              <w:t>具体时间可以到</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2"/>
                <w:szCs w:val="21"/>
                <w:highlight w:val="none"/>
                <w:u w:val="single"/>
              </w:rPr>
              <w:t>网站的项目查询(日程安排、答疑纪要)中输入本项目编号或项目名称进行查询。</w:t>
            </w:r>
          </w:p>
        </w:tc>
      </w:tr>
      <w:tr w14:paraId="00F4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24C2073C">
            <w:pPr>
              <w:keepNext w:val="0"/>
              <w:keepLines w:val="0"/>
              <w:suppressLineNumbers w:val="0"/>
              <w:snapToGrid w:val="0"/>
              <w:spacing w:before="0" w:beforeAutospacing="0" w:afterAutospacing="0" w:line="240" w:lineRule="exact"/>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4.2.2</w:t>
            </w:r>
          </w:p>
        </w:tc>
        <w:tc>
          <w:tcPr>
            <w:tcW w:w="2543" w:type="dxa"/>
            <w:noWrap w:val="0"/>
            <w:vAlign w:val="center"/>
          </w:tcPr>
          <w:p w14:paraId="652D4928">
            <w:pPr>
              <w:keepNext w:val="0"/>
              <w:keepLines w:val="0"/>
              <w:suppressLineNumbers w:val="0"/>
              <w:snapToGrid w:val="0"/>
              <w:spacing w:before="0" w:beforeAutospacing="0" w:afterAutospacing="0" w:line="240" w:lineRule="exact"/>
              <w:ind w:left="-55" w:leftChars="-26" w:right="-59" w:rightChars="-28"/>
              <w:jc w:val="center"/>
              <w:rPr>
                <w:rFonts w:hint="eastAsia" w:ascii="宋体" w:hAnsi="宋体" w:cs="宋体"/>
                <w:bCs/>
                <w:color w:val="auto"/>
                <w:kern w:val="1"/>
                <w:szCs w:val="21"/>
                <w:highlight w:val="none"/>
              </w:rPr>
            </w:pPr>
            <w:r>
              <w:rPr>
                <w:rFonts w:hint="eastAsia" w:ascii="宋体" w:hAnsi="宋体" w:cs="宋体"/>
                <w:color w:val="auto"/>
                <w:kern w:val="2"/>
                <w:szCs w:val="21"/>
                <w:highlight w:val="none"/>
              </w:rPr>
              <w:t>递交投标文件地点</w:t>
            </w:r>
          </w:p>
        </w:tc>
        <w:tc>
          <w:tcPr>
            <w:tcW w:w="6585" w:type="dxa"/>
            <w:noWrap w:val="0"/>
            <w:vAlign w:val="center"/>
          </w:tcPr>
          <w:p w14:paraId="1EC7E48F">
            <w:pPr>
              <w:keepNext w:val="0"/>
              <w:keepLines w:val="0"/>
              <w:suppressLineNumbers w:val="0"/>
              <w:snapToGrid w:val="0"/>
              <w:spacing w:before="0" w:beforeAutospacing="0" w:afterAutospacing="0"/>
              <w:ind w:left="-55" w:leftChars="-26" w:right="-59" w:rightChars="-28"/>
              <w:rPr>
                <w:rFonts w:hint="default" w:ascii="宋体" w:hAnsi="宋体" w:cs="宋体"/>
                <w:color w:val="auto"/>
                <w:kern w:val="2"/>
                <w:szCs w:val="21"/>
                <w:highlight w:val="none"/>
                <w:u w:val="single"/>
              </w:rPr>
            </w:pPr>
            <w:r>
              <w:rPr>
                <w:rFonts w:hint="eastAsia" w:ascii="宋体" w:hAnsi="宋体" w:cs="宋体"/>
                <w:color w:val="auto"/>
                <w:kern w:val="2"/>
                <w:szCs w:val="21"/>
                <w:highlight w:val="none"/>
              </w:rPr>
              <w:t>投标人应在截止时间前通过电子招标投标交易平台递交电子投标文件。</w:t>
            </w:r>
          </w:p>
        </w:tc>
      </w:tr>
      <w:tr w14:paraId="4E37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611DD91C">
            <w:pPr>
              <w:keepNext w:val="0"/>
              <w:keepLines w:val="0"/>
              <w:suppressLineNumbers w:val="0"/>
              <w:snapToGrid w:val="0"/>
              <w:spacing w:before="0" w:beforeAutospacing="0" w:afterAutospacing="0" w:line="240" w:lineRule="exact"/>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4.2.3</w:t>
            </w:r>
          </w:p>
        </w:tc>
        <w:tc>
          <w:tcPr>
            <w:tcW w:w="2543" w:type="dxa"/>
            <w:noWrap w:val="0"/>
            <w:vAlign w:val="center"/>
          </w:tcPr>
          <w:p w14:paraId="3E07AF9C">
            <w:pPr>
              <w:keepNext w:val="0"/>
              <w:keepLines w:val="0"/>
              <w:suppressLineNumbers w:val="0"/>
              <w:snapToGrid w:val="0"/>
              <w:spacing w:before="0" w:beforeAutospacing="0" w:afterAutospacing="0" w:line="240" w:lineRule="exact"/>
              <w:ind w:left="-55" w:leftChars="-26" w:right="-59" w:rightChars="-28"/>
              <w:jc w:val="center"/>
              <w:rPr>
                <w:rFonts w:hint="eastAsia" w:ascii="宋体" w:hAnsi="宋体" w:cs="宋体"/>
                <w:bCs/>
                <w:color w:val="auto"/>
                <w:kern w:val="1"/>
                <w:szCs w:val="21"/>
                <w:highlight w:val="none"/>
              </w:rPr>
            </w:pPr>
            <w:r>
              <w:rPr>
                <w:rFonts w:hint="eastAsia" w:ascii="宋体" w:hAnsi="宋体" w:cs="宋体"/>
                <w:color w:val="auto"/>
                <w:kern w:val="2"/>
                <w:szCs w:val="21"/>
                <w:highlight w:val="none"/>
              </w:rPr>
              <w:t>是否退还投标文件</w:t>
            </w:r>
          </w:p>
        </w:tc>
        <w:tc>
          <w:tcPr>
            <w:tcW w:w="6585" w:type="dxa"/>
            <w:noWrap w:val="0"/>
            <w:vAlign w:val="center"/>
          </w:tcPr>
          <w:p w14:paraId="20D0191C">
            <w:pPr>
              <w:keepNext w:val="0"/>
              <w:keepLines w:val="0"/>
              <w:suppressLineNumbers w:val="0"/>
              <w:topLinePunct/>
              <w:snapToGrid w:val="0"/>
              <w:spacing w:before="0" w:beforeAutospacing="0" w:afterAutospacing="0"/>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■否</w:t>
            </w:r>
          </w:p>
          <w:p w14:paraId="0A23B6A9">
            <w:pPr>
              <w:keepNext w:val="0"/>
              <w:keepLines w:val="0"/>
              <w:suppressLineNumbers w:val="0"/>
              <w:snapToGrid w:val="0"/>
              <w:spacing w:before="0" w:beforeAutospacing="0" w:afterAutospacing="0"/>
              <w:ind w:left="-55" w:leftChars="-26" w:right="-59" w:rightChars="-28"/>
              <w:rPr>
                <w:rFonts w:hint="default" w:ascii="宋体" w:hAnsi="宋体" w:cs="宋体"/>
                <w:color w:val="auto"/>
                <w:kern w:val="2"/>
                <w:szCs w:val="21"/>
                <w:highlight w:val="none"/>
                <w:u w:val="single"/>
              </w:rPr>
            </w:pPr>
            <w:r>
              <w:rPr>
                <w:rFonts w:hint="eastAsia" w:ascii="宋体" w:hAnsi="宋体" w:cs="宋体"/>
                <w:color w:val="auto"/>
                <w:kern w:val="2"/>
                <w:szCs w:val="21"/>
                <w:highlight w:val="none"/>
              </w:rPr>
              <w:t>□是</w:t>
            </w:r>
          </w:p>
        </w:tc>
      </w:tr>
      <w:tr w14:paraId="4F71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61EFBF57">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5.1</w:t>
            </w:r>
          </w:p>
        </w:tc>
        <w:tc>
          <w:tcPr>
            <w:tcW w:w="2543" w:type="dxa"/>
            <w:noWrap w:val="0"/>
            <w:vAlign w:val="center"/>
          </w:tcPr>
          <w:p w14:paraId="4A50F8D4">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开标时间和地点</w:t>
            </w:r>
          </w:p>
        </w:tc>
        <w:tc>
          <w:tcPr>
            <w:tcW w:w="6585" w:type="dxa"/>
            <w:noWrap w:val="0"/>
            <w:vAlign w:val="center"/>
          </w:tcPr>
          <w:p w14:paraId="2196122A">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招标人在本章第 4.2项规定的投标截止时间（开标时间）,在</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2"/>
                <w:szCs w:val="21"/>
                <w:highlight w:val="none"/>
              </w:rPr>
              <w:t>指定</w:t>
            </w:r>
            <w:r>
              <w:rPr>
                <w:rFonts w:hint="eastAsia" w:ascii="宋体" w:hAnsi="宋体" w:cs="宋体"/>
                <w:color w:val="auto"/>
                <w:kern w:val="2"/>
                <w:szCs w:val="21"/>
                <w:highlight w:val="none"/>
                <w:u w:val="single"/>
              </w:rPr>
              <w:t>开标室</w:t>
            </w:r>
            <w:r>
              <w:rPr>
                <w:rFonts w:hint="eastAsia" w:ascii="宋体" w:hAnsi="宋体" w:cs="宋体"/>
                <w:color w:val="auto"/>
                <w:kern w:val="2"/>
                <w:szCs w:val="21"/>
                <w:highlight w:val="none"/>
              </w:rPr>
              <w:t>通过</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2"/>
                <w:szCs w:val="21"/>
                <w:highlight w:val="none"/>
              </w:rPr>
              <w:t>交易平台公开开标。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7D73556E">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递交备用电子投标文件时间：</w:t>
            </w:r>
            <w:r>
              <w:rPr>
                <w:rFonts w:hint="eastAsia" w:ascii="宋体" w:hAnsi="宋体" w:cs="宋体"/>
                <w:color w:val="auto"/>
                <w:kern w:val="2"/>
                <w:szCs w:val="21"/>
                <w:highlight w:val="none"/>
                <w:u w:val="single"/>
              </w:rPr>
              <w:t>年   月   日   时   分至年   月   日   时   分</w:t>
            </w:r>
            <w:r>
              <w:rPr>
                <w:rFonts w:hint="eastAsia" w:ascii="宋体" w:hAnsi="宋体" w:cs="宋体"/>
                <w:color w:val="auto"/>
                <w:kern w:val="2"/>
                <w:szCs w:val="21"/>
                <w:highlight w:val="none"/>
              </w:rPr>
              <w:t>；递交地点：同开标地点。</w:t>
            </w:r>
          </w:p>
          <w:p w14:paraId="15373880">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具体时间、地点可以到</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2"/>
                <w:szCs w:val="21"/>
                <w:highlight w:val="none"/>
              </w:rPr>
              <w:t>网站的项目查询(日程安排、答疑纪要)中输入本项目编号或项目名称进行查询。</w:t>
            </w:r>
          </w:p>
        </w:tc>
      </w:tr>
      <w:tr w14:paraId="771C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0E24F2D6">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6.1.1</w:t>
            </w:r>
          </w:p>
        </w:tc>
        <w:tc>
          <w:tcPr>
            <w:tcW w:w="2543" w:type="dxa"/>
            <w:noWrap w:val="0"/>
            <w:vAlign w:val="center"/>
          </w:tcPr>
          <w:p w14:paraId="762964A1">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评标委员会的组建</w:t>
            </w:r>
          </w:p>
        </w:tc>
        <w:tc>
          <w:tcPr>
            <w:tcW w:w="6585" w:type="dxa"/>
            <w:noWrap w:val="0"/>
            <w:vAlign w:val="center"/>
          </w:tcPr>
          <w:p w14:paraId="4F2B816D">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评标由招标人在开标前依法组建的评标委员会负责，分勘察设计评审组、综合评审组，资格评审由综合评审组负责评审。</w:t>
            </w:r>
          </w:p>
        </w:tc>
      </w:tr>
      <w:tr w14:paraId="484C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16D1AFAD">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7.1</w:t>
            </w:r>
          </w:p>
        </w:tc>
        <w:tc>
          <w:tcPr>
            <w:tcW w:w="2543" w:type="dxa"/>
            <w:noWrap w:val="0"/>
            <w:vAlign w:val="center"/>
          </w:tcPr>
          <w:p w14:paraId="1EDE9B7F">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是否授权评标委员会确定中标人</w:t>
            </w:r>
          </w:p>
        </w:tc>
        <w:tc>
          <w:tcPr>
            <w:tcW w:w="6585" w:type="dxa"/>
            <w:noWrap w:val="0"/>
            <w:vAlign w:val="center"/>
          </w:tcPr>
          <w:p w14:paraId="59BE0C93">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□是</w:t>
            </w:r>
          </w:p>
          <w:p w14:paraId="357E142E">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■否，推荐的中标候选人数：</w:t>
            </w:r>
            <w:r>
              <w:rPr>
                <w:rFonts w:hint="eastAsia" w:ascii="宋体" w:hAnsi="宋体" w:cs="宋体"/>
                <w:color w:val="auto"/>
                <w:kern w:val="2"/>
                <w:szCs w:val="21"/>
                <w:highlight w:val="none"/>
                <w:u w:val="single"/>
              </w:rPr>
              <w:t>3人</w:t>
            </w:r>
          </w:p>
        </w:tc>
      </w:tr>
      <w:tr w14:paraId="2F05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59817925">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7.2</w:t>
            </w:r>
          </w:p>
        </w:tc>
        <w:tc>
          <w:tcPr>
            <w:tcW w:w="2543" w:type="dxa"/>
            <w:noWrap w:val="0"/>
            <w:vAlign w:val="center"/>
          </w:tcPr>
          <w:p w14:paraId="56DA46F0">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中标候选人公示媒介</w:t>
            </w:r>
          </w:p>
        </w:tc>
        <w:tc>
          <w:tcPr>
            <w:tcW w:w="6585" w:type="dxa"/>
            <w:noWrap w:val="0"/>
            <w:vAlign w:val="center"/>
          </w:tcPr>
          <w:p w14:paraId="2E2F9BBD">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2"/>
                <w:szCs w:val="21"/>
                <w:highlight w:val="none"/>
              </w:rPr>
              <w:t>网站、中国招标投标公共服务平台、广东省招标投标监管网</w:t>
            </w:r>
          </w:p>
        </w:tc>
      </w:tr>
      <w:tr w14:paraId="3B2C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3F5A134C">
            <w:pPr>
              <w:keepNext w:val="0"/>
              <w:keepLines w:val="0"/>
              <w:suppressLineNumbers w:val="0"/>
              <w:wordWrap w:val="0"/>
              <w:spacing w:before="0" w:beforeAutospacing="0" w:after="0" w:afterAutospacing="0" w:line="240" w:lineRule="auto"/>
              <w:ind w:left="0" w:right="0"/>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7.4.1</w:t>
            </w:r>
          </w:p>
        </w:tc>
        <w:tc>
          <w:tcPr>
            <w:tcW w:w="2543" w:type="dxa"/>
            <w:noWrap w:val="0"/>
            <w:vAlign w:val="center"/>
          </w:tcPr>
          <w:p w14:paraId="17F55690">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履约担保</w:t>
            </w:r>
          </w:p>
        </w:tc>
        <w:tc>
          <w:tcPr>
            <w:tcW w:w="6585" w:type="dxa"/>
            <w:noWrap w:val="0"/>
            <w:vAlign w:val="center"/>
          </w:tcPr>
          <w:p w14:paraId="048DC80A">
            <w:pPr>
              <w:pStyle w:val="2"/>
              <w:keepNext w:val="0"/>
              <w:keepLines w:val="0"/>
              <w:suppressLineNumbers w:val="0"/>
              <w:spacing w:before="0" w:beforeAutospacing="0" w:afterAutospacing="0"/>
              <w:ind w:left="0" w:right="0"/>
              <w:rPr>
                <w:rFonts w:hint="default" w:cs="宋体"/>
                <w:color w:val="auto"/>
                <w:kern w:val="2"/>
                <w:sz w:val="21"/>
                <w:szCs w:val="21"/>
                <w:highlight w:val="none"/>
              </w:rPr>
            </w:pPr>
            <w:r>
              <w:rPr>
                <w:rFonts w:hint="eastAsia" w:cs="宋体"/>
                <w:color w:val="auto"/>
                <w:kern w:val="2"/>
                <w:sz w:val="21"/>
                <w:szCs w:val="21"/>
                <w:highlight w:val="none"/>
              </w:rPr>
              <w:t>履约担保的形式：按合同相关要求。</w:t>
            </w:r>
          </w:p>
          <w:p w14:paraId="1CB4F1E6">
            <w:pPr>
              <w:pStyle w:val="2"/>
              <w:keepNext w:val="0"/>
              <w:keepLines w:val="0"/>
              <w:suppressLineNumbers w:val="0"/>
              <w:spacing w:before="0" w:beforeAutospacing="0" w:afterAutospacing="0"/>
              <w:ind w:left="0" w:right="0"/>
              <w:rPr>
                <w:rFonts w:hint="default" w:cs="宋体"/>
                <w:color w:val="auto"/>
                <w:kern w:val="2"/>
                <w:sz w:val="21"/>
                <w:szCs w:val="21"/>
                <w:highlight w:val="none"/>
              </w:rPr>
            </w:pPr>
            <w:r>
              <w:rPr>
                <w:rFonts w:hint="eastAsia" w:cs="宋体"/>
                <w:color w:val="auto"/>
                <w:kern w:val="2"/>
                <w:sz w:val="21"/>
                <w:szCs w:val="21"/>
                <w:highlight w:val="none"/>
              </w:rPr>
              <w:t>履约担保的金额：中标价的10%，联合体投标的由联合体主办单位办理。</w:t>
            </w:r>
          </w:p>
          <w:p w14:paraId="329F0834">
            <w:pPr>
              <w:pStyle w:val="2"/>
              <w:keepNext w:val="0"/>
              <w:keepLines w:val="0"/>
              <w:suppressLineNumbers w:val="0"/>
              <w:spacing w:before="0" w:beforeAutospacing="0" w:after="0" w:afterAutospacing="0" w:line="240" w:lineRule="auto"/>
              <w:ind w:left="0" w:right="0"/>
              <w:rPr>
                <w:rFonts w:hint="default" w:cs="宋体"/>
                <w:color w:val="auto"/>
                <w:kern w:val="2"/>
                <w:sz w:val="21"/>
                <w:szCs w:val="21"/>
                <w:highlight w:val="none"/>
                <w:lang w:val="en-US"/>
              </w:rPr>
            </w:pPr>
            <w:r>
              <w:rPr>
                <w:rFonts w:hint="eastAsia" w:cs="宋体"/>
                <w:color w:val="auto"/>
                <w:kern w:val="2"/>
                <w:sz w:val="21"/>
                <w:szCs w:val="21"/>
                <w:highlight w:val="none"/>
                <w:lang w:val="en-US"/>
              </w:rPr>
              <w:t>履约保函的担保期限按合同约定执行。</w:t>
            </w:r>
          </w:p>
        </w:tc>
      </w:tr>
      <w:tr w14:paraId="2307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7219D540">
            <w:pPr>
              <w:keepNext w:val="0"/>
              <w:keepLines w:val="0"/>
              <w:suppressLineNumbers w:val="0"/>
              <w:snapToGrid w:val="0"/>
              <w:spacing w:before="0" w:beforeAutospacing="0" w:afterAutospacing="0" w:line="240" w:lineRule="exact"/>
              <w:ind w:left="-55" w:leftChars="-26" w:right="-59" w:rightChars="-28"/>
              <w:jc w:val="center"/>
              <w:rPr>
                <w:rFonts w:hint="eastAsia" w:ascii="宋体" w:hAnsi="宋体" w:cs="宋体"/>
                <w:color w:val="auto"/>
                <w:kern w:val="1"/>
                <w:szCs w:val="21"/>
                <w:highlight w:val="none"/>
              </w:rPr>
            </w:pPr>
            <w:r>
              <w:rPr>
                <w:rFonts w:hint="eastAsia" w:ascii="宋体" w:hAnsi="宋体" w:cs="宋体"/>
                <w:color w:val="auto"/>
                <w:kern w:val="2"/>
                <w:szCs w:val="21"/>
                <w:highlight w:val="none"/>
              </w:rPr>
              <w:t>/</w:t>
            </w:r>
          </w:p>
        </w:tc>
        <w:tc>
          <w:tcPr>
            <w:tcW w:w="2543" w:type="dxa"/>
            <w:noWrap w:val="0"/>
            <w:vAlign w:val="center"/>
          </w:tcPr>
          <w:p w14:paraId="637F3D60">
            <w:pPr>
              <w:keepNext w:val="0"/>
              <w:keepLines w:val="0"/>
              <w:suppressLineNumbers w:val="0"/>
              <w:snapToGrid w:val="0"/>
              <w:spacing w:before="0" w:beforeAutospacing="0" w:afterAutospacing="0" w:line="240" w:lineRule="exact"/>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工程成本警戒价</w:t>
            </w:r>
          </w:p>
        </w:tc>
        <w:tc>
          <w:tcPr>
            <w:tcW w:w="6585" w:type="dxa"/>
            <w:noWrap w:val="0"/>
            <w:vAlign w:val="center"/>
          </w:tcPr>
          <w:p w14:paraId="76472292">
            <w:pPr>
              <w:keepNext w:val="0"/>
              <w:keepLines w:val="0"/>
              <w:suppressLineNumbers w:val="0"/>
              <w:spacing w:before="0" w:beforeAutospacing="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工程成本警戒价按最高投标限价中的建安工程费</w:t>
            </w:r>
            <w:r>
              <w:rPr>
                <w:rFonts w:hint="eastAsia" w:ascii="宋体" w:hAnsi="宋体" w:cs="宋体"/>
                <w:color w:val="auto"/>
                <w:kern w:val="2"/>
                <w:szCs w:val="21"/>
                <w:highlight w:val="none"/>
                <w:u w:val="single"/>
              </w:rPr>
              <w:t>90%</w:t>
            </w:r>
            <w:r>
              <w:rPr>
                <w:rFonts w:hint="eastAsia" w:ascii="宋体" w:hAnsi="宋体" w:cs="宋体"/>
                <w:color w:val="auto"/>
                <w:kern w:val="2"/>
                <w:szCs w:val="21"/>
                <w:highlight w:val="none"/>
              </w:rPr>
              <w:t>设置为</w:t>
            </w:r>
            <w:r>
              <w:rPr>
                <w:rFonts w:hint="eastAsia" w:ascii="宋体" w:hAnsi="宋体" w:cs="宋体"/>
                <w:color w:val="auto"/>
                <w:kern w:val="2"/>
                <w:szCs w:val="21"/>
                <w:highlight w:val="none"/>
                <w:u w:val="single"/>
                <w:lang w:eastAsia="zh-CN"/>
              </w:rPr>
              <w:t>3</w:t>
            </w:r>
            <w:r>
              <w:rPr>
                <w:rFonts w:hint="eastAsia" w:ascii="宋体" w:hAnsi="宋体" w:cs="宋体"/>
                <w:color w:val="auto"/>
                <w:kern w:val="2"/>
                <w:szCs w:val="21"/>
                <w:highlight w:val="none"/>
                <w:u w:val="single"/>
                <w:lang w:val="en-US" w:eastAsia="zh-CN"/>
              </w:rPr>
              <w:t>2576.91</w:t>
            </w:r>
            <w:r>
              <w:rPr>
                <w:rFonts w:hint="eastAsia" w:ascii="宋体" w:hAnsi="宋体" w:cs="宋体"/>
                <w:color w:val="auto"/>
                <w:kern w:val="2"/>
                <w:szCs w:val="21"/>
                <w:highlight w:val="none"/>
                <w:u w:val="single"/>
              </w:rPr>
              <w:t>万</w:t>
            </w:r>
            <w:r>
              <w:rPr>
                <w:rFonts w:hint="eastAsia" w:ascii="宋体" w:hAnsi="宋体" w:cs="宋体"/>
                <w:color w:val="auto"/>
                <w:kern w:val="2"/>
                <w:szCs w:val="21"/>
                <w:highlight w:val="none"/>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4956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0B47EB38">
            <w:pPr>
              <w:keepNext w:val="0"/>
              <w:keepLines w:val="0"/>
              <w:suppressLineNumbers w:val="0"/>
              <w:snapToGrid w:val="0"/>
              <w:spacing w:before="0" w:beforeAutospacing="0" w:afterAutospacing="0" w:line="240" w:lineRule="exact"/>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w:t>
            </w:r>
          </w:p>
        </w:tc>
        <w:tc>
          <w:tcPr>
            <w:tcW w:w="2543" w:type="dxa"/>
            <w:noWrap w:val="0"/>
            <w:vAlign w:val="center"/>
          </w:tcPr>
          <w:p w14:paraId="649978FF">
            <w:pPr>
              <w:keepNext w:val="0"/>
              <w:keepLines w:val="0"/>
              <w:suppressLineNumbers w:val="0"/>
              <w:snapToGrid w:val="0"/>
              <w:spacing w:before="0" w:beforeAutospacing="0" w:afterAutospacing="0" w:line="240" w:lineRule="exact"/>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承包方式</w:t>
            </w:r>
          </w:p>
        </w:tc>
        <w:tc>
          <w:tcPr>
            <w:tcW w:w="6585" w:type="dxa"/>
            <w:noWrap w:val="0"/>
            <w:vAlign w:val="center"/>
          </w:tcPr>
          <w:p w14:paraId="063A2C15">
            <w:pPr>
              <w:keepNext w:val="0"/>
              <w:keepLines w:val="0"/>
              <w:numPr>
                <w:ilvl w:val="0"/>
                <w:numId w:val="2"/>
              </w:numPr>
              <w:suppressLineNumbers w:val="0"/>
              <w:spacing w:before="0" w:beforeAutospacing="0" w:afterAutospacing="0"/>
              <w:ind w:left="0" w:right="0"/>
              <w:rPr>
                <w:rFonts w:hint="default" w:ascii="宋体" w:hAnsi="宋体" w:cs="宋体"/>
                <w:color w:val="auto"/>
                <w:kern w:val="2"/>
                <w:szCs w:val="21"/>
                <w:highlight w:val="none"/>
                <w:u w:val="single"/>
              </w:rPr>
            </w:pPr>
            <w:r>
              <w:rPr>
                <w:rFonts w:hint="eastAsia" w:ascii="宋体" w:hAnsi="宋体" w:cs="宋体"/>
                <w:color w:val="auto"/>
                <w:kern w:val="2"/>
                <w:szCs w:val="21"/>
                <w:highlight w:val="none"/>
              </w:rPr>
              <w:t>承包方式为工程总承包。包勘察、包设计（含深化设计）、包工程施工、包工、包料、包工期、包质量、包安全、包文明施工、包验收通过、包保修、包工程概、预算编制、包变更预算及结算编制。施工图预算、变更预算及结算，如果承包人没有编制资质，应委托具有工程造价咨询与工程相应的资质等级的第三方机构进行编制，施工图预算、变更预算及结算需经发包人、项目管理单位（如有）审核确认。</w:t>
            </w:r>
          </w:p>
          <w:p w14:paraId="52D28EB4">
            <w:pPr>
              <w:pStyle w:val="2"/>
              <w:keepNext w:val="0"/>
              <w:keepLines w:val="0"/>
              <w:numPr>
                <w:ilvl w:val="0"/>
                <w:numId w:val="2"/>
              </w:numPr>
              <w:suppressLineNumbers w:val="0"/>
              <w:spacing w:before="0" w:beforeAutospacing="0" w:afterAutospacing="0"/>
              <w:ind w:left="0" w:right="0"/>
              <w:rPr>
                <w:rFonts w:hint="default" w:cs="宋体"/>
                <w:color w:val="auto"/>
                <w:kern w:val="2"/>
                <w:sz w:val="21"/>
                <w:szCs w:val="21"/>
                <w:highlight w:val="none"/>
              </w:rPr>
            </w:pPr>
            <w:r>
              <w:rPr>
                <w:rFonts w:hint="eastAsia" w:cs="宋体"/>
                <w:color w:val="auto"/>
                <w:kern w:val="2"/>
                <w:sz w:val="21"/>
                <w:szCs w:val="21"/>
                <w:highlight w:val="none"/>
              </w:rPr>
              <w:t>工程勘察综合单价包干，工程量按实计算。没有综合单价项目根据收费标准，按合同约定下浮率、中标下浮率计算。</w:t>
            </w:r>
          </w:p>
          <w:p w14:paraId="5F2CD415">
            <w:pPr>
              <w:pStyle w:val="2"/>
              <w:keepNext w:val="0"/>
              <w:keepLines w:val="0"/>
              <w:numPr>
                <w:ilvl w:val="0"/>
                <w:numId w:val="2"/>
              </w:numPr>
              <w:suppressLineNumbers w:val="0"/>
              <w:spacing w:before="0" w:beforeAutospacing="0" w:afterAutospacing="0"/>
              <w:ind w:left="0" w:right="0"/>
              <w:rPr>
                <w:rFonts w:hint="default" w:cs="宋体"/>
                <w:color w:val="auto"/>
                <w:kern w:val="2"/>
                <w:sz w:val="21"/>
                <w:szCs w:val="21"/>
                <w:highlight w:val="none"/>
              </w:rPr>
            </w:pPr>
            <w:r>
              <w:rPr>
                <w:rFonts w:hint="eastAsia" w:cs="宋体"/>
                <w:color w:val="auto"/>
                <w:kern w:val="2"/>
                <w:sz w:val="21"/>
                <w:szCs w:val="21"/>
                <w:highlight w:val="none"/>
              </w:rPr>
              <w:t>工程设计必须依据可行性研究报告进行方案设计、初步设计和施工图设计，工程设计的范围、标准、规格、限额均不得超过可行性研究报告的要求，满足发包人、项目管理单位（如有）成本控制要求。</w:t>
            </w:r>
          </w:p>
          <w:p w14:paraId="6B96DB17">
            <w:pPr>
              <w:pStyle w:val="2"/>
              <w:keepNext w:val="0"/>
              <w:keepLines w:val="0"/>
              <w:numPr>
                <w:ilvl w:val="0"/>
                <w:numId w:val="2"/>
              </w:numPr>
              <w:suppressLineNumbers w:val="0"/>
              <w:spacing w:before="0" w:beforeAutospacing="0" w:afterAutospacing="0"/>
              <w:ind w:left="0" w:right="0"/>
              <w:rPr>
                <w:rFonts w:hint="default" w:cs="宋体"/>
                <w:color w:val="auto"/>
                <w:kern w:val="2"/>
                <w:sz w:val="21"/>
                <w:szCs w:val="21"/>
                <w:highlight w:val="none"/>
              </w:rPr>
            </w:pPr>
            <w:r>
              <w:rPr>
                <w:rFonts w:hint="eastAsia" w:cs="宋体"/>
                <w:color w:val="auto"/>
                <w:kern w:val="2"/>
                <w:sz w:val="21"/>
                <w:szCs w:val="21"/>
                <w:highlight w:val="none"/>
              </w:rPr>
              <w:t>工程施工部分：按经批准的工程预算及合同约定的计价方式确定的综合单价包干，项目措施费包干，工程量按实计算。</w:t>
            </w:r>
          </w:p>
          <w:p w14:paraId="31E61C1C">
            <w:pPr>
              <w:pStyle w:val="2"/>
              <w:keepNext w:val="0"/>
              <w:keepLines w:val="0"/>
              <w:suppressLineNumbers w:val="0"/>
              <w:spacing w:before="0" w:beforeAutospacing="0" w:afterAutospacing="0"/>
              <w:ind w:left="0" w:right="0"/>
              <w:rPr>
                <w:rFonts w:hint="default" w:cs="宋体"/>
                <w:color w:val="auto"/>
                <w:kern w:val="2"/>
                <w:sz w:val="21"/>
                <w:szCs w:val="21"/>
                <w:highlight w:val="none"/>
              </w:rPr>
            </w:pPr>
            <w:r>
              <w:rPr>
                <w:rFonts w:hint="eastAsia" w:cs="宋体"/>
                <w:color w:val="auto"/>
                <w:kern w:val="2"/>
                <w:sz w:val="21"/>
                <w:szCs w:val="21"/>
                <w:highlight w:val="none"/>
              </w:rPr>
              <w:t>项目措施费调减的特殊情况：工程实施内容减少，按分部分项工程费计算减少比例超过10%的，超过部分按分部分项工程费的比例调减措施项目费</w:t>
            </w:r>
          </w:p>
          <w:p w14:paraId="764A2872">
            <w:pPr>
              <w:keepNext w:val="0"/>
              <w:keepLines w:val="0"/>
              <w:suppressLineNumbers w:val="0"/>
              <w:spacing w:before="0" w:beforeAutospacing="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u w:val="single"/>
              </w:rPr>
              <w:t>（具体以合同为准）</w:t>
            </w:r>
          </w:p>
        </w:tc>
      </w:tr>
      <w:tr w14:paraId="27B5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1ADF86F5">
            <w:pPr>
              <w:keepNext w:val="0"/>
              <w:keepLines w:val="0"/>
              <w:suppressLineNumbers w:val="0"/>
              <w:snapToGrid w:val="0"/>
              <w:spacing w:before="0" w:beforeAutospacing="0" w:afterAutospacing="0" w:line="240" w:lineRule="exact"/>
              <w:ind w:left="-55" w:leftChars="-26" w:right="-59" w:rightChars="-28"/>
              <w:jc w:val="center"/>
              <w:rPr>
                <w:rFonts w:hint="eastAsia" w:ascii="宋体" w:hAnsi="宋体" w:cs="宋体"/>
                <w:b/>
                <w:color w:val="auto"/>
                <w:kern w:val="1"/>
                <w:szCs w:val="21"/>
                <w:highlight w:val="none"/>
              </w:rPr>
            </w:pPr>
            <w:r>
              <w:rPr>
                <w:rFonts w:hint="eastAsia" w:ascii="宋体" w:hAnsi="宋体" w:cs="宋体"/>
                <w:b/>
                <w:color w:val="auto"/>
                <w:kern w:val="2"/>
                <w:szCs w:val="21"/>
                <w:highlight w:val="none"/>
              </w:rPr>
              <w:t>9</w:t>
            </w:r>
          </w:p>
        </w:tc>
        <w:tc>
          <w:tcPr>
            <w:tcW w:w="9128" w:type="dxa"/>
            <w:gridSpan w:val="2"/>
            <w:noWrap w:val="0"/>
            <w:vAlign w:val="center"/>
          </w:tcPr>
          <w:p w14:paraId="24A0C6DE">
            <w:pPr>
              <w:keepNext w:val="0"/>
              <w:keepLines w:val="0"/>
              <w:suppressLineNumbers w:val="0"/>
              <w:wordWrap w:val="0"/>
              <w:spacing w:before="0" w:beforeAutospacing="0" w:after="0" w:afterAutospacing="0" w:line="240" w:lineRule="auto"/>
              <w:ind w:left="0" w:right="0"/>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需要补充的其他内容</w:t>
            </w:r>
          </w:p>
        </w:tc>
      </w:tr>
      <w:tr w14:paraId="5537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884" w:type="dxa"/>
            <w:noWrap w:val="0"/>
            <w:vAlign w:val="center"/>
          </w:tcPr>
          <w:p w14:paraId="4277D83A">
            <w:pPr>
              <w:keepNext w:val="0"/>
              <w:keepLines w:val="0"/>
              <w:suppressLineNumbers w:val="0"/>
              <w:snapToGrid w:val="0"/>
              <w:spacing w:before="0" w:beforeAutospacing="0" w:afterAutospacing="0" w:line="240" w:lineRule="exact"/>
              <w:ind w:left="-55" w:leftChars="-26" w:right="-59" w:rightChars="-28"/>
              <w:jc w:val="center"/>
              <w:rPr>
                <w:rFonts w:hint="default" w:ascii="宋体" w:hAnsi="宋体" w:cs="宋体"/>
                <w:color w:val="auto"/>
                <w:kern w:val="2"/>
                <w:szCs w:val="21"/>
                <w:highlight w:val="none"/>
              </w:rPr>
            </w:pPr>
            <w:r>
              <w:rPr>
                <w:rFonts w:hint="eastAsia" w:ascii="宋体" w:hAnsi="宋体" w:cs="宋体"/>
                <w:bCs/>
                <w:color w:val="auto"/>
                <w:kern w:val="2"/>
                <w:szCs w:val="21"/>
                <w:highlight w:val="none"/>
              </w:rPr>
              <w:t>9.1</w:t>
            </w:r>
          </w:p>
        </w:tc>
        <w:tc>
          <w:tcPr>
            <w:tcW w:w="9128" w:type="dxa"/>
            <w:gridSpan w:val="2"/>
            <w:noWrap w:val="0"/>
            <w:vAlign w:val="center"/>
          </w:tcPr>
          <w:p w14:paraId="00AC6389">
            <w:pPr>
              <w:keepNext w:val="0"/>
              <w:keepLines w:val="0"/>
              <w:widowControl/>
              <w:suppressLineNumbers w:val="0"/>
              <w:snapToGrid w:val="0"/>
              <w:spacing w:before="0" w:beforeAutospacing="0" w:afterAutospacing="0"/>
              <w:ind w:left="-55" w:leftChars="-26" w:right="-59" w:rightChars="-28"/>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建设工程质量检测单位：</w:t>
            </w:r>
          </w:p>
          <w:p w14:paraId="35B7409C">
            <w:pPr>
              <w:keepNext w:val="0"/>
              <w:keepLines w:val="0"/>
              <w:suppressLineNumbers w:val="0"/>
              <w:snapToGrid w:val="0"/>
              <w:spacing w:before="0" w:beforeAutospacing="0" w:afterAutospacing="0"/>
              <w:ind w:left="-55" w:leftChars="-26" w:right="-59" w:rightChars="-28"/>
              <w:jc w:val="left"/>
              <w:rPr>
                <w:rFonts w:hint="default" w:ascii="宋体" w:hAnsi="宋体" w:cs="宋体"/>
                <w:color w:val="auto"/>
                <w:kern w:val="2"/>
                <w:szCs w:val="21"/>
                <w:highlight w:val="none"/>
              </w:rPr>
            </w:pPr>
            <w:r>
              <w:rPr>
                <w:rFonts w:hint="eastAsia" w:ascii="宋体" w:hAnsi="宋体" w:cs="宋体"/>
                <w:color w:val="auto"/>
                <w:kern w:val="0"/>
                <w:szCs w:val="21"/>
                <w:highlight w:val="none"/>
              </w:rPr>
              <w:t>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1429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6E974F1D">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9.2</w:t>
            </w:r>
          </w:p>
        </w:tc>
        <w:tc>
          <w:tcPr>
            <w:tcW w:w="9128" w:type="dxa"/>
            <w:gridSpan w:val="2"/>
            <w:noWrap w:val="0"/>
            <w:vAlign w:val="center"/>
          </w:tcPr>
          <w:p w14:paraId="4AEE69E4">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施工保修期限：按照《建设工程质量管理条例》规定。</w:t>
            </w:r>
          </w:p>
        </w:tc>
      </w:tr>
      <w:tr w14:paraId="6DCF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3F988E85">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9.3</w:t>
            </w:r>
          </w:p>
        </w:tc>
        <w:tc>
          <w:tcPr>
            <w:tcW w:w="9128" w:type="dxa"/>
            <w:gridSpan w:val="2"/>
            <w:noWrap w:val="0"/>
            <w:vAlign w:val="center"/>
          </w:tcPr>
          <w:p w14:paraId="2D391836">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在招标和合同实施期间，招标人要求投标人和承包人遵守最高的道德标准。</w:t>
            </w:r>
          </w:p>
          <w:p w14:paraId="794DD196">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1、对本条款的规定，特定义如下词汇：</w:t>
            </w:r>
          </w:p>
          <w:p w14:paraId="709A2C40">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1）“腐败行为”是指在招标或合同执行期间，通过提供、给予、接受或索要任何有价值的东西，从而影响招标人有关人员工作的行为；</w:t>
            </w:r>
          </w:p>
          <w:p w14:paraId="62C72AD6">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2）“欺诈行为”是指通过提供伪证影响招标或合同执行，从而损害招标人利益的行为；也包括投标人之间串通（在提交投标书之前或之后），人为地使招标过程失去竞争性，从而使招标人无法从公开的自由竞争中获得利益的行为。</w:t>
            </w:r>
          </w:p>
          <w:p w14:paraId="03BE39DF">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2、如果投标人被认定在本招标的竞争中有腐败或欺诈行为，则会被取消投标资格。</w:t>
            </w:r>
          </w:p>
        </w:tc>
      </w:tr>
      <w:tr w14:paraId="6BBA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731C7E28">
            <w:pPr>
              <w:keepNext w:val="0"/>
              <w:keepLines w:val="0"/>
              <w:suppressLineNumbers w:val="0"/>
              <w:spacing w:before="0" w:beforeAutospacing="0" w:afterAutospacing="0"/>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9.4</w:t>
            </w:r>
          </w:p>
        </w:tc>
        <w:tc>
          <w:tcPr>
            <w:tcW w:w="9128" w:type="dxa"/>
            <w:gridSpan w:val="2"/>
            <w:noWrap w:val="0"/>
            <w:vAlign w:val="center"/>
          </w:tcPr>
          <w:p w14:paraId="632D18CF">
            <w:pPr>
              <w:keepNext w:val="0"/>
              <w:keepLines w:val="0"/>
              <w:suppressLineNumbers w:val="0"/>
              <w:tabs>
                <w:tab w:val="left" w:pos="3047"/>
              </w:tabs>
              <w:spacing w:before="0" w:beforeAutospacing="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招标人向投标人提供的有关现场的数据和资料，是招标人现有的能被投标人利用的资料，一切以投标人实际</w:t>
            </w:r>
            <w:r>
              <w:rPr>
                <w:rStyle w:val="93"/>
                <w:rFonts w:hint="eastAsia" w:ascii="宋体" w:hAnsi="宋体" w:eastAsia="宋体" w:cs="宋体"/>
                <w:color w:val="auto"/>
                <w:kern w:val="2"/>
                <w:sz w:val="21"/>
                <w:szCs w:val="21"/>
                <w:highlight w:val="none"/>
              </w:rPr>
              <w:t>踏勘</w:t>
            </w:r>
            <w:r>
              <w:rPr>
                <w:rFonts w:hint="eastAsia" w:ascii="宋体" w:hAnsi="宋体" w:cs="宋体"/>
                <w:color w:val="auto"/>
                <w:kern w:val="2"/>
                <w:szCs w:val="21"/>
                <w:highlight w:val="none"/>
              </w:rPr>
              <w:t>现场情况为准，招标人对投标人做出的任何推论、理解和结论均不负责任。</w:t>
            </w:r>
          </w:p>
        </w:tc>
      </w:tr>
      <w:tr w14:paraId="04A9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077D77D3">
            <w:pPr>
              <w:keepNext w:val="0"/>
              <w:keepLines w:val="0"/>
              <w:suppressLineNumbers w:val="0"/>
              <w:spacing w:before="0" w:beforeAutospacing="0" w:afterAutospacing="0"/>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9.5</w:t>
            </w:r>
          </w:p>
        </w:tc>
        <w:tc>
          <w:tcPr>
            <w:tcW w:w="9128" w:type="dxa"/>
            <w:gridSpan w:val="2"/>
            <w:noWrap w:val="0"/>
            <w:vAlign w:val="center"/>
          </w:tcPr>
          <w:p w14:paraId="0A266D14">
            <w:pPr>
              <w:keepNext w:val="0"/>
              <w:keepLines w:val="0"/>
              <w:suppressLineNumbers w:val="0"/>
              <w:spacing w:before="0" w:beforeAutospacing="0" w:afterAutospacing="0"/>
              <w:ind w:left="0" w:right="0"/>
              <w:jc w:val="left"/>
              <w:rPr>
                <w:rFonts w:hint="default" w:ascii="宋体" w:hAnsi="宋体" w:cs="宋体"/>
                <w:color w:val="auto"/>
                <w:kern w:val="2"/>
                <w:szCs w:val="21"/>
                <w:highlight w:val="none"/>
              </w:rPr>
            </w:pPr>
            <w:r>
              <w:rPr>
                <w:rFonts w:hint="eastAsia" w:ascii="宋体" w:hAnsi="宋体" w:cs="宋体"/>
                <w:color w:val="auto"/>
                <w:kern w:val="2"/>
                <w:szCs w:val="21"/>
                <w:highlight w:val="none"/>
              </w:rPr>
              <w:t>投标文件中需同时填写大写和小写的，大写和小写不一致时以大写为准。</w:t>
            </w:r>
          </w:p>
        </w:tc>
      </w:tr>
      <w:tr w14:paraId="24AD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1A0F3D2F">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9.6</w:t>
            </w:r>
          </w:p>
        </w:tc>
        <w:tc>
          <w:tcPr>
            <w:tcW w:w="9128" w:type="dxa"/>
            <w:gridSpan w:val="2"/>
            <w:noWrap w:val="0"/>
            <w:vAlign w:val="center"/>
          </w:tcPr>
          <w:p w14:paraId="78FC9F0A">
            <w:pPr>
              <w:keepNext w:val="0"/>
              <w:keepLines w:val="0"/>
              <w:suppressLineNumbers w:val="0"/>
              <w:wordWrap w:val="0"/>
              <w:spacing w:before="0" w:beforeAutospacing="0" w:after="0" w:afterAutospacing="0" w:line="240" w:lineRule="auto"/>
              <w:ind w:left="0" w:right="0"/>
              <w:rPr>
                <w:rFonts w:hint="eastAsia" w:ascii="宋体" w:hAnsi="宋体" w:cs="宋体"/>
                <w:color w:val="auto"/>
                <w:kern w:val="1"/>
                <w:szCs w:val="21"/>
                <w:highlight w:val="none"/>
              </w:rPr>
            </w:pPr>
            <w:r>
              <w:rPr>
                <w:rFonts w:hint="eastAsia" w:ascii="宋体" w:hAnsi="宋体" w:cs="宋体"/>
                <w:color w:val="auto"/>
                <w:kern w:val="1"/>
                <w:szCs w:val="21"/>
                <w:highlight w:val="none"/>
              </w:rPr>
              <w:t>施工图即使通过审查备案，但如未达到国家、地方的行业标准、规范等及招标人需求任务书规定标准和深度，招标人要求完善的，属于设计失误（由招标人牵头认定是否设计失误），招标人不承担任何费用。</w:t>
            </w:r>
          </w:p>
        </w:tc>
      </w:tr>
      <w:tr w14:paraId="08CF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26046916">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9.7</w:t>
            </w:r>
          </w:p>
        </w:tc>
        <w:tc>
          <w:tcPr>
            <w:tcW w:w="9128" w:type="dxa"/>
            <w:gridSpan w:val="2"/>
            <w:noWrap w:val="0"/>
            <w:vAlign w:val="center"/>
          </w:tcPr>
          <w:p w14:paraId="1CA96906">
            <w:pPr>
              <w:pStyle w:val="71"/>
              <w:keepNext w:val="0"/>
              <w:keepLines w:val="0"/>
              <w:suppressLineNumbers w:val="0"/>
              <w:tabs>
                <w:tab w:val="left" w:pos="0"/>
              </w:tabs>
              <w:wordWrap w:val="0"/>
              <w:spacing w:before="0" w:beforeAutospacing="0" w:after="0" w:afterAutospacing="0" w:line="240" w:lineRule="auto"/>
              <w:ind w:left="0" w:right="0" w:firstLine="0" w:firstLineChars="0"/>
              <w:jc w:val="left"/>
              <w:rPr>
                <w:rFonts w:hint="default" w:ascii="宋体" w:hAnsi="宋体" w:cs="宋体"/>
                <w:color w:val="auto"/>
                <w:kern w:val="2"/>
                <w:szCs w:val="21"/>
                <w:highlight w:val="none"/>
              </w:rPr>
            </w:pPr>
            <w:r>
              <w:rPr>
                <w:rFonts w:hint="eastAsia" w:ascii="宋体" w:hAnsi="宋体" w:cs="宋体"/>
                <w:color w:val="auto"/>
                <w:kern w:val="2"/>
                <w:szCs w:val="21"/>
                <w:highlight w:val="none"/>
              </w:rPr>
              <w:t>1、中标人需按照粤建管[2007]39号文的规定、广州市建委穗建筑[1999]175号文及《建筑施工安全检查标准》（JGJ59-2011）、穗建质函[2014]3205号文的有关规定做好安全文明施工各项工作，否则由招标人另行委托队伍施工，其费用由中标人自行负责。（注：前述文件有更新的，按最新的发文规定执行。）</w:t>
            </w:r>
          </w:p>
          <w:p w14:paraId="6C778C8D">
            <w:pPr>
              <w:keepNext w:val="0"/>
              <w:keepLines w:val="0"/>
              <w:suppressLineNumbers w:val="0"/>
              <w:wordWrap w:val="0"/>
              <w:spacing w:before="0" w:beforeAutospacing="0" w:after="0" w:afterAutospacing="0" w:line="240" w:lineRule="auto"/>
              <w:ind w:left="0" w:right="0"/>
              <w:rPr>
                <w:rFonts w:hint="default" w:ascii="宋体" w:hAnsi="宋体" w:cs="宋体"/>
                <w:b/>
                <w:color w:val="auto"/>
                <w:kern w:val="2"/>
                <w:szCs w:val="21"/>
                <w:highlight w:val="none"/>
              </w:rPr>
            </w:pPr>
            <w:r>
              <w:rPr>
                <w:rFonts w:hint="eastAsia" w:ascii="宋体" w:hAnsi="宋体" w:cs="宋体"/>
                <w:color w:val="auto"/>
                <w:kern w:val="2"/>
                <w:szCs w:val="21"/>
                <w:highlight w:val="none"/>
              </w:rPr>
              <w:t>2、投标人如在本项目中存在串通投标、弄虚作假骗取中标、行贿情形的，中标无效，该投标人将被招标人列入黑名单并限制其投标。行政监督部门将对其违法行为进行行政处罚并通报。</w:t>
            </w:r>
          </w:p>
        </w:tc>
      </w:tr>
      <w:tr w14:paraId="2325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6554D35E">
            <w:pPr>
              <w:keepNext w:val="0"/>
              <w:keepLines w:val="0"/>
              <w:suppressLineNumbers w:val="0"/>
              <w:wordWrap w:val="0"/>
              <w:spacing w:before="0" w:beforeAutospacing="0" w:after="0" w:afterAutospacing="0" w:line="240"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9.8</w:t>
            </w:r>
          </w:p>
        </w:tc>
        <w:tc>
          <w:tcPr>
            <w:tcW w:w="9128" w:type="dxa"/>
            <w:gridSpan w:val="2"/>
            <w:noWrap w:val="0"/>
            <w:vAlign w:val="center"/>
          </w:tcPr>
          <w:p w14:paraId="72D6A0F7">
            <w:pPr>
              <w:keepNext w:val="0"/>
              <w:keepLines w:val="0"/>
              <w:suppressLineNumbers w:val="0"/>
              <w:wordWrap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开工前中标人应当投保安全生产责任保险，且该保险保障场所应包含中标项目。投标人的投标报价视为包含该项费用。</w:t>
            </w:r>
          </w:p>
        </w:tc>
      </w:tr>
      <w:tr w14:paraId="3A01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0ABC85D8">
            <w:pPr>
              <w:keepNext w:val="0"/>
              <w:keepLines w:val="0"/>
              <w:suppressLineNumbers w:val="0"/>
              <w:snapToGrid w:val="0"/>
              <w:spacing w:before="0" w:beforeAutospacing="0" w:afterAutospacing="0" w:line="240" w:lineRule="exact"/>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10</w:t>
            </w:r>
          </w:p>
        </w:tc>
        <w:tc>
          <w:tcPr>
            <w:tcW w:w="2543" w:type="dxa"/>
            <w:noWrap w:val="0"/>
            <w:vAlign w:val="center"/>
          </w:tcPr>
          <w:p w14:paraId="5B181729">
            <w:pPr>
              <w:keepNext w:val="0"/>
              <w:keepLines w:val="0"/>
              <w:suppressLineNumbers w:val="0"/>
              <w:snapToGrid w:val="0"/>
              <w:spacing w:before="0" w:beforeAutospacing="0" w:afterAutospacing="0" w:line="240" w:lineRule="exact"/>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电子招标投标</w:t>
            </w:r>
          </w:p>
        </w:tc>
        <w:tc>
          <w:tcPr>
            <w:tcW w:w="6585" w:type="dxa"/>
            <w:noWrap w:val="0"/>
            <w:vAlign w:val="center"/>
          </w:tcPr>
          <w:p w14:paraId="2743C832">
            <w:pPr>
              <w:keepNext w:val="0"/>
              <w:keepLines w:val="0"/>
              <w:suppressLineNumbers w:val="0"/>
              <w:snapToGrid w:val="0"/>
              <w:spacing w:before="0" w:beforeAutospacing="0" w:afterAutospacing="0"/>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□否</w:t>
            </w:r>
          </w:p>
          <w:p w14:paraId="6DE85E3C">
            <w:pPr>
              <w:keepNext w:val="0"/>
              <w:keepLines w:val="0"/>
              <w:suppressLineNumbers w:val="0"/>
              <w:snapToGrid w:val="0"/>
              <w:spacing w:before="0" w:beforeAutospacing="0" w:afterAutospacing="0"/>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■是，具体要求：</w:t>
            </w:r>
          </w:p>
          <w:p w14:paraId="28E1AAE5">
            <w:pPr>
              <w:pStyle w:val="2"/>
              <w:keepNext w:val="0"/>
              <w:keepLines w:val="0"/>
              <w:suppressLineNumbers w:val="0"/>
              <w:spacing w:before="0" w:beforeAutospacing="0" w:afterAutospacing="0"/>
              <w:ind w:left="0" w:right="0"/>
              <w:rPr>
                <w:rFonts w:hint="default" w:cs="宋体"/>
                <w:color w:val="auto"/>
                <w:kern w:val="2"/>
                <w:sz w:val="21"/>
                <w:szCs w:val="21"/>
                <w:highlight w:val="none"/>
                <w:lang w:val="en-US"/>
              </w:rPr>
            </w:pPr>
            <w:r>
              <w:rPr>
                <w:rFonts w:hint="eastAsia" w:cs="宋体"/>
                <w:color w:val="auto"/>
                <w:kern w:val="2"/>
                <w:sz w:val="21"/>
                <w:szCs w:val="21"/>
                <w:highlight w:val="none"/>
                <w:lang w:val="en-US"/>
              </w:rPr>
              <w:t>1、投标文件形式：投标文件全部采用电子文档，投标文件应按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w:t>
            </w:r>
            <w:r>
              <w:rPr>
                <w:rFonts w:hint="eastAsia" w:cs="宋体"/>
                <w:b/>
                <w:color w:val="auto"/>
                <w:kern w:val="0"/>
                <w:sz w:val="21"/>
                <w:szCs w:val="21"/>
                <w:highlight w:val="none"/>
                <w:lang w:val="en-US"/>
              </w:rPr>
              <w:t>应加盖个人电子印章或在线下完成后扫描上传。</w:t>
            </w:r>
            <w:r>
              <w:rPr>
                <w:rFonts w:hint="eastAsia" w:cs="宋体"/>
                <w:color w:val="auto"/>
                <w:kern w:val="2"/>
                <w:sz w:val="21"/>
                <w:szCs w:val="21"/>
                <w:highlight w:val="none"/>
                <w:lang w:val="en-US"/>
              </w:rPr>
              <w:t>具体操作详见交易平台相关操作指南。</w:t>
            </w:r>
          </w:p>
          <w:p w14:paraId="1DF53D37">
            <w:pPr>
              <w:pStyle w:val="2"/>
              <w:keepNext w:val="0"/>
              <w:keepLines w:val="0"/>
              <w:suppressLineNumbers w:val="0"/>
              <w:spacing w:before="0" w:beforeAutospacing="0" w:afterAutospacing="0"/>
              <w:ind w:left="0" w:right="0"/>
              <w:rPr>
                <w:rFonts w:hint="default" w:cs="宋体"/>
                <w:b/>
                <w:color w:val="auto"/>
                <w:kern w:val="2"/>
                <w:sz w:val="21"/>
                <w:szCs w:val="21"/>
                <w:highlight w:val="none"/>
                <w:u w:val="single"/>
                <w:lang w:val="en-US"/>
              </w:rPr>
            </w:pPr>
            <w:r>
              <w:rPr>
                <w:rFonts w:hint="eastAsia" w:cs="宋体"/>
                <w:b/>
                <w:color w:val="auto"/>
                <w:kern w:val="0"/>
                <w:sz w:val="21"/>
                <w:szCs w:val="21"/>
                <w:highlight w:val="none"/>
                <w:u w:val="single"/>
              </w:rPr>
              <w:t>注释：投标文件电子文档需要投标人单位盖章的材料，投标人加盖电子印章即可（联合体投标的由联合体主办单位加盖电子印章即可），不得将投标人未对电子文档加盖实物印章作为否决投标的情形。</w:t>
            </w:r>
          </w:p>
          <w:p w14:paraId="0B55DB19">
            <w:pPr>
              <w:pStyle w:val="2"/>
              <w:keepNext w:val="0"/>
              <w:keepLines w:val="0"/>
              <w:suppressLineNumbers w:val="0"/>
              <w:spacing w:before="0" w:beforeAutospacing="0" w:afterAutospacing="0"/>
              <w:ind w:left="0" w:right="0"/>
              <w:rPr>
                <w:rFonts w:hint="default" w:cs="宋体"/>
                <w:color w:val="auto"/>
                <w:kern w:val="2"/>
                <w:sz w:val="21"/>
                <w:szCs w:val="21"/>
                <w:highlight w:val="none"/>
                <w:lang w:val="en-US"/>
              </w:rPr>
            </w:pPr>
            <w:r>
              <w:rPr>
                <w:rFonts w:hint="eastAsia" w:cs="宋体"/>
                <w:color w:val="auto"/>
                <w:kern w:val="2"/>
                <w:sz w:val="21"/>
                <w:szCs w:val="21"/>
                <w:highlight w:val="none"/>
                <w:lang w:val="en-US"/>
              </w:rPr>
              <w:t>2、投标文件的修改与撤回：投标人修改或撤回已递交的投标文件，需在交易平台发出撤回通知，并按要求加盖电子印章。电子招标投标交易平台收到通知后，即时向投标人发出确认回执通知。</w:t>
            </w:r>
          </w:p>
          <w:p w14:paraId="650EE4F9">
            <w:pPr>
              <w:pStyle w:val="2"/>
              <w:keepNext w:val="0"/>
              <w:keepLines w:val="0"/>
              <w:suppressLineNumbers w:val="0"/>
              <w:spacing w:before="0" w:beforeAutospacing="0" w:afterAutospacing="0"/>
              <w:ind w:left="0" w:right="0"/>
              <w:rPr>
                <w:rFonts w:hint="default" w:cs="宋体"/>
                <w:color w:val="auto"/>
                <w:kern w:val="2"/>
                <w:sz w:val="21"/>
                <w:szCs w:val="21"/>
                <w:highlight w:val="none"/>
                <w:lang w:val="en-US"/>
              </w:rPr>
            </w:pPr>
            <w:r>
              <w:rPr>
                <w:rFonts w:hint="eastAsia" w:cs="宋体"/>
                <w:color w:val="auto"/>
                <w:kern w:val="2"/>
                <w:sz w:val="21"/>
                <w:szCs w:val="21"/>
                <w:highlight w:val="none"/>
                <w:lang w:val="en-US"/>
              </w:rPr>
              <w:t>3、（重要风险提示）备用光盘或u盘。投标人可使用投标文件制作工具生成非加密的电子投标文件载入光盘或u盘（1份，载体形式由投标人自选），在规定的时间、地点提交备用。(刻录好的投标文件光盘或u盘密封在密封袋中，并在封口处加盖投标人单位公章。密封袋上应写明项目名称和招标人名称。递交的投标文件光盘或u盘(备用)不得加密。光盘或u盘（备用投标文件）无法读取或导入的，则视为未提交投标文件光盘或u盘(备用)。如果投标人没有按规定通过交易平台网上递交电子投标文件的，不再读取提交的光盘或u盘。投标人也可不提交投标文件光盘或u盘(备用)。</w:t>
            </w:r>
          </w:p>
          <w:p w14:paraId="746752A5">
            <w:pPr>
              <w:pStyle w:val="2"/>
              <w:keepNext w:val="0"/>
              <w:keepLines w:val="0"/>
              <w:suppressLineNumbers w:val="0"/>
              <w:spacing w:before="0" w:beforeAutospacing="0" w:afterAutospacing="0"/>
              <w:ind w:left="0" w:right="0"/>
              <w:rPr>
                <w:rFonts w:hint="default" w:cs="宋体"/>
                <w:color w:val="auto"/>
                <w:kern w:val="2"/>
                <w:sz w:val="21"/>
                <w:szCs w:val="21"/>
                <w:highlight w:val="none"/>
                <w:lang w:val="en-US"/>
              </w:rPr>
            </w:pPr>
            <w:r>
              <w:rPr>
                <w:rFonts w:hint="eastAsia" w:cs="宋体"/>
                <w:color w:val="auto"/>
                <w:kern w:val="2"/>
                <w:sz w:val="21"/>
                <w:szCs w:val="21"/>
                <w:highlight w:val="none"/>
                <w:lang w:val="en-US"/>
              </w:rPr>
              <w:t>4、投标文件的递交：</w:t>
            </w:r>
          </w:p>
          <w:p w14:paraId="0CFE986A">
            <w:pPr>
              <w:pStyle w:val="2"/>
              <w:keepNext w:val="0"/>
              <w:keepLines w:val="0"/>
              <w:suppressLineNumbers w:val="0"/>
              <w:spacing w:before="0" w:beforeAutospacing="0" w:afterAutospacing="0"/>
              <w:ind w:left="0" w:right="0"/>
              <w:rPr>
                <w:rFonts w:hint="default" w:cs="宋体"/>
                <w:color w:val="auto"/>
                <w:kern w:val="2"/>
                <w:sz w:val="21"/>
                <w:szCs w:val="21"/>
                <w:highlight w:val="none"/>
                <w:lang w:val="en-US"/>
              </w:rPr>
            </w:pPr>
            <w:r>
              <w:rPr>
                <w:rFonts w:hint="eastAsia" w:cs="宋体"/>
                <w:color w:val="auto"/>
                <w:kern w:val="2"/>
                <w:sz w:val="21"/>
                <w:szCs w:val="21"/>
                <w:highlight w:val="none"/>
                <w:lang w:val="en-US"/>
              </w:rPr>
              <w:t>见招标公告。</w:t>
            </w:r>
          </w:p>
          <w:p w14:paraId="735FFD6D">
            <w:pPr>
              <w:keepNext w:val="0"/>
              <w:keepLines w:val="0"/>
              <w:suppressLineNumbers w:val="0"/>
              <w:spacing w:before="0" w:beforeAutospacing="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w:t>
            </w:r>
            <w:r>
              <w:rPr>
                <w:rFonts w:hint="eastAsia" w:ascii="宋体" w:hAnsi="宋体" w:cs="宋体"/>
                <w:b/>
                <w:color w:val="auto"/>
                <w:kern w:val="2"/>
                <w:szCs w:val="21"/>
                <w:highlight w:val="none"/>
              </w:rPr>
              <w:t>具体时间、地点可以到广州交易集团有限公司（广州公共资源交易中心）网站的项目查询(日程安排、答疑纪要)中输入本项目编号或项目名称进行查询。</w:t>
            </w:r>
            <w:r>
              <w:rPr>
                <w:rFonts w:hint="eastAsia" w:ascii="宋体" w:hAnsi="宋体" w:cs="宋体"/>
                <w:color w:val="auto"/>
                <w:kern w:val="2"/>
                <w:szCs w:val="21"/>
                <w:highlight w:val="none"/>
              </w:rPr>
              <w:t>）</w:t>
            </w:r>
          </w:p>
          <w:p w14:paraId="5912F4BE">
            <w:pPr>
              <w:pStyle w:val="2"/>
              <w:keepNext w:val="0"/>
              <w:keepLines w:val="0"/>
              <w:suppressLineNumbers w:val="0"/>
              <w:spacing w:before="0" w:beforeAutospacing="0" w:afterAutospacing="0"/>
              <w:ind w:left="0" w:right="0"/>
              <w:rPr>
                <w:rFonts w:hint="default" w:cs="宋体"/>
                <w:color w:val="auto"/>
                <w:kern w:val="2"/>
                <w:sz w:val="21"/>
                <w:szCs w:val="21"/>
                <w:highlight w:val="none"/>
                <w:lang w:val="en-US"/>
              </w:rPr>
            </w:pPr>
            <w:r>
              <w:rPr>
                <w:rFonts w:hint="eastAsia" w:cs="宋体"/>
                <w:color w:val="auto"/>
                <w:kern w:val="2"/>
                <w:sz w:val="21"/>
                <w:szCs w:val="21"/>
                <w:highlight w:val="none"/>
                <w:lang w:val="en-US"/>
              </w:rPr>
              <w:t>5、投标文件加密要求：</w:t>
            </w:r>
          </w:p>
          <w:p w14:paraId="51911C75">
            <w:pPr>
              <w:pStyle w:val="2"/>
              <w:keepNext w:val="0"/>
              <w:keepLines w:val="0"/>
              <w:suppressLineNumbers w:val="0"/>
              <w:spacing w:before="0" w:beforeAutospacing="0" w:afterAutospacing="0"/>
              <w:ind w:left="0" w:right="0"/>
              <w:rPr>
                <w:rFonts w:hint="default" w:cs="宋体"/>
                <w:color w:val="auto"/>
                <w:kern w:val="2"/>
                <w:sz w:val="21"/>
                <w:szCs w:val="21"/>
                <w:highlight w:val="none"/>
                <w:lang w:val="en-US"/>
              </w:rPr>
            </w:pPr>
            <w:r>
              <w:rPr>
                <w:rFonts w:hint="eastAsia" w:cs="宋体"/>
                <w:color w:val="auto"/>
                <w:kern w:val="2"/>
                <w:sz w:val="21"/>
                <w:szCs w:val="21"/>
                <w:highlight w:val="none"/>
                <w:lang w:val="en-US"/>
              </w:rPr>
              <w:fldChar w:fldCharType="begin"/>
            </w:r>
            <w:r>
              <w:rPr>
                <w:rFonts w:hint="eastAsia" w:cs="宋体"/>
                <w:color w:val="auto"/>
                <w:kern w:val="2"/>
                <w:sz w:val="21"/>
                <w:szCs w:val="21"/>
                <w:highlight w:val="none"/>
                <w:lang w:val="en-US"/>
              </w:rPr>
              <w:instrText xml:space="preserve"> = 1 \* GB3 </w:instrText>
            </w:r>
            <w:r>
              <w:rPr>
                <w:rFonts w:hint="eastAsia" w:cs="宋体"/>
                <w:color w:val="auto"/>
                <w:kern w:val="2"/>
                <w:sz w:val="21"/>
                <w:szCs w:val="21"/>
                <w:highlight w:val="none"/>
                <w:lang w:val="en-US"/>
              </w:rPr>
              <w:fldChar w:fldCharType="separate"/>
            </w:r>
            <w:r>
              <w:rPr>
                <w:rFonts w:hint="eastAsia" w:cs="宋体"/>
                <w:color w:val="auto"/>
                <w:kern w:val="2"/>
                <w:sz w:val="21"/>
                <w:szCs w:val="21"/>
                <w:highlight w:val="none"/>
                <w:lang w:val="en-US"/>
              </w:rPr>
              <w:t>①</w:t>
            </w:r>
            <w:r>
              <w:rPr>
                <w:rFonts w:hint="eastAsia" w:cs="宋体"/>
                <w:color w:val="auto"/>
                <w:kern w:val="2"/>
                <w:sz w:val="21"/>
                <w:szCs w:val="21"/>
                <w:highlight w:val="none"/>
                <w:lang w:val="en-US"/>
              </w:rPr>
              <w:fldChar w:fldCharType="end"/>
            </w:r>
            <w:r>
              <w:rPr>
                <w:rFonts w:hint="eastAsia" w:cs="宋体"/>
                <w:color w:val="auto"/>
                <w:kern w:val="2"/>
                <w:sz w:val="21"/>
                <w:szCs w:val="21"/>
                <w:highlight w:val="none"/>
                <w:lang w:val="en-US"/>
              </w:rPr>
              <w:t>网上递交的电子投标文件须进行加密。具体操作详见交易平台相关操作指南。</w:t>
            </w:r>
          </w:p>
          <w:p w14:paraId="7E94EA53">
            <w:pPr>
              <w:pStyle w:val="2"/>
              <w:keepNext w:val="0"/>
              <w:keepLines w:val="0"/>
              <w:suppressLineNumbers w:val="0"/>
              <w:spacing w:before="0" w:beforeAutospacing="0" w:afterAutospacing="0"/>
              <w:ind w:left="0" w:right="0"/>
              <w:rPr>
                <w:rFonts w:hint="default" w:cs="宋体"/>
                <w:color w:val="auto"/>
                <w:kern w:val="2"/>
                <w:sz w:val="21"/>
                <w:szCs w:val="21"/>
                <w:highlight w:val="none"/>
                <w:lang w:val="en-US"/>
              </w:rPr>
            </w:pPr>
            <w:r>
              <w:rPr>
                <w:rFonts w:hint="eastAsia" w:cs="宋体"/>
                <w:color w:val="auto"/>
                <w:kern w:val="2"/>
                <w:sz w:val="21"/>
                <w:szCs w:val="21"/>
                <w:highlight w:val="none"/>
                <w:lang w:val="en-US"/>
              </w:rPr>
              <w:fldChar w:fldCharType="begin"/>
            </w:r>
            <w:r>
              <w:rPr>
                <w:rFonts w:hint="eastAsia" w:cs="宋体"/>
                <w:color w:val="auto"/>
                <w:kern w:val="2"/>
                <w:sz w:val="21"/>
                <w:szCs w:val="21"/>
                <w:highlight w:val="none"/>
                <w:lang w:val="en-US"/>
              </w:rPr>
              <w:instrText xml:space="preserve"> = 2 \* GB3 </w:instrText>
            </w:r>
            <w:r>
              <w:rPr>
                <w:rFonts w:hint="eastAsia" w:cs="宋体"/>
                <w:color w:val="auto"/>
                <w:kern w:val="2"/>
                <w:sz w:val="21"/>
                <w:szCs w:val="21"/>
                <w:highlight w:val="none"/>
                <w:lang w:val="en-US"/>
              </w:rPr>
              <w:fldChar w:fldCharType="separate"/>
            </w:r>
            <w:r>
              <w:rPr>
                <w:rFonts w:hint="eastAsia" w:cs="宋体"/>
                <w:color w:val="auto"/>
                <w:kern w:val="2"/>
                <w:sz w:val="21"/>
                <w:szCs w:val="21"/>
                <w:highlight w:val="none"/>
                <w:lang w:val="en-US"/>
              </w:rPr>
              <w:t>②</w:t>
            </w:r>
            <w:r>
              <w:rPr>
                <w:rFonts w:hint="eastAsia" w:cs="宋体"/>
                <w:color w:val="auto"/>
                <w:kern w:val="2"/>
                <w:sz w:val="21"/>
                <w:szCs w:val="21"/>
                <w:highlight w:val="none"/>
                <w:lang w:val="en-US"/>
              </w:rPr>
              <w:fldChar w:fldCharType="end"/>
            </w:r>
            <w:r>
              <w:rPr>
                <w:rFonts w:hint="eastAsia" w:cs="宋体"/>
                <w:color w:val="auto"/>
                <w:kern w:val="2"/>
                <w:sz w:val="21"/>
                <w:szCs w:val="21"/>
                <w:highlight w:val="none"/>
                <w:lang w:val="en-US"/>
              </w:rPr>
              <w:t>未按要求加密的投标文件，招标人将予以拒收。</w:t>
            </w:r>
          </w:p>
          <w:p w14:paraId="208C1A44">
            <w:pPr>
              <w:pStyle w:val="2"/>
              <w:keepNext w:val="0"/>
              <w:keepLines w:val="0"/>
              <w:suppressLineNumbers w:val="0"/>
              <w:spacing w:before="0" w:beforeAutospacing="0" w:afterAutospacing="0"/>
              <w:ind w:left="0" w:right="0"/>
              <w:rPr>
                <w:rFonts w:hint="default" w:cs="宋体"/>
                <w:color w:val="auto"/>
                <w:kern w:val="2"/>
                <w:sz w:val="21"/>
                <w:szCs w:val="21"/>
                <w:highlight w:val="none"/>
                <w:lang w:val="en-US"/>
              </w:rPr>
            </w:pPr>
            <w:r>
              <w:rPr>
                <w:rFonts w:hint="eastAsia" w:cs="宋体"/>
                <w:color w:val="auto"/>
                <w:kern w:val="2"/>
                <w:sz w:val="21"/>
                <w:szCs w:val="21"/>
                <w:highlight w:val="none"/>
                <w:lang w:val="en-US"/>
              </w:rPr>
              <w:t>6、投标文件解密失败的补救方案：</w:t>
            </w:r>
          </w:p>
          <w:p w14:paraId="27ABB536">
            <w:pPr>
              <w:pStyle w:val="2"/>
              <w:keepNext w:val="0"/>
              <w:keepLines w:val="0"/>
              <w:suppressLineNumbers w:val="0"/>
              <w:spacing w:before="0" w:beforeAutospacing="0" w:afterAutospacing="0"/>
              <w:ind w:left="0" w:right="0"/>
              <w:rPr>
                <w:rFonts w:hint="default" w:cs="宋体"/>
                <w:color w:val="auto"/>
                <w:kern w:val="2"/>
                <w:sz w:val="21"/>
                <w:szCs w:val="21"/>
                <w:highlight w:val="none"/>
                <w:lang w:val="en-US"/>
              </w:rPr>
            </w:pPr>
            <w:r>
              <w:rPr>
                <w:rFonts w:hint="eastAsia" w:cs="宋体"/>
                <w:color w:val="auto"/>
                <w:kern w:val="2"/>
                <w:sz w:val="21"/>
                <w:szCs w:val="21"/>
                <w:highlight w:val="none"/>
                <w:lang w:val="en-US"/>
              </w:rPr>
              <w:t>在规定时间内，因投标人之外原因(指网络瘫痪、服务器损坏、交易系统故障短期无法恢复)导致的电子投标文件解密失败，在开标现场读取光盘或u盘内容，继续开标程序。若出现招标人无法正常解密或导入开标系统的情况，在开标现场读取已成功解密、以及因投标人之外的原因导致电子投标文件解密失败的投标人递交的电子光盘或u盘内容。出现上述情况的，评标委员会对其投标文件的评审以光盘或u盘内容为准。因投标人之外原因解密失败且未递交电子光盘或u盘的，</w:t>
            </w:r>
            <w:r>
              <w:rPr>
                <w:rFonts w:hint="eastAsia" w:cs="宋体"/>
                <w:b/>
                <w:bCs/>
                <w:color w:val="auto"/>
                <w:kern w:val="2"/>
                <w:sz w:val="21"/>
                <w:szCs w:val="21"/>
                <w:highlight w:val="none"/>
                <w:u w:val="single"/>
                <w:lang w:val="en-US"/>
              </w:rPr>
              <w:t>或因投标人原因造成投标文件未解密的，或未在投标截止时间后规定时间内解密的</w:t>
            </w:r>
            <w:r>
              <w:rPr>
                <w:rFonts w:hint="eastAsia" w:cs="宋体"/>
                <w:color w:val="auto"/>
                <w:kern w:val="2"/>
                <w:sz w:val="21"/>
                <w:szCs w:val="21"/>
                <w:highlight w:val="none"/>
                <w:lang w:val="en-US"/>
              </w:rPr>
              <w:t>，视为撤回投标文件。</w:t>
            </w:r>
          </w:p>
          <w:p w14:paraId="33CF0EEA">
            <w:pPr>
              <w:pStyle w:val="2"/>
              <w:keepNext w:val="0"/>
              <w:keepLines w:val="0"/>
              <w:suppressLineNumbers w:val="0"/>
              <w:spacing w:before="0" w:beforeAutospacing="0" w:afterAutospacing="0"/>
              <w:ind w:left="0" w:right="0"/>
              <w:rPr>
                <w:rFonts w:hint="eastAsia" w:cs="宋体"/>
                <w:color w:val="auto"/>
                <w:kern w:val="1"/>
                <w:sz w:val="21"/>
                <w:szCs w:val="21"/>
                <w:highlight w:val="none"/>
              </w:rPr>
            </w:pPr>
            <w:r>
              <w:rPr>
                <w:rFonts w:hint="eastAsia" w:cs="宋体"/>
                <w:color w:val="auto"/>
                <w:kern w:val="2"/>
                <w:sz w:val="21"/>
                <w:szCs w:val="21"/>
                <w:highlight w:val="none"/>
                <w:lang w:val="en-US"/>
              </w:rPr>
              <w:t>除发生上述情况外，开标评标均以投标人通过交易平台网上递交的电子投标文件为准。</w:t>
            </w:r>
          </w:p>
        </w:tc>
      </w:tr>
      <w:tr w14:paraId="6CB7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5DDAD605">
            <w:pPr>
              <w:keepNext w:val="0"/>
              <w:keepLines w:val="0"/>
              <w:suppressLineNumbers w:val="0"/>
              <w:snapToGrid w:val="0"/>
              <w:spacing w:before="0" w:beforeAutospacing="0" w:afterAutospacing="0" w:line="240" w:lineRule="exact"/>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11</w:t>
            </w:r>
          </w:p>
        </w:tc>
        <w:tc>
          <w:tcPr>
            <w:tcW w:w="2543" w:type="dxa"/>
            <w:noWrap w:val="0"/>
            <w:vAlign w:val="center"/>
          </w:tcPr>
          <w:p w14:paraId="5A560B10">
            <w:pPr>
              <w:keepNext w:val="0"/>
              <w:keepLines w:val="0"/>
              <w:suppressLineNumbers w:val="0"/>
              <w:snapToGrid w:val="0"/>
              <w:spacing w:before="0" w:beforeAutospacing="0" w:afterAutospacing="0" w:line="240" w:lineRule="exact"/>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项目负责人和安全员注意事项</w:t>
            </w:r>
          </w:p>
        </w:tc>
        <w:tc>
          <w:tcPr>
            <w:tcW w:w="6585" w:type="dxa"/>
            <w:noWrap w:val="0"/>
            <w:vAlign w:val="center"/>
          </w:tcPr>
          <w:p w14:paraId="315D7D77">
            <w:pPr>
              <w:keepNext w:val="0"/>
              <w:keepLines w:val="0"/>
              <w:numPr>
                <w:ilvl w:val="0"/>
                <w:numId w:val="3"/>
              </w:numPr>
              <w:suppressLineNumbers w:val="0"/>
              <w:snapToGrid w:val="0"/>
              <w:spacing w:before="0" w:beforeAutospacing="0" w:afterAutospacing="0"/>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投标人如违反《广州市住房和城乡建设局关于加强建筑工程项目负责人管理的通知》（穗建规字〔2020〕32号）有关规定，如经查实取消其本项目中标资格；</w:t>
            </w:r>
          </w:p>
          <w:p w14:paraId="78BD1224">
            <w:pPr>
              <w:keepNext w:val="0"/>
              <w:keepLines w:val="0"/>
              <w:suppressLineNumbers w:val="0"/>
              <w:snapToGrid w:val="0"/>
              <w:spacing w:before="0" w:beforeAutospacing="0" w:afterAutospacing="0"/>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2、本工程项目负责人与专职安全员不得为同一人。</w:t>
            </w:r>
          </w:p>
          <w:p w14:paraId="1405A5A2">
            <w:pPr>
              <w:keepNext w:val="0"/>
              <w:keepLines w:val="0"/>
              <w:suppressLineNumbers w:val="0"/>
              <w:snapToGrid w:val="0"/>
              <w:spacing w:before="0" w:beforeAutospacing="0" w:afterAutospacing="0"/>
              <w:ind w:left="-55" w:leftChars="-26" w:right="-59" w:rightChars="-28"/>
              <w:rPr>
                <w:rFonts w:hint="default" w:ascii="宋体" w:hAnsi="宋体" w:cs="宋体"/>
                <w:color w:val="auto"/>
                <w:kern w:val="2"/>
                <w:szCs w:val="21"/>
                <w:highlight w:val="none"/>
              </w:rPr>
            </w:pPr>
            <w:r>
              <w:rPr>
                <w:rFonts w:hint="eastAsia" w:ascii="宋体" w:hAnsi="宋体" w:cs="宋体"/>
                <w:color w:val="auto"/>
                <w:kern w:val="2"/>
                <w:szCs w:val="21"/>
                <w:highlight w:val="none"/>
              </w:rPr>
              <w:t>3、中标人拟任本工程安全员不得同时担任本项目以外的安全员（法律法规规定的有关情形除外），如经查实取消其本项目中标资格。</w:t>
            </w:r>
          </w:p>
        </w:tc>
      </w:tr>
      <w:tr w14:paraId="6010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6F885BDB">
            <w:pPr>
              <w:keepNext w:val="0"/>
              <w:keepLines w:val="0"/>
              <w:suppressLineNumbers w:val="0"/>
              <w:snapToGrid w:val="0"/>
              <w:spacing w:before="0" w:beforeAutospacing="0" w:afterAutospacing="0" w:line="240" w:lineRule="exact"/>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12</w:t>
            </w:r>
          </w:p>
        </w:tc>
        <w:tc>
          <w:tcPr>
            <w:tcW w:w="2543" w:type="dxa"/>
            <w:noWrap w:val="0"/>
            <w:vAlign w:val="center"/>
          </w:tcPr>
          <w:p w14:paraId="5F9D92C6">
            <w:pPr>
              <w:keepNext w:val="0"/>
              <w:keepLines w:val="0"/>
              <w:suppressLineNumbers w:val="0"/>
              <w:spacing w:before="0" w:beforeAutospacing="0" w:afterAutospacing="0"/>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施工实名制</w:t>
            </w:r>
          </w:p>
        </w:tc>
        <w:tc>
          <w:tcPr>
            <w:tcW w:w="6585" w:type="dxa"/>
            <w:noWrap w:val="0"/>
            <w:vAlign w:val="center"/>
          </w:tcPr>
          <w:p w14:paraId="61759470">
            <w:pPr>
              <w:keepNext w:val="0"/>
              <w:keepLines w:val="0"/>
              <w:suppressLineNumbers w:val="0"/>
              <w:snapToGrid w:val="0"/>
              <w:spacing w:before="0" w:beforeAutospacing="0" w:afterAutospacing="0"/>
              <w:ind w:left="-55" w:leftChars="-26" w:right="-59" w:rightChars="-28"/>
              <w:jc w:val="left"/>
              <w:rPr>
                <w:rFonts w:hint="default" w:ascii="宋体" w:hAnsi="宋体" w:cs="宋体"/>
                <w:color w:val="auto"/>
                <w:kern w:val="2"/>
                <w:szCs w:val="21"/>
                <w:highlight w:val="none"/>
              </w:rPr>
            </w:pPr>
            <w:r>
              <w:rPr>
                <w:rFonts w:hint="eastAsia" w:ascii="宋体" w:hAnsi="宋体" w:cs="宋体"/>
                <w:color w:val="auto"/>
                <w:kern w:val="2"/>
                <w:szCs w:val="21"/>
                <w:highlight w:val="none"/>
                <w:lang w:val="zh-CN"/>
              </w:rPr>
              <w:t>本工程按《广州市建筑施工实名制管理办法》（穗建规字〔2020〕18号）规定，实施建筑施工实名制。</w:t>
            </w:r>
          </w:p>
        </w:tc>
      </w:tr>
      <w:tr w14:paraId="177D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54173D1F">
            <w:pPr>
              <w:keepNext w:val="0"/>
              <w:keepLines w:val="0"/>
              <w:suppressLineNumbers w:val="0"/>
              <w:snapToGrid w:val="0"/>
              <w:spacing w:before="0" w:beforeAutospacing="0" w:afterAutospacing="0" w:line="240" w:lineRule="exact"/>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13</w:t>
            </w:r>
          </w:p>
        </w:tc>
        <w:tc>
          <w:tcPr>
            <w:tcW w:w="2543" w:type="dxa"/>
            <w:noWrap w:val="0"/>
            <w:vAlign w:val="center"/>
          </w:tcPr>
          <w:p w14:paraId="0B6297C5">
            <w:pPr>
              <w:keepNext w:val="0"/>
              <w:keepLines w:val="0"/>
              <w:suppressLineNumbers w:val="0"/>
              <w:snapToGrid w:val="0"/>
              <w:spacing w:before="0" w:beforeAutospacing="0" w:afterAutospacing="0" w:line="240" w:lineRule="exact"/>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工人工资分账管理</w:t>
            </w:r>
          </w:p>
        </w:tc>
        <w:tc>
          <w:tcPr>
            <w:tcW w:w="6585" w:type="dxa"/>
            <w:noWrap w:val="0"/>
            <w:vAlign w:val="center"/>
          </w:tcPr>
          <w:p w14:paraId="7F7B5EE5">
            <w:pPr>
              <w:keepNext w:val="0"/>
              <w:keepLines w:val="0"/>
              <w:suppressLineNumbers w:val="0"/>
              <w:snapToGrid w:val="0"/>
              <w:spacing w:before="0" w:beforeAutospacing="0" w:afterAutospacing="0"/>
              <w:ind w:left="-55" w:leftChars="-26" w:right="-59" w:rightChars="-28"/>
              <w:jc w:val="left"/>
              <w:rPr>
                <w:rFonts w:hint="default" w:ascii="宋体" w:hAnsi="宋体" w:cs="宋体"/>
                <w:color w:val="auto"/>
                <w:kern w:val="2"/>
                <w:szCs w:val="21"/>
                <w:highlight w:val="none"/>
              </w:rPr>
            </w:pPr>
            <w:r>
              <w:rPr>
                <w:rFonts w:hint="eastAsia" w:ascii="宋体" w:hAnsi="宋体" w:cs="宋体"/>
                <w:color w:val="auto"/>
                <w:kern w:val="2"/>
                <w:szCs w:val="21"/>
                <w:highlight w:val="none"/>
              </w:rPr>
              <w:t>本项目按照《关于印发广州市建设领域工人工资支付分账管理实施细则的通知》（穗建规字〔2020〕37号）实行工人工资分账管理。</w:t>
            </w:r>
          </w:p>
        </w:tc>
      </w:tr>
      <w:tr w14:paraId="4262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69A12709">
            <w:pPr>
              <w:keepNext w:val="0"/>
              <w:keepLines w:val="0"/>
              <w:suppressLineNumbers w:val="0"/>
              <w:snapToGrid w:val="0"/>
              <w:spacing w:before="0" w:beforeAutospacing="0" w:afterAutospacing="0" w:line="240" w:lineRule="exact"/>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14</w:t>
            </w:r>
          </w:p>
        </w:tc>
        <w:tc>
          <w:tcPr>
            <w:tcW w:w="2543" w:type="dxa"/>
            <w:noWrap w:val="0"/>
            <w:vAlign w:val="center"/>
          </w:tcPr>
          <w:p w14:paraId="6341CFDA">
            <w:pPr>
              <w:keepNext w:val="0"/>
              <w:keepLines w:val="0"/>
              <w:suppressLineNumbers w:val="0"/>
              <w:snapToGrid w:val="0"/>
              <w:spacing w:before="0" w:beforeAutospacing="0" w:afterAutospacing="0" w:line="240" w:lineRule="exact"/>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u w:val="single"/>
              </w:rPr>
              <w:t>否决投标条款</w:t>
            </w:r>
          </w:p>
        </w:tc>
        <w:tc>
          <w:tcPr>
            <w:tcW w:w="6585" w:type="dxa"/>
            <w:noWrap w:val="0"/>
            <w:vAlign w:val="center"/>
          </w:tcPr>
          <w:p w14:paraId="3895FB76">
            <w:pPr>
              <w:keepNext w:val="0"/>
              <w:keepLines w:val="0"/>
              <w:suppressLineNumbers w:val="0"/>
              <w:spacing w:before="0" w:beforeAutospacing="0" w:afterAutospacing="0"/>
              <w:ind w:left="1" w:right="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否决投标条款：</w:t>
            </w:r>
          </w:p>
          <w:p w14:paraId="66A02318">
            <w:pPr>
              <w:keepNext w:val="0"/>
              <w:keepLines w:val="0"/>
              <w:suppressLineNumbers w:val="0"/>
              <w:spacing w:before="0" w:beforeAutospacing="0" w:afterAutospacing="0"/>
              <w:ind w:left="1" w:right="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1.在投标截止期后逾期或未在</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0"/>
                <w:szCs w:val="21"/>
                <w:highlight w:val="none"/>
                <w:u w:val="single"/>
              </w:rPr>
              <w:t>数字交易平台（http://www.gzggzy.cn）递交电子投标文件的，电子招标投标交易平台将拒绝接收其投标文件。</w:t>
            </w:r>
          </w:p>
          <w:p w14:paraId="1013F712">
            <w:pPr>
              <w:keepNext w:val="0"/>
              <w:keepLines w:val="0"/>
              <w:suppressLineNumbers w:val="0"/>
              <w:spacing w:before="0" w:beforeAutospacing="0" w:afterAutospacing="0"/>
              <w:ind w:left="1" w:right="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2.投标人未按投标文件要求提供附件或未按要求加盖电子印章及签名的，经评标委员会认定后，其投标文件将被否决。</w:t>
            </w:r>
          </w:p>
          <w:p w14:paraId="72CF1A5B">
            <w:pPr>
              <w:keepNext w:val="0"/>
              <w:keepLines w:val="0"/>
              <w:suppressLineNumbers w:val="0"/>
              <w:spacing w:before="0" w:beforeAutospacing="0" w:afterAutospacing="0"/>
              <w:ind w:left="1" w:right="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3.投标文件中投标总报价高于最高投标限价总价的，或勘察费报价高于勘察费的最高投标限价，或勘察费各项投标报价超过其单价最高投标限价及总价最高投标限价，或设计费报价高于设计费的最高投标限价，或建安工程费报价高于建安工程费的最高投标限价，其投标文件将被否决。</w:t>
            </w:r>
          </w:p>
          <w:p w14:paraId="4B7C24F9">
            <w:pPr>
              <w:keepNext w:val="0"/>
              <w:keepLines w:val="0"/>
              <w:suppressLineNumbers w:val="0"/>
              <w:spacing w:before="0" w:beforeAutospacing="0" w:afterAutospacing="0"/>
              <w:ind w:left="1" w:right="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4.按投标报价的算术校核原则及方法调整或修正投标文件的投标报价，调整后的投标报价对投标人起约束作用。如果投标人不接受修正后的报价，则取消其中标资格。</w:t>
            </w:r>
          </w:p>
          <w:p w14:paraId="1DBDFCEA">
            <w:pPr>
              <w:keepNext w:val="0"/>
              <w:keepLines w:val="0"/>
              <w:suppressLineNumbers w:val="0"/>
              <w:spacing w:before="0" w:beforeAutospacing="0" w:afterAutospacing="0"/>
              <w:ind w:left="1" w:right="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5.投标人如在本项目中存在串通投标、弄虚作假、行贿情形的，中标无效，该投标人将被招标人列入黑名单并限制其投标。行政监督部门将对其违法行为进行政处罚并通报。</w:t>
            </w:r>
          </w:p>
          <w:p w14:paraId="1956CB5C">
            <w:pPr>
              <w:keepNext w:val="0"/>
              <w:keepLines w:val="0"/>
              <w:suppressLineNumbers w:val="0"/>
              <w:snapToGrid w:val="0"/>
              <w:spacing w:before="0" w:beforeAutospacing="0" w:afterAutospacing="0"/>
              <w:ind w:left="-55" w:leftChars="-26" w:right="-59" w:rightChars="-28"/>
              <w:jc w:val="left"/>
              <w:rPr>
                <w:rFonts w:hint="default" w:ascii="宋体" w:hAnsi="宋体" w:cs="宋体"/>
                <w:color w:val="auto"/>
                <w:kern w:val="2"/>
                <w:szCs w:val="21"/>
                <w:highlight w:val="none"/>
              </w:rPr>
            </w:pPr>
            <w:r>
              <w:rPr>
                <w:rFonts w:hint="eastAsia" w:ascii="宋体" w:hAnsi="宋体" w:cs="宋体"/>
                <w:color w:val="auto"/>
                <w:kern w:val="0"/>
                <w:szCs w:val="21"/>
                <w:highlight w:val="none"/>
                <w:u w:val="single"/>
              </w:rPr>
              <w:t>6.投标文件符合列于《评标办法前附表》</w:t>
            </w:r>
            <w:r>
              <w:rPr>
                <w:rFonts w:hint="eastAsia" w:ascii="宋体" w:hAnsi="宋体" w:cs="宋体"/>
                <w:color w:val="auto"/>
                <w:kern w:val="2"/>
                <w:szCs w:val="21"/>
                <w:highlight w:val="none"/>
                <w:u w:val="single"/>
              </w:rPr>
              <w:t>“资格审查”、“</w:t>
            </w:r>
            <w:r>
              <w:rPr>
                <w:rFonts w:hint="eastAsia" w:ascii="宋体" w:hAnsi="宋体" w:cs="宋体"/>
                <w:color w:val="auto"/>
                <w:kern w:val="1"/>
                <w:szCs w:val="21"/>
                <w:highlight w:val="none"/>
              </w:rPr>
              <w:t>勘察设计方案响应性评审标准</w:t>
            </w:r>
            <w:r>
              <w:rPr>
                <w:rFonts w:hint="eastAsia" w:ascii="宋体" w:hAnsi="宋体" w:cs="宋体"/>
                <w:color w:val="auto"/>
                <w:kern w:val="2"/>
                <w:szCs w:val="21"/>
                <w:highlight w:val="none"/>
                <w:u w:val="single"/>
              </w:rPr>
              <w:t>”、“</w:t>
            </w:r>
            <w:r>
              <w:rPr>
                <w:rFonts w:hint="eastAsia" w:ascii="宋体" w:hAnsi="宋体" w:cs="宋体"/>
                <w:color w:val="auto"/>
                <w:kern w:val="1"/>
                <w:szCs w:val="21"/>
                <w:highlight w:val="none"/>
              </w:rPr>
              <w:t>工程总承包实施方案响应性评审标准</w:t>
            </w:r>
            <w:r>
              <w:rPr>
                <w:rFonts w:hint="eastAsia" w:ascii="宋体" w:hAnsi="宋体" w:cs="宋体"/>
                <w:color w:val="auto"/>
                <w:kern w:val="2"/>
                <w:szCs w:val="21"/>
                <w:highlight w:val="none"/>
                <w:u w:val="single"/>
              </w:rPr>
              <w:t>”</w:t>
            </w:r>
            <w:r>
              <w:rPr>
                <w:rFonts w:hint="eastAsia" w:ascii="宋体" w:hAnsi="宋体" w:cs="宋体"/>
                <w:color w:val="auto"/>
                <w:kern w:val="0"/>
                <w:szCs w:val="21"/>
                <w:highlight w:val="none"/>
                <w:u w:val="single"/>
              </w:rPr>
              <w:t>中所有情形的，为有效投标文件。任一情形不符合均为无效投标文件，经评标委员会认定后，其投标文件将被否决。</w:t>
            </w:r>
          </w:p>
        </w:tc>
      </w:tr>
      <w:tr w14:paraId="4939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4DA33A6F">
            <w:pPr>
              <w:keepNext w:val="0"/>
              <w:keepLines w:val="0"/>
              <w:suppressLineNumbers w:val="0"/>
              <w:snapToGrid w:val="0"/>
              <w:spacing w:before="0" w:beforeAutospacing="0" w:afterAutospacing="0" w:line="240" w:lineRule="exact"/>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15</w:t>
            </w:r>
          </w:p>
        </w:tc>
        <w:tc>
          <w:tcPr>
            <w:tcW w:w="2543" w:type="dxa"/>
            <w:noWrap w:val="0"/>
            <w:vAlign w:val="center"/>
          </w:tcPr>
          <w:p w14:paraId="4896090D">
            <w:pPr>
              <w:keepNext w:val="0"/>
              <w:keepLines w:val="0"/>
              <w:suppressLineNumbers w:val="0"/>
              <w:spacing w:before="0" w:beforeAutospacing="0" w:afterAutospacing="0"/>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其他</w:t>
            </w:r>
          </w:p>
        </w:tc>
        <w:tc>
          <w:tcPr>
            <w:tcW w:w="6585" w:type="dxa"/>
            <w:noWrap w:val="0"/>
            <w:vAlign w:val="center"/>
          </w:tcPr>
          <w:p w14:paraId="445B3B52">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15.1 投标人按招标文件要求递交的所有资料,若存在虚假材料，一经发现或被投诉，经确认证实后，招标人将取消其中标资格，并上报给相关主管部门予以通报。</w:t>
            </w:r>
          </w:p>
          <w:p w14:paraId="660AA3C7">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15.2投标人如在本项目中存在串通投标、弄虚作假、行贿情形的，中标无效，该投标人将被招标人列入黑名单并限制其投标。行政监督部门将对其违法行为进行政处罚并通报。</w:t>
            </w:r>
          </w:p>
          <w:p w14:paraId="69CF03E9">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15.3以下费用均包含在投标总价中但不在投标中单列。</w:t>
            </w:r>
          </w:p>
          <w:p w14:paraId="514F05FE">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1、招标代理费等：</w:t>
            </w:r>
          </w:p>
          <w:p w14:paraId="29E82186">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（1）本项目招标代理服务费等由中标人支付。</w:t>
            </w:r>
          </w:p>
          <w:p w14:paraId="2ADEB1C9">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2）交纳金额：招标代理服务收费按差额定率累进法计算，以中标通知书中确定的中标金额作为收费的计算依据参照原国家发改委《招标代理服务收费管理暂行办法》（计价格[2002]1980号）文的规定计算，以差额定率累进法计算后金额计取。</w:t>
            </w:r>
          </w:p>
          <w:p w14:paraId="3DD10C45">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（3）交纳方式：银行电汇</w:t>
            </w:r>
          </w:p>
          <w:p w14:paraId="18BD7474">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（4）交纳时限：收到中标服务费缴纳通知后3日内。</w:t>
            </w:r>
          </w:p>
          <w:p w14:paraId="499CF56E">
            <w:pPr>
              <w:keepNext w:val="0"/>
              <w:keepLines w:val="0"/>
              <w:suppressLineNumbers w:val="0"/>
              <w:spacing w:before="0" w:beforeAutospacing="0" w:after="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rPr>
              <w:t>2、</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2"/>
                <w:szCs w:val="21"/>
                <w:highlight w:val="none"/>
              </w:rPr>
              <w:t>的交易服务费：中标人应根据有关规定，向</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2"/>
                <w:szCs w:val="21"/>
                <w:highlight w:val="none"/>
              </w:rPr>
              <w:t>缴纳交易服务费（由</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2"/>
                <w:szCs w:val="21"/>
                <w:highlight w:val="none"/>
              </w:rPr>
              <w:t>收取，收费标准详见</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2"/>
                <w:szCs w:val="21"/>
                <w:highlight w:val="none"/>
              </w:rPr>
              <w:t>网站上发布的《关于公共资源交易服务费标准及相关指引的说明》）。中标人必须在中标通知书发出前支付该笔费用，且前往交易中心办妥出具发票的手续，否则无法出具中标通知书，由于中标人原因导致的延误，由此带来的后果将由中标人自行承担。</w:t>
            </w:r>
          </w:p>
        </w:tc>
      </w:tr>
      <w:tr w14:paraId="0BE7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84" w:type="dxa"/>
            <w:noWrap w:val="0"/>
            <w:vAlign w:val="center"/>
          </w:tcPr>
          <w:p w14:paraId="5105CF7A">
            <w:pPr>
              <w:keepNext w:val="0"/>
              <w:keepLines w:val="0"/>
              <w:suppressLineNumbers w:val="0"/>
              <w:snapToGrid w:val="0"/>
              <w:spacing w:before="0" w:beforeAutospacing="0" w:afterAutospacing="0" w:line="240" w:lineRule="exact"/>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16</w:t>
            </w:r>
          </w:p>
        </w:tc>
        <w:tc>
          <w:tcPr>
            <w:tcW w:w="2543" w:type="dxa"/>
            <w:noWrap w:val="0"/>
            <w:vAlign w:val="center"/>
          </w:tcPr>
          <w:p w14:paraId="41F2BA0B">
            <w:pPr>
              <w:keepNext w:val="0"/>
              <w:keepLines w:val="0"/>
              <w:suppressLineNumbers w:val="0"/>
              <w:spacing w:before="0" w:beforeAutospacing="0" w:afterAutospacing="0"/>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招标人对中标人参与“百千万工程”的具体要求</w:t>
            </w:r>
          </w:p>
        </w:tc>
        <w:tc>
          <w:tcPr>
            <w:tcW w:w="6585" w:type="dxa"/>
            <w:noWrap w:val="0"/>
            <w:vAlign w:val="center"/>
          </w:tcPr>
          <w:p w14:paraId="4322CCAC">
            <w:pPr>
              <w:keepNext w:val="0"/>
              <w:keepLines w:val="0"/>
              <w:suppressLineNumbers w:val="0"/>
              <w:spacing w:before="0" w:beforeAutospacing="0" w:afterAutospacing="0"/>
              <w:ind w:left="0" w:right="0"/>
              <w:rPr>
                <w:rFonts w:hint="default" w:ascii="宋体" w:hAnsi="宋体" w:cs="宋体"/>
                <w:color w:val="auto"/>
                <w:kern w:val="2"/>
                <w:szCs w:val="21"/>
                <w:highlight w:val="none"/>
                <w:u w:val="single"/>
              </w:rPr>
            </w:pPr>
            <w:r>
              <w:rPr>
                <w:rFonts w:hint="eastAsia" w:ascii="宋体" w:hAnsi="宋体" w:cs="宋体"/>
                <w:b/>
                <w:bCs/>
                <w:color w:val="auto"/>
                <w:kern w:val="2"/>
                <w:szCs w:val="21"/>
                <w:highlight w:val="none"/>
                <w:u w:val="single"/>
              </w:rPr>
              <w:t>具体要求：</w:t>
            </w:r>
            <w:r>
              <w:rPr>
                <w:rFonts w:hint="eastAsia" w:ascii="宋体" w:hAnsi="宋体" w:cs="宋体"/>
                <w:color w:val="auto"/>
                <w:kern w:val="2"/>
                <w:szCs w:val="21"/>
                <w:highlight w:val="none"/>
                <w:u w:val="single"/>
              </w:rPr>
              <w:t>1.施工中标单位应切实履行《招标公告》“投标人声明”中“第十条”承诺，结合自身实际，在《白云区“百千万工程”建筑业企业帮扶建设项目库》中自愿认领、帮扶公益性项目。</w:t>
            </w:r>
          </w:p>
          <w:p w14:paraId="0E5BEFEE">
            <w:pPr>
              <w:keepNext w:val="0"/>
              <w:keepLines w:val="0"/>
              <w:suppressLineNumbers w:val="0"/>
              <w:spacing w:before="0" w:beforeAutospacing="0" w:afterAutospacing="0"/>
              <w:ind w:left="0" w:right="0"/>
              <w:rPr>
                <w:rFonts w:hint="default" w:ascii="宋体" w:hAnsi="宋体" w:cs="宋体"/>
                <w:color w:val="auto"/>
                <w:kern w:val="2"/>
                <w:szCs w:val="21"/>
                <w:highlight w:val="none"/>
              </w:rPr>
            </w:pPr>
            <w:r>
              <w:rPr>
                <w:rFonts w:hint="eastAsia" w:ascii="宋体" w:hAnsi="宋体" w:cs="宋体"/>
                <w:color w:val="auto"/>
                <w:kern w:val="2"/>
                <w:szCs w:val="21"/>
                <w:highlight w:val="none"/>
                <w:u w:val="single"/>
              </w:rPr>
              <w:t>2.施工中标单位自愿帮扶公益性项目的，可以根据企业资质及自身优势和特点，优先认领建设（管理）单位、施工中标单位（如有）已结对帮扶对象的“百千万工程”项目；其次按照就近就便原则，优先认领招标项目所在地的项目。</w:t>
            </w:r>
          </w:p>
        </w:tc>
      </w:tr>
      <w:tr w14:paraId="32EA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4" w:type="dxa"/>
            <w:noWrap w:val="0"/>
            <w:vAlign w:val="center"/>
          </w:tcPr>
          <w:p w14:paraId="41531095">
            <w:pPr>
              <w:keepNext w:val="0"/>
              <w:keepLines w:val="0"/>
              <w:suppressLineNumbers w:val="0"/>
              <w:snapToGrid w:val="0"/>
              <w:spacing w:before="0" w:beforeAutospacing="0" w:afterAutospacing="0" w:line="240" w:lineRule="exact"/>
              <w:ind w:left="-55" w:leftChars="-26" w:right="-59" w:rightChars="-28"/>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17</w:t>
            </w:r>
          </w:p>
        </w:tc>
        <w:tc>
          <w:tcPr>
            <w:tcW w:w="2543" w:type="dxa"/>
            <w:noWrap w:val="0"/>
            <w:vAlign w:val="center"/>
          </w:tcPr>
          <w:p w14:paraId="1D9CE525">
            <w:pPr>
              <w:keepNext w:val="0"/>
              <w:keepLines w:val="0"/>
              <w:suppressLineNumbers w:val="0"/>
              <w:spacing w:before="0" w:beforeAutospacing="0" w:afterAutospacing="0"/>
              <w:ind w:left="0" w:right="0"/>
              <w:jc w:val="center"/>
              <w:rPr>
                <w:rFonts w:hint="default" w:ascii="宋体" w:hAnsi="宋体" w:cs="宋体"/>
                <w:color w:val="auto"/>
                <w:kern w:val="2"/>
                <w:szCs w:val="21"/>
                <w:highlight w:val="none"/>
                <w:u w:val="single"/>
              </w:rPr>
            </w:pPr>
            <w:r>
              <w:rPr>
                <w:rFonts w:hint="eastAsia" w:ascii="宋体" w:hAnsi="宋体" w:cs="宋体"/>
                <w:color w:val="auto"/>
                <w:kern w:val="2"/>
                <w:szCs w:val="21"/>
                <w:highlight w:val="none"/>
                <w:u w:val="single"/>
              </w:rPr>
              <w:t>氢燃料电池汽车的投入要求</w:t>
            </w:r>
          </w:p>
        </w:tc>
        <w:tc>
          <w:tcPr>
            <w:tcW w:w="6585" w:type="dxa"/>
            <w:noWrap w:val="0"/>
            <w:vAlign w:val="center"/>
          </w:tcPr>
          <w:p w14:paraId="6D0AAC08">
            <w:pPr>
              <w:keepNext w:val="0"/>
              <w:keepLines w:val="0"/>
              <w:suppressLineNumbers w:val="0"/>
              <w:spacing w:before="0" w:beforeAutospacing="0" w:afterAutospacing="0"/>
              <w:ind w:left="0" w:right="0"/>
              <w:rPr>
                <w:rFonts w:hint="default" w:ascii="宋体" w:hAnsi="宋体" w:cs="宋体"/>
                <w:color w:val="auto"/>
                <w:kern w:val="2"/>
                <w:szCs w:val="21"/>
                <w:highlight w:val="none"/>
                <w:u w:val="single"/>
              </w:rPr>
            </w:pPr>
            <w:r>
              <w:rPr>
                <w:rFonts w:hint="eastAsia" w:ascii="宋体" w:hAnsi="宋体" w:cs="宋体"/>
                <w:color w:val="auto"/>
                <w:kern w:val="2"/>
                <w:szCs w:val="21"/>
                <w:highlight w:val="none"/>
                <w:u w:val="single"/>
              </w:rPr>
              <w:t>投标人应承诺氢燃料电池汽车作为混凝土搅拌车和建筑废弃物运输车在本项目的投入使用，投入比例需≥30%(即:投入的氢燃料电池汽车/投入的总车辆数≥30%)(具体要求详见合同条款)</w:t>
            </w:r>
          </w:p>
        </w:tc>
      </w:tr>
    </w:tbl>
    <w:p w14:paraId="62D79F61">
      <w:pPr>
        <w:pStyle w:val="4"/>
        <w:spacing w:before="0" w:after="0" w:line="360" w:lineRule="auto"/>
        <w:rPr>
          <w:rFonts w:ascii="宋体" w:hAnsi="宋体" w:eastAsia="宋体" w:cs="宋体"/>
          <w:color w:val="auto"/>
          <w:highlight w:val="none"/>
          <w:lang w:val="zh-CN"/>
        </w:rPr>
      </w:pPr>
      <w:bookmarkStart w:id="41" w:name="_Toc247527553"/>
      <w:bookmarkEnd w:id="41"/>
      <w:bookmarkStart w:id="42" w:name="_Toc152042305"/>
      <w:bookmarkEnd w:id="42"/>
      <w:bookmarkStart w:id="43" w:name="_Toc362816480"/>
      <w:bookmarkEnd w:id="43"/>
      <w:bookmarkStart w:id="44" w:name="_Toc247513952"/>
      <w:bookmarkEnd w:id="44"/>
      <w:bookmarkStart w:id="45" w:name="_Toc443505822"/>
      <w:bookmarkEnd w:id="45"/>
      <w:bookmarkStart w:id="46" w:name="_Toc300834949"/>
      <w:bookmarkEnd w:id="46"/>
      <w:bookmarkStart w:id="47" w:name="_Toc152045529"/>
      <w:bookmarkEnd w:id="47"/>
      <w:bookmarkStart w:id="48" w:name="_Toc144974497"/>
      <w:bookmarkEnd w:id="48"/>
      <w:bookmarkStart w:id="49" w:name="_Toc357089511"/>
      <w:bookmarkEnd w:id="49"/>
      <w:r>
        <w:rPr>
          <w:rFonts w:hint="eastAsia" w:ascii="宋体" w:hAnsi="宋体" w:eastAsia="宋体" w:cs="宋体"/>
          <w:color w:val="auto"/>
          <w:highlight w:val="none"/>
          <w:lang w:val="zh-CN"/>
        </w:rPr>
        <w:br w:type="page"/>
      </w:r>
      <w:bookmarkStart w:id="50" w:name="_Toc224"/>
      <w:bookmarkEnd w:id="50"/>
      <w:bookmarkStart w:id="51" w:name="_Toc13193"/>
      <w:bookmarkEnd w:id="51"/>
      <w:bookmarkStart w:id="52" w:name="_Toc5620296"/>
      <w:bookmarkStart w:id="53" w:name="_Toc15796"/>
      <w:r>
        <w:rPr>
          <w:rFonts w:hint="eastAsia" w:ascii="宋体" w:hAnsi="宋体" w:eastAsia="宋体" w:cs="宋体"/>
          <w:color w:val="auto"/>
          <w:highlight w:val="none"/>
          <w:lang w:val="zh-CN"/>
        </w:rPr>
        <w:t>1. 总则</w:t>
      </w:r>
      <w:bookmarkEnd w:id="52"/>
      <w:bookmarkEnd w:id="53"/>
    </w:p>
    <w:p w14:paraId="0CDE202F">
      <w:pPr>
        <w:pStyle w:val="5"/>
        <w:spacing w:before="0" w:after="0" w:line="360" w:lineRule="auto"/>
        <w:ind w:firstLine="118"/>
        <w:rPr>
          <w:rFonts w:ascii="宋体" w:hAnsi="宋体" w:eastAsia="宋体"/>
          <w:b/>
          <w:color w:val="auto"/>
          <w:sz w:val="24"/>
          <w:szCs w:val="24"/>
          <w:highlight w:val="none"/>
        </w:rPr>
      </w:pPr>
      <w:bookmarkStart w:id="54" w:name="_Toc144974498"/>
      <w:bookmarkEnd w:id="54"/>
      <w:bookmarkStart w:id="55" w:name="_Toc247527554"/>
      <w:bookmarkEnd w:id="55"/>
      <w:bookmarkStart w:id="56" w:name="_Toc247513953"/>
      <w:bookmarkEnd w:id="56"/>
      <w:bookmarkStart w:id="57" w:name="_Toc356469178"/>
      <w:bookmarkEnd w:id="57"/>
      <w:bookmarkStart w:id="58" w:name="_Toc357089512"/>
      <w:bookmarkEnd w:id="58"/>
      <w:bookmarkStart w:id="59" w:name="_Toc300834950"/>
      <w:bookmarkEnd w:id="59"/>
      <w:bookmarkStart w:id="60" w:name="_Toc152045530"/>
      <w:bookmarkEnd w:id="60"/>
      <w:bookmarkStart w:id="61" w:name="_Toc152042306"/>
      <w:bookmarkEnd w:id="61"/>
      <w:bookmarkStart w:id="62" w:name="_Toc362816481"/>
      <w:bookmarkEnd w:id="62"/>
      <w:bookmarkStart w:id="63" w:name="_Toc5620297"/>
      <w:bookmarkStart w:id="64" w:name="_Toc14593"/>
      <w:r>
        <w:rPr>
          <w:rFonts w:hint="eastAsia" w:ascii="宋体" w:hAnsi="宋体" w:eastAsia="宋体"/>
          <w:b/>
          <w:color w:val="auto"/>
          <w:sz w:val="24"/>
          <w:szCs w:val="24"/>
          <w:highlight w:val="none"/>
        </w:rPr>
        <w:t>1.1 项目概况</w:t>
      </w:r>
      <w:bookmarkEnd w:id="63"/>
      <w:bookmarkEnd w:id="64"/>
    </w:p>
    <w:p w14:paraId="77C96598">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1.1.1 根据《中华人民共和国招标投标法》等有关法律、法规和规章的规定，本招标项目已具备招标条件，现对该项目进行招标。</w:t>
      </w:r>
    </w:p>
    <w:p w14:paraId="3DFBA687">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1.1.2 招标人：见投标人须知前附表。</w:t>
      </w:r>
    </w:p>
    <w:p w14:paraId="32FCBBE2">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1.1.3 招标代理机构：见投标人须知前附表。</w:t>
      </w:r>
    </w:p>
    <w:p w14:paraId="786FE4D6">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1.1.4 招标项目名称：见投标人须知前附表。</w:t>
      </w:r>
    </w:p>
    <w:p w14:paraId="4F1C5A35">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1.1.5 项目建设地点：见投标人须知前附表。</w:t>
      </w:r>
    </w:p>
    <w:p w14:paraId="0D0E85C2">
      <w:pPr>
        <w:pStyle w:val="5"/>
        <w:spacing w:before="0" w:after="0" w:line="360" w:lineRule="auto"/>
        <w:ind w:firstLine="118"/>
        <w:rPr>
          <w:rFonts w:ascii="宋体" w:hAnsi="宋体" w:eastAsia="宋体"/>
          <w:b/>
          <w:color w:val="auto"/>
          <w:sz w:val="24"/>
          <w:szCs w:val="24"/>
          <w:highlight w:val="none"/>
        </w:rPr>
      </w:pPr>
      <w:bookmarkStart w:id="65" w:name="_Toc362816482"/>
      <w:bookmarkEnd w:id="65"/>
      <w:bookmarkStart w:id="66" w:name="_Toc247513954"/>
      <w:bookmarkEnd w:id="66"/>
      <w:bookmarkStart w:id="67" w:name="_Toc152042307"/>
      <w:bookmarkEnd w:id="67"/>
      <w:bookmarkStart w:id="68" w:name="_Toc300834951"/>
      <w:bookmarkEnd w:id="68"/>
      <w:bookmarkStart w:id="69" w:name="_Toc152045531"/>
      <w:bookmarkEnd w:id="69"/>
      <w:bookmarkStart w:id="70" w:name="_Toc357089513"/>
      <w:bookmarkEnd w:id="70"/>
      <w:bookmarkStart w:id="71" w:name="_Toc356469179"/>
      <w:bookmarkEnd w:id="71"/>
      <w:bookmarkStart w:id="72" w:name="_Toc247527555"/>
      <w:bookmarkEnd w:id="72"/>
      <w:bookmarkStart w:id="73" w:name="_Toc144974499"/>
      <w:bookmarkEnd w:id="73"/>
      <w:bookmarkStart w:id="74" w:name="_Toc5620298"/>
      <w:bookmarkStart w:id="75" w:name="_Toc28844"/>
      <w:r>
        <w:rPr>
          <w:rFonts w:hint="eastAsia" w:ascii="宋体" w:hAnsi="宋体" w:eastAsia="宋体"/>
          <w:b/>
          <w:color w:val="auto"/>
          <w:sz w:val="24"/>
          <w:szCs w:val="24"/>
          <w:highlight w:val="none"/>
        </w:rPr>
        <w:t>1.2 项目的资金来源和落实情况</w:t>
      </w:r>
      <w:bookmarkEnd w:id="74"/>
      <w:bookmarkEnd w:id="75"/>
    </w:p>
    <w:p w14:paraId="5DB679C2">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1.2.1 资金来源及比例：见投标人须知前附表。</w:t>
      </w:r>
    </w:p>
    <w:p w14:paraId="1672144C">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1.2.2 资金落实情况：见投标人须知前附表。</w:t>
      </w:r>
    </w:p>
    <w:p w14:paraId="42BE2ED5">
      <w:pPr>
        <w:pStyle w:val="5"/>
        <w:spacing w:before="0" w:after="0" w:line="360" w:lineRule="auto"/>
        <w:ind w:firstLine="118"/>
        <w:rPr>
          <w:rFonts w:ascii="宋体" w:hAnsi="宋体" w:eastAsia="宋体"/>
          <w:b/>
          <w:color w:val="auto"/>
          <w:sz w:val="24"/>
          <w:szCs w:val="24"/>
          <w:highlight w:val="none"/>
        </w:rPr>
      </w:pPr>
      <w:bookmarkStart w:id="76" w:name="_Toc362816483"/>
      <w:bookmarkEnd w:id="76"/>
      <w:bookmarkStart w:id="77" w:name="_Toc300834952"/>
      <w:bookmarkEnd w:id="77"/>
      <w:bookmarkStart w:id="78" w:name="_Toc152042308"/>
      <w:bookmarkEnd w:id="78"/>
      <w:bookmarkStart w:id="79" w:name="_Toc247527556"/>
      <w:bookmarkEnd w:id="79"/>
      <w:bookmarkStart w:id="80" w:name="_Toc144974500"/>
      <w:bookmarkEnd w:id="80"/>
      <w:bookmarkStart w:id="81" w:name="_Toc152045532"/>
      <w:bookmarkEnd w:id="81"/>
      <w:bookmarkStart w:id="82" w:name="_Toc247513955"/>
      <w:bookmarkEnd w:id="82"/>
      <w:bookmarkStart w:id="83" w:name="_Toc357089514"/>
      <w:bookmarkEnd w:id="83"/>
      <w:bookmarkStart w:id="84" w:name="_Toc356469180"/>
      <w:bookmarkEnd w:id="84"/>
      <w:bookmarkStart w:id="85" w:name="_Toc27428"/>
      <w:bookmarkStart w:id="86" w:name="_Toc5620299"/>
      <w:r>
        <w:rPr>
          <w:rFonts w:hint="eastAsia" w:ascii="宋体" w:hAnsi="宋体" w:eastAsia="宋体"/>
          <w:b/>
          <w:color w:val="auto"/>
          <w:sz w:val="24"/>
          <w:szCs w:val="24"/>
          <w:highlight w:val="none"/>
        </w:rPr>
        <w:t>1.3 招标范围、计划工期和质量标准</w:t>
      </w:r>
      <w:bookmarkEnd w:id="85"/>
      <w:bookmarkEnd w:id="86"/>
    </w:p>
    <w:p w14:paraId="1E9F6D65">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1.3.1 招标范围：见投标人须知前附表。</w:t>
      </w:r>
    </w:p>
    <w:p w14:paraId="6763181A">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1.3.2 计划工期：见投标人须知前附表。</w:t>
      </w:r>
    </w:p>
    <w:p w14:paraId="3940F8A3">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1.3.3 质量标准：见投标人须知前附表。</w:t>
      </w:r>
    </w:p>
    <w:p w14:paraId="17AF15F3">
      <w:pPr>
        <w:pStyle w:val="5"/>
        <w:spacing w:before="0" w:after="0" w:line="360" w:lineRule="auto"/>
        <w:ind w:firstLine="118"/>
        <w:rPr>
          <w:rFonts w:ascii="宋体" w:hAnsi="宋体" w:eastAsia="宋体"/>
          <w:b/>
          <w:color w:val="auto"/>
          <w:sz w:val="24"/>
          <w:szCs w:val="24"/>
          <w:highlight w:val="none"/>
        </w:rPr>
      </w:pPr>
      <w:bookmarkStart w:id="87" w:name="_Toc247527558"/>
      <w:bookmarkEnd w:id="87"/>
      <w:bookmarkStart w:id="88" w:name="_Toc144974502"/>
      <w:bookmarkEnd w:id="88"/>
      <w:bookmarkStart w:id="89" w:name="_Toc300834954"/>
      <w:bookmarkEnd w:id="89"/>
      <w:bookmarkStart w:id="90" w:name="_Toc152045534"/>
      <w:bookmarkEnd w:id="90"/>
      <w:bookmarkStart w:id="91" w:name="_Toc247513957"/>
      <w:bookmarkEnd w:id="91"/>
      <w:bookmarkStart w:id="92" w:name="_Toc152042310"/>
      <w:bookmarkEnd w:id="92"/>
      <w:bookmarkStart w:id="93" w:name="_Toc31933"/>
      <w:bookmarkStart w:id="94" w:name="_Toc5620300"/>
      <w:r>
        <w:rPr>
          <w:rFonts w:hint="eastAsia" w:ascii="宋体" w:hAnsi="宋体" w:eastAsia="宋体"/>
          <w:b/>
          <w:color w:val="auto"/>
          <w:sz w:val="24"/>
          <w:szCs w:val="24"/>
          <w:highlight w:val="none"/>
        </w:rPr>
        <w:t>1.4投标人资格要求</w:t>
      </w:r>
      <w:bookmarkEnd w:id="93"/>
      <w:bookmarkEnd w:id="94"/>
    </w:p>
    <w:p w14:paraId="49A29A2E">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1.4.1</w:t>
      </w:r>
      <w:r>
        <w:rPr>
          <w:rFonts w:hint="eastAsia" w:ascii="宋体" w:hAnsi="宋体" w:cs="宋体"/>
          <w:color w:val="auto"/>
          <w:kern w:val="1"/>
          <w:highlight w:val="none"/>
          <w:u w:val="single"/>
        </w:rPr>
        <w:t>投标人资格要求详见招标公告。</w:t>
      </w:r>
    </w:p>
    <w:p w14:paraId="1A657BE5">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 xml:space="preserve">1.4.2 投标人须知前附表规定接受联合体投标的，除应符合本章第1.4.1项和投标人须知前附表的要求外，还应遵守以下规定： </w:t>
      </w:r>
    </w:p>
    <w:p w14:paraId="05935B4E">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（1）联合体各方应按招标文件提供的格式签订</w:t>
      </w:r>
      <w:r>
        <w:rPr>
          <w:rFonts w:hint="eastAsia" w:ascii="宋体" w:hAnsi="宋体" w:cs="宋体"/>
          <w:color w:val="auto"/>
          <w:kern w:val="1"/>
          <w:highlight w:val="none"/>
          <w:u w:val="single"/>
        </w:rPr>
        <w:t>联合体共同投标协议书</w:t>
      </w:r>
      <w:r>
        <w:rPr>
          <w:rFonts w:hint="eastAsia" w:ascii="宋体" w:hAnsi="宋体" w:cs="宋体"/>
          <w:color w:val="auto"/>
          <w:kern w:val="1"/>
          <w:highlight w:val="none"/>
        </w:rPr>
        <w:t>，明确联合体主办方和各方权利义务；</w:t>
      </w:r>
    </w:p>
    <w:p w14:paraId="307229B2">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（2）由同一专业的单位组成的联合体，按照资质等级较低的单位确定资质等级；</w:t>
      </w:r>
    </w:p>
    <w:p w14:paraId="00D18CEA">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（3）联合体各方不得再以自己名义单独或参加其他联合体在本招标项目中投标。</w:t>
      </w:r>
    </w:p>
    <w:p w14:paraId="1F26DA19">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1.4.3 投标人不得存在下列情形之一：</w:t>
      </w:r>
    </w:p>
    <w:p w14:paraId="3479DE43">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（一）为招标人不具有独立法人资格的附属机构（单位）；</w:t>
      </w:r>
    </w:p>
    <w:p w14:paraId="3A7EDDCF">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（二）为本标段前期准备提供咨询服务或者与提供咨询服务的机构存在附属关系的（已公开项目建议书、可行性研究报告等前期成果文件的编制单位除外）；</w:t>
      </w:r>
    </w:p>
    <w:p w14:paraId="1C12F686">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（三）为本标段监理人或者与本标段监理人存在隶属关系或者其他利害关系；</w:t>
      </w:r>
    </w:p>
    <w:p w14:paraId="16F0056D">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（四）为本标段的代建人；</w:t>
      </w:r>
    </w:p>
    <w:p w14:paraId="126A221B">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（五）为本标段提供招标代理服务的；</w:t>
      </w:r>
    </w:p>
    <w:p w14:paraId="1CAC7EC5">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（六）与本标段的监理人或代建人或招标代理机构同为一个法定代表人的；</w:t>
      </w:r>
    </w:p>
    <w:p w14:paraId="189AB179">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（七）与本标段的监理人或代建人或招标代理机构互相控股或参股的；</w:t>
      </w:r>
    </w:p>
    <w:p w14:paraId="1FEB2180">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（八）与本标段的监理人或代建人或招标代理机构相互任职或工作的；</w:t>
      </w:r>
    </w:p>
    <w:p w14:paraId="5E5AD33A">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（九）与本标段的检测机构有隶属关系或者其他利害关系；</w:t>
      </w:r>
    </w:p>
    <w:p w14:paraId="16507F75">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 xml:space="preserve">（十）与招标人存在利害关系且可能影响招标公正性； </w:t>
      </w:r>
    </w:p>
    <w:p w14:paraId="4B986812">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22791684">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（十二）被责令停产停业、暂扣或者吊销许可证、暂扣或者吊销执照的（本项事实应当以根据《中华人民共和国行政处罚法》依法作出并已经生效的行政处罚决定为认定依据。）；</w:t>
      </w:r>
    </w:p>
    <w:p w14:paraId="0D14BCBF">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（十三）进入清算程序，或被宣布破产，或其他丧失履约能力的情形；</w:t>
      </w:r>
    </w:p>
    <w:p w14:paraId="72420C62">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15AD332">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（十五）法律法规规定的其他情形。</w:t>
      </w:r>
    </w:p>
    <w:p w14:paraId="14685575">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1.4.4 单位负责人为同一人或者存在控股、管理关系的不同单位，不得同时参加本招标项目投标。</w:t>
      </w:r>
    </w:p>
    <w:p w14:paraId="2202E4AF">
      <w:pPr>
        <w:pStyle w:val="5"/>
        <w:spacing w:before="0" w:after="0" w:line="360" w:lineRule="auto"/>
        <w:ind w:firstLine="118"/>
        <w:rPr>
          <w:rFonts w:ascii="宋体" w:hAnsi="宋体" w:eastAsia="宋体"/>
          <w:b/>
          <w:color w:val="auto"/>
          <w:sz w:val="24"/>
          <w:szCs w:val="24"/>
          <w:highlight w:val="none"/>
        </w:rPr>
      </w:pPr>
      <w:bookmarkStart w:id="95" w:name="_Toc356469182"/>
      <w:bookmarkEnd w:id="95"/>
      <w:bookmarkStart w:id="96" w:name="_Toc152042311"/>
      <w:bookmarkEnd w:id="96"/>
      <w:bookmarkStart w:id="97" w:name="_Toc152045535"/>
      <w:bookmarkEnd w:id="97"/>
      <w:bookmarkStart w:id="98" w:name="_Toc357089516"/>
      <w:bookmarkEnd w:id="98"/>
      <w:bookmarkStart w:id="99" w:name="_Toc362816485"/>
      <w:bookmarkEnd w:id="99"/>
      <w:bookmarkStart w:id="100" w:name="_Toc247527559"/>
      <w:bookmarkEnd w:id="100"/>
      <w:bookmarkStart w:id="101" w:name="_Toc144974503"/>
      <w:bookmarkEnd w:id="101"/>
      <w:bookmarkStart w:id="102" w:name="_Toc300834955"/>
      <w:bookmarkEnd w:id="102"/>
      <w:bookmarkStart w:id="103" w:name="_Toc247513958"/>
      <w:bookmarkEnd w:id="103"/>
      <w:bookmarkStart w:id="104" w:name="_Toc5620301"/>
      <w:bookmarkStart w:id="105" w:name="_Toc21668"/>
      <w:r>
        <w:rPr>
          <w:rFonts w:hint="eastAsia" w:ascii="宋体" w:hAnsi="宋体" w:eastAsia="宋体"/>
          <w:b/>
          <w:color w:val="auto"/>
          <w:sz w:val="24"/>
          <w:szCs w:val="24"/>
          <w:highlight w:val="none"/>
        </w:rPr>
        <w:t>1.5 费用承担和设计成果补偿</w:t>
      </w:r>
      <w:bookmarkEnd w:id="104"/>
      <w:bookmarkEnd w:id="105"/>
    </w:p>
    <w:p w14:paraId="67F8327F">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1.5.1 投标人准备和参加投标活动发生的费用自理。</w:t>
      </w:r>
    </w:p>
    <w:p w14:paraId="05CE97D1">
      <w:pPr>
        <w:spacing w:after="0"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rPr>
        <w:t xml:space="preserve">1.5.2 </w:t>
      </w:r>
      <w:r>
        <w:rPr>
          <w:rFonts w:hint="eastAsia" w:ascii="宋体" w:hAnsi="宋体" w:cs="宋体"/>
          <w:color w:val="auto"/>
          <w:kern w:val="1"/>
          <w:highlight w:val="none"/>
          <w:u w:val="single"/>
        </w:rPr>
        <w:t>招标人在征得未中标人的同意后有权免费使用未中标人设计成果。</w:t>
      </w:r>
    </w:p>
    <w:p w14:paraId="209ABD18">
      <w:pPr>
        <w:spacing w:after="0"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1.5.3 中标人按规定向广州交易集团有限公司（广州公共资源交易中心）交纳交易服务费，其费用包含在中标人投标报价中，招标人不另行支付。</w:t>
      </w:r>
    </w:p>
    <w:p w14:paraId="740380D5">
      <w:pPr>
        <w:spacing w:after="0"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1.5.4投标方案经济补偿金：无。</w:t>
      </w:r>
    </w:p>
    <w:p w14:paraId="72593C3F">
      <w:pPr>
        <w:pStyle w:val="5"/>
        <w:spacing w:before="0" w:after="0" w:line="360" w:lineRule="auto"/>
        <w:ind w:firstLine="118"/>
        <w:rPr>
          <w:rFonts w:ascii="宋体" w:hAnsi="宋体" w:eastAsia="宋体"/>
          <w:b/>
          <w:color w:val="auto"/>
          <w:sz w:val="24"/>
          <w:szCs w:val="24"/>
          <w:highlight w:val="none"/>
        </w:rPr>
      </w:pPr>
      <w:bookmarkStart w:id="106" w:name="_Toc144974504"/>
      <w:bookmarkEnd w:id="106"/>
      <w:bookmarkStart w:id="107" w:name="_Toc247513959"/>
      <w:bookmarkEnd w:id="107"/>
      <w:bookmarkStart w:id="108" w:name="_Toc356469183"/>
      <w:bookmarkEnd w:id="108"/>
      <w:bookmarkStart w:id="109" w:name="_Toc362816486"/>
      <w:bookmarkEnd w:id="109"/>
      <w:bookmarkStart w:id="110" w:name="_Toc300834956"/>
      <w:bookmarkEnd w:id="110"/>
      <w:bookmarkStart w:id="111" w:name="_Toc152045536"/>
      <w:bookmarkEnd w:id="111"/>
      <w:bookmarkStart w:id="112" w:name="_Toc247527560"/>
      <w:bookmarkEnd w:id="112"/>
      <w:bookmarkStart w:id="113" w:name="_Toc152042312"/>
      <w:bookmarkEnd w:id="113"/>
      <w:bookmarkStart w:id="114" w:name="_Toc357089517"/>
      <w:bookmarkEnd w:id="114"/>
      <w:bookmarkStart w:id="115" w:name="_Toc5620302"/>
      <w:bookmarkStart w:id="116" w:name="_Toc14287"/>
      <w:r>
        <w:rPr>
          <w:rFonts w:hint="eastAsia" w:ascii="宋体" w:hAnsi="宋体" w:eastAsia="宋体"/>
          <w:b/>
          <w:color w:val="auto"/>
          <w:sz w:val="24"/>
          <w:szCs w:val="24"/>
          <w:highlight w:val="none"/>
        </w:rPr>
        <w:t>1.6 保密</w:t>
      </w:r>
      <w:bookmarkEnd w:id="115"/>
      <w:bookmarkEnd w:id="116"/>
    </w:p>
    <w:p w14:paraId="768FFBD3">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参与招标投标活动的各方应对招标文件和投标文件中的商业和技术等秘密保密，否则应承担相应的法律责任。</w:t>
      </w:r>
    </w:p>
    <w:p w14:paraId="730FDD57">
      <w:pPr>
        <w:pStyle w:val="5"/>
        <w:spacing w:before="0" w:after="0" w:line="360" w:lineRule="auto"/>
        <w:ind w:firstLine="118"/>
        <w:rPr>
          <w:rFonts w:ascii="宋体" w:hAnsi="宋体" w:eastAsia="宋体"/>
          <w:b/>
          <w:color w:val="auto"/>
          <w:sz w:val="24"/>
          <w:szCs w:val="24"/>
          <w:highlight w:val="none"/>
        </w:rPr>
      </w:pPr>
      <w:bookmarkStart w:id="117" w:name="_Toc152045537"/>
      <w:bookmarkEnd w:id="117"/>
      <w:bookmarkStart w:id="118" w:name="_Toc356469184"/>
      <w:bookmarkEnd w:id="118"/>
      <w:bookmarkStart w:id="119" w:name="_Toc144974505"/>
      <w:bookmarkEnd w:id="119"/>
      <w:bookmarkStart w:id="120" w:name="_Toc300834957"/>
      <w:bookmarkEnd w:id="120"/>
      <w:bookmarkStart w:id="121" w:name="_Toc247527561"/>
      <w:bookmarkEnd w:id="121"/>
      <w:bookmarkStart w:id="122" w:name="_Toc357089518"/>
      <w:bookmarkEnd w:id="122"/>
      <w:bookmarkStart w:id="123" w:name="_Toc247513960"/>
      <w:bookmarkEnd w:id="123"/>
      <w:bookmarkStart w:id="124" w:name="_Toc152042313"/>
      <w:bookmarkEnd w:id="124"/>
      <w:bookmarkStart w:id="125" w:name="_Toc362816487"/>
      <w:bookmarkEnd w:id="125"/>
      <w:bookmarkStart w:id="126" w:name="_Toc23256"/>
      <w:bookmarkStart w:id="127" w:name="_Toc5620303"/>
      <w:r>
        <w:rPr>
          <w:rFonts w:hint="eastAsia" w:ascii="宋体" w:hAnsi="宋体" w:eastAsia="宋体"/>
          <w:b/>
          <w:color w:val="auto"/>
          <w:sz w:val="24"/>
          <w:szCs w:val="24"/>
          <w:highlight w:val="none"/>
        </w:rPr>
        <w:t>1.7 语言文字</w:t>
      </w:r>
      <w:bookmarkEnd w:id="126"/>
      <w:bookmarkEnd w:id="127"/>
    </w:p>
    <w:p w14:paraId="63ED81C1">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招标投标文件使用的语言文字为中文。专用术语使用外文的，应附有中文注释。</w:t>
      </w:r>
    </w:p>
    <w:p w14:paraId="40CFC56E">
      <w:pPr>
        <w:pStyle w:val="5"/>
        <w:spacing w:before="0" w:after="0" w:line="360" w:lineRule="auto"/>
        <w:ind w:firstLine="118"/>
        <w:rPr>
          <w:rFonts w:ascii="宋体" w:hAnsi="宋体" w:eastAsia="宋体"/>
          <w:b/>
          <w:color w:val="auto"/>
          <w:sz w:val="24"/>
          <w:szCs w:val="24"/>
          <w:highlight w:val="none"/>
        </w:rPr>
      </w:pPr>
      <w:bookmarkStart w:id="128" w:name="_Toc144974506"/>
      <w:bookmarkEnd w:id="128"/>
      <w:bookmarkStart w:id="129" w:name="_Toc356469185"/>
      <w:bookmarkEnd w:id="129"/>
      <w:bookmarkStart w:id="130" w:name="_Toc247513961"/>
      <w:bookmarkEnd w:id="130"/>
      <w:bookmarkStart w:id="131" w:name="_Toc357089519"/>
      <w:bookmarkEnd w:id="131"/>
      <w:bookmarkStart w:id="132" w:name="_Toc247527562"/>
      <w:bookmarkEnd w:id="132"/>
      <w:bookmarkStart w:id="133" w:name="_Toc362816488"/>
      <w:bookmarkEnd w:id="133"/>
      <w:bookmarkStart w:id="134" w:name="_Toc152042314"/>
      <w:bookmarkEnd w:id="134"/>
      <w:bookmarkStart w:id="135" w:name="_Toc152045538"/>
      <w:bookmarkEnd w:id="135"/>
      <w:bookmarkStart w:id="136" w:name="_Toc300834958"/>
      <w:bookmarkEnd w:id="136"/>
      <w:bookmarkStart w:id="137" w:name="_Toc5620304"/>
      <w:bookmarkStart w:id="138" w:name="_Toc9356"/>
      <w:r>
        <w:rPr>
          <w:rFonts w:hint="eastAsia" w:ascii="宋体" w:hAnsi="宋体" w:eastAsia="宋体"/>
          <w:b/>
          <w:color w:val="auto"/>
          <w:sz w:val="24"/>
          <w:szCs w:val="24"/>
          <w:highlight w:val="none"/>
        </w:rPr>
        <w:t>1.8 计量单位</w:t>
      </w:r>
      <w:bookmarkEnd w:id="137"/>
      <w:bookmarkEnd w:id="138"/>
    </w:p>
    <w:p w14:paraId="774184BC">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1.8.1 所有计量均采用中华人民共和国法定计量单位。</w:t>
      </w:r>
    </w:p>
    <w:p w14:paraId="31FA841C">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u w:val="single"/>
        </w:rPr>
        <w:t>1.8.2 本工程投标报价采用的币种为人民币。</w:t>
      </w:r>
    </w:p>
    <w:p w14:paraId="7FD803AF">
      <w:pPr>
        <w:pStyle w:val="5"/>
        <w:spacing w:before="0" w:after="0" w:line="360" w:lineRule="auto"/>
        <w:ind w:firstLine="118"/>
        <w:rPr>
          <w:rFonts w:ascii="宋体" w:hAnsi="宋体" w:eastAsia="宋体"/>
          <w:b/>
          <w:color w:val="auto"/>
          <w:sz w:val="24"/>
          <w:szCs w:val="24"/>
          <w:highlight w:val="none"/>
        </w:rPr>
      </w:pPr>
      <w:bookmarkStart w:id="139" w:name="_Toc247513962"/>
      <w:bookmarkEnd w:id="139"/>
      <w:bookmarkStart w:id="140" w:name="_Toc357089520"/>
      <w:bookmarkEnd w:id="140"/>
      <w:bookmarkStart w:id="141" w:name="_Toc152045539"/>
      <w:bookmarkEnd w:id="141"/>
      <w:bookmarkStart w:id="142" w:name="_Toc362816489"/>
      <w:bookmarkEnd w:id="142"/>
      <w:bookmarkStart w:id="143" w:name="_Toc247527563"/>
      <w:bookmarkEnd w:id="143"/>
      <w:bookmarkStart w:id="144" w:name="_Toc300834959"/>
      <w:bookmarkEnd w:id="144"/>
      <w:bookmarkStart w:id="145" w:name="_Toc152042315"/>
      <w:bookmarkEnd w:id="145"/>
      <w:bookmarkStart w:id="146" w:name="_Toc144974507"/>
      <w:bookmarkEnd w:id="146"/>
      <w:bookmarkStart w:id="147" w:name="_Toc356469186"/>
      <w:bookmarkEnd w:id="147"/>
      <w:bookmarkStart w:id="148" w:name="_Toc9654"/>
      <w:bookmarkStart w:id="149" w:name="_Toc5620305"/>
      <w:r>
        <w:rPr>
          <w:rFonts w:hint="eastAsia" w:ascii="宋体" w:hAnsi="宋体" w:eastAsia="宋体"/>
          <w:b/>
          <w:color w:val="auto"/>
          <w:sz w:val="24"/>
          <w:szCs w:val="24"/>
          <w:highlight w:val="none"/>
        </w:rPr>
        <w:t>1.9 踏勘现场</w:t>
      </w:r>
      <w:bookmarkEnd w:id="148"/>
      <w:bookmarkEnd w:id="149"/>
    </w:p>
    <w:p w14:paraId="0C0277D5">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 xml:space="preserve">1.9.1 投标人须知前附表规定组织踏勘现场的，招标人按投标人须知前附表规定的时间、地点组织投标人踏勘项目现场。 </w:t>
      </w:r>
    </w:p>
    <w:p w14:paraId="77082914">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1.9.2 投标人踏勘现场发生的费用自理。</w:t>
      </w:r>
    </w:p>
    <w:p w14:paraId="140C9736">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1.9.3 除招标人的原因外，投标人自行负责在踏勘现场中所发生的人员伤亡和财产损失。</w:t>
      </w:r>
    </w:p>
    <w:p w14:paraId="73F40232">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1.9.4</w:t>
      </w:r>
      <w:r>
        <w:rPr>
          <w:rFonts w:hint="eastAsia" w:ascii="宋体" w:hAnsi="宋体" w:cs="宋体"/>
          <w:color w:val="auto"/>
          <w:kern w:val="1"/>
          <w:highlight w:val="none"/>
          <w:u w:val="single"/>
        </w:rPr>
        <w:t>现场由投标人自行踏勘，投标人不进行踏勘的，视为已熟知现场条件，自行承担相关风险。招标人不对投标人自行踏勘现场作出的判断和决策负责。</w:t>
      </w:r>
    </w:p>
    <w:p w14:paraId="08B136DE">
      <w:pPr>
        <w:pStyle w:val="5"/>
        <w:spacing w:before="0" w:after="0" w:line="360" w:lineRule="auto"/>
        <w:ind w:firstLine="118"/>
        <w:rPr>
          <w:rFonts w:ascii="宋体" w:hAnsi="宋体" w:eastAsia="宋体"/>
          <w:b/>
          <w:color w:val="auto"/>
          <w:sz w:val="24"/>
          <w:szCs w:val="24"/>
          <w:highlight w:val="none"/>
        </w:rPr>
      </w:pPr>
      <w:bookmarkStart w:id="150" w:name="_Toc362816490"/>
      <w:bookmarkEnd w:id="150"/>
      <w:bookmarkStart w:id="151" w:name="_Toc152045540"/>
      <w:bookmarkEnd w:id="151"/>
      <w:bookmarkStart w:id="152" w:name="_Toc247527564"/>
      <w:bookmarkEnd w:id="152"/>
      <w:bookmarkStart w:id="153" w:name="_Toc144974508"/>
      <w:bookmarkEnd w:id="153"/>
      <w:bookmarkStart w:id="154" w:name="_Toc356469187"/>
      <w:bookmarkEnd w:id="154"/>
      <w:bookmarkStart w:id="155" w:name="_Toc152042316"/>
      <w:bookmarkEnd w:id="155"/>
      <w:bookmarkStart w:id="156" w:name="_Toc300834960"/>
      <w:bookmarkEnd w:id="156"/>
      <w:bookmarkStart w:id="157" w:name="_Toc357089521"/>
      <w:bookmarkEnd w:id="157"/>
      <w:bookmarkStart w:id="158" w:name="_Toc247513963"/>
      <w:bookmarkEnd w:id="158"/>
      <w:bookmarkStart w:id="159" w:name="_Toc25429"/>
      <w:bookmarkStart w:id="160" w:name="_Toc5620306"/>
      <w:r>
        <w:rPr>
          <w:rFonts w:hint="eastAsia" w:ascii="宋体" w:hAnsi="宋体" w:eastAsia="宋体"/>
          <w:b/>
          <w:color w:val="auto"/>
          <w:sz w:val="24"/>
          <w:szCs w:val="24"/>
          <w:highlight w:val="none"/>
        </w:rPr>
        <w:t>1.10 投标预备会</w:t>
      </w:r>
      <w:bookmarkEnd w:id="159"/>
      <w:bookmarkEnd w:id="160"/>
    </w:p>
    <w:p w14:paraId="62FB9FAB">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1.10.1</w:t>
      </w:r>
      <w:r>
        <w:rPr>
          <w:rFonts w:hint="eastAsia" w:ascii="宋体" w:hAnsi="宋体" w:cs="宋体"/>
          <w:color w:val="auto"/>
          <w:kern w:val="1"/>
          <w:highlight w:val="none"/>
          <w:u w:val="single"/>
        </w:rPr>
        <w:t>本项目不召开投标预备会。</w:t>
      </w:r>
      <w:r>
        <w:rPr>
          <w:rFonts w:hint="eastAsia" w:ascii="宋体" w:hAnsi="宋体" w:cs="宋体"/>
          <w:color w:val="auto"/>
          <w:szCs w:val="21"/>
          <w:highlight w:val="none"/>
          <w:u w:val="single"/>
        </w:rPr>
        <w:t>投标人对本项目有疑问，应在投标人须知前附表1</w:t>
      </w:r>
      <w:r>
        <w:rPr>
          <w:rFonts w:ascii="宋体" w:hAnsi="宋体" w:cs="宋体"/>
          <w:color w:val="auto"/>
          <w:szCs w:val="21"/>
          <w:highlight w:val="none"/>
          <w:u w:val="single"/>
        </w:rPr>
        <w:t>.10.2</w:t>
      </w:r>
      <w:r>
        <w:rPr>
          <w:rFonts w:hint="eastAsia" w:ascii="宋体" w:hAnsi="宋体" w:cs="宋体"/>
          <w:color w:val="auto"/>
          <w:szCs w:val="21"/>
          <w:highlight w:val="none"/>
          <w:u w:val="single"/>
        </w:rPr>
        <w:t>规定的时间内，通过登录广州交易集团有限公司（广州公共资源交易中心）网站交易系统将问题提交给招标人或招标代理人。</w:t>
      </w:r>
    </w:p>
    <w:p w14:paraId="5EEAD781">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1</w:t>
      </w:r>
      <w:r>
        <w:rPr>
          <w:rFonts w:ascii="宋体" w:hAnsi="宋体" w:cs="宋体"/>
          <w:color w:val="auto"/>
          <w:kern w:val="1"/>
          <w:highlight w:val="none"/>
        </w:rPr>
        <w:t xml:space="preserve">.10.2 </w:t>
      </w:r>
      <w:r>
        <w:rPr>
          <w:rFonts w:hint="eastAsia" w:ascii="宋体" w:hAnsi="宋体" w:cs="宋体"/>
          <w:color w:val="auto"/>
          <w:kern w:val="1"/>
          <w:highlight w:val="none"/>
          <w:u w:val="single"/>
        </w:rPr>
        <w:t>招标答疑方式按投标人须知前附表规定。</w:t>
      </w:r>
    </w:p>
    <w:p w14:paraId="654F02D7">
      <w:pPr>
        <w:pStyle w:val="5"/>
        <w:spacing w:before="0" w:after="0" w:line="360" w:lineRule="auto"/>
        <w:ind w:firstLine="118"/>
        <w:rPr>
          <w:rFonts w:ascii="宋体" w:hAnsi="宋体" w:eastAsia="宋体"/>
          <w:b/>
          <w:color w:val="auto"/>
          <w:sz w:val="24"/>
          <w:szCs w:val="24"/>
          <w:highlight w:val="none"/>
        </w:rPr>
      </w:pPr>
      <w:bookmarkStart w:id="161" w:name="_Toc152042317"/>
      <w:bookmarkEnd w:id="161"/>
      <w:bookmarkStart w:id="162" w:name="_Toc362816491"/>
      <w:bookmarkEnd w:id="162"/>
      <w:bookmarkStart w:id="163" w:name="_Toc356469188"/>
      <w:bookmarkEnd w:id="163"/>
      <w:bookmarkStart w:id="164" w:name="_Toc247513964"/>
      <w:bookmarkEnd w:id="164"/>
      <w:bookmarkStart w:id="165" w:name="_Toc247527565"/>
      <w:bookmarkEnd w:id="165"/>
      <w:bookmarkStart w:id="166" w:name="_Toc300834961"/>
      <w:bookmarkEnd w:id="166"/>
      <w:bookmarkStart w:id="167" w:name="_Toc152045541"/>
      <w:bookmarkEnd w:id="167"/>
      <w:bookmarkStart w:id="168" w:name="_Toc144974509"/>
      <w:bookmarkEnd w:id="168"/>
      <w:bookmarkStart w:id="169" w:name="_Toc357089522"/>
      <w:bookmarkEnd w:id="169"/>
      <w:bookmarkStart w:id="170" w:name="_Toc5620307"/>
      <w:bookmarkStart w:id="171" w:name="_Toc4945"/>
      <w:r>
        <w:rPr>
          <w:rFonts w:hint="eastAsia" w:ascii="宋体" w:hAnsi="宋体" w:eastAsia="宋体"/>
          <w:b/>
          <w:color w:val="auto"/>
          <w:sz w:val="24"/>
          <w:szCs w:val="24"/>
          <w:highlight w:val="none"/>
        </w:rPr>
        <w:t>1.11 分包</w:t>
      </w:r>
      <w:bookmarkEnd w:id="170"/>
      <w:bookmarkEnd w:id="171"/>
    </w:p>
    <w:p w14:paraId="5DFB06D1">
      <w:pPr>
        <w:spacing w:after="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1.11.1 投标人须知前附表规定应当由分包人实施的非主体、非关键性工作，投标人应当按照</w:t>
      </w:r>
      <w:r>
        <w:rPr>
          <w:rFonts w:hint="eastAsia" w:ascii="宋体" w:hAnsi="宋体" w:cs="宋体"/>
          <w:color w:val="auto"/>
          <w:kern w:val="1"/>
          <w:highlight w:val="none"/>
          <w:u w:val="single"/>
        </w:rPr>
        <w:t>第五章“招标人要求”</w:t>
      </w:r>
      <w:r>
        <w:rPr>
          <w:rFonts w:hint="eastAsia" w:ascii="宋体" w:hAnsi="宋体" w:cs="宋体"/>
          <w:color w:val="auto"/>
          <w:kern w:val="1"/>
          <w:highlight w:val="none"/>
        </w:rPr>
        <w:t>的规定提供分包人侯选名单及其相应资料。</w:t>
      </w:r>
    </w:p>
    <w:p w14:paraId="0CFFFFC5">
      <w:pPr>
        <w:spacing w:after="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1.11.2 招标人允许投标人在中标后将中标项目的部分非主体、非关键性工作进行分包的，应符合投标人须知前附表规定的分包内容、资质要求等限制性条件。</w:t>
      </w:r>
    </w:p>
    <w:p w14:paraId="28F34EA3">
      <w:pPr>
        <w:pStyle w:val="5"/>
        <w:spacing w:before="0" w:after="0" w:line="360" w:lineRule="auto"/>
        <w:ind w:firstLine="118"/>
        <w:rPr>
          <w:rFonts w:ascii="宋体" w:hAnsi="宋体" w:eastAsia="宋体"/>
          <w:b/>
          <w:color w:val="auto"/>
          <w:sz w:val="24"/>
          <w:szCs w:val="24"/>
          <w:highlight w:val="none"/>
        </w:rPr>
      </w:pPr>
      <w:bookmarkStart w:id="172" w:name="_Toc357089523"/>
      <w:bookmarkEnd w:id="172"/>
      <w:bookmarkStart w:id="173" w:name="_Toc362816492"/>
      <w:bookmarkEnd w:id="173"/>
      <w:bookmarkStart w:id="174" w:name="_Toc247513965"/>
      <w:bookmarkEnd w:id="174"/>
      <w:bookmarkStart w:id="175" w:name="_Toc247527566"/>
      <w:bookmarkEnd w:id="175"/>
      <w:bookmarkStart w:id="176" w:name="_Toc356469189"/>
      <w:bookmarkEnd w:id="176"/>
      <w:bookmarkStart w:id="177" w:name="_Toc300834962"/>
      <w:bookmarkEnd w:id="177"/>
      <w:bookmarkStart w:id="178" w:name="_Toc1093"/>
      <w:bookmarkStart w:id="179" w:name="_Toc5620308"/>
      <w:r>
        <w:rPr>
          <w:rFonts w:hint="eastAsia" w:ascii="宋体" w:hAnsi="宋体" w:eastAsia="宋体"/>
          <w:b/>
          <w:color w:val="auto"/>
          <w:sz w:val="24"/>
          <w:szCs w:val="24"/>
          <w:highlight w:val="none"/>
        </w:rPr>
        <w:t>1.12 偏离</w:t>
      </w:r>
      <w:bookmarkEnd w:id="178"/>
      <w:bookmarkEnd w:id="179"/>
    </w:p>
    <w:p w14:paraId="09920187">
      <w:pPr>
        <w:spacing w:after="0"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投标人须知前附表允许投标文件偏离招标文件某些要求的，偏离应当符合招标文件规定的偏离范围和幅度。</w:t>
      </w:r>
    </w:p>
    <w:p w14:paraId="3C0EBE70">
      <w:pPr>
        <w:pStyle w:val="4"/>
        <w:spacing w:before="0" w:after="0" w:line="360" w:lineRule="auto"/>
        <w:rPr>
          <w:rFonts w:ascii="宋体" w:hAnsi="宋体" w:eastAsia="宋体" w:cs="宋体"/>
          <w:color w:val="auto"/>
          <w:highlight w:val="none"/>
          <w:lang w:val="zh-CN"/>
        </w:rPr>
      </w:pPr>
      <w:bookmarkStart w:id="180" w:name="_Toc144974510"/>
      <w:bookmarkEnd w:id="180"/>
      <w:bookmarkStart w:id="181" w:name="_Toc247513966"/>
      <w:bookmarkEnd w:id="181"/>
      <w:bookmarkStart w:id="182" w:name="_Toc357089524"/>
      <w:bookmarkEnd w:id="182"/>
      <w:bookmarkStart w:id="183" w:name="_Toc152042318"/>
      <w:bookmarkEnd w:id="183"/>
      <w:bookmarkStart w:id="184" w:name="_Toc300834963"/>
      <w:bookmarkEnd w:id="184"/>
      <w:bookmarkStart w:id="185" w:name="_Toc25799"/>
      <w:bookmarkEnd w:id="185"/>
      <w:bookmarkStart w:id="186" w:name="_Toc152045542"/>
      <w:bookmarkEnd w:id="186"/>
      <w:bookmarkStart w:id="187" w:name="_Toc362816493"/>
      <w:bookmarkEnd w:id="187"/>
      <w:bookmarkStart w:id="188" w:name="_Toc247527567"/>
      <w:bookmarkEnd w:id="188"/>
      <w:bookmarkStart w:id="189" w:name="_Toc23951"/>
      <w:bookmarkEnd w:id="189"/>
      <w:bookmarkStart w:id="190" w:name="_Toc443505823"/>
      <w:bookmarkEnd w:id="190"/>
      <w:bookmarkStart w:id="191" w:name="_Toc5620309"/>
      <w:bookmarkStart w:id="192" w:name="_Toc15458"/>
      <w:r>
        <w:rPr>
          <w:rFonts w:hint="eastAsia" w:ascii="宋体" w:hAnsi="宋体" w:eastAsia="宋体" w:cs="宋体"/>
          <w:color w:val="auto"/>
          <w:highlight w:val="none"/>
          <w:lang w:val="zh-CN"/>
        </w:rPr>
        <w:t>2. 招标文件</w:t>
      </w:r>
      <w:bookmarkEnd w:id="191"/>
      <w:bookmarkEnd w:id="192"/>
    </w:p>
    <w:p w14:paraId="183AACBE">
      <w:pPr>
        <w:pStyle w:val="5"/>
        <w:spacing w:before="0" w:after="0" w:line="360" w:lineRule="auto"/>
        <w:ind w:firstLine="118"/>
        <w:rPr>
          <w:rFonts w:ascii="宋体" w:hAnsi="宋体" w:eastAsia="宋体"/>
          <w:b/>
          <w:color w:val="auto"/>
          <w:sz w:val="24"/>
          <w:szCs w:val="24"/>
          <w:highlight w:val="none"/>
        </w:rPr>
      </w:pPr>
      <w:bookmarkStart w:id="193" w:name="_Toc144974511"/>
      <w:bookmarkEnd w:id="193"/>
      <w:bookmarkStart w:id="194" w:name="_Toc300834964"/>
      <w:bookmarkEnd w:id="194"/>
      <w:bookmarkStart w:id="195" w:name="_Toc152045543"/>
      <w:bookmarkEnd w:id="195"/>
      <w:bookmarkStart w:id="196" w:name="_Toc357089525"/>
      <w:bookmarkEnd w:id="196"/>
      <w:bookmarkStart w:id="197" w:name="_Toc247513967"/>
      <w:bookmarkEnd w:id="197"/>
      <w:bookmarkStart w:id="198" w:name="_Toc247527568"/>
      <w:bookmarkEnd w:id="198"/>
      <w:bookmarkStart w:id="199" w:name="_Toc362816494"/>
      <w:bookmarkEnd w:id="199"/>
      <w:bookmarkStart w:id="200" w:name="_Toc356469191"/>
      <w:bookmarkEnd w:id="200"/>
      <w:bookmarkStart w:id="201" w:name="_Toc152042319"/>
      <w:bookmarkEnd w:id="201"/>
      <w:bookmarkStart w:id="202" w:name="_Toc2576"/>
      <w:bookmarkStart w:id="203" w:name="_Toc5620310"/>
      <w:r>
        <w:rPr>
          <w:rFonts w:hint="eastAsia" w:ascii="宋体" w:hAnsi="宋体" w:eastAsia="宋体"/>
          <w:b/>
          <w:color w:val="auto"/>
          <w:sz w:val="24"/>
          <w:szCs w:val="24"/>
          <w:highlight w:val="none"/>
        </w:rPr>
        <w:t>2.1 招标文件的组成</w:t>
      </w:r>
      <w:bookmarkEnd w:id="202"/>
      <w:bookmarkEnd w:id="203"/>
    </w:p>
    <w:p w14:paraId="0DFE98F6">
      <w:pPr>
        <w:spacing w:after="0" w:line="360" w:lineRule="auto"/>
        <w:ind w:firstLine="359"/>
        <w:rPr>
          <w:rFonts w:ascii="宋体" w:hAnsi="宋体" w:cs="宋体"/>
          <w:color w:val="auto"/>
          <w:kern w:val="1"/>
          <w:highlight w:val="none"/>
        </w:rPr>
      </w:pPr>
      <w:r>
        <w:rPr>
          <w:rFonts w:hint="eastAsia" w:ascii="宋体" w:hAnsi="宋体" w:cs="宋体"/>
          <w:color w:val="auto"/>
          <w:kern w:val="1"/>
          <w:highlight w:val="none"/>
        </w:rPr>
        <w:t>2.1.1本招标文件包括：</w:t>
      </w:r>
    </w:p>
    <w:p w14:paraId="0332083E">
      <w:pPr>
        <w:spacing w:after="0" w:line="360" w:lineRule="auto"/>
        <w:ind w:firstLine="359"/>
        <w:rPr>
          <w:rFonts w:ascii="宋体" w:hAnsi="宋体" w:cs="宋体"/>
          <w:color w:val="auto"/>
          <w:kern w:val="1"/>
          <w:highlight w:val="none"/>
        </w:rPr>
      </w:pPr>
      <w:r>
        <w:rPr>
          <w:rFonts w:hint="eastAsia" w:ascii="宋体" w:hAnsi="宋体" w:cs="宋体"/>
          <w:color w:val="auto"/>
          <w:kern w:val="1"/>
          <w:highlight w:val="none"/>
        </w:rPr>
        <w:t>（1）招标公告；</w:t>
      </w:r>
    </w:p>
    <w:p w14:paraId="6ABDAB11">
      <w:pPr>
        <w:spacing w:after="0" w:line="360" w:lineRule="auto"/>
        <w:ind w:firstLine="359"/>
        <w:rPr>
          <w:rFonts w:ascii="宋体" w:hAnsi="宋体" w:cs="宋体"/>
          <w:color w:val="auto"/>
          <w:kern w:val="1"/>
          <w:highlight w:val="none"/>
        </w:rPr>
      </w:pPr>
      <w:r>
        <w:rPr>
          <w:rFonts w:hint="eastAsia" w:ascii="宋体" w:hAnsi="宋体" w:cs="宋体"/>
          <w:color w:val="auto"/>
          <w:kern w:val="1"/>
          <w:highlight w:val="none"/>
        </w:rPr>
        <w:t>（2）投标人须知；</w:t>
      </w:r>
    </w:p>
    <w:p w14:paraId="1A54491A">
      <w:pPr>
        <w:spacing w:after="0" w:line="360" w:lineRule="auto"/>
        <w:ind w:firstLine="359"/>
        <w:rPr>
          <w:rFonts w:ascii="宋体" w:hAnsi="宋体" w:cs="宋体"/>
          <w:color w:val="auto"/>
          <w:kern w:val="1"/>
          <w:highlight w:val="none"/>
        </w:rPr>
      </w:pPr>
      <w:r>
        <w:rPr>
          <w:rFonts w:hint="eastAsia" w:ascii="宋体" w:hAnsi="宋体" w:cs="宋体"/>
          <w:color w:val="auto"/>
          <w:kern w:val="1"/>
          <w:highlight w:val="none"/>
        </w:rPr>
        <w:t>（3）评标办法；</w:t>
      </w:r>
    </w:p>
    <w:p w14:paraId="7A641745">
      <w:pPr>
        <w:spacing w:after="0" w:line="360" w:lineRule="auto"/>
        <w:ind w:firstLine="359"/>
        <w:rPr>
          <w:rFonts w:ascii="宋体" w:hAnsi="宋体" w:cs="宋体"/>
          <w:color w:val="auto"/>
          <w:kern w:val="1"/>
          <w:highlight w:val="none"/>
        </w:rPr>
      </w:pPr>
      <w:r>
        <w:rPr>
          <w:rFonts w:hint="eastAsia" w:ascii="宋体" w:hAnsi="宋体" w:cs="宋体"/>
          <w:color w:val="auto"/>
          <w:kern w:val="1"/>
          <w:highlight w:val="none"/>
        </w:rPr>
        <w:t>（4）合同条款及格式(另册)；</w:t>
      </w:r>
    </w:p>
    <w:p w14:paraId="231CDE02">
      <w:pPr>
        <w:spacing w:after="0" w:line="360" w:lineRule="auto"/>
        <w:ind w:firstLine="359"/>
        <w:rPr>
          <w:rFonts w:ascii="宋体" w:hAnsi="宋体" w:cs="宋体"/>
          <w:color w:val="auto"/>
          <w:kern w:val="1"/>
          <w:highlight w:val="none"/>
        </w:rPr>
      </w:pPr>
      <w:r>
        <w:rPr>
          <w:rFonts w:hint="eastAsia" w:ascii="宋体" w:hAnsi="宋体" w:cs="宋体"/>
          <w:color w:val="auto"/>
          <w:kern w:val="1"/>
          <w:highlight w:val="none"/>
        </w:rPr>
        <w:t>（5）招标人要求(另册)；</w:t>
      </w:r>
    </w:p>
    <w:p w14:paraId="470F3D49">
      <w:pPr>
        <w:spacing w:after="0" w:line="360" w:lineRule="auto"/>
        <w:ind w:firstLine="359"/>
        <w:rPr>
          <w:rFonts w:ascii="宋体" w:hAnsi="宋体" w:cs="宋体"/>
          <w:color w:val="auto"/>
          <w:kern w:val="1"/>
          <w:highlight w:val="none"/>
        </w:rPr>
      </w:pPr>
      <w:r>
        <w:rPr>
          <w:rFonts w:hint="eastAsia" w:ascii="宋体" w:hAnsi="宋体" w:cs="宋体"/>
          <w:color w:val="auto"/>
          <w:kern w:val="1"/>
          <w:highlight w:val="none"/>
        </w:rPr>
        <w:t>（6）招标人提供的资料(另册)；</w:t>
      </w:r>
    </w:p>
    <w:p w14:paraId="777255B2">
      <w:pPr>
        <w:spacing w:after="0" w:line="360" w:lineRule="auto"/>
        <w:ind w:firstLine="359"/>
        <w:rPr>
          <w:rFonts w:ascii="宋体" w:hAnsi="宋体" w:cs="宋体"/>
          <w:color w:val="auto"/>
          <w:kern w:val="1"/>
          <w:highlight w:val="none"/>
        </w:rPr>
      </w:pPr>
      <w:r>
        <w:rPr>
          <w:rFonts w:hint="eastAsia" w:ascii="宋体" w:hAnsi="宋体" w:cs="宋体"/>
          <w:color w:val="auto"/>
          <w:kern w:val="1"/>
          <w:highlight w:val="none"/>
        </w:rPr>
        <w:t>（7）投标文件格式；</w:t>
      </w:r>
    </w:p>
    <w:p w14:paraId="17F50662">
      <w:pPr>
        <w:spacing w:after="0" w:line="360" w:lineRule="auto"/>
        <w:ind w:firstLine="359"/>
        <w:rPr>
          <w:rFonts w:ascii="宋体" w:hAnsi="宋体" w:cs="宋体"/>
          <w:color w:val="auto"/>
          <w:kern w:val="1"/>
          <w:highlight w:val="none"/>
        </w:rPr>
      </w:pPr>
      <w:r>
        <w:rPr>
          <w:rFonts w:hint="eastAsia" w:ascii="宋体" w:hAnsi="宋体" w:cs="宋体"/>
          <w:color w:val="auto"/>
          <w:kern w:val="1"/>
          <w:highlight w:val="none"/>
        </w:rPr>
        <w:t>（8）其他资料。</w:t>
      </w:r>
    </w:p>
    <w:p w14:paraId="1699A1B8">
      <w:pPr>
        <w:spacing w:after="0" w:line="360" w:lineRule="auto"/>
        <w:ind w:firstLine="359"/>
        <w:rPr>
          <w:rFonts w:hint="eastAsia" w:ascii="宋体" w:hAnsi="宋体" w:cs="宋体"/>
          <w:color w:val="auto"/>
          <w:kern w:val="1"/>
          <w:highlight w:val="none"/>
        </w:rPr>
      </w:pPr>
      <w:r>
        <w:rPr>
          <w:rFonts w:hint="eastAsia" w:ascii="宋体" w:hAnsi="宋体" w:cs="宋体"/>
          <w:color w:val="auto"/>
          <w:kern w:val="1"/>
          <w:highlight w:val="none"/>
        </w:rPr>
        <w:t>2.1.2根据本章第1.10款、第2.2款和第2.3款对招标文件所作的澄清、修改，构成招标文件的组成部分。</w:t>
      </w:r>
    </w:p>
    <w:p w14:paraId="4CD60330">
      <w:pPr>
        <w:spacing w:after="0"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2.1.3投标人获取招标文件后，应仔细检查招标文件的所有内容，认真审阅招标文件中所有的事项、格式、条款和规范要求等，若投标人的投标文件没有按招标文件要求递交全部资料，或投标文件实质上没有响应招标文件的要求，将承担无法通过投标文件有效性审查风险，并且招标人不允许投标人通过修改或撤消其不符合要求的差异或保留使之成为具有响应性的投标文件。</w:t>
      </w:r>
    </w:p>
    <w:p w14:paraId="602F03F2">
      <w:pPr>
        <w:spacing w:after="0"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2.1.4投标人一旦中标，招标文件的内容对招标人和中标人双方均有约束力。</w:t>
      </w:r>
    </w:p>
    <w:p w14:paraId="58C9A281">
      <w:pPr>
        <w:pStyle w:val="35"/>
        <w:spacing w:after="0" w:line="360" w:lineRule="auto"/>
        <w:ind w:left="0" w:leftChars="0" w:firstLine="424" w:firstLineChars="202"/>
        <w:rPr>
          <w:color w:val="auto"/>
          <w:highlight w:val="none"/>
          <w:lang w:eastAsia="zh-CN"/>
        </w:rPr>
      </w:pPr>
      <w:r>
        <w:rPr>
          <w:rFonts w:hint="eastAsia" w:ascii="宋体" w:hAnsi="宋体" w:cs="宋体"/>
          <w:color w:val="auto"/>
          <w:highlight w:val="none"/>
          <w:u w:val="single"/>
          <w:lang w:eastAsia="zh-CN"/>
        </w:rPr>
        <w:t>2.1.5招标文件一经在广州交易集团有限公司（广州公共资源交易中心）网站发布，视作已发放给所有投标人。</w:t>
      </w:r>
    </w:p>
    <w:p w14:paraId="273EAC78">
      <w:pPr>
        <w:pStyle w:val="5"/>
        <w:spacing w:before="0" w:after="0" w:line="360" w:lineRule="auto"/>
        <w:ind w:firstLine="118"/>
        <w:rPr>
          <w:rFonts w:ascii="宋体" w:hAnsi="宋体" w:eastAsia="宋体"/>
          <w:b/>
          <w:color w:val="auto"/>
          <w:sz w:val="24"/>
          <w:szCs w:val="24"/>
          <w:highlight w:val="none"/>
        </w:rPr>
      </w:pPr>
      <w:bookmarkStart w:id="204" w:name="_Toc357089526"/>
      <w:bookmarkEnd w:id="204"/>
      <w:bookmarkStart w:id="205" w:name="_Toc152042320"/>
      <w:bookmarkEnd w:id="205"/>
      <w:bookmarkStart w:id="206" w:name="_Toc362816495"/>
      <w:bookmarkEnd w:id="206"/>
      <w:bookmarkStart w:id="207" w:name="_Toc247527569"/>
      <w:bookmarkEnd w:id="207"/>
      <w:bookmarkStart w:id="208" w:name="_Toc247513968"/>
      <w:bookmarkEnd w:id="208"/>
      <w:bookmarkStart w:id="209" w:name="_Toc356469192"/>
      <w:bookmarkEnd w:id="209"/>
      <w:bookmarkStart w:id="210" w:name="_Toc152045544"/>
      <w:bookmarkEnd w:id="210"/>
      <w:bookmarkStart w:id="211" w:name="_Toc144974512"/>
      <w:bookmarkEnd w:id="211"/>
      <w:bookmarkStart w:id="212" w:name="_Toc300834965"/>
      <w:bookmarkEnd w:id="212"/>
      <w:bookmarkStart w:id="213" w:name="_Toc14885"/>
      <w:bookmarkStart w:id="214" w:name="_Toc5620311"/>
      <w:r>
        <w:rPr>
          <w:rFonts w:hint="eastAsia" w:ascii="宋体" w:hAnsi="宋体" w:eastAsia="宋体"/>
          <w:b/>
          <w:color w:val="auto"/>
          <w:sz w:val="24"/>
          <w:szCs w:val="24"/>
          <w:highlight w:val="none"/>
        </w:rPr>
        <w:t>2.2 招标文件的澄清</w:t>
      </w:r>
      <w:bookmarkEnd w:id="213"/>
      <w:bookmarkEnd w:id="214"/>
    </w:p>
    <w:p w14:paraId="29ABA8BF">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2.2.1 投标人应仔细阅读和检查招标文件的全部内容。如发现缺页或附件不全，应及时向招标人提出，以便补齐。</w:t>
      </w:r>
      <w:r>
        <w:rPr>
          <w:rFonts w:hint="eastAsia" w:ascii="宋体" w:hAnsi="宋体" w:cs="宋体"/>
          <w:color w:val="auto"/>
          <w:kern w:val="1"/>
          <w:szCs w:val="21"/>
          <w:highlight w:val="none"/>
          <w:u w:val="single"/>
        </w:rPr>
        <w:t>如有疑问，可在投标人须知前附表规定的时间内通过广州交易集团有限公司（广州公共资源交易中心）网站交易系统将问题提交给招标人或招标代理人。</w:t>
      </w:r>
    </w:p>
    <w:p w14:paraId="01BFBE10">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网上答疑的操作指南为：登陆广州交易集团有限公司（广州公共资源交易中心）网站交易系统→进入“我的投标”专区→进入“招标答疑”选项→通过项目编号或名称找到所需的项目→在答疑时间内点击“答疑提问-新增提问”→提出问题(提问一律不得署名)。</w:t>
      </w:r>
    </w:p>
    <w:p w14:paraId="694956A7">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rPr>
        <w:t>2.2.2</w:t>
      </w:r>
      <w:r>
        <w:rPr>
          <w:rFonts w:hint="eastAsia" w:ascii="宋体" w:hAnsi="宋体" w:cs="宋体"/>
          <w:color w:val="auto"/>
          <w:kern w:val="1"/>
          <w:szCs w:val="21"/>
          <w:highlight w:val="none"/>
          <w:u w:val="single"/>
        </w:rPr>
        <w:t>招标人应在投标截止时间15日前解答投标人对招标文件提出的疑问，形成答疑纪要，并在广州交易集团有限公司（广州公共资源交易中心）网站“项目查询（日程安排、答疑纪要）”专区发布，但不指明问题的来源。澄清发出的时间距本章第 4.2.1 项规定的投标截止时间不足 15 日的，并且澄清内容可能影响投标文件编制的，将相应延长投标截止时间。</w:t>
      </w:r>
    </w:p>
    <w:p w14:paraId="4A12B503">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2.2.3</w:t>
      </w:r>
      <w:r>
        <w:rPr>
          <w:rFonts w:hint="eastAsia" w:ascii="宋体" w:hAnsi="宋体" w:cs="宋体"/>
          <w:color w:val="auto"/>
          <w:kern w:val="1"/>
          <w:szCs w:val="21"/>
          <w:highlight w:val="none"/>
          <w:u w:val="single"/>
        </w:rPr>
        <w:t>招标答疑纪要一经在广州交易集团有限公司（广州公共资源交易中心）网站发布，视作已发放给所有投标人。</w:t>
      </w:r>
    </w:p>
    <w:p w14:paraId="0C0916E4">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2.2.4招标答疑纪要为招标文件的一部分。投标人可在广州交易集团有限公司（广州公共资源交易中心）网站浏览、下载招标答疑纪要。</w:t>
      </w:r>
    </w:p>
    <w:p w14:paraId="62BCB788">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2.2.5若招标答疑纪要与招标文件有矛盾时，以广州交易集团有限公司（广州公共资源交易中心）网站最后发布的答疑纪要为准。</w:t>
      </w:r>
    </w:p>
    <w:p w14:paraId="5B31B9F6">
      <w:pPr>
        <w:pStyle w:val="5"/>
        <w:spacing w:before="0" w:after="0" w:line="360" w:lineRule="auto"/>
        <w:ind w:firstLine="118"/>
        <w:rPr>
          <w:rFonts w:ascii="宋体" w:hAnsi="宋体" w:eastAsia="宋体"/>
          <w:b/>
          <w:color w:val="auto"/>
          <w:sz w:val="24"/>
          <w:szCs w:val="24"/>
          <w:highlight w:val="none"/>
        </w:rPr>
      </w:pPr>
      <w:bookmarkStart w:id="215" w:name="_Toc247513969"/>
      <w:bookmarkEnd w:id="215"/>
      <w:bookmarkStart w:id="216" w:name="_Toc152045545"/>
      <w:bookmarkEnd w:id="216"/>
      <w:bookmarkStart w:id="217" w:name="_Toc362816496"/>
      <w:bookmarkEnd w:id="217"/>
      <w:bookmarkStart w:id="218" w:name="_Toc152042321"/>
      <w:bookmarkEnd w:id="218"/>
      <w:bookmarkStart w:id="219" w:name="_Toc356469193"/>
      <w:bookmarkEnd w:id="219"/>
      <w:bookmarkStart w:id="220" w:name="_Toc247527570"/>
      <w:bookmarkEnd w:id="220"/>
      <w:bookmarkStart w:id="221" w:name="_Toc144974513"/>
      <w:bookmarkEnd w:id="221"/>
      <w:bookmarkStart w:id="222" w:name="_Toc357089527"/>
      <w:bookmarkEnd w:id="222"/>
      <w:bookmarkStart w:id="223" w:name="_Toc300834966"/>
      <w:bookmarkEnd w:id="223"/>
      <w:bookmarkStart w:id="224" w:name="_Toc11509"/>
      <w:bookmarkStart w:id="225" w:name="_Toc5620312"/>
      <w:r>
        <w:rPr>
          <w:rFonts w:hint="eastAsia" w:ascii="宋体" w:hAnsi="宋体" w:eastAsia="宋体"/>
          <w:b/>
          <w:color w:val="auto"/>
          <w:sz w:val="24"/>
          <w:szCs w:val="24"/>
          <w:highlight w:val="none"/>
        </w:rPr>
        <w:t>2.3 招标文件的修改</w:t>
      </w:r>
      <w:bookmarkEnd w:id="224"/>
      <w:bookmarkEnd w:id="225"/>
    </w:p>
    <w:p w14:paraId="7A0919DA">
      <w:pPr>
        <w:pStyle w:val="34"/>
        <w:spacing w:after="0" w:line="360" w:lineRule="auto"/>
        <w:rPr>
          <w:rFonts w:ascii="宋体" w:hAnsi="宋体" w:cs="宋体"/>
          <w:color w:val="auto"/>
          <w:szCs w:val="21"/>
          <w:highlight w:val="none"/>
        </w:rPr>
      </w:pPr>
      <w:r>
        <w:rPr>
          <w:rFonts w:hint="eastAsia" w:ascii="宋体" w:hAnsi="宋体" w:cs="宋体"/>
          <w:color w:val="auto"/>
          <w:szCs w:val="21"/>
          <w:highlight w:val="none"/>
        </w:rPr>
        <w:t>2.3.1</w:t>
      </w:r>
      <w:r>
        <w:rPr>
          <w:rFonts w:hint="eastAsia" w:ascii="宋体" w:hAnsi="宋体" w:cs="宋体"/>
          <w:color w:val="auto"/>
          <w:szCs w:val="21"/>
          <w:highlight w:val="none"/>
          <w:u w:val="single"/>
        </w:rPr>
        <w:t>招标文件发出后,在提交投标文件截止时间15日前，招标人可对招标文件进行必要的澄清或修改。</w:t>
      </w:r>
    </w:p>
    <w:p w14:paraId="09CB8A39">
      <w:pPr>
        <w:pStyle w:val="34"/>
        <w:spacing w:after="0" w:line="360" w:lineRule="auto"/>
        <w:ind w:left="-1"/>
        <w:rPr>
          <w:rFonts w:ascii="宋体" w:hAnsi="宋体" w:cs="宋体"/>
          <w:color w:val="auto"/>
          <w:szCs w:val="21"/>
          <w:highlight w:val="none"/>
        </w:rPr>
      </w:pPr>
      <w:r>
        <w:rPr>
          <w:rFonts w:hint="eastAsia" w:ascii="宋体" w:hAnsi="宋体" w:cs="宋体"/>
          <w:color w:val="auto"/>
          <w:szCs w:val="21"/>
          <w:highlight w:val="none"/>
        </w:rPr>
        <w:t>2.3.2</w:t>
      </w:r>
      <w:r>
        <w:rPr>
          <w:rFonts w:hint="eastAsia" w:ascii="宋体" w:hAnsi="宋体" w:cs="宋体"/>
          <w:color w:val="auto"/>
          <w:szCs w:val="21"/>
          <w:highlight w:val="none"/>
          <w:u w:val="single"/>
        </w:rPr>
        <w:t>招标文件的澄清或修改在广州交易集团有限公司（广州公共资源交易中心）网站发布。招标文件的澄清或修改一经在广州交易集团有限公司（广州公共资源交易中心）网站发布，视作已发放给所有投标人，招标文件的修改内容作为招标文件的组成部分，具有约束作用。</w:t>
      </w:r>
    </w:p>
    <w:p w14:paraId="798D9637">
      <w:pPr>
        <w:pStyle w:val="34"/>
        <w:spacing w:after="0"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2.3.3招标文件的澄清、修改均以广州交易集团有限公司（广州公共资源交易中心）网站发布的内容为准。当招标文件的澄清、修改在同一内容的表述不一致时，以广州交易集团有限公司（广州公共资源交易中心）网站最后发布的内容为准。</w:t>
      </w:r>
    </w:p>
    <w:p w14:paraId="75EF33FA">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5A74AAFE">
      <w:pPr>
        <w:pStyle w:val="4"/>
        <w:spacing w:before="0" w:after="0" w:line="360" w:lineRule="auto"/>
        <w:rPr>
          <w:rFonts w:ascii="宋体" w:hAnsi="宋体" w:eastAsia="宋体" w:cs="宋体"/>
          <w:color w:val="auto"/>
          <w:highlight w:val="none"/>
          <w:lang w:val="zh-CN"/>
        </w:rPr>
      </w:pPr>
      <w:bookmarkStart w:id="226" w:name="_Toc247527571"/>
      <w:bookmarkEnd w:id="226"/>
      <w:bookmarkStart w:id="227" w:name="_Toc443505825"/>
      <w:bookmarkEnd w:id="227"/>
      <w:bookmarkStart w:id="228" w:name="_Toc152045546"/>
      <w:bookmarkEnd w:id="228"/>
      <w:bookmarkStart w:id="229" w:name="_Toc375931087"/>
      <w:bookmarkEnd w:id="229"/>
      <w:bookmarkStart w:id="230" w:name="_Toc247513970"/>
      <w:bookmarkEnd w:id="230"/>
      <w:bookmarkStart w:id="231" w:name="_Toc410240234"/>
      <w:bookmarkEnd w:id="231"/>
      <w:bookmarkStart w:id="232" w:name="_Toc6320"/>
      <w:bookmarkEnd w:id="232"/>
      <w:bookmarkStart w:id="233" w:name="_Toc300834967"/>
      <w:bookmarkEnd w:id="233"/>
      <w:bookmarkStart w:id="234" w:name="_Toc362816497"/>
      <w:bookmarkEnd w:id="234"/>
      <w:bookmarkStart w:id="235" w:name="_Toc27122"/>
      <w:bookmarkEnd w:id="235"/>
      <w:bookmarkStart w:id="236" w:name="_Toc357089528"/>
      <w:bookmarkEnd w:id="236"/>
      <w:bookmarkStart w:id="237" w:name="_Toc152042322"/>
      <w:bookmarkEnd w:id="237"/>
      <w:bookmarkStart w:id="238" w:name="_Toc144974514"/>
      <w:bookmarkEnd w:id="238"/>
      <w:bookmarkStart w:id="239" w:name="_Toc8206"/>
      <w:bookmarkStart w:id="240" w:name="_Toc5620313"/>
      <w:r>
        <w:rPr>
          <w:rFonts w:hint="eastAsia" w:ascii="宋体" w:hAnsi="宋体" w:eastAsia="宋体" w:cs="宋体"/>
          <w:color w:val="auto"/>
          <w:highlight w:val="none"/>
          <w:lang w:val="zh-CN"/>
        </w:rPr>
        <w:t>3. 投标文件</w:t>
      </w:r>
      <w:bookmarkEnd w:id="239"/>
      <w:bookmarkEnd w:id="240"/>
    </w:p>
    <w:p w14:paraId="5DD825A0">
      <w:pPr>
        <w:pStyle w:val="5"/>
        <w:spacing w:before="0" w:after="0" w:line="360" w:lineRule="auto"/>
        <w:rPr>
          <w:rFonts w:ascii="宋体" w:hAnsi="宋体" w:eastAsia="宋体"/>
          <w:b/>
          <w:bCs/>
          <w:color w:val="auto"/>
          <w:sz w:val="24"/>
          <w:szCs w:val="24"/>
          <w:highlight w:val="none"/>
        </w:rPr>
      </w:pPr>
      <w:bookmarkStart w:id="241" w:name="_Toc144974515"/>
      <w:bookmarkEnd w:id="241"/>
      <w:bookmarkStart w:id="242" w:name="_Toc247527572"/>
      <w:bookmarkEnd w:id="242"/>
      <w:bookmarkStart w:id="243" w:name="_Toc247513971"/>
      <w:bookmarkEnd w:id="243"/>
      <w:bookmarkStart w:id="244" w:name="_Toc362816498"/>
      <w:bookmarkEnd w:id="244"/>
      <w:bookmarkStart w:id="245" w:name="_Toc152045547"/>
      <w:bookmarkEnd w:id="245"/>
      <w:bookmarkStart w:id="246" w:name="_Toc300834968"/>
      <w:bookmarkEnd w:id="246"/>
      <w:bookmarkStart w:id="247" w:name="_Toc356469195"/>
      <w:bookmarkEnd w:id="247"/>
      <w:bookmarkStart w:id="248" w:name="_Toc152042323"/>
      <w:bookmarkEnd w:id="248"/>
      <w:bookmarkStart w:id="249" w:name="_Toc357089529"/>
      <w:bookmarkEnd w:id="249"/>
      <w:bookmarkStart w:id="250" w:name="_Toc5620314"/>
      <w:bookmarkStart w:id="251" w:name="_Toc9754"/>
      <w:r>
        <w:rPr>
          <w:rFonts w:hint="eastAsia" w:ascii="宋体" w:hAnsi="宋体" w:eastAsia="宋体"/>
          <w:b/>
          <w:bCs/>
          <w:color w:val="auto"/>
          <w:sz w:val="24"/>
          <w:szCs w:val="24"/>
          <w:highlight w:val="none"/>
        </w:rPr>
        <w:t>3.1 投标文件的组成</w:t>
      </w:r>
      <w:bookmarkEnd w:id="250"/>
      <w:bookmarkEnd w:id="251"/>
    </w:p>
    <w:p w14:paraId="660BC594">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3.1.1投标文件由资格审查文件、勘察设计方案投标文件、工程总承包实施方案技术投标文件、工程总承包实施方案经济投标文件四部分组成。</w:t>
      </w:r>
    </w:p>
    <w:p w14:paraId="7ACAF33C">
      <w:pPr>
        <w:spacing w:after="0" w:line="360" w:lineRule="auto"/>
        <w:ind w:firstLine="420"/>
        <w:rPr>
          <w:rFonts w:ascii="宋体" w:hAnsi="宋体" w:cs="宋体"/>
          <w:b/>
          <w:bCs/>
          <w:color w:val="auto"/>
          <w:kern w:val="1"/>
          <w:szCs w:val="21"/>
          <w:highlight w:val="none"/>
        </w:rPr>
      </w:pPr>
      <w:r>
        <w:rPr>
          <w:rFonts w:hint="eastAsia" w:ascii="宋体" w:hAnsi="宋体" w:cs="宋体"/>
          <w:b/>
          <w:bCs/>
          <w:color w:val="auto"/>
          <w:kern w:val="1"/>
          <w:szCs w:val="21"/>
          <w:highlight w:val="none"/>
        </w:rPr>
        <w:t>3.1.2资格审查文件</w:t>
      </w:r>
    </w:p>
    <w:p w14:paraId="2BEA8019">
      <w:pPr>
        <w:pStyle w:val="34"/>
        <w:spacing w:after="0" w:line="360" w:lineRule="auto"/>
        <w:ind w:left="-1"/>
        <w:rPr>
          <w:rFonts w:ascii="宋体" w:hAnsi="宋体" w:cs="宋体"/>
          <w:color w:val="auto"/>
          <w:szCs w:val="21"/>
          <w:highlight w:val="none"/>
        </w:rPr>
      </w:pPr>
      <w:r>
        <w:rPr>
          <w:rFonts w:hint="eastAsia" w:ascii="宋体" w:hAnsi="宋体" w:cs="宋体"/>
          <w:color w:val="auto"/>
          <w:szCs w:val="21"/>
          <w:highlight w:val="none"/>
        </w:rPr>
        <w:t>主要包括下列内容：</w:t>
      </w:r>
    </w:p>
    <w:p w14:paraId="0AD19544">
      <w:pPr>
        <w:pStyle w:val="34"/>
        <w:spacing w:after="0" w:line="360" w:lineRule="auto"/>
        <w:ind w:left="-1"/>
        <w:rPr>
          <w:rFonts w:ascii="宋体" w:hAnsi="宋体" w:cs="宋体"/>
          <w:color w:val="auto"/>
          <w:szCs w:val="21"/>
          <w:highlight w:val="none"/>
          <w:u w:val="single"/>
        </w:rPr>
      </w:pPr>
      <w:r>
        <w:rPr>
          <w:rFonts w:hint="eastAsia" w:ascii="宋体" w:hAnsi="宋体" w:cs="宋体"/>
          <w:color w:val="auto"/>
          <w:szCs w:val="21"/>
          <w:highlight w:val="none"/>
          <w:u w:val="single"/>
        </w:rPr>
        <w:t>（1）封面：写明项目名称、资格审查文件、投标人单位及年月日；加盖投标人电子印章</w:t>
      </w:r>
      <w:r>
        <w:rPr>
          <w:rFonts w:hint="eastAsia" w:ascii="宋体" w:hAnsi="宋体" w:cs="宋体"/>
          <w:color w:val="auto"/>
          <w:kern w:val="0"/>
          <w:szCs w:val="21"/>
          <w:highlight w:val="none"/>
          <w:u w:val="single"/>
        </w:rPr>
        <w:t>（联合体投标的，“投标人”一栏可由主办方签署、盖章）</w:t>
      </w:r>
      <w:r>
        <w:rPr>
          <w:rFonts w:hint="eastAsia" w:ascii="宋体" w:hAnsi="宋体" w:cs="宋体"/>
          <w:color w:val="auto"/>
          <w:szCs w:val="21"/>
          <w:highlight w:val="none"/>
          <w:u w:val="single"/>
        </w:rPr>
        <w:t>；</w:t>
      </w:r>
    </w:p>
    <w:p w14:paraId="2A932CE3">
      <w:pPr>
        <w:pStyle w:val="34"/>
        <w:spacing w:after="0" w:line="360" w:lineRule="auto"/>
        <w:ind w:left="-1"/>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r>
        <w:rPr>
          <w:rFonts w:ascii="宋体" w:hAnsi="宋体" w:cs="宋体"/>
          <w:color w:val="auto"/>
          <w:szCs w:val="21"/>
          <w:highlight w:val="none"/>
          <w:u w:val="single"/>
        </w:rPr>
        <w:t>2</w:t>
      </w:r>
      <w:r>
        <w:rPr>
          <w:rFonts w:hint="eastAsia" w:ascii="宋体" w:hAnsi="宋体" w:cs="宋体"/>
          <w:color w:val="auto"/>
          <w:szCs w:val="21"/>
          <w:highlight w:val="none"/>
          <w:u w:val="single"/>
        </w:rPr>
        <w:t>）法定代表人证明书，如投标文件为委托代理人签署应同时附上法定代表人证明书和法定代表人授权书。（联合体投标的，由联合体主办方出具即可）；</w:t>
      </w:r>
    </w:p>
    <w:p w14:paraId="094E14F2">
      <w:pPr>
        <w:pStyle w:val="34"/>
        <w:spacing w:after="0" w:line="360" w:lineRule="auto"/>
        <w:ind w:left="-1"/>
        <w:rPr>
          <w:rFonts w:hint="eastAsia" w:ascii="宋体" w:hAnsi="宋体" w:cs="宋体"/>
          <w:color w:val="auto"/>
          <w:szCs w:val="21"/>
          <w:highlight w:val="none"/>
          <w:u w:val="single"/>
        </w:rPr>
      </w:pPr>
      <w:r>
        <w:rPr>
          <w:rFonts w:hint="eastAsia" w:ascii="宋体" w:hAnsi="宋体" w:cs="宋体"/>
          <w:color w:val="auto"/>
          <w:szCs w:val="21"/>
          <w:highlight w:val="none"/>
          <w:u w:val="single"/>
        </w:rPr>
        <w:t>（3）企业营业执照扫描件</w:t>
      </w:r>
      <w:r>
        <w:rPr>
          <w:rFonts w:hint="eastAsia" w:ascii="宋体" w:hAnsi="宋体" w:cs="宋体"/>
          <w:b/>
          <w:bCs/>
          <w:color w:val="auto"/>
          <w:kern w:val="0"/>
          <w:szCs w:val="21"/>
          <w:highlight w:val="none"/>
          <w:u w:val="single"/>
        </w:rPr>
        <w:t>或电子证照</w:t>
      </w:r>
      <w:r>
        <w:rPr>
          <w:rFonts w:hint="eastAsia" w:ascii="宋体" w:hAnsi="宋体" w:cs="宋体"/>
          <w:color w:val="auto"/>
          <w:szCs w:val="21"/>
          <w:highlight w:val="none"/>
          <w:u w:val="single"/>
        </w:rPr>
        <w:t>（联合体投标的，联合体所有成员均出具）</w:t>
      </w:r>
    </w:p>
    <w:p w14:paraId="0C11693A">
      <w:pPr>
        <w:pStyle w:val="34"/>
        <w:spacing w:after="0" w:line="360" w:lineRule="auto"/>
        <w:ind w:left="-1"/>
        <w:rPr>
          <w:rFonts w:hint="eastAsia" w:ascii="宋体" w:hAnsi="宋体" w:cs="宋体"/>
          <w:color w:val="auto"/>
          <w:szCs w:val="21"/>
          <w:highlight w:val="none"/>
          <w:u w:val="single"/>
        </w:rPr>
      </w:pPr>
      <w:r>
        <w:rPr>
          <w:rFonts w:hint="eastAsia" w:ascii="宋体" w:hAnsi="宋体" w:cs="宋体"/>
          <w:color w:val="auto"/>
          <w:szCs w:val="21"/>
          <w:highlight w:val="none"/>
          <w:u w:val="single"/>
        </w:rPr>
        <w:t>（4）有效期内的企业资质证书副本扫描件</w:t>
      </w:r>
      <w:r>
        <w:rPr>
          <w:rFonts w:hint="eastAsia" w:ascii="宋体" w:hAnsi="宋体" w:cs="宋体"/>
          <w:b/>
          <w:bCs/>
          <w:color w:val="auto"/>
          <w:kern w:val="0"/>
          <w:szCs w:val="21"/>
          <w:highlight w:val="none"/>
          <w:u w:val="single"/>
        </w:rPr>
        <w:t>或电子证照</w:t>
      </w:r>
      <w:r>
        <w:rPr>
          <w:rFonts w:hint="eastAsia" w:ascii="宋体" w:hAnsi="宋体" w:cs="宋体"/>
          <w:color w:val="auto"/>
          <w:szCs w:val="21"/>
          <w:highlight w:val="none"/>
          <w:u w:val="single"/>
        </w:rPr>
        <w:t>（联合体投标的，联合体所有成员均出具）；</w:t>
      </w:r>
    </w:p>
    <w:p w14:paraId="7167F0D6">
      <w:pPr>
        <w:pStyle w:val="34"/>
        <w:spacing w:after="0" w:line="360" w:lineRule="auto"/>
        <w:ind w:left="-1"/>
        <w:rPr>
          <w:rFonts w:hint="eastAsia" w:ascii="宋体" w:hAnsi="宋体" w:cs="宋体"/>
          <w:color w:val="auto"/>
          <w:szCs w:val="21"/>
          <w:highlight w:val="none"/>
          <w:u w:val="single"/>
        </w:rPr>
      </w:pPr>
      <w:r>
        <w:rPr>
          <w:rFonts w:hint="eastAsia" w:ascii="宋体" w:hAnsi="宋体" w:cs="宋体"/>
          <w:color w:val="auto"/>
          <w:szCs w:val="21"/>
          <w:highlight w:val="none"/>
          <w:u w:val="single"/>
        </w:rPr>
        <w:t>（5）</w:t>
      </w:r>
      <w:r>
        <w:rPr>
          <w:rFonts w:hint="eastAsia" w:ascii="宋体" w:hAnsi="宋体" w:cs="宋体"/>
          <w:b/>
          <w:bCs/>
          <w:color w:val="auto"/>
          <w:kern w:val="0"/>
          <w:szCs w:val="21"/>
          <w:highlight w:val="none"/>
          <w:u w:val="single"/>
        </w:rPr>
        <w:t>建筑施工企业</w:t>
      </w:r>
      <w:r>
        <w:rPr>
          <w:rFonts w:hint="eastAsia" w:ascii="宋体" w:hAnsi="宋体" w:cs="宋体"/>
          <w:color w:val="auto"/>
          <w:szCs w:val="21"/>
          <w:highlight w:val="none"/>
          <w:u w:val="single"/>
        </w:rPr>
        <w:t>安全生产许可证扫描件</w:t>
      </w:r>
      <w:r>
        <w:rPr>
          <w:rFonts w:hint="eastAsia" w:ascii="宋体" w:hAnsi="宋体" w:cs="宋体"/>
          <w:b/>
          <w:bCs/>
          <w:color w:val="auto"/>
          <w:kern w:val="0"/>
          <w:szCs w:val="21"/>
          <w:highlight w:val="none"/>
          <w:u w:val="single"/>
        </w:rPr>
        <w:t>或电子证照</w:t>
      </w:r>
      <w:r>
        <w:rPr>
          <w:rFonts w:hint="eastAsia" w:ascii="宋体" w:hAnsi="宋体" w:cs="宋体"/>
          <w:color w:val="auto"/>
          <w:szCs w:val="21"/>
          <w:highlight w:val="none"/>
          <w:u w:val="single"/>
        </w:rPr>
        <w:t>；（联合体投标的，由联合体施工方出具）；</w:t>
      </w:r>
    </w:p>
    <w:p w14:paraId="05196699">
      <w:pPr>
        <w:pStyle w:val="34"/>
        <w:spacing w:after="0" w:line="360" w:lineRule="auto"/>
        <w:ind w:left="-1"/>
        <w:rPr>
          <w:rFonts w:hint="eastAsia" w:ascii="宋体" w:hAnsi="宋体" w:cs="宋体"/>
          <w:color w:val="auto"/>
          <w:szCs w:val="21"/>
          <w:highlight w:val="none"/>
          <w:u w:val="single"/>
        </w:rPr>
      </w:pPr>
      <w:r>
        <w:rPr>
          <w:rFonts w:hint="eastAsia" w:ascii="宋体" w:hAnsi="宋体" w:cs="宋体"/>
          <w:color w:val="auto"/>
          <w:szCs w:val="21"/>
          <w:highlight w:val="none"/>
          <w:u w:val="single"/>
        </w:rPr>
        <w:t>（6）项目负责人的建造师证书扫描件</w:t>
      </w:r>
      <w:r>
        <w:rPr>
          <w:rFonts w:hint="eastAsia" w:ascii="宋体" w:hAnsi="宋体" w:cs="宋体"/>
          <w:b/>
          <w:bCs/>
          <w:color w:val="auto"/>
          <w:kern w:val="0"/>
          <w:szCs w:val="21"/>
          <w:highlight w:val="none"/>
          <w:u w:val="single"/>
        </w:rPr>
        <w:t>或电子证书</w:t>
      </w:r>
      <w:r>
        <w:rPr>
          <w:rFonts w:hint="eastAsia" w:ascii="宋体" w:hAnsi="宋体" w:cs="宋体"/>
          <w:color w:val="auto"/>
          <w:szCs w:val="21"/>
          <w:highlight w:val="none"/>
          <w:u w:val="single"/>
        </w:rPr>
        <w:t>（以投标登记时选取的项目负责人为准）；（联合体投标的，由联合体主办方出具）；</w:t>
      </w:r>
    </w:p>
    <w:p w14:paraId="00896AAE">
      <w:pPr>
        <w:pStyle w:val="34"/>
        <w:spacing w:after="0" w:line="360" w:lineRule="auto"/>
        <w:ind w:left="-1"/>
        <w:rPr>
          <w:rFonts w:hint="eastAsia" w:ascii="宋体" w:hAnsi="宋体" w:cs="宋体"/>
          <w:color w:val="auto"/>
          <w:szCs w:val="21"/>
          <w:highlight w:val="none"/>
          <w:u w:val="single"/>
        </w:rPr>
      </w:pPr>
      <w:r>
        <w:rPr>
          <w:rFonts w:hint="eastAsia" w:ascii="宋体" w:hAnsi="宋体" w:cs="宋体"/>
          <w:color w:val="auto"/>
          <w:szCs w:val="21"/>
          <w:highlight w:val="none"/>
          <w:u w:val="single"/>
        </w:rPr>
        <w:t>（7）设计负责人的注册执业资格证书扫描件</w:t>
      </w:r>
      <w:r>
        <w:rPr>
          <w:rFonts w:hint="eastAsia" w:ascii="宋体" w:hAnsi="宋体" w:cs="宋体"/>
          <w:b/>
          <w:bCs/>
          <w:color w:val="auto"/>
          <w:kern w:val="0"/>
          <w:szCs w:val="21"/>
          <w:highlight w:val="none"/>
          <w:u w:val="single"/>
        </w:rPr>
        <w:t>或电子证书</w:t>
      </w:r>
      <w:r>
        <w:rPr>
          <w:rFonts w:hint="eastAsia" w:ascii="宋体" w:hAnsi="宋体" w:cs="宋体"/>
          <w:color w:val="auto"/>
          <w:szCs w:val="21"/>
          <w:highlight w:val="none"/>
          <w:u w:val="single"/>
        </w:rPr>
        <w:t>（若为联合体投标，由承担设计任务方提供）（以投标登记时选取的设计负责人为准）；</w:t>
      </w:r>
    </w:p>
    <w:p w14:paraId="5014AAAB">
      <w:pPr>
        <w:pStyle w:val="34"/>
        <w:spacing w:after="0" w:line="360" w:lineRule="auto"/>
        <w:ind w:left="-1"/>
        <w:rPr>
          <w:rFonts w:hint="eastAsia" w:ascii="宋体" w:hAnsi="宋体" w:cs="宋体"/>
          <w:color w:val="auto"/>
          <w:szCs w:val="21"/>
          <w:highlight w:val="none"/>
          <w:u w:val="single"/>
        </w:rPr>
      </w:pPr>
      <w:r>
        <w:rPr>
          <w:rFonts w:hint="eastAsia" w:ascii="宋体" w:hAnsi="宋体" w:cs="宋体"/>
          <w:color w:val="auto"/>
          <w:szCs w:val="21"/>
          <w:highlight w:val="none"/>
          <w:u w:val="single"/>
        </w:rPr>
        <w:t>（8）技术负责人的职称证书扫描件</w:t>
      </w:r>
      <w:r>
        <w:rPr>
          <w:rFonts w:hint="eastAsia" w:ascii="宋体" w:hAnsi="宋体" w:cs="宋体"/>
          <w:b/>
          <w:bCs/>
          <w:color w:val="auto"/>
          <w:kern w:val="0"/>
          <w:szCs w:val="21"/>
          <w:highlight w:val="none"/>
          <w:u w:val="single"/>
        </w:rPr>
        <w:t>或电子证书</w:t>
      </w:r>
      <w:r>
        <w:rPr>
          <w:rFonts w:hint="eastAsia" w:ascii="宋体" w:hAnsi="宋体" w:cs="宋体"/>
          <w:color w:val="auto"/>
          <w:szCs w:val="21"/>
          <w:highlight w:val="none"/>
          <w:u w:val="single"/>
        </w:rPr>
        <w:t>（若为联合体投标，由联合体主办方提供）；</w:t>
      </w:r>
    </w:p>
    <w:p w14:paraId="0C52133B">
      <w:pPr>
        <w:pStyle w:val="34"/>
        <w:spacing w:after="0" w:line="360" w:lineRule="auto"/>
        <w:ind w:left="-1"/>
        <w:rPr>
          <w:rFonts w:hint="eastAsia" w:ascii="宋体" w:hAnsi="宋体" w:cs="宋体"/>
          <w:color w:val="auto"/>
          <w:szCs w:val="21"/>
          <w:highlight w:val="none"/>
          <w:u w:val="single"/>
        </w:rPr>
      </w:pPr>
      <w:r>
        <w:rPr>
          <w:rFonts w:hint="eastAsia" w:ascii="宋体" w:hAnsi="宋体" w:cs="宋体"/>
          <w:color w:val="auto"/>
          <w:szCs w:val="21"/>
          <w:highlight w:val="none"/>
          <w:u w:val="single"/>
        </w:rPr>
        <w:t>（9）项目负责人持有在有效期内的安全生产考核合格证（B类）或建筑施工企业项目负责人安全生产考核合格证书扫描件</w:t>
      </w:r>
      <w:r>
        <w:rPr>
          <w:rFonts w:hint="eastAsia" w:ascii="宋体" w:hAnsi="宋体" w:cs="宋体"/>
          <w:b/>
          <w:bCs/>
          <w:color w:val="auto"/>
          <w:kern w:val="0"/>
          <w:szCs w:val="21"/>
          <w:highlight w:val="none"/>
          <w:u w:val="single"/>
        </w:rPr>
        <w:t>或电子证书</w:t>
      </w:r>
      <w:r>
        <w:rPr>
          <w:rFonts w:hint="eastAsia" w:ascii="宋体" w:hAnsi="宋体" w:cs="宋体"/>
          <w:color w:val="auto"/>
          <w:szCs w:val="21"/>
          <w:highlight w:val="none"/>
          <w:u w:val="single"/>
        </w:rPr>
        <w:t>；（联合体投标的，由联合体主办方出具）；</w:t>
      </w:r>
    </w:p>
    <w:p w14:paraId="3485444C">
      <w:pPr>
        <w:pStyle w:val="34"/>
        <w:spacing w:after="0" w:line="360" w:lineRule="auto"/>
        <w:ind w:left="-1"/>
        <w:rPr>
          <w:rFonts w:hint="eastAsia" w:ascii="宋体" w:hAnsi="宋体" w:cs="宋体"/>
          <w:color w:val="auto"/>
          <w:szCs w:val="21"/>
          <w:highlight w:val="none"/>
          <w:u w:val="single"/>
        </w:rPr>
      </w:pPr>
      <w:r>
        <w:rPr>
          <w:rFonts w:hint="eastAsia" w:ascii="宋体" w:hAnsi="宋体" w:cs="宋体"/>
          <w:color w:val="auto"/>
          <w:szCs w:val="21"/>
          <w:highlight w:val="none"/>
          <w:u w:val="single"/>
        </w:rPr>
        <w:t>（10）专职安全员须具有在有效期内的安全生产考核合格证（C类）或建筑施工企业专职安全生产管理人员安全生产考核合格证书（C3）扫描件</w:t>
      </w:r>
      <w:r>
        <w:rPr>
          <w:rFonts w:hint="eastAsia" w:ascii="宋体" w:hAnsi="宋体" w:cs="宋体"/>
          <w:b/>
          <w:bCs/>
          <w:color w:val="auto"/>
          <w:kern w:val="0"/>
          <w:szCs w:val="21"/>
          <w:highlight w:val="none"/>
          <w:u w:val="single"/>
        </w:rPr>
        <w:t>或电子证书</w:t>
      </w:r>
      <w:r>
        <w:rPr>
          <w:rFonts w:hint="eastAsia" w:ascii="宋体" w:hAnsi="宋体" w:cs="宋体"/>
          <w:color w:val="auto"/>
          <w:szCs w:val="21"/>
          <w:highlight w:val="none"/>
          <w:u w:val="single"/>
        </w:rPr>
        <w:t>（按投标登记时选择拟派专职安全员）。项目负责人与安全员不为同一人；（联合体投标的，由联合体主办方出具）；</w:t>
      </w:r>
    </w:p>
    <w:p w14:paraId="477F30C5">
      <w:pPr>
        <w:pStyle w:val="34"/>
        <w:spacing w:after="0" w:line="360" w:lineRule="auto"/>
        <w:ind w:left="-1"/>
        <w:rPr>
          <w:rFonts w:hint="eastAsia" w:ascii="宋体" w:hAnsi="宋体" w:cs="宋体"/>
          <w:color w:val="auto"/>
          <w:szCs w:val="21"/>
          <w:highlight w:val="none"/>
          <w:u w:val="single"/>
        </w:rPr>
      </w:pPr>
      <w:r>
        <w:rPr>
          <w:rFonts w:hint="eastAsia" w:ascii="宋体" w:hAnsi="宋体" w:cs="宋体"/>
          <w:color w:val="auto"/>
          <w:szCs w:val="21"/>
          <w:highlight w:val="none"/>
          <w:u w:val="single"/>
        </w:rPr>
        <w:t>（11）投标人按照规定的格式及内容要求签署的《投标人声明》（格式见招标公告附件一）；</w:t>
      </w:r>
    </w:p>
    <w:p w14:paraId="58907982">
      <w:pPr>
        <w:pStyle w:val="34"/>
        <w:spacing w:after="0" w:line="360" w:lineRule="auto"/>
        <w:ind w:left="-1"/>
        <w:rPr>
          <w:rFonts w:hint="eastAsia" w:ascii="宋体" w:hAnsi="宋体" w:cs="宋体"/>
          <w:color w:val="auto"/>
          <w:szCs w:val="21"/>
          <w:highlight w:val="none"/>
          <w:u w:val="single"/>
        </w:rPr>
      </w:pPr>
      <w:r>
        <w:rPr>
          <w:rFonts w:hint="eastAsia" w:ascii="宋体" w:hAnsi="宋体" w:cs="宋体"/>
          <w:color w:val="auto"/>
          <w:szCs w:val="21"/>
          <w:highlight w:val="none"/>
          <w:u w:val="single"/>
        </w:rPr>
        <w:t>（12）列明主办方的联合体投标协议书（采用联合体投标时需递交，格式按招标公告附件二。联合体投标协议书应明确约定各方拟承担的工作和责任）；</w:t>
      </w:r>
    </w:p>
    <w:p w14:paraId="76EBA562">
      <w:pPr>
        <w:pStyle w:val="34"/>
        <w:spacing w:after="0" w:line="360" w:lineRule="auto"/>
        <w:ind w:left="-1"/>
        <w:rPr>
          <w:rFonts w:hint="eastAsia" w:ascii="宋体" w:hAnsi="宋体" w:cs="宋体"/>
          <w:color w:val="auto"/>
          <w:szCs w:val="21"/>
          <w:highlight w:val="none"/>
          <w:u w:val="single"/>
        </w:rPr>
      </w:pPr>
      <w:r>
        <w:rPr>
          <w:rFonts w:hint="eastAsia" w:ascii="宋体" w:hAnsi="宋体" w:cs="宋体"/>
          <w:color w:val="auto"/>
          <w:szCs w:val="21"/>
          <w:highlight w:val="none"/>
          <w:u w:val="single"/>
        </w:rPr>
        <w:t>（13）投标人在广州市住建行业信用管理平台建立企业信用档案，且拟担任本项目的项目负责人、专职安全员、设计负责人是本企业信用档案中的在册人员（联合体投标的，信用档案信息和人员在册情况为联合体协议分工对应企业库内信息）；</w:t>
      </w:r>
    </w:p>
    <w:p w14:paraId="5FAD2539">
      <w:pPr>
        <w:pStyle w:val="34"/>
        <w:spacing w:after="0" w:line="360" w:lineRule="auto"/>
        <w:ind w:left="-1"/>
        <w:rPr>
          <w:rFonts w:ascii="宋体" w:hAnsi="宋体" w:cs="宋体"/>
          <w:color w:val="auto"/>
          <w:szCs w:val="21"/>
          <w:highlight w:val="none"/>
          <w:u w:val="single"/>
        </w:rPr>
      </w:pPr>
      <w:r>
        <w:rPr>
          <w:rFonts w:hint="eastAsia" w:ascii="宋体" w:hAnsi="宋体" w:cs="宋体"/>
          <w:color w:val="auto"/>
          <w:szCs w:val="21"/>
          <w:highlight w:val="none"/>
          <w:u w:val="single"/>
        </w:rPr>
        <w:t>（14）满足招标公告中投标人合格条件的其他资料。</w:t>
      </w:r>
    </w:p>
    <w:p w14:paraId="08A31693">
      <w:pPr>
        <w:widowControl/>
        <w:spacing w:line="360" w:lineRule="exact"/>
        <w:jc w:val="left"/>
        <w:rPr>
          <w:rFonts w:hint="eastAsia" w:ascii="宋体" w:hAnsi="宋体" w:cs="宋体"/>
          <w:b/>
          <w:bCs/>
          <w:color w:val="auto"/>
          <w:szCs w:val="21"/>
          <w:highlight w:val="none"/>
          <w:u w:val="single"/>
        </w:rPr>
      </w:pPr>
      <w:r>
        <w:rPr>
          <w:rFonts w:hint="eastAsia" w:ascii="宋体" w:hAnsi="宋体" w:cs="宋体"/>
          <w:color w:val="auto"/>
          <w:szCs w:val="21"/>
          <w:highlight w:val="none"/>
        </w:rPr>
        <w:t>注：</w:t>
      </w:r>
      <w:r>
        <w:rPr>
          <w:rFonts w:hint="eastAsia" w:ascii="宋体" w:hAnsi="宋体" w:cs="宋体"/>
          <w:b/>
          <w:bCs/>
          <w:color w:val="auto"/>
          <w:szCs w:val="21"/>
          <w:highlight w:val="none"/>
          <w:u w:val="single"/>
        </w:rPr>
        <w:t>1.</w:t>
      </w:r>
      <w:r>
        <w:rPr>
          <w:rFonts w:hint="eastAsia" w:ascii="宋体" w:hAnsi="宋体" w:cs="宋体"/>
          <w:b/>
          <w:bCs/>
          <w:color w:val="auto"/>
          <w:szCs w:val="21"/>
          <w:highlight w:val="none"/>
          <w:u w:val="single"/>
          <w:lang w:val="en-US" w:eastAsia="zh-CN"/>
        </w:rPr>
        <w:t>本项目的相关负责人及专职安全员仅可提供一人，且项目管理机构人员不能兼任。</w:t>
      </w:r>
      <w:r>
        <w:rPr>
          <w:rFonts w:hint="eastAsia" w:ascii="宋体" w:hAnsi="宋体" w:cs="宋体"/>
          <w:b/>
          <w:bCs/>
          <w:color w:val="auto"/>
          <w:szCs w:val="21"/>
          <w:highlight w:val="none"/>
          <w:u w:val="single"/>
        </w:rPr>
        <w:t>相关电子证书按规定需打印后手写本人签名的，应按照规定手写本人签名后再扫描提交。</w:t>
      </w:r>
    </w:p>
    <w:p w14:paraId="21D9F728">
      <w:pPr>
        <w:pStyle w:val="34"/>
        <w:spacing w:after="0" w:line="360" w:lineRule="auto"/>
        <w:ind w:left="-1"/>
        <w:rPr>
          <w:rFonts w:hint="eastAsia" w:ascii="宋体" w:hAnsi="宋体" w:cs="宋体"/>
          <w:b/>
          <w:bCs/>
          <w:color w:val="auto"/>
          <w:szCs w:val="21"/>
          <w:highlight w:val="none"/>
          <w:u w:val="single"/>
        </w:rPr>
      </w:pPr>
      <w:r>
        <w:rPr>
          <w:rFonts w:hint="eastAsia" w:ascii="宋体" w:hAnsi="宋体" w:cs="宋体"/>
          <w:b/>
          <w:bCs/>
          <w:color w:val="auto"/>
          <w:kern w:val="0"/>
          <w:szCs w:val="21"/>
          <w:highlight w:val="none"/>
          <w:u w:val="single"/>
        </w:rPr>
        <w:t>2.投标人在投标登记时选择了拟投入本项目的项目负责人、专职安全员、设计负责人，即已满足“资格审查前，投标人须在广州市住房和城乡建设局建立企业信用档案，拟担任本工程项目负责人、专职安全员、设计负责人须是本企业信用档案中的在册人员”的要求，投标人无需提供证明材料。</w:t>
      </w:r>
    </w:p>
    <w:p w14:paraId="2432F0A9">
      <w:pPr>
        <w:pStyle w:val="34"/>
        <w:spacing w:after="0" w:line="360" w:lineRule="auto"/>
        <w:ind w:left="-1"/>
        <w:rPr>
          <w:rFonts w:ascii="宋体" w:hAnsi="宋体" w:cs="宋体"/>
          <w:color w:val="auto"/>
          <w:szCs w:val="21"/>
          <w:highlight w:val="none"/>
        </w:rPr>
      </w:pPr>
      <w:r>
        <w:rPr>
          <w:rFonts w:hint="eastAsia" w:ascii="宋体" w:hAnsi="宋体" w:cs="宋体"/>
          <w:color w:val="auto"/>
          <w:szCs w:val="21"/>
          <w:highlight w:val="none"/>
        </w:rPr>
        <w:t>3.对于取自投标人在广州市住建行业信用管理平台内信息的，平台内记录的该部分信息将被视为投标人递交投标文件（资格审查资料）的一部分。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2B2C752F">
      <w:pPr>
        <w:pStyle w:val="34"/>
        <w:spacing w:after="0" w:line="360" w:lineRule="auto"/>
        <w:ind w:left="-1"/>
        <w:rPr>
          <w:rFonts w:ascii="宋体" w:hAnsi="宋体" w:cs="宋体"/>
          <w:color w:val="auto"/>
          <w:szCs w:val="21"/>
          <w:highlight w:val="none"/>
        </w:rPr>
      </w:pPr>
      <w:r>
        <w:rPr>
          <w:rFonts w:hint="eastAsia" w:ascii="宋体" w:hAnsi="宋体" w:cs="宋体"/>
          <w:color w:val="auto"/>
          <w:szCs w:val="21"/>
          <w:highlight w:val="none"/>
        </w:rPr>
        <w:t>4.未在招标公告第九条单列的投标人合格条件，不作为资审不合格的依据。</w:t>
      </w:r>
    </w:p>
    <w:p w14:paraId="3E22D88F">
      <w:pPr>
        <w:spacing w:after="0" w:line="360" w:lineRule="auto"/>
        <w:ind w:firstLine="420"/>
        <w:rPr>
          <w:rFonts w:ascii="宋体" w:hAnsi="宋体" w:cs="宋体"/>
          <w:b/>
          <w:bCs/>
          <w:color w:val="auto"/>
          <w:kern w:val="1"/>
          <w:szCs w:val="21"/>
          <w:highlight w:val="none"/>
        </w:rPr>
      </w:pPr>
      <w:bookmarkStart w:id="252" w:name="_Toc5620315"/>
      <w:r>
        <w:rPr>
          <w:rFonts w:hint="eastAsia" w:ascii="宋体" w:hAnsi="宋体" w:cs="宋体"/>
          <w:b/>
          <w:bCs/>
          <w:color w:val="auto"/>
          <w:kern w:val="1"/>
          <w:szCs w:val="21"/>
          <w:highlight w:val="none"/>
        </w:rPr>
        <w:t>3</w:t>
      </w:r>
      <w:r>
        <w:rPr>
          <w:rFonts w:ascii="宋体" w:hAnsi="宋体" w:cs="宋体"/>
          <w:b/>
          <w:bCs/>
          <w:color w:val="auto"/>
          <w:kern w:val="1"/>
          <w:szCs w:val="21"/>
          <w:highlight w:val="none"/>
        </w:rPr>
        <w:t>.1.3</w:t>
      </w:r>
      <w:r>
        <w:rPr>
          <w:rFonts w:hint="eastAsia" w:ascii="宋体" w:hAnsi="宋体" w:cs="宋体"/>
          <w:b/>
          <w:bCs/>
          <w:color w:val="auto"/>
          <w:kern w:val="1"/>
          <w:szCs w:val="21"/>
          <w:highlight w:val="none"/>
        </w:rPr>
        <w:t>勘察设计方案投标文件</w:t>
      </w:r>
      <w:r>
        <w:rPr>
          <w:rFonts w:hint="eastAsia" w:ascii="宋体" w:hAnsi="宋体" w:cs="宋体"/>
          <w:b/>
          <w:bCs/>
          <w:color w:val="auto"/>
          <w:szCs w:val="21"/>
          <w:highlight w:val="none"/>
        </w:rPr>
        <w:t>（采用“暗标”形式）</w:t>
      </w:r>
    </w:p>
    <w:p w14:paraId="7B79E605">
      <w:pPr>
        <w:pStyle w:val="34"/>
        <w:spacing w:after="0" w:line="360" w:lineRule="auto"/>
        <w:ind w:left="-1"/>
        <w:rPr>
          <w:rFonts w:ascii="宋体" w:hAnsi="宋体" w:cs="宋体"/>
          <w:color w:val="auto"/>
          <w:szCs w:val="21"/>
          <w:highlight w:val="none"/>
        </w:rPr>
      </w:pPr>
      <w:r>
        <w:rPr>
          <w:rFonts w:hint="eastAsia" w:ascii="宋体" w:hAnsi="宋体" w:cs="宋体"/>
          <w:color w:val="auto"/>
          <w:szCs w:val="21"/>
          <w:highlight w:val="none"/>
        </w:rPr>
        <w:t>勘察设计方案中不得出现可以辨认投标人及专业技术人员身份的名称、印章、商标、图形等记认符号，也不得通过明标、暗标中包含的相同内容（如报价等）互相印证、辨认投标人身份。</w:t>
      </w:r>
      <w:r>
        <w:rPr>
          <w:rFonts w:hint="eastAsia" w:ascii="宋体" w:hAnsi="宋体" w:cs="宋体"/>
          <w:b/>
          <w:bCs/>
          <w:color w:val="auto"/>
          <w:szCs w:val="21"/>
          <w:highlight w:val="none"/>
        </w:rPr>
        <w:t>勘察</w:t>
      </w:r>
      <w:r>
        <w:rPr>
          <w:rFonts w:hint="eastAsia" w:ascii="宋体" w:hAnsi="宋体" w:cs="宋体"/>
          <w:b/>
          <w:bCs/>
          <w:color w:val="auto"/>
          <w:kern w:val="0"/>
          <w:szCs w:val="21"/>
          <w:highlight w:val="none"/>
          <w:u w:val="single"/>
        </w:rPr>
        <w:t>设计方案投标文件不超过200页。</w:t>
      </w:r>
      <w:r>
        <w:rPr>
          <w:rFonts w:hint="eastAsia" w:ascii="宋体" w:hAnsi="宋体" w:cs="宋体"/>
          <w:color w:val="auto"/>
          <w:szCs w:val="21"/>
          <w:highlight w:val="none"/>
        </w:rPr>
        <w:t>内容包括：</w:t>
      </w:r>
    </w:p>
    <w:p w14:paraId="7E77A909">
      <w:pPr>
        <w:pStyle w:val="34"/>
        <w:spacing w:after="0" w:line="360" w:lineRule="auto"/>
        <w:ind w:left="-1"/>
        <w:rPr>
          <w:rFonts w:ascii="宋体" w:hAnsi="宋体" w:cs="宋体"/>
          <w:color w:val="auto"/>
          <w:szCs w:val="21"/>
          <w:highlight w:val="none"/>
        </w:rPr>
      </w:pPr>
      <w:r>
        <w:rPr>
          <w:rFonts w:hint="eastAsia" w:ascii="宋体" w:hAnsi="宋体" w:cs="宋体"/>
          <w:color w:val="auto"/>
          <w:szCs w:val="21"/>
          <w:highlight w:val="none"/>
        </w:rPr>
        <w:t>（1）封面：标明项目名称、“投标文件（勘察设计方案）”字样、编制时间</w:t>
      </w:r>
    </w:p>
    <w:p w14:paraId="39F14F74">
      <w:pPr>
        <w:pStyle w:val="34"/>
        <w:spacing w:after="0" w:line="360" w:lineRule="auto"/>
        <w:ind w:left="-1"/>
        <w:rPr>
          <w:rFonts w:ascii="宋体" w:hAnsi="宋体" w:cs="宋体"/>
          <w:color w:val="auto"/>
          <w:szCs w:val="21"/>
          <w:highlight w:val="none"/>
        </w:rPr>
      </w:pPr>
      <w:r>
        <w:rPr>
          <w:rFonts w:hint="eastAsia" w:ascii="宋体" w:hAnsi="宋体" w:cs="宋体"/>
          <w:color w:val="auto"/>
          <w:szCs w:val="21"/>
          <w:highlight w:val="none"/>
        </w:rPr>
        <w:t>（2）目录（须编制页码）</w:t>
      </w:r>
    </w:p>
    <w:p w14:paraId="59087D38">
      <w:pPr>
        <w:spacing w:after="0"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（3）勘察设计方案。</w:t>
      </w:r>
    </w:p>
    <w:p w14:paraId="0506AA5F">
      <w:pPr>
        <w:spacing w:after="0" w:line="360" w:lineRule="auto"/>
        <w:ind w:firstLine="420"/>
        <w:rPr>
          <w:color w:val="auto"/>
          <w:highlight w:val="none"/>
        </w:rPr>
      </w:pPr>
      <w:r>
        <w:rPr>
          <w:rFonts w:hint="eastAsia" w:ascii="宋体" w:hAnsi="宋体" w:cs="宋体"/>
          <w:color w:val="auto"/>
          <w:szCs w:val="21"/>
          <w:highlight w:val="none"/>
        </w:rPr>
        <w:t>（4）其他与设计评审标准有关的材料。</w:t>
      </w:r>
    </w:p>
    <w:p w14:paraId="18662412">
      <w:pPr>
        <w:spacing w:after="0" w:line="360" w:lineRule="auto"/>
        <w:ind w:firstLine="420"/>
        <w:rPr>
          <w:rFonts w:ascii="宋体" w:hAnsi="宋体" w:cs="宋体"/>
          <w:b/>
          <w:color w:val="auto"/>
          <w:kern w:val="1"/>
          <w:szCs w:val="21"/>
          <w:highlight w:val="none"/>
        </w:rPr>
      </w:pPr>
      <w:r>
        <w:rPr>
          <w:rFonts w:hint="eastAsia" w:ascii="宋体" w:hAnsi="宋体" w:cs="宋体"/>
          <w:b/>
          <w:bCs/>
          <w:color w:val="auto"/>
          <w:kern w:val="1"/>
          <w:szCs w:val="21"/>
          <w:highlight w:val="none"/>
        </w:rPr>
        <w:t>3.1.</w:t>
      </w:r>
      <w:bookmarkStart w:id="253" w:name="_Hlk55920752"/>
      <w:bookmarkStart w:id="254" w:name="_Hlk56585161"/>
      <w:r>
        <w:rPr>
          <w:rFonts w:ascii="宋体" w:hAnsi="宋体" w:cs="宋体"/>
          <w:b/>
          <w:bCs/>
          <w:color w:val="auto"/>
          <w:kern w:val="1"/>
          <w:szCs w:val="21"/>
          <w:highlight w:val="none"/>
        </w:rPr>
        <w:t>4</w:t>
      </w:r>
      <w:r>
        <w:rPr>
          <w:rFonts w:hint="eastAsia" w:ascii="宋体" w:hAnsi="宋体" w:cs="宋体"/>
          <w:b/>
          <w:color w:val="auto"/>
          <w:kern w:val="1"/>
          <w:szCs w:val="21"/>
          <w:highlight w:val="none"/>
        </w:rPr>
        <w:t>工程总承包实施方案</w:t>
      </w:r>
      <w:bookmarkEnd w:id="253"/>
      <w:r>
        <w:rPr>
          <w:rFonts w:hint="eastAsia" w:ascii="宋体" w:hAnsi="宋体" w:cs="宋体"/>
          <w:b/>
          <w:color w:val="auto"/>
          <w:kern w:val="1"/>
          <w:szCs w:val="21"/>
          <w:highlight w:val="none"/>
        </w:rPr>
        <w:t>技术投标文件</w:t>
      </w:r>
      <w:bookmarkEnd w:id="254"/>
    </w:p>
    <w:p w14:paraId="458B1A41">
      <w:pPr>
        <w:spacing w:after="0" w:line="360" w:lineRule="auto"/>
        <w:ind w:left="426"/>
        <w:rPr>
          <w:rFonts w:ascii="宋体" w:hAnsi="宋体" w:cs="宋体"/>
          <w:color w:val="auto"/>
          <w:kern w:val="1"/>
          <w:szCs w:val="21"/>
          <w:highlight w:val="none"/>
        </w:rPr>
      </w:pPr>
      <w:r>
        <w:rPr>
          <w:rFonts w:hint="eastAsia" w:ascii="宋体" w:hAnsi="宋体" w:cs="宋体"/>
          <w:color w:val="auto"/>
          <w:kern w:val="1"/>
          <w:szCs w:val="21"/>
          <w:highlight w:val="none"/>
        </w:rPr>
        <w:t>应包含但不限于以下内容：</w:t>
      </w:r>
    </w:p>
    <w:p w14:paraId="41E3C856">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（1）封面：</w:t>
      </w:r>
      <w:bookmarkStart w:id="255" w:name="_Hlk56347369"/>
      <w:r>
        <w:rPr>
          <w:rFonts w:hint="eastAsia" w:ascii="宋体" w:hAnsi="宋体" w:cs="宋体"/>
          <w:color w:val="auto"/>
          <w:kern w:val="1"/>
          <w:szCs w:val="21"/>
          <w:highlight w:val="none"/>
        </w:rPr>
        <w:t>写明项目名称、工程总承包实施方案技术投标文件、投标人单位及年月日；加盖投标人电子印章</w:t>
      </w:r>
      <w:r>
        <w:rPr>
          <w:rFonts w:hint="eastAsia" w:ascii="宋体" w:hAnsi="宋体" w:cs="宋体"/>
          <w:color w:val="auto"/>
          <w:szCs w:val="21"/>
          <w:highlight w:val="none"/>
          <w:u w:val="single"/>
        </w:rPr>
        <w:t>（联合体投标的，“投标人”一栏可由主办方签署、盖章）</w:t>
      </w:r>
      <w:r>
        <w:rPr>
          <w:rFonts w:hint="eastAsia" w:ascii="宋体" w:hAnsi="宋体" w:cs="宋体"/>
          <w:color w:val="auto"/>
          <w:kern w:val="1"/>
          <w:szCs w:val="21"/>
          <w:highlight w:val="none"/>
        </w:rPr>
        <w:t>；</w:t>
      </w:r>
      <w:bookmarkEnd w:id="255"/>
    </w:p>
    <w:p w14:paraId="56E8FCF5">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2</w:t>
      </w:r>
      <w:r>
        <w:rPr>
          <w:rFonts w:hint="eastAsia" w:ascii="宋体" w:hAnsi="宋体" w:cs="宋体"/>
          <w:color w:val="auto"/>
          <w:kern w:val="1"/>
          <w:szCs w:val="21"/>
          <w:highlight w:val="none"/>
        </w:rPr>
        <w:t>）目录；</w:t>
      </w:r>
    </w:p>
    <w:p w14:paraId="58F3BEE5">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3</w:t>
      </w:r>
      <w:r>
        <w:rPr>
          <w:rFonts w:hint="eastAsia" w:ascii="宋体" w:hAnsi="宋体" w:cs="宋体"/>
          <w:color w:val="auto"/>
          <w:kern w:val="1"/>
          <w:szCs w:val="21"/>
          <w:highlight w:val="none"/>
        </w:rPr>
        <w:t>）《</w:t>
      </w:r>
      <w:r>
        <w:rPr>
          <w:rFonts w:hint="eastAsia" w:ascii="宋体" w:hAnsi="宋体" w:cs="宋体"/>
          <w:color w:val="auto"/>
          <w:szCs w:val="21"/>
          <w:highlight w:val="none"/>
        </w:rPr>
        <w:t>投标函》</w:t>
      </w:r>
      <w:r>
        <w:rPr>
          <w:rFonts w:hint="eastAsia" w:ascii="宋体" w:hAnsi="宋体" w:cs="宋体"/>
          <w:color w:val="auto"/>
          <w:kern w:val="1"/>
          <w:szCs w:val="21"/>
          <w:highlight w:val="none"/>
        </w:rPr>
        <w:t>(按招标文件的要求填写)；</w:t>
      </w:r>
    </w:p>
    <w:p w14:paraId="4CCF796E">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4</w:t>
      </w:r>
      <w:r>
        <w:rPr>
          <w:rFonts w:hint="eastAsia" w:ascii="宋体" w:hAnsi="宋体" w:cs="宋体"/>
          <w:color w:val="auto"/>
          <w:kern w:val="1"/>
          <w:szCs w:val="21"/>
          <w:highlight w:val="none"/>
        </w:rPr>
        <w:t>）《勘察设计投标书》；(按招标文件的要求填写)</w:t>
      </w:r>
      <w:r>
        <w:rPr>
          <w:rFonts w:ascii="宋体" w:hAnsi="宋体" w:cs="宋体"/>
          <w:color w:val="auto"/>
          <w:kern w:val="1"/>
          <w:szCs w:val="21"/>
          <w:highlight w:val="none"/>
        </w:rPr>
        <w:t xml:space="preserve"> </w:t>
      </w:r>
    </w:p>
    <w:p w14:paraId="2AD99D39">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（5）《技术投标书》及《技术投标书附表》；（按招标文件的要求填写）</w:t>
      </w:r>
    </w:p>
    <w:p w14:paraId="2E5684C1">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6</w:t>
      </w:r>
      <w:r>
        <w:rPr>
          <w:rFonts w:hint="eastAsia" w:ascii="宋体" w:hAnsi="宋体" w:cs="宋体"/>
          <w:color w:val="auto"/>
          <w:kern w:val="1"/>
          <w:szCs w:val="21"/>
          <w:highlight w:val="none"/>
        </w:rPr>
        <w:t>）《投标承诺书》；(按招标文件的要求填写)</w:t>
      </w:r>
    </w:p>
    <w:p w14:paraId="588D562B">
      <w:pPr>
        <w:spacing w:after="0" w:line="360" w:lineRule="auto"/>
        <w:ind w:firstLine="420"/>
        <w:rPr>
          <w:rFonts w:hint="eastAsia" w:ascii="宋体" w:hAnsi="宋体" w:cs="宋体"/>
          <w:color w:val="auto"/>
          <w:kern w:val="1"/>
          <w:szCs w:val="21"/>
          <w:highlight w:val="none"/>
        </w:rPr>
      </w:pPr>
      <w:bookmarkStart w:id="256" w:name="_Hlk55921098"/>
      <w:r>
        <w:rPr>
          <w:rFonts w:hint="eastAsia" w:ascii="宋体" w:hAnsi="宋体" w:cs="宋体"/>
          <w:color w:val="auto"/>
          <w:kern w:val="1"/>
          <w:szCs w:val="21"/>
          <w:highlight w:val="none"/>
        </w:rPr>
        <w:t>（</w:t>
      </w:r>
      <w:r>
        <w:rPr>
          <w:rFonts w:ascii="宋体" w:hAnsi="宋体" w:cs="宋体"/>
          <w:color w:val="auto"/>
          <w:kern w:val="1"/>
          <w:szCs w:val="21"/>
          <w:highlight w:val="none"/>
        </w:rPr>
        <w:t>7</w:t>
      </w:r>
      <w:r>
        <w:rPr>
          <w:rFonts w:hint="eastAsia" w:ascii="宋体" w:hAnsi="宋体" w:cs="宋体"/>
          <w:color w:val="auto"/>
          <w:kern w:val="1"/>
          <w:szCs w:val="21"/>
          <w:highlight w:val="none"/>
        </w:rPr>
        <w:t>）《法定代表人证明书》、《授权委托书》；</w:t>
      </w:r>
      <w:bookmarkEnd w:id="256"/>
    </w:p>
    <w:p w14:paraId="182BE2D3">
      <w:pPr>
        <w:pStyle w:val="2"/>
        <w:ind w:firstLine="400" w:firstLineChars="200"/>
        <w:rPr>
          <w:color w:val="auto"/>
          <w:highlight w:val="none"/>
          <w:lang w:val="en-US"/>
        </w:rPr>
      </w:pPr>
      <w:r>
        <w:rPr>
          <w:rFonts w:hint="eastAsia" w:cs="宋体"/>
          <w:color w:val="auto"/>
          <w:kern w:val="1"/>
          <w:szCs w:val="21"/>
          <w:highlight w:val="none"/>
        </w:rPr>
        <w:t>（</w:t>
      </w:r>
      <w:r>
        <w:rPr>
          <w:rFonts w:hint="eastAsia" w:cs="宋体"/>
          <w:color w:val="auto"/>
          <w:kern w:val="1"/>
          <w:szCs w:val="21"/>
          <w:highlight w:val="none"/>
          <w:lang w:val="en-US"/>
        </w:rPr>
        <w:t>8</w:t>
      </w:r>
      <w:r>
        <w:rPr>
          <w:rFonts w:hint="eastAsia" w:cs="宋体"/>
          <w:color w:val="auto"/>
          <w:kern w:val="1"/>
          <w:szCs w:val="21"/>
          <w:highlight w:val="none"/>
        </w:rPr>
        <w:t>）</w:t>
      </w:r>
      <w:r>
        <w:rPr>
          <w:rFonts w:hint="eastAsia" w:cs="宋体"/>
          <w:color w:val="auto"/>
          <w:kern w:val="1"/>
          <w:sz w:val="21"/>
          <w:szCs w:val="21"/>
          <w:highlight w:val="none"/>
          <w:lang w:val="en-US"/>
        </w:rPr>
        <w:t>《投标保证金》；</w:t>
      </w:r>
    </w:p>
    <w:p w14:paraId="284B912E">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（9）《拟投入本项目人员一览表》；(按招标文件的要求填写)；</w:t>
      </w:r>
    </w:p>
    <w:p w14:paraId="562F493B">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（10）《拟投入本项目主要负责人员简历表》；(按招标文件的要求填写)</w:t>
      </w:r>
      <w:r>
        <w:rPr>
          <w:rFonts w:ascii="宋体" w:hAnsi="宋体" w:cs="宋体"/>
          <w:color w:val="auto"/>
          <w:kern w:val="1"/>
          <w:szCs w:val="21"/>
          <w:highlight w:val="none"/>
        </w:rPr>
        <w:t xml:space="preserve"> </w:t>
      </w:r>
    </w:p>
    <w:p w14:paraId="549B0146">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w:t>
      </w:r>
      <w:r>
        <w:rPr>
          <w:rFonts w:hint="eastAsia" w:ascii="宋体" w:hAnsi="宋体" w:cs="宋体"/>
          <w:color w:val="auto"/>
          <w:kern w:val="1"/>
          <w:szCs w:val="21"/>
          <w:highlight w:val="none"/>
        </w:rPr>
        <w:t>1）《类似业绩一览表》、《投标人获奖业绩一览表》(按招标文件的要求填写)；</w:t>
      </w:r>
    </w:p>
    <w:p w14:paraId="1E90C328">
      <w:pPr>
        <w:spacing w:after="0" w:line="360" w:lineRule="auto"/>
        <w:ind w:firstLine="420"/>
        <w:rPr>
          <w:rFonts w:ascii="宋体" w:hAnsi="宋体" w:cs="宋体"/>
          <w:b/>
          <w:bCs/>
          <w:color w:val="auto"/>
          <w:kern w:val="1"/>
          <w:szCs w:val="21"/>
          <w:highlight w:val="none"/>
        </w:rPr>
      </w:pPr>
      <w:r>
        <w:rPr>
          <w:rFonts w:hint="eastAsia" w:ascii="宋体" w:hAnsi="宋体" w:cs="宋体"/>
          <w:color w:val="auto"/>
          <w:kern w:val="1"/>
          <w:szCs w:val="21"/>
          <w:highlight w:val="none"/>
        </w:rPr>
        <w:t>（12）工程总承包实施方案</w:t>
      </w:r>
      <w:r>
        <w:rPr>
          <w:rFonts w:hint="eastAsia" w:ascii="宋体" w:hAnsi="宋体" w:cs="宋体"/>
          <w:b/>
          <w:bCs/>
          <w:color w:val="auto"/>
          <w:kern w:val="1"/>
          <w:szCs w:val="21"/>
          <w:highlight w:val="none"/>
        </w:rPr>
        <w:t>（</w:t>
      </w:r>
      <w:r>
        <w:rPr>
          <w:rFonts w:hint="eastAsia" w:ascii="宋体" w:hAnsi="宋体" w:cs="宋体"/>
          <w:b/>
          <w:bCs/>
          <w:color w:val="auto"/>
          <w:szCs w:val="21"/>
          <w:highlight w:val="none"/>
        </w:rPr>
        <w:t>投标人在编制工程总承包实施方案时应按照招标文件要求，并针对本项目的关键技术、工艺、重点、难点以及拟在本项目采用的新工艺、新技术、新材料编制，应突出重点，标准、规范中已有的内容无需赘述，但不宜超过200页。超过部分不予评审。）</w:t>
      </w:r>
      <w:r>
        <w:rPr>
          <w:rFonts w:hint="eastAsia" w:ascii="宋体" w:hAnsi="宋体" w:cs="宋体"/>
          <w:b/>
          <w:bCs/>
          <w:color w:val="auto"/>
          <w:kern w:val="1"/>
          <w:szCs w:val="21"/>
          <w:highlight w:val="none"/>
        </w:rPr>
        <w:t>；</w:t>
      </w:r>
    </w:p>
    <w:p w14:paraId="76D01D7A">
      <w:pPr>
        <w:spacing w:after="0"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（13）《参与编制工程总承包实施方案技术投标文件人员名单》；（按照招标文件要求填写）</w:t>
      </w:r>
    </w:p>
    <w:p w14:paraId="3FB230EB">
      <w:pPr>
        <w:pStyle w:val="2"/>
        <w:ind w:firstLine="420" w:firstLineChars="200"/>
        <w:rPr>
          <w:rFonts w:hint="eastAsia"/>
          <w:color w:val="auto"/>
          <w:sz w:val="21"/>
          <w:szCs w:val="21"/>
          <w:highlight w:val="none"/>
        </w:rPr>
      </w:pPr>
      <w:r>
        <w:rPr>
          <w:rFonts w:hint="eastAsia" w:cs="宋体"/>
          <w:color w:val="auto"/>
          <w:kern w:val="1"/>
          <w:sz w:val="21"/>
          <w:szCs w:val="21"/>
          <w:highlight w:val="none"/>
          <w:lang w:val="en-US"/>
        </w:rPr>
        <w:t>（14）</w:t>
      </w:r>
      <w:r>
        <w:rPr>
          <w:rFonts w:hint="eastAsia" w:cs="宋体"/>
          <w:color w:val="auto"/>
          <w:kern w:val="1"/>
          <w:sz w:val="21"/>
          <w:szCs w:val="22"/>
          <w:highlight w:val="none"/>
        </w:rPr>
        <w:t>合作设计协议书（如有）；</w:t>
      </w:r>
    </w:p>
    <w:p w14:paraId="3F6451EA">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（15）投标人认为应该提供的其他资料；</w:t>
      </w:r>
    </w:p>
    <w:p w14:paraId="546206EB">
      <w:pPr>
        <w:spacing w:after="0" w:line="360" w:lineRule="auto"/>
        <w:ind w:firstLine="422"/>
        <w:rPr>
          <w:rFonts w:ascii="宋体" w:hAnsi="宋体" w:cs="宋体"/>
          <w:b/>
          <w:color w:val="auto"/>
          <w:kern w:val="1"/>
          <w:szCs w:val="21"/>
          <w:highlight w:val="none"/>
        </w:rPr>
      </w:pPr>
      <w:r>
        <w:rPr>
          <w:rFonts w:hint="eastAsia" w:ascii="宋体" w:hAnsi="宋体" w:cs="宋体"/>
          <w:b/>
          <w:color w:val="auto"/>
          <w:kern w:val="1"/>
          <w:szCs w:val="21"/>
          <w:highlight w:val="none"/>
        </w:rPr>
        <w:t>3.1.</w:t>
      </w:r>
      <w:r>
        <w:rPr>
          <w:rFonts w:ascii="宋体" w:hAnsi="宋体" w:cs="宋体"/>
          <w:b/>
          <w:color w:val="auto"/>
          <w:kern w:val="1"/>
          <w:szCs w:val="21"/>
          <w:highlight w:val="none"/>
        </w:rPr>
        <w:t>5</w:t>
      </w:r>
      <w:r>
        <w:rPr>
          <w:rFonts w:hint="eastAsia" w:ascii="宋体" w:hAnsi="宋体" w:cs="宋体"/>
          <w:b/>
          <w:color w:val="auto"/>
          <w:kern w:val="1"/>
          <w:szCs w:val="21"/>
          <w:highlight w:val="none"/>
        </w:rPr>
        <w:t xml:space="preserve"> </w:t>
      </w:r>
      <w:bookmarkStart w:id="257" w:name="_Hlk55921623"/>
      <w:r>
        <w:rPr>
          <w:rFonts w:hint="eastAsia" w:ascii="宋体" w:hAnsi="宋体" w:cs="宋体"/>
          <w:b/>
          <w:color w:val="auto"/>
          <w:kern w:val="1"/>
          <w:szCs w:val="21"/>
          <w:highlight w:val="none"/>
        </w:rPr>
        <w:t>工程总承包实施方案</w:t>
      </w:r>
      <w:bookmarkEnd w:id="257"/>
      <w:r>
        <w:rPr>
          <w:rFonts w:hint="eastAsia" w:ascii="宋体" w:hAnsi="宋体" w:cs="宋体"/>
          <w:b/>
          <w:color w:val="auto"/>
          <w:kern w:val="1"/>
          <w:szCs w:val="21"/>
          <w:highlight w:val="none"/>
        </w:rPr>
        <w:t>经济投标文件</w:t>
      </w:r>
    </w:p>
    <w:p w14:paraId="4F612A6B">
      <w:pPr>
        <w:tabs>
          <w:tab w:val="left" w:pos="1125"/>
        </w:tabs>
        <w:spacing w:after="0" w:line="360" w:lineRule="auto"/>
        <w:ind w:firstLine="420"/>
        <w:rPr>
          <w:rFonts w:ascii="宋体" w:hAnsi="宋体" w:cs="宋体"/>
          <w:color w:val="auto"/>
          <w:kern w:val="1"/>
          <w:szCs w:val="21"/>
          <w:highlight w:val="none"/>
        </w:rPr>
      </w:pPr>
      <w:bookmarkStart w:id="258" w:name="_Hlk56585096"/>
      <w:r>
        <w:rPr>
          <w:rFonts w:hint="eastAsia" w:ascii="宋体" w:hAnsi="宋体" w:cs="宋体"/>
          <w:color w:val="auto"/>
          <w:kern w:val="1"/>
          <w:szCs w:val="21"/>
          <w:highlight w:val="none"/>
        </w:rPr>
        <w:t>主要包括下列内容：</w:t>
      </w:r>
      <w:bookmarkEnd w:id="258"/>
    </w:p>
    <w:p w14:paraId="29DB4EAF">
      <w:pPr>
        <w:spacing w:after="0" w:line="360" w:lineRule="auto"/>
        <w:ind w:left="420"/>
        <w:rPr>
          <w:rFonts w:ascii="宋体" w:hAnsi="宋体" w:cs="宋体"/>
          <w:color w:val="auto"/>
          <w:kern w:val="1"/>
          <w:szCs w:val="21"/>
          <w:highlight w:val="none"/>
        </w:rPr>
      </w:pPr>
      <w:r>
        <w:rPr>
          <w:rFonts w:hint="eastAsia" w:ascii="宋体" w:hAnsi="宋体" w:cs="宋体"/>
          <w:color w:val="auto"/>
          <w:kern w:val="1"/>
          <w:szCs w:val="21"/>
          <w:highlight w:val="none"/>
        </w:rPr>
        <w:t>（1）封面：写明项目名称、工程总承包实施方案经济投标文件、投标人单位及年月日；加盖投标人电子印章</w:t>
      </w:r>
      <w:r>
        <w:rPr>
          <w:rFonts w:hint="eastAsia" w:ascii="宋体" w:hAnsi="宋体" w:cs="宋体"/>
          <w:color w:val="auto"/>
          <w:szCs w:val="21"/>
          <w:highlight w:val="none"/>
          <w:u w:val="single"/>
        </w:rPr>
        <w:t>（联合体投标的，“投标人”一栏可由主办方签署、盖章）</w:t>
      </w:r>
      <w:r>
        <w:rPr>
          <w:rFonts w:hint="eastAsia" w:ascii="宋体" w:hAnsi="宋体" w:cs="宋体"/>
          <w:color w:val="auto"/>
          <w:kern w:val="1"/>
          <w:szCs w:val="21"/>
          <w:highlight w:val="none"/>
        </w:rPr>
        <w:t>；</w:t>
      </w:r>
    </w:p>
    <w:p w14:paraId="0E0192F6">
      <w:pPr>
        <w:tabs>
          <w:tab w:val="left" w:pos="1125"/>
        </w:tabs>
        <w:spacing w:after="0" w:line="360" w:lineRule="auto"/>
        <w:ind w:left="420"/>
        <w:rPr>
          <w:rFonts w:hint="eastAsia" w:ascii="宋体" w:hAnsi="宋体" w:cs="宋体"/>
          <w:color w:val="auto"/>
          <w:kern w:val="1"/>
          <w:szCs w:val="21"/>
          <w:highlight w:val="none"/>
        </w:rPr>
      </w:pPr>
      <w:r>
        <w:rPr>
          <w:rFonts w:hint="eastAsia" w:ascii="宋体" w:hAnsi="宋体" w:cs="宋体"/>
          <w:color w:val="auto"/>
          <w:kern w:val="1"/>
          <w:szCs w:val="21"/>
          <w:highlight w:val="none"/>
        </w:rPr>
        <w:t>（2）目录</w:t>
      </w:r>
    </w:p>
    <w:p w14:paraId="34102A28">
      <w:pPr>
        <w:tabs>
          <w:tab w:val="left" w:pos="1125"/>
        </w:tabs>
        <w:spacing w:after="0" w:line="360" w:lineRule="auto"/>
        <w:ind w:left="420"/>
        <w:rPr>
          <w:rFonts w:ascii="宋体" w:hAnsi="宋体" w:cs="宋体"/>
          <w:color w:val="auto"/>
          <w:kern w:val="1"/>
          <w:szCs w:val="21"/>
          <w:highlight w:val="none"/>
        </w:rPr>
      </w:pPr>
      <w:r>
        <w:rPr>
          <w:rFonts w:hint="eastAsia" w:ascii="宋体" w:hAnsi="宋体" w:cs="宋体"/>
          <w:color w:val="auto"/>
          <w:kern w:val="1"/>
          <w:szCs w:val="21"/>
          <w:highlight w:val="none"/>
        </w:rPr>
        <w:t>（3）《经济标投标书》（按招标文件的要求填写）；</w:t>
      </w:r>
    </w:p>
    <w:p w14:paraId="787D8237">
      <w:pPr>
        <w:tabs>
          <w:tab w:val="left" w:pos="1125"/>
        </w:tabs>
        <w:spacing w:after="0" w:line="360" w:lineRule="auto"/>
        <w:ind w:left="420"/>
        <w:rPr>
          <w:rFonts w:ascii="宋体" w:hAnsi="宋体" w:cs="宋体"/>
          <w:color w:val="auto"/>
          <w:kern w:val="1"/>
          <w:szCs w:val="21"/>
          <w:highlight w:val="none"/>
        </w:rPr>
      </w:pPr>
      <w:r>
        <w:rPr>
          <w:rFonts w:hint="eastAsia" w:ascii="宋体" w:hAnsi="宋体" w:cs="宋体"/>
          <w:color w:val="auto"/>
          <w:kern w:val="1"/>
          <w:szCs w:val="21"/>
          <w:highlight w:val="none"/>
        </w:rPr>
        <w:t>（4）《勘查费分项报价表》、《设计费分项报价表》（按招标文件的要求填写）；</w:t>
      </w:r>
    </w:p>
    <w:p w14:paraId="0506B206">
      <w:pPr>
        <w:tabs>
          <w:tab w:val="left" w:pos="1125"/>
        </w:tabs>
        <w:spacing w:after="0" w:line="360" w:lineRule="auto"/>
        <w:ind w:left="420"/>
        <w:rPr>
          <w:rFonts w:ascii="宋体" w:hAnsi="宋体" w:cs="宋体"/>
          <w:color w:val="auto"/>
          <w:kern w:val="1"/>
          <w:szCs w:val="21"/>
          <w:highlight w:val="none"/>
        </w:rPr>
      </w:pPr>
      <w:r>
        <w:rPr>
          <w:rFonts w:hint="eastAsia" w:ascii="宋体" w:hAnsi="宋体" w:cs="宋体"/>
          <w:color w:val="auto"/>
          <w:kern w:val="1"/>
          <w:szCs w:val="21"/>
          <w:highlight w:val="none"/>
        </w:rPr>
        <w:t>（5）《参与编制工程总承包实施方案经济投标文件人员名单》（按招标文件的要求填写）；</w:t>
      </w:r>
    </w:p>
    <w:p w14:paraId="14772E5C">
      <w:pPr>
        <w:tabs>
          <w:tab w:val="left" w:pos="1125"/>
        </w:tabs>
        <w:spacing w:after="0" w:line="360" w:lineRule="auto"/>
        <w:ind w:left="420"/>
        <w:rPr>
          <w:rFonts w:ascii="宋体" w:hAnsi="宋体" w:cs="宋体"/>
          <w:color w:val="auto"/>
          <w:kern w:val="1"/>
          <w:szCs w:val="21"/>
          <w:highlight w:val="none"/>
        </w:rPr>
      </w:pPr>
      <w:r>
        <w:rPr>
          <w:rFonts w:hint="eastAsia" w:ascii="宋体" w:hAnsi="宋体" w:cs="宋体"/>
          <w:color w:val="auto"/>
          <w:kern w:val="1"/>
          <w:szCs w:val="21"/>
          <w:highlight w:val="none"/>
        </w:rPr>
        <w:t>（6）投标人认为应该提供的其他资料；</w:t>
      </w:r>
    </w:p>
    <w:p w14:paraId="49D519CF">
      <w:pPr>
        <w:pStyle w:val="5"/>
        <w:spacing w:before="0" w:after="0" w:line="360" w:lineRule="auto"/>
        <w:rPr>
          <w:rFonts w:ascii="宋体" w:hAnsi="宋体" w:eastAsia="宋体"/>
          <w:b/>
          <w:bCs/>
          <w:color w:val="auto"/>
          <w:sz w:val="24"/>
          <w:szCs w:val="24"/>
          <w:highlight w:val="none"/>
        </w:rPr>
      </w:pPr>
      <w:bookmarkStart w:id="259" w:name="_Toc28699"/>
      <w:r>
        <w:rPr>
          <w:rFonts w:hint="eastAsia" w:ascii="宋体" w:hAnsi="宋体" w:eastAsia="宋体"/>
          <w:b/>
          <w:bCs/>
          <w:color w:val="auto"/>
          <w:sz w:val="24"/>
          <w:szCs w:val="24"/>
          <w:highlight w:val="none"/>
        </w:rPr>
        <w:t>3.2 投标报价</w:t>
      </w:r>
      <w:bookmarkEnd w:id="252"/>
      <w:bookmarkEnd w:id="259"/>
    </w:p>
    <w:p w14:paraId="5C73CF7D">
      <w:pPr>
        <w:spacing w:after="0" w:line="360" w:lineRule="auto"/>
        <w:ind w:firstLine="420"/>
        <w:rPr>
          <w:rFonts w:ascii="宋体" w:hAnsi="宋体" w:cs="宋体"/>
          <w:color w:val="auto"/>
          <w:kern w:val="1"/>
          <w:highlight w:val="none"/>
        </w:rPr>
      </w:pPr>
      <w:r>
        <w:rPr>
          <w:rFonts w:hint="eastAsia" w:ascii="宋体" w:hAnsi="宋体" w:cs="宋体"/>
          <w:color w:val="auto"/>
          <w:kern w:val="1"/>
          <w:szCs w:val="21"/>
          <w:highlight w:val="none"/>
        </w:rPr>
        <w:t xml:space="preserve">3.2.1 </w:t>
      </w:r>
      <w:r>
        <w:rPr>
          <w:rFonts w:hint="eastAsia" w:ascii="宋体" w:hAnsi="宋体" w:cs="宋体"/>
          <w:color w:val="auto"/>
          <w:kern w:val="1"/>
          <w:highlight w:val="none"/>
          <w:u w:val="single"/>
        </w:rPr>
        <w:t>本工程的投标报价方式见投标须知前附表。</w:t>
      </w:r>
    </w:p>
    <w:p w14:paraId="594E750C">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3.2.2 投标人应</w:t>
      </w:r>
      <w:r>
        <w:rPr>
          <w:rFonts w:hint="eastAsia" w:ascii="宋体" w:hAnsi="宋体" w:cs="宋体"/>
          <w:color w:val="auto"/>
          <w:kern w:val="1"/>
          <w:highlight w:val="none"/>
        </w:rPr>
        <w:t>充分了解</w:t>
      </w:r>
      <w:r>
        <w:rPr>
          <w:rFonts w:hint="eastAsia" w:ascii="宋体" w:hAnsi="宋体" w:cs="宋体"/>
          <w:color w:val="auto"/>
          <w:kern w:val="1"/>
          <w:szCs w:val="21"/>
          <w:highlight w:val="none"/>
        </w:rPr>
        <w:t>施工场地的位置、周边环境、道路、装卸、保管、安装限制以及影响投标报价的其他要素。投标人根据投标设计，结合市场情况进行投标报价。</w:t>
      </w:r>
    </w:p>
    <w:p w14:paraId="7A37D93D">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3.2.3 投标人在投标截止时间前修改投标函中的投标报价总额，应同时修改投标文件中的相应报价，投标报价总额为各分项金额之和。此修改须符合本章第4.3款的有关要求。</w:t>
      </w:r>
    </w:p>
    <w:p w14:paraId="5D9F2902">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3.2.</w:t>
      </w:r>
      <w:r>
        <w:rPr>
          <w:rFonts w:ascii="宋体" w:hAnsi="宋体" w:cs="宋体"/>
          <w:color w:val="auto"/>
          <w:kern w:val="1"/>
          <w:highlight w:val="none"/>
        </w:rPr>
        <w:t>4</w:t>
      </w:r>
      <w:r>
        <w:rPr>
          <w:rFonts w:hint="eastAsia" w:ascii="宋体" w:hAnsi="宋体" w:cs="宋体"/>
          <w:color w:val="auto"/>
          <w:kern w:val="1"/>
          <w:highlight w:val="none"/>
        </w:rPr>
        <w:t xml:space="preserve"> 招标人设有最高投标限价的，投标人的投标报价不得超过最高投标限价，最高投标限价在投标人须知前附表中载明。</w:t>
      </w:r>
    </w:p>
    <w:p w14:paraId="626A293E">
      <w:pPr>
        <w:spacing w:after="0"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3.2.4.1招标人按照招标需求制定招标控制价（最高投标限价）。此处的招标控制价（最高投标限价）有两个含义，</w:t>
      </w:r>
      <w:r>
        <w:rPr>
          <w:rFonts w:hint="eastAsia" w:ascii="宋体" w:hAnsi="宋体" w:cs="宋体"/>
          <w:b/>
          <w:bCs/>
          <w:color w:val="auto"/>
          <w:kern w:val="1"/>
          <w:szCs w:val="21"/>
          <w:highlight w:val="none"/>
        </w:rPr>
        <w:t>①招标控制（最高投标限价）总价，②勘察费及其子项单价、子项总价最高投标限价、设计费最高投标限价、建安工程费最高投标限价。</w:t>
      </w:r>
      <w:r>
        <w:rPr>
          <w:rFonts w:hint="eastAsia" w:ascii="宋体" w:hAnsi="宋体" w:cs="宋体"/>
          <w:color w:val="auto"/>
          <w:kern w:val="1"/>
          <w:szCs w:val="21"/>
          <w:highlight w:val="none"/>
        </w:rPr>
        <w:t>投标人按照招标文件要求内容自行报价。</w:t>
      </w:r>
    </w:p>
    <w:p w14:paraId="4FD6F05B">
      <w:pPr>
        <w:spacing w:after="0"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3.2.4.1.1每一项费用只允许有一个报价，任何有选择的报价或未填报单价的投标文件将不予接受。</w:t>
      </w:r>
    </w:p>
    <w:p w14:paraId="1507C5F6">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3.2.4.2投标人的投标总报价，包括勘察设计费和建安工程费。投标人应按照投标人须知前附表第 1.3.2 项的工期要求，在投标人须知前附表第 1.1.5 项的建设地点，完成投标人须知前附表第 1.3.1项的招标范围列明工作的全部费用，包括但不限于完成全部勘察设计、建安工程施工工作的成本、利润、税金、技术措施费、大型机械进出场费、风险费以及政策性文件规定费用等，不得以任何理由予以重复计算。</w:t>
      </w:r>
    </w:p>
    <w:p w14:paraId="739AF4AE">
      <w:pPr>
        <w:spacing w:after="0" w:line="360" w:lineRule="auto"/>
        <w:ind w:firstLine="420"/>
        <w:rPr>
          <w:rFonts w:ascii="宋体" w:hAnsi="宋体" w:cs="宋体"/>
          <w:color w:val="auto"/>
          <w:kern w:val="1"/>
          <w:highlight w:val="none"/>
        </w:rPr>
      </w:pPr>
      <w:r>
        <w:rPr>
          <w:rFonts w:hint="eastAsia" w:ascii="宋体" w:hAnsi="宋体" w:cs="宋体"/>
          <w:color w:val="auto"/>
          <w:kern w:val="1"/>
          <w:szCs w:val="21"/>
          <w:highlight w:val="none"/>
        </w:rPr>
        <w:t>3.2.</w:t>
      </w:r>
      <w:r>
        <w:rPr>
          <w:rFonts w:ascii="宋体" w:hAnsi="宋体" w:cs="宋体"/>
          <w:color w:val="auto"/>
          <w:kern w:val="1"/>
          <w:szCs w:val="21"/>
          <w:highlight w:val="none"/>
        </w:rPr>
        <w:t>5</w:t>
      </w:r>
      <w:r>
        <w:rPr>
          <w:rFonts w:hint="eastAsia" w:ascii="宋体" w:hAnsi="宋体" w:cs="宋体"/>
          <w:color w:val="auto"/>
          <w:kern w:val="1"/>
          <w:highlight w:val="none"/>
        </w:rPr>
        <w:t>投标报价的其他要求见投标人须知前附表。</w:t>
      </w:r>
    </w:p>
    <w:p w14:paraId="7F8465A8">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3.2.</w:t>
      </w:r>
      <w:r>
        <w:rPr>
          <w:rFonts w:ascii="宋体" w:hAnsi="宋体" w:cs="宋体"/>
          <w:color w:val="auto"/>
          <w:kern w:val="1"/>
          <w:highlight w:val="none"/>
          <w:u w:val="single"/>
        </w:rPr>
        <w:t>6</w:t>
      </w:r>
      <w:r>
        <w:rPr>
          <w:rFonts w:hint="eastAsia" w:ascii="宋体" w:hAnsi="宋体" w:cs="宋体"/>
          <w:color w:val="auto"/>
          <w:kern w:val="1"/>
          <w:highlight w:val="none"/>
          <w:u w:val="single"/>
        </w:rPr>
        <w:t>本项目投标报价采用的币种为人民币。</w:t>
      </w:r>
    </w:p>
    <w:p w14:paraId="5ACD8309">
      <w:pPr>
        <w:pStyle w:val="5"/>
        <w:spacing w:before="0" w:after="0" w:line="360" w:lineRule="auto"/>
        <w:ind w:firstLine="351"/>
        <w:rPr>
          <w:rFonts w:ascii="宋体" w:hAnsi="宋体" w:eastAsia="宋体"/>
          <w:b/>
          <w:color w:val="auto"/>
          <w:sz w:val="24"/>
          <w:szCs w:val="24"/>
          <w:highlight w:val="none"/>
        </w:rPr>
      </w:pPr>
      <w:bookmarkStart w:id="260" w:name="_Toc20247"/>
      <w:bookmarkStart w:id="261" w:name="_Toc5620316"/>
      <w:r>
        <w:rPr>
          <w:rFonts w:hint="eastAsia" w:ascii="宋体" w:hAnsi="宋体" w:eastAsia="宋体"/>
          <w:b/>
          <w:color w:val="auto"/>
          <w:sz w:val="24"/>
          <w:szCs w:val="24"/>
          <w:highlight w:val="none"/>
        </w:rPr>
        <w:t>3.3 投标有效期</w:t>
      </w:r>
      <w:bookmarkEnd w:id="260"/>
      <w:bookmarkEnd w:id="261"/>
    </w:p>
    <w:p w14:paraId="30C3A32B">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3.3.1</w:t>
      </w:r>
      <w:r>
        <w:rPr>
          <w:rFonts w:ascii="宋体" w:hAnsi="宋体" w:cs="宋体"/>
          <w:color w:val="auto"/>
          <w:kern w:val="1"/>
          <w:szCs w:val="21"/>
          <w:highlight w:val="none"/>
        </w:rPr>
        <w:t xml:space="preserve"> </w:t>
      </w:r>
      <w:r>
        <w:rPr>
          <w:rFonts w:hint="eastAsia" w:ascii="宋体" w:hAnsi="宋体" w:cs="宋体"/>
          <w:color w:val="auto"/>
          <w:kern w:val="1"/>
          <w:highlight w:val="none"/>
        </w:rPr>
        <w:t>投标有效期按须知前附表的规定。</w:t>
      </w:r>
    </w:p>
    <w:p w14:paraId="74187DBB">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3.3.2 在投标有效期内，投标人撤销或修改其投标文件的，应承担招标文件和法律规定的责任。</w:t>
      </w:r>
    </w:p>
    <w:p w14:paraId="16824449">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5CE6A02">
      <w:pPr>
        <w:pStyle w:val="5"/>
        <w:spacing w:before="0" w:after="0" w:line="360" w:lineRule="auto"/>
        <w:ind w:firstLine="363"/>
        <w:rPr>
          <w:rFonts w:hint="eastAsia" w:ascii="宋体" w:hAnsi="宋体" w:eastAsia="宋体"/>
          <w:b/>
          <w:color w:val="auto"/>
          <w:sz w:val="24"/>
          <w:szCs w:val="24"/>
          <w:highlight w:val="none"/>
        </w:rPr>
      </w:pPr>
      <w:bookmarkStart w:id="262" w:name="_Toc18133"/>
      <w:bookmarkStart w:id="263" w:name="_Toc5620317"/>
      <w:r>
        <w:rPr>
          <w:rFonts w:hint="eastAsia" w:ascii="宋体" w:hAnsi="宋体" w:eastAsia="宋体"/>
          <w:b/>
          <w:color w:val="auto"/>
          <w:sz w:val="24"/>
          <w:szCs w:val="24"/>
          <w:highlight w:val="none"/>
        </w:rPr>
        <w:t>3.4 投标</w:t>
      </w:r>
      <w:bookmarkEnd w:id="262"/>
      <w:bookmarkEnd w:id="263"/>
      <w:r>
        <w:rPr>
          <w:rFonts w:hint="eastAsia" w:ascii="宋体" w:hAnsi="宋体" w:eastAsia="宋体"/>
          <w:b/>
          <w:color w:val="auto"/>
          <w:sz w:val="24"/>
          <w:szCs w:val="24"/>
          <w:highlight w:val="none"/>
        </w:rPr>
        <w:t>担保</w:t>
      </w:r>
    </w:p>
    <w:p w14:paraId="1079133D">
      <w:pPr>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 投标人应按投标人须知前附表所述的规定金额、时间、担保形式递交投标担保。联合体投标的，其投标担保由主办方递交，并应符合投标人须知前附表的规定。</w:t>
      </w:r>
    </w:p>
    <w:p w14:paraId="59198DF7">
      <w:pPr>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 投标人不按本章第3.4.1项要求提交投标担保的，评标委员会将否决其投标。</w:t>
      </w:r>
    </w:p>
    <w:p w14:paraId="2681BB4C">
      <w:pPr>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3.4.3未中标的投标担保将尽快退还，最迟不超过招标人与中标人签定合同后的5个工作日。中标人的投标担保，在签署合同并按要求提供了履约担保后予以退还。</w:t>
      </w:r>
    </w:p>
    <w:p w14:paraId="6B52D093">
      <w:pPr>
        <w:spacing w:after="0"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3.4.4有下列情形之一的，投标担保将不予退还： </w:t>
      </w:r>
    </w:p>
    <w:p w14:paraId="584EBB55">
      <w:pPr>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1.投标人在规定的投标有效期内撤销或修改其投标文件；</w:t>
      </w:r>
    </w:p>
    <w:p w14:paraId="5F2E1518">
      <w:pPr>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2.投标人提供了虚假的证明材料；</w:t>
      </w:r>
    </w:p>
    <w:p w14:paraId="62CCC4E6">
      <w:pPr>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3.中标候选人放弃中标；</w:t>
      </w:r>
    </w:p>
    <w:p w14:paraId="3473477B">
      <w:pPr>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4.中标人在收到中标通知书后，无正当理由拒签合同或未按招标文件规定提交履约担保。</w:t>
      </w:r>
    </w:p>
    <w:p w14:paraId="4E71BD71">
      <w:pPr>
        <w:spacing w:after="0"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3.4.5</w:t>
      </w:r>
      <w:r>
        <w:rPr>
          <w:rFonts w:hint="eastAsia" w:ascii="宋体" w:hAnsi="宋体" w:cs="宋体"/>
          <w:color w:val="auto"/>
          <w:szCs w:val="21"/>
          <w:highlight w:val="none"/>
        </w:rPr>
        <w:t>投标人如存在下列情况之一的，将被拒绝在1年时期内参与招标人后续工程投标（注：拒绝投标时限由招标人视严重程度确定，最低三个月起，自招标人发出通知之日起计）：</w:t>
      </w:r>
    </w:p>
    <w:p w14:paraId="1BC3160E">
      <w:pPr>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1.投标人存在3.4.4条款所列情形且投标人提交的保函、担保或保证保险无法兑付的；</w:t>
      </w:r>
    </w:p>
    <w:p w14:paraId="47E7F1F3">
      <w:pPr>
        <w:spacing w:after="0" w:line="360" w:lineRule="auto"/>
        <w:ind w:firstLine="420" w:firstLineChars="200"/>
        <w:rPr>
          <w:color w:val="auto"/>
          <w:highlight w:val="none"/>
        </w:rPr>
      </w:pPr>
      <w:r>
        <w:rPr>
          <w:rFonts w:hint="eastAsia" w:ascii="宋体" w:hAnsi="宋体" w:cs="宋体"/>
          <w:color w:val="auto"/>
          <w:szCs w:val="21"/>
          <w:highlight w:val="none"/>
        </w:rPr>
        <w:t>2.采用非电子形式提交投标保证金的投标人存在3.4.4条款所列情形，且未按招标人要求补交银行保函、专业工程担保公司担保或保证保险原件的。</w:t>
      </w:r>
    </w:p>
    <w:p w14:paraId="28B483F6">
      <w:pPr>
        <w:pStyle w:val="5"/>
        <w:spacing w:before="0" w:after="0" w:line="360" w:lineRule="auto"/>
        <w:ind w:firstLine="0"/>
        <w:rPr>
          <w:rFonts w:ascii="宋体" w:hAnsi="宋体" w:eastAsia="宋体"/>
          <w:b/>
          <w:color w:val="auto"/>
          <w:sz w:val="24"/>
          <w:szCs w:val="24"/>
          <w:highlight w:val="none"/>
        </w:rPr>
      </w:pPr>
      <w:bookmarkStart w:id="264" w:name="_Toc5620318"/>
      <w:bookmarkStart w:id="265" w:name="_Toc32372"/>
      <w:r>
        <w:rPr>
          <w:rFonts w:hint="eastAsia" w:ascii="宋体" w:hAnsi="宋体" w:eastAsia="宋体"/>
          <w:b/>
          <w:color w:val="auto"/>
          <w:sz w:val="24"/>
          <w:szCs w:val="24"/>
          <w:highlight w:val="none"/>
        </w:rPr>
        <w:t>3.5 资格审查</w:t>
      </w:r>
      <w:bookmarkEnd w:id="264"/>
      <w:bookmarkEnd w:id="265"/>
    </w:p>
    <w:p w14:paraId="06500408">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本项目采用电子化资格后审，由评标委员会负责对投标人的资格进行审查，评标时只对通过资格评审的投标人进行下一阶段的评审。</w:t>
      </w:r>
    </w:p>
    <w:p w14:paraId="53A416DD">
      <w:pPr>
        <w:spacing w:after="0" w:line="360" w:lineRule="auto"/>
        <w:ind w:firstLine="420"/>
        <w:rPr>
          <w:rFonts w:ascii="宋体" w:hAnsi="宋体" w:cs="宋体"/>
          <w:color w:val="auto"/>
          <w:kern w:val="1"/>
          <w:szCs w:val="21"/>
          <w:highlight w:val="none"/>
        </w:rPr>
      </w:pPr>
      <w:r>
        <w:rPr>
          <w:rFonts w:hint="eastAsia" w:ascii="宋体" w:hAnsi="宋体"/>
          <w:b/>
          <w:color w:val="auto"/>
          <w:highlight w:val="none"/>
          <w:u w:val="single"/>
        </w:rPr>
        <w:t>资审合格后，投标人的资格发生变化而不满足投标人合格条件，在发出中标通知书前，资格问题仍未解决的，招标人将取消其中标资格</w:t>
      </w:r>
      <w:r>
        <w:rPr>
          <w:rFonts w:hint="eastAsia" w:ascii="宋体" w:hAnsi="宋体"/>
          <w:b/>
          <w:color w:val="auto"/>
          <w:highlight w:val="none"/>
        </w:rPr>
        <w:t>。</w:t>
      </w:r>
    </w:p>
    <w:p w14:paraId="18984C12">
      <w:pPr>
        <w:pStyle w:val="2"/>
        <w:spacing w:after="0" w:line="360" w:lineRule="auto"/>
        <w:rPr>
          <w:color w:val="auto"/>
          <w:highlight w:val="none"/>
          <w:lang w:val="en-US"/>
        </w:rPr>
      </w:pPr>
    </w:p>
    <w:p w14:paraId="0433A239">
      <w:pPr>
        <w:pStyle w:val="5"/>
        <w:spacing w:before="0" w:after="0" w:line="360" w:lineRule="auto"/>
        <w:ind w:firstLine="0"/>
        <w:rPr>
          <w:rFonts w:ascii="宋体" w:hAnsi="宋体" w:eastAsia="宋体"/>
          <w:b/>
          <w:color w:val="auto"/>
          <w:sz w:val="24"/>
          <w:szCs w:val="24"/>
          <w:highlight w:val="none"/>
        </w:rPr>
      </w:pPr>
      <w:bookmarkStart w:id="266" w:name="_Toc9278"/>
      <w:bookmarkStart w:id="267" w:name="_Toc5620319"/>
      <w:r>
        <w:rPr>
          <w:rFonts w:hint="eastAsia" w:ascii="宋体" w:hAnsi="宋体" w:eastAsia="宋体"/>
          <w:b/>
          <w:color w:val="auto"/>
          <w:sz w:val="24"/>
          <w:szCs w:val="24"/>
          <w:highlight w:val="none"/>
        </w:rPr>
        <w:t>3.6 备选投标方案</w:t>
      </w:r>
      <w:bookmarkEnd w:id="266"/>
      <w:bookmarkEnd w:id="267"/>
    </w:p>
    <w:p w14:paraId="7EAF6F0D">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除投标人须知前附表另有规定外，投标人不得递交备选投标方案。</w:t>
      </w:r>
    </w:p>
    <w:p w14:paraId="1AFE1AD4">
      <w:pPr>
        <w:pStyle w:val="5"/>
        <w:spacing w:before="0" w:after="0" w:line="360" w:lineRule="auto"/>
        <w:ind w:firstLine="0"/>
        <w:rPr>
          <w:rFonts w:ascii="宋体" w:hAnsi="宋体" w:eastAsia="宋体"/>
          <w:b/>
          <w:color w:val="auto"/>
          <w:sz w:val="24"/>
          <w:szCs w:val="24"/>
          <w:highlight w:val="none"/>
        </w:rPr>
      </w:pPr>
      <w:bookmarkStart w:id="268" w:name="_Toc5620320"/>
      <w:bookmarkStart w:id="269" w:name="_Toc4446"/>
      <w:r>
        <w:rPr>
          <w:rFonts w:hint="eastAsia" w:ascii="宋体" w:hAnsi="宋体" w:eastAsia="宋体"/>
          <w:b/>
          <w:color w:val="auto"/>
          <w:sz w:val="24"/>
          <w:szCs w:val="24"/>
          <w:highlight w:val="none"/>
        </w:rPr>
        <w:t>3.7 投标文件的编制</w:t>
      </w:r>
      <w:bookmarkEnd w:id="268"/>
      <w:bookmarkEnd w:id="269"/>
    </w:p>
    <w:p w14:paraId="009A848E">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3.7.1 投标文件应按第七章“投标文件格式”进行编写，如有必要，可以增加附页，作为投标文件的组成部分。</w:t>
      </w:r>
    </w:p>
    <w:p w14:paraId="2D4EAF9A">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3.7.2 投标文件应当对招标文件有关招标范围、投标有效期、工期、质量标准、招标人要求等实质性内容作出响应。</w:t>
      </w:r>
    </w:p>
    <w:p w14:paraId="582B81DA">
      <w:pPr>
        <w:spacing w:after="0" w:line="360" w:lineRule="auto"/>
        <w:ind w:firstLine="420"/>
        <w:rPr>
          <w:rFonts w:hint="eastAsia" w:ascii="宋体" w:hAnsi="宋体" w:cs="宋体"/>
          <w:b/>
          <w:bCs/>
          <w:color w:val="auto"/>
          <w:szCs w:val="21"/>
          <w:highlight w:val="none"/>
          <w:u w:val="single"/>
        </w:rPr>
      </w:pPr>
      <w:r>
        <w:rPr>
          <w:rFonts w:hint="eastAsia" w:ascii="宋体" w:hAnsi="宋体" w:cs="宋体"/>
          <w:color w:val="auto"/>
          <w:kern w:val="1"/>
          <w:highlight w:val="none"/>
        </w:rPr>
        <w:t>3.7.3</w:t>
      </w:r>
      <w:r>
        <w:rPr>
          <w:rFonts w:hint="eastAsia" w:ascii="宋体" w:hAnsi="宋体" w:cs="宋体"/>
          <w:color w:val="auto"/>
          <w:kern w:val="1"/>
          <w:szCs w:val="21"/>
          <w:highlight w:val="none"/>
          <w:u w:val="single"/>
        </w:rPr>
        <w:t>勘察</w:t>
      </w:r>
      <w:r>
        <w:rPr>
          <w:rFonts w:hint="eastAsia" w:ascii="宋体" w:hAnsi="宋体" w:cs="宋体"/>
          <w:color w:val="auto"/>
          <w:kern w:val="1"/>
          <w:highlight w:val="none"/>
          <w:u w:val="single"/>
        </w:rPr>
        <w:t>设计方案投标文件按本须知第3.1.3款的要求采用电子文档编制；其他投标文件全部采用电子文档，投标文件所附证书证件及证明文件均为原件扫描件，并应采用单位数字证书加盖电子印章。招标文件所附格式要求盖章处及招标文件要求投标文件盖章处需采用单位数字证书，按招标文件要求在相应位置加盖电子印章。</w:t>
      </w:r>
      <w:r>
        <w:rPr>
          <w:rFonts w:hint="eastAsia" w:ascii="宋体" w:hAnsi="宋体" w:cs="宋体"/>
          <w:color w:val="auto"/>
          <w:szCs w:val="21"/>
          <w:highlight w:val="none"/>
          <w:u w:val="single"/>
        </w:rPr>
        <w:t>投标文件中需个人签字或盖章的，应加盖个人电子印章或在线下完成后扫描上传。</w:t>
      </w:r>
      <w:r>
        <w:rPr>
          <w:rFonts w:hint="eastAsia" w:ascii="宋体" w:hAnsi="宋体" w:cs="宋体"/>
          <w:color w:val="auto"/>
          <w:kern w:val="1"/>
          <w:highlight w:val="none"/>
          <w:u w:val="single"/>
        </w:rPr>
        <w:t>详细操作按照交易平台关于全流程电子化项目的相关指南进行操作。详见：【全流程电子化项目】电子招投标操作手册（无纸化）</w:t>
      </w:r>
      <w:r>
        <w:rPr>
          <w:rFonts w:hint="eastAsia" w:ascii="宋体" w:hAnsi="宋体" w:cs="宋体"/>
          <w:bCs/>
          <w:color w:val="auto"/>
          <w:szCs w:val="21"/>
          <w:highlight w:val="none"/>
          <w:u w:val="single"/>
        </w:rPr>
        <w:t>。</w:t>
      </w:r>
      <w:r>
        <w:rPr>
          <w:rFonts w:hint="eastAsia" w:ascii="宋体" w:hAnsi="宋体" w:cs="宋体"/>
          <w:b/>
          <w:bCs/>
          <w:color w:val="auto"/>
          <w:szCs w:val="21"/>
          <w:highlight w:val="none"/>
          <w:u w:val="single"/>
        </w:rPr>
        <w:t>联合体投标的，除《联合体共同投标协议书》必须联合体各方分别按要求进行签字、盖章外，投标文件封面及其他内容由联合体主办方签字、盖章即可。</w:t>
      </w:r>
    </w:p>
    <w:p w14:paraId="5EA766A4">
      <w:pPr>
        <w:pStyle w:val="4"/>
        <w:keepNext w:val="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注释：投标文件电子文档需要投标人单位盖章的材料，投标人加盖电子印章即可（联合体投标的由联合体主办单位加盖电子印章即可），不得将投标人未对电子文档加盖实物印章作为否决投标的情形。</w:t>
      </w:r>
    </w:p>
    <w:p w14:paraId="5A11D382">
      <w:pPr>
        <w:pStyle w:val="4"/>
        <w:spacing w:before="0" w:after="0" w:line="360" w:lineRule="auto"/>
        <w:rPr>
          <w:rFonts w:ascii="宋体" w:hAnsi="宋体" w:eastAsia="宋体" w:cs="宋体"/>
          <w:color w:val="auto"/>
          <w:highlight w:val="none"/>
          <w:lang w:val="zh-CN"/>
        </w:rPr>
      </w:pPr>
      <w:bookmarkStart w:id="270" w:name="_Toc8024"/>
      <w:bookmarkEnd w:id="270"/>
      <w:bookmarkStart w:id="271" w:name="_Toc443505826"/>
      <w:bookmarkEnd w:id="271"/>
      <w:bookmarkStart w:id="272" w:name="_Toc3979"/>
      <w:bookmarkEnd w:id="272"/>
      <w:bookmarkStart w:id="273" w:name="_Toc8504"/>
      <w:bookmarkStart w:id="274" w:name="_Toc5620321"/>
      <w:r>
        <w:rPr>
          <w:rFonts w:hint="eastAsia" w:ascii="宋体" w:hAnsi="宋体" w:eastAsia="宋体" w:cs="宋体"/>
          <w:color w:val="auto"/>
          <w:highlight w:val="none"/>
          <w:lang w:val="zh-CN"/>
        </w:rPr>
        <w:t>4. 投标</w:t>
      </w:r>
      <w:bookmarkEnd w:id="273"/>
      <w:bookmarkEnd w:id="274"/>
    </w:p>
    <w:p w14:paraId="0F0001DA">
      <w:pPr>
        <w:pStyle w:val="5"/>
        <w:spacing w:before="0" w:after="0" w:line="360" w:lineRule="auto"/>
        <w:ind w:firstLine="118"/>
        <w:rPr>
          <w:rFonts w:ascii="宋体" w:hAnsi="宋体" w:eastAsia="宋体"/>
          <w:b/>
          <w:bCs/>
          <w:color w:val="auto"/>
          <w:sz w:val="24"/>
          <w:szCs w:val="24"/>
          <w:highlight w:val="none"/>
        </w:rPr>
      </w:pPr>
      <w:bookmarkStart w:id="275" w:name="_Toc357089537"/>
      <w:bookmarkEnd w:id="275"/>
      <w:bookmarkStart w:id="276" w:name="_Toc362816506"/>
      <w:bookmarkEnd w:id="276"/>
      <w:bookmarkStart w:id="277" w:name="_Toc21485"/>
      <w:bookmarkStart w:id="278" w:name="_Toc5620322"/>
      <w:r>
        <w:rPr>
          <w:rFonts w:hint="eastAsia" w:ascii="宋体" w:hAnsi="宋体" w:eastAsia="宋体"/>
          <w:b/>
          <w:bCs/>
          <w:color w:val="auto"/>
          <w:sz w:val="24"/>
          <w:szCs w:val="24"/>
          <w:highlight w:val="none"/>
        </w:rPr>
        <w:t>4.1 投标文件的密封和标记</w:t>
      </w:r>
      <w:bookmarkEnd w:id="277"/>
      <w:bookmarkEnd w:id="278"/>
    </w:p>
    <w:p w14:paraId="5E55A00E">
      <w:pPr>
        <w:spacing w:after="0"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4.1.1 </w:t>
      </w:r>
      <w:r>
        <w:rPr>
          <w:rFonts w:hint="eastAsia" w:ascii="宋体" w:hAnsi="宋体" w:cs="宋体"/>
          <w:color w:val="auto"/>
          <w:kern w:val="1"/>
          <w:highlight w:val="none"/>
          <w:u w:val="single"/>
        </w:rPr>
        <w:t>投标人应当按照招标文件和电子招标投标交易平台的要求加密投标文件，具体要求见投标人须知前附表。</w:t>
      </w:r>
    </w:p>
    <w:p w14:paraId="39CCEC66">
      <w:pPr>
        <w:spacing w:after="0"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4.1.2 </w:t>
      </w:r>
      <w:r>
        <w:rPr>
          <w:rFonts w:hint="eastAsia" w:ascii="宋体" w:hAnsi="宋体" w:cs="宋体"/>
          <w:color w:val="auto"/>
          <w:kern w:val="1"/>
          <w:highlight w:val="none"/>
          <w:u w:val="single"/>
        </w:rPr>
        <w:t>如有提交备用电子投标文件，封套上应写明的内容见投标人须知前附表。</w:t>
      </w:r>
    </w:p>
    <w:p w14:paraId="11F32BD3">
      <w:pPr>
        <w:spacing w:after="0"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4.1.3投标人在投标截止期后逾期或未在指定地点递交备用电子投标文件的，或投标人递交的备用电子投标文件未按招标文件要求密封或未在密封处盖章的，或投标人</w:t>
      </w:r>
      <w:r>
        <w:rPr>
          <w:rFonts w:hint="eastAsia" w:ascii="宋体" w:hAnsi="宋体" w:cs="宋体"/>
          <w:color w:val="auto"/>
          <w:kern w:val="1"/>
          <w:highlight w:val="none"/>
          <w:u w:val="single"/>
        </w:rPr>
        <w:t>代表未凭法定代表人证明书原件、授权委托书原件（仅限于非法定代表人）、本人身份证原件按要求递交备用电子投标文件的，招标人将予以拒收。投标人也可不提交备用光盘或U盘。</w:t>
      </w:r>
    </w:p>
    <w:p w14:paraId="027606AD">
      <w:pPr>
        <w:pStyle w:val="5"/>
        <w:spacing w:before="0" w:after="0" w:line="360" w:lineRule="auto"/>
        <w:ind w:firstLine="118"/>
        <w:rPr>
          <w:rFonts w:ascii="宋体" w:hAnsi="宋体" w:eastAsia="宋体"/>
          <w:b/>
          <w:bCs/>
          <w:color w:val="auto"/>
          <w:sz w:val="24"/>
          <w:szCs w:val="24"/>
          <w:highlight w:val="none"/>
        </w:rPr>
      </w:pPr>
      <w:bookmarkStart w:id="279" w:name="_Toc7472"/>
      <w:bookmarkStart w:id="280" w:name="_Toc5620323"/>
      <w:r>
        <w:rPr>
          <w:rFonts w:hint="eastAsia" w:ascii="宋体" w:hAnsi="宋体" w:eastAsia="宋体"/>
          <w:b/>
          <w:bCs/>
          <w:color w:val="auto"/>
          <w:sz w:val="24"/>
          <w:szCs w:val="24"/>
          <w:highlight w:val="none"/>
        </w:rPr>
        <w:t xml:space="preserve">4.2 </w:t>
      </w:r>
      <w:r>
        <w:rPr>
          <w:rFonts w:hint="eastAsia" w:ascii="宋体" w:hAnsi="宋体" w:eastAsia="宋体"/>
          <w:b/>
          <w:bCs/>
          <w:color w:val="auto"/>
          <w:sz w:val="24"/>
          <w:szCs w:val="24"/>
          <w:highlight w:val="none"/>
          <w:u w:val="single"/>
        </w:rPr>
        <w:t>投标文件的递交、接收、封存</w:t>
      </w:r>
      <w:bookmarkEnd w:id="279"/>
      <w:bookmarkEnd w:id="280"/>
    </w:p>
    <w:p w14:paraId="6A29C774">
      <w:pPr>
        <w:spacing w:after="0"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4.2.1 </w:t>
      </w:r>
      <w:r>
        <w:rPr>
          <w:rFonts w:hint="eastAsia" w:ascii="宋体" w:hAnsi="宋体" w:cs="宋体"/>
          <w:color w:val="auto"/>
          <w:kern w:val="1"/>
          <w:highlight w:val="none"/>
          <w:u w:val="single"/>
        </w:rPr>
        <w:t>投标人应在投标人须知前附表规定的投标截止时间前递交投标文件。</w:t>
      </w:r>
    </w:p>
    <w:p w14:paraId="1D8D2ABA">
      <w:pPr>
        <w:spacing w:after="0"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4.2.2投标人通过</w:t>
      </w:r>
      <w:r>
        <w:rPr>
          <w:rFonts w:hint="eastAsia" w:ascii="宋体" w:hAnsi="宋体" w:cs="宋体"/>
          <w:color w:val="auto"/>
          <w:kern w:val="1"/>
          <w:highlight w:val="none"/>
          <w:u w:val="single"/>
        </w:rPr>
        <w:t>广州交易集团有限公司（广州公共资源交易中心）电子招标投标交易平台递交电子投标文件。</w:t>
      </w:r>
    </w:p>
    <w:p w14:paraId="2E6C5932">
      <w:pPr>
        <w:spacing w:after="0"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4.2.3投标人完成电子投标文件上传后，电子招标投标交易平台即时向投标人发出递交回执通知。递交时间以递交回执通知载明的传输完成时间为准。</w:t>
      </w:r>
    </w:p>
    <w:p w14:paraId="06C49780">
      <w:pPr>
        <w:spacing w:after="0" w:line="360" w:lineRule="auto"/>
        <w:ind w:firstLine="420"/>
        <w:rPr>
          <w:rFonts w:hint="eastAsia" w:ascii="宋体" w:hAnsi="宋体" w:cs="宋体"/>
          <w:color w:val="auto"/>
          <w:kern w:val="1"/>
          <w:highlight w:val="none"/>
          <w:u w:val="single"/>
        </w:rPr>
      </w:pPr>
      <w:r>
        <w:rPr>
          <w:rFonts w:ascii="宋体" w:hAnsi="宋体" w:cs="宋体"/>
          <w:color w:val="auto"/>
          <w:kern w:val="1"/>
          <w:highlight w:val="none"/>
          <w:u w:val="single"/>
        </w:rPr>
        <w:t>4.2.4</w:t>
      </w:r>
      <w:r>
        <w:rPr>
          <w:rFonts w:hint="eastAsia" w:ascii="宋体" w:hAnsi="宋体" w:cs="宋体"/>
          <w:color w:val="auto"/>
          <w:kern w:val="1"/>
          <w:highlight w:val="none"/>
          <w:u w:val="single"/>
        </w:rPr>
        <w:t>到投标截止时间止，若电子招标投标交易平台收到的投标文件少于</w:t>
      </w:r>
      <w:r>
        <w:rPr>
          <w:rFonts w:ascii="宋体" w:hAnsi="宋体" w:cs="宋体"/>
          <w:color w:val="auto"/>
          <w:kern w:val="1"/>
          <w:highlight w:val="none"/>
          <w:u w:val="single"/>
        </w:rPr>
        <w:t>3家的，本项目招标失败，将依法重新招标。</w:t>
      </w:r>
    </w:p>
    <w:p w14:paraId="10991D07">
      <w:pPr>
        <w:spacing w:after="0"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4.2.5</w:t>
      </w:r>
      <w:r>
        <w:rPr>
          <w:rFonts w:hint="eastAsia" w:ascii="宋体" w:hAnsi="宋体" w:cs="宋体"/>
          <w:color w:val="auto"/>
          <w:kern w:val="1"/>
          <w:highlight w:val="none"/>
          <w:u w:val="single"/>
        </w:rPr>
        <w:t>逾期送达的投标文件，电子招标投标交易平台将予以拒收。</w:t>
      </w:r>
    </w:p>
    <w:p w14:paraId="24D69291">
      <w:pPr>
        <w:spacing w:after="0" w:line="360" w:lineRule="auto"/>
        <w:ind w:firstLine="420"/>
        <w:rPr>
          <w:rFonts w:hint="eastAsia" w:ascii="宋体" w:hAnsi="宋体" w:cs="宋体"/>
          <w:color w:val="auto"/>
          <w:kern w:val="1"/>
          <w:highlight w:val="none"/>
          <w:u w:val="single"/>
        </w:rPr>
      </w:pPr>
      <w:r>
        <w:rPr>
          <w:rFonts w:hint="eastAsia" w:ascii="宋体" w:hAnsi="宋体" w:cs="宋体"/>
          <w:color w:val="auto"/>
          <w:szCs w:val="21"/>
          <w:highlight w:val="none"/>
          <w:u w:val="single"/>
        </w:rPr>
        <w:t>4.2.6提示：参加投标之前，投标人应查询企业诚信档案、拟报项目负责人的使用状态，以免出现企业诚信档案、拟报项目负责人不能被使用的情况。上述情况有可能导致投标信息无法录入广州交易集团有限公司（广州公共资源交易中心）交易服务系统。如出现上述情况，投标人有可能失去投标机会，因其可能所引起的一切后果由投标人自行承担。</w:t>
      </w:r>
    </w:p>
    <w:p w14:paraId="13093CE9">
      <w:pPr>
        <w:pStyle w:val="35"/>
        <w:ind w:left="420" w:firstLine="420"/>
        <w:rPr>
          <w:color w:val="auto"/>
          <w:highlight w:val="none"/>
          <w:lang w:eastAsia="zh-CN"/>
        </w:rPr>
      </w:pPr>
    </w:p>
    <w:p w14:paraId="051801BE">
      <w:pPr>
        <w:pStyle w:val="5"/>
        <w:spacing w:before="0" w:after="0" w:line="360" w:lineRule="auto"/>
        <w:ind w:firstLine="118"/>
        <w:rPr>
          <w:rFonts w:ascii="宋体" w:hAnsi="宋体" w:eastAsia="宋体"/>
          <w:b/>
          <w:bCs/>
          <w:color w:val="auto"/>
          <w:sz w:val="24"/>
          <w:szCs w:val="24"/>
          <w:highlight w:val="none"/>
        </w:rPr>
      </w:pPr>
      <w:bookmarkStart w:id="281" w:name="_Toc357089539"/>
      <w:bookmarkEnd w:id="281"/>
      <w:bookmarkStart w:id="282" w:name="_Toc362816508"/>
      <w:bookmarkEnd w:id="282"/>
      <w:bookmarkStart w:id="283" w:name="_Toc5620324"/>
      <w:bookmarkStart w:id="284" w:name="_Toc17582"/>
      <w:r>
        <w:rPr>
          <w:rFonts w:hint="eastAsia" w:ascii="宋体" w:hAnsi="宋体" w:eastAsia="宋体"/>
          <w:b/>
          <w:bCs/>
          <w:color w:val="auto"/>
          <w:sz w:val="24"/>
          <w:szCs w:val="24"/>
          <w:highlight w:val="none"/>
        </w:rPr>
        <w:t>4.3 投标文件的修改与撤回</w:t>
      </w:r>
      <w:bookmarkEnd w:id="283"/>
      <w:bookmarkEnd w:id="284"/>
    </w:p>
    <w:p w14:paraId="61C16FD0">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4.3.1 在投标人须知前附表第</w:t>
      </w:r>
      <w:r>
        <w:rPr>
          <w:rFonts w:ascii="宋体" w:hAnsi="宋体" w:cs="宋体"/>
          <w:color w:val="auto"/>
          <w:kern w:val="1"/>
          <w:highlight w:val="none"/>
          <w:u w:val="single"/>
        </w:rPr>
        <w:t>4.2.1</w:t>
      </w:r>
      <w:r>
        <w:rPr>
          <w:rFonts w:hint="eastAsia" w:ascii="宋体" w:hAnsi="宋体" w:cs="宋体"/>
          <w:color w:val="auto"/>
          <w:kern w:val="1"/>
          <w:highlight w:val="none"/>
          <w:u w:val="single"/>
        </w:rPr>
        <w:t>项规定的投标截止时间前，投标人可以修改或撤回已递交的投标文件，但需在交易平台发出撤回通知。</w:t>
      </w:r>
    </w:p>
    <w:p w14:paraId="7D835E93">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4.3.2 投标人修改或撤回已递交投标文件的通知，应按照本章第 3.7.3项的要求加盖电子印章。电子招标投标交易平台收到通知后，即时向投标人发出确认回执通知。</w:t>
      </w:r>
    </w:p>
    <w:p w14:paraId="225431EF">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 xml:space="preserve">4.3.3 </w:t>
      </w:r>
      <w:r>
        <w:rPr>
          <w:rFonts w:hint="eastAsia" w:ascii="宋体" w:hAnsi="宋体"/>
          <w:color w:val="auto"/>
          <w:szCs w:val="21"/>
          <w:highlight w:val="none"/>
          <w:u w:val="single"/>
        </w:rPr>
        <w:t>投标人撤回投标文件的，招标人自收到投标人撤回通知之日起 5 日内退还已收取的投标保证金。</w:t>
      </w:r>
    </w:p>
    <w:p w14:paraId="6C246D8C">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w:t>
      </w:r>
      <w:r>
        <w:rPr>
          <w:rFonts w:ascii="宋体" w:hAnsi="宋体" w:cs="宋体"/>
          <w:color w:val="auto"/>
          <w:kern w:val="1"/>
          <w:highlight w:val="none"/>
          <w:u w:val="single"/>
        </w:rPr>
        <w:t xml:space="preserve">.3.4 </w:t>
      </w:r>
      <w:r>
        <w:rPr>
          <w:rFonts w:hint="eastAsia" w:ascii="宋体" w:hAnsi="宋体"/>
          <w:color w:val="auto"/>
          <w:szCs w:val="21"/>
          <w:highlight w:val="none"/>
          <w:u w:val="single"/>
        </w:rPr>
        <w:t>修改的内容为投标文件的组成部分修改的投标文件应按照本章第3条、第4条的规定进行编制和递交。</w:t>
      </w:r>
    </w:p>
    <w:p w14:paraId="73D1D3C6">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4.3.</w:t>
      </w:r>
      <w:r>
        <w:rPr>
          <w:rFonts w:ascii="宋体" w:hAnsi="宋体" w:cs="宋体"/>
          <w:color w:val="auto"/>
          <w:kern w:val="1"/>
          <w:highlight w:val="none"/>
          <w:u w:val="single"/>
        </w:rPr>
        <w:t>5</w:t>
      </w:r>
      <w:r>
        <w:rPr>
          <w:rFonts w:hint="eastAsia" w:ascii="宋体" w:hAnsi="宋体" w:cs="宋体"/>
          <w:color w:val="auto"/>
          <w:kern w:val="1"/>
          <w:highlight w:val="none"/>
          <w:u w:val="single"/>
        </w:rPr>
        <w:t xml:space="preserve"> 在投标截止时间之后，投标人不得补充、修改和更换投标文件。</w:t>
      </w:r>
    </w:p>
    <w:p w14:paraId="06C36AC6">
      <w:pPr>
        <w:spacing w:after="0"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u w:val="single"/>
        </w:rPr>
        <w:t>4.3.</w:t>
      </w:r>
      <w:r>
        <w:rPr>
          <w:rFonts w:ascii="宋体" w:hAnsi="宋体" w:cs="宋体"/>
          <w:color w:val="auto"/>
          <w:kern w:val="1"/>
          <w:highlight w:val="none"/>
          <w:u w:val="single"/>
        </w:rPr>
        <w:t>6</w:t>
      </w:r>
      <w:r>
        <w:rPr>
          <w:rFonts w:hint="eastAsia" w:ascii="宋体" w:hAnsi="宋体" w:cs="宋体"/>
          <w:color w:val="auto"/>
          <w:kern w:val="1"/>
          <w:highlight w:val="none"/>
          <w:u w:val="single"/>
        </w:rPr>
        <w:t xml:space="preserve"> 在投标截止后，投标人在投标文件格式中规定的有效期终止日前，投标人不能撤回投标文件，否则招标人有权就其撤回行为报告政府主管部门载入不良信用记录。</w:t>
      </w:r>
    </w:p>
    <w:p w14:paraId="52F8E6B2">
      <w:pPr>
        <w:pStyle w:val="5"/>
        <w:spacing w:before="0" w:after="0" w:line="360" w:lineRule="auto"/>
        <w:ind w:firstLine="118"/>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4.4 投标信息录入</w:t>
      </w:r>
    </w:p>
    <w:p w14:paraId="554C6D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4.4.1 投标人应在上传电子投标文件前将广州交易集团有限公司（广州公共资源交易中心）交易服务系统要求的相关信息在广州交易集团有限公司（广州公共资源交易中心）交易服务系统中录入完毕。</w:t>
      </w:r>
    </w:p>
    <w:p w14:paraId="0FC3315A">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4.5投标文件的解密</w:t>
      </w:r>
    </w:p>
    <w:p w14:paraId="04E90815">
      <w:pPr>
        <w:tabs>
          <w:tab w:val="left" w:pos="105"/>
        </w:tabs>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4.5.1</w:t>
      </w:r>
      <w:r>
        <w:rPr>
          <w:rFonts w:hint="eastAsia" w:ascii="宋体" w:hAnsi="宋体" w:cs="宋体"/>
          <w:bCs/>
          <w:color w:val="auto"/>
          <w:szCs w:val="21"/>
          <w:highlight w:val="none"/>
        </w:rPr>
        <w:t>投标人必须在投标须知前附表规定的时间内</w:t>
      </w:r>
      <w:r>
        <w:rPr>
          <w:rFonts w:hint="eastAsia" w:ascii="宋体" w:hAnsi="宋体" w:cs="宋体"/>
          <w:color w:val="auto"/>
          <w:szCs w:val="21"/>
          <w:highlight w:val="none"/>
        </w:rPr>
        <w:t>完成电子投标文件解密。</w:t>
      </w:r>
      <w:r>
        <w:rPr>
          <w:rFonts w:hint="eastAsia" w:ascii="宋体" w:hAnsi="宋体" w:cs="宋体"/>
          <w:b/>
          <w:color w:val="auto"/>
          <w:szCs w:val="21"/>
          <w:highlight w:val="none"/>
        </w:rPr>
        <w:t>超过时间未解密的投标文件将作为放弃投标处理。</w:t>
      </w:r>
    </w:p>
    <w:p w14:paraId="51B5620E">
      <w:pPr>
        <w:pStyle w:val="35"/>
        <w:ind w:left="0" w:leftChars="0" w:firstLine="426" w:firstLineChars="0"/>
        <w:rPr>
          <w:rFonts w:hint="eastAsia"/>
          <w:color w:val="auto"/>
          <w:highlight w:val="none"/>
          <w:lang w:eastAsia="zh-CN"/>
        </w:rPr>
      </w:pPr>
      <w:r>
        <w:rPr>
          <w:rFonts w:hint="eastAsia" w:ascii="宋体" w:hAnsi="宋体" w:cs="宋体"/>
          <w:bCs/>
          <w:color w:val="auto"/>
          <w:szCs w:val="21"/>
          <w:highlight w:val="none"/>
          <w:lang w:eastAsia="zh-CN"/>
        </w:rPr>
        <w:t>4.5.2电子投标文件解密应按照</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bCs/>
          <w:color w:val="auto"/>
          <w:szCs w:val="21"/>
          <w:highlight w:val="none"/>
          <w:lang w:eastAsia="zh-CN"/>
        </w:rPr>
        <w:t>交易平台关于</w:t>
      </w:r>
      <w:r>
        <w:rPr>
          <w:rFonts w:hint="eastAsia" w:ascii="宋体" w:hAnsi="宋体" w:cs="宋体"/>
          <w:b/>
          <w:bCs/>
          <w:color w:val="auto"/>
          <w:szCs w:val="21"/>
          <w:highlight w:val="none"/>
          <w:lang w:eastAsia="zh-CN"/>
        </w:rPr>
        <w:t>全流程电子化项目</w:t>
      </w:r>
      <w:r>
        <w:rPr>
          <w:rFonts w:hint="eastAsia" w:ascii="宋体" w:hAnsi="宋体" w:cs="宋体"/>
          <w:bCs/>
          <w:color w:val="auto"/>
          <w:szCs w:val="21"/>
          <w:highlight w:val="none"/>
          <w:lang w:eastAsia="zh-CN"/>
        </w:rPr>
        <w:t>的相关指南进行操作。</w:t>
      </w:r>
    </w:p>
    <w:p w14:paraId="1B8CC797">
      <w:pPr>
        <w:pStyle w:val="4"/>
        <w:spacing w:before="0" w:after="0" w:line="360" w:lineRule="auto"/>
        <w:rPr>
          <w:rFonts w:ascii="宋体" w:hAnsi="宋体" w:eastAsia="宋体" w:cs="宋体"/>
          <w:color w:val="auto"/>
          <w:highlight w:val="none"/>
          <w:lang w:val="zh-CN"/>
        </w:rPr>
      </w:pPr>
      <w:bookmarkStart w:id="285" w:name="_Toc7909"/>
      <w:bookmarkEnd w:id="285"/>
      <w:bookmarkStart w:id="286" w:name="_Toc443505828"/>
      <w:bookmarkEnd w:id="286"/>
      <w:bookmarkStart w:id="287" w:name="_Toc16809"/>
      <w:bookmarkEnd w:id="287"/>
      <w:bookmarkStart w:id="288" w:name="_Toc3600"/>
      <w:r>
        <w:rPr>
          <w:rFonts w:hint="eastAsia" w:ascii="宋体" w:hAnsi="宋体" w:eastAsia="宋体" w:cs="宋体"/>
          <w:color w:val="auto"/>
          <w:highlight w:val="none"/>
          <w:lang w:val="zh-CN"/>
        </w:rPr>
        <w:t>5. 开标</w:t>
      </w:r>
      <w:bookmarkEnd w:id="288"/>
    </w:p>
    <w:p w14:paraId="5B59442E">
      <w:pPr>
        <w:pStyle w:val="5"/>
        <w:spacing w:before="0" w:after="0" w:line="360" w:lineRule="auto"/>
        <w:ind w:firstLine="118"/>
        <w:rPr>
          <w:rFonts w:ascii="宋体" w:hAnsi="宋体" w:eastAsia="宋体"/>
          <w:b/>
          <w:bCs/>
          <w:color w:val="auto"/>
          <w:sz w:val="24"/>
          <w:szCs w:val="24"/>
          <w:highlight w:val="none"/>
        </w:rPr>
      </w:pPr>
      <w:bookmarkStart w:id="289" w:name="_Toc21830"/>
      <w:r>
        <w:rPr>
          <w:rFonts w:hint="eastAsia" w:ascii="宋体" w:hAnsi="宋体" w:eastAsia="宋体"/>
          <w:b/>
          <w:bCs/>
          <w:color w:val="auto"/>
          <w:sz w:val="24"/>
          <w:szCs w:val="24"/>
          <w:highlight w:val="none"/>
        </w:rPr>
        <w:t>5.1 开标时间和地点</w:t>
      </w:r>
      <w:bookmarkEnd w:id="289"/>
    </w:p>
    <w:p w14:paraId="405D1AEC">
      <w:pPr>
        <w:spacing w:after="0" w:line="360" w:lineRule="auto"/>
        <w:ind w:firstLine="420"/>
        <w:rPr>
          <w:rFonts w:ascii="宋体" w:hAnsi="宋体" w:cs="宋体"/>
          <w:color w:val="auto"/>
          <w:kern w:val="1"/>
          <w:highlight w:val="none"/>
          <w:u w:val="single"/>
        </w:rPr>
      </w:pPr>
      <w:r>
        <w:rPr>
          <w:rFonts w:hint="eastAsia" w:ascii="宋体" w:hAnsi="宋体"/>
          <w:color w:val="auto"/>
          <w:szCs w:val="21"/>
          <w:highlight w:val="none"/>
          <w:u w:val="single"/>
        </w:rPr>
        <w:t>招标人在本章第 4.2.1 项规定的投标截止时间（开标时间）,通过电子招标投标交易平台公开开标。招标人</w:t>
      </w:r>
      <w:r>
        <w:rPr>
          <w:rFonts w:hint="eastAsia" w:ascii="宋体" w:hAnsi="宋体" w:cs="宋体"/>
          <w:color w:val="auto"/>
          <w:highlight w:val="none"/>
          <w:u w:val="single"/>
        </w:rPr>
        <w:t>邀请所有投标人的法定代表人或其委托代理人准时参加开标，投标人（法定代表人或其委托代理人）可自行决定是否参加开标。投标人不参加的，视为认可开标过程及结果。</w:t>
      </w:r>
    </w:p>
    <w:p w14:paraId="43311753">
      <w:pPr>
        <w:pStyle w:val="5"/>
        <w:spacing w:before="0" w:after="0" w:line="360" w:lineRule="auto"/>
        <w:ind w:firstLine="118"/>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5.2 开标程序</w:t>
      </w:r>
    </w:p>
    <w:p w14:paraId="5D89E4F1">
      <w:pPr>
        <w:spacing w:after="0"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 xml:space="preserve">5.2.1 </w:t>
      </w:r>
      <w:r>
        <w:rPr>
          <w:rFonts w:hint="eastAsia" w:ascii="宋体" w:hAnsi="宋体" w:cs="宋体"/>
          <w:color w:val="auto"/>
          <w:kern w:val="1"/>
          <w:szCs w:val="21"/>
          <w:highlight w:val="none"/>
          <w:u w:val="single"/>
        </w:rPr>
        <w:t>招标人按投标须知前附表所规定的时间和地点公开开标</w:t>
      </w:r>
      <w:r>
        <w:rPr>
          <w:rFonts w:hint="eastAsia" w:ascii="宋体" w:hAnsi="宋体" w:cs="宋体"/>
          <w:color w:val="auto"/>
          <w:szCs w:val="21"/>
          <w:highlight w:val="none"/>
          <w:u w:val="single"/>
        </w:rPr>
        <w:t>，并邀请所有投标人参加</w:t>
      </w:r>
      <w:r>
        <w:rPr>
          <w:rFonts w:hint="eastAsia" w:ascii="宋体" w:hAnsi="宋体" w:cs="宋体"/>
          <w:color w:val="auto"/>
          <w:kern w:val="1"/>
          <w:szCs w:val="21"/>
          <w:highlight w:val="none"/>
          <w:u w:val="single"/>
        </w:rPr>
        <w:t>。截标后，</w:t>
      </w:r>
      <w:r>
        <w:rPr>
          <w:rFonts w:hint="eastAsia" w:ascii="宋体" w:hAnsi="宋体" w:cs="宋体"/>
          <w:color w:val="auto"/>
          <w:kern w:val="1"/>
          <w:highlight w:val="none"/>
          <w:u w:val="single"/>
        </w:rPr>
        <w:t>开标开始时间因故推迟的</w:t>
      </w:r>
      <w:r>
        <w:rPr>
          <w:rFonts w:hint="eastAsia" w:ascii="宋体" w:hAnsi="宋体" w:cs="宋体"/>
          <w:color w:val="auto"/>
          <w:kern w:val="1"/>
          <w:szCs w:val="21"/>
          <w:highlight w:val="none"/>
          <w:u w:val="single"/>
        </w:rPr>
        <w:t>，相关评标信息仍以原递交投标文件截止时间的信息为准。</w:t>
      </w:r>
    </w:p>
    <w:p w14:paraId="1BE567F0">
      <w:pPr>
        <w:spacing w:after="0"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5.2.2开标由招标人或委托招标代理单位主持。</w:t>
      </w:r>
    </w:p>
    <w:p w14:paraId="39A5BA60">
      <w:pPr>
        <w:spacing w:after="0"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5.2.3</w:t>
      </w:r>
      <w:r>
        <w:rPr>
          <w:rFonts w:hint="eastAsia" w:ascii="宋体" w:hAnsi="宋体" w:cs="宋体"/>
          <w:color w:val="auto"/>
          <w:kern w:val="1"/>
          <w:szCs w:val="21"/>
          <w:highlight w:val="none"/>
          <w:u w:val="single"/>
        </w:rPr>
        <w:t>开标细则</w:t>
      </w:r>
    </w:p>
    <w:p w14:paraId="004997E8">
      <w:pPr>
        <w:spacing w:after="0" w:line="360" w:lineRule="auto"/>
        <w:ind w:firstLine="458"/>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1）资格审查文件、工程总承包实施方案技术投标文件、工程总承包实施方案经济投标文件同时公开开标；</w:t>
      </w:r>
    </w:p>
    <w:p w14:paraId="30956616">
      <w:pPr>
        <w:spacing w:after="0" w:line="360" w:lineRule="auto"/>
        <w:ind w:firstLine="458"/>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2</w:t>
      </w:r>
      <w:r>
        <w:rPr>
          <w:rFonts w:hint="eastAsia" w:ascii="宋体" w:hAnsi="宋体" w:cs="宋体"/>
          <w:color w:val="auto"/>
          <w:kern w:val="1"/>
          <w:szCs w:val="21"/>
          <w:highlight w:val="none"/>
          <w:u w:val="single"/>
        </w:rPr>
        <w:t>）投标人按照投标人须知前附表的要求，对电子投标文件进行解密，超过时间未解密的投标文件将作为放弃投标处理。</w:t>
      </w:r>
    </w:p>
    <w:p w14:paraId="176D0931">
      <w:pPr>
        <w:spacing w:after="0" w:line="360" w:lineRule="auto"/>
        <w:ind w:firstLine="458"/>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（3）招标人在开标开始时间后，使用制作该招标文件的机构业务数字证书对所有投标人电子投标文件进行招标人解密。</w:t>
      </w:r>
    </w:p>
    <w:p w14:paraId="0D2903A7">
      <w:pPr>
        <w:spacing w:after="0" w:line="360" w:lineRule="auto"/>
        <w:ind w:firstLine="458"/>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（4）招标人完成解密后按开标记录表规定的内容进行唱标。</w:t>
      </w:r>
    </w:p>
    <w:p w14:paraId="5A4C6FFB">
      <w:pPr>
        <w:spacing w:after="0" w:line="360" w:lineRule="auto"/>
        <w:ind w:firstLine="458"/>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（5）唱标结束，参与开标的招标人、招标代理、投标人及有关人员在开标记录上签字确认；若有关人员不签字的不影响开标程序；</w:t>
      </w:r>
    </w:p>
    <w:p w14:paraId="3D9A1CFB">
      <w:pPr>
        <w:spacing w:after="0" w:line="360" w:lineRule="auto"/>
        <w:ind w:firstLine="458"/>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6）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39379F30">
      <w:pPr>
        <w:spacing w:after="0"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 xml:space="preserve">5.2.4 </w:t>
      </w:r>
      <w:r>
        <w:rPr>
          <w:rFonts w:hint="eastAsia" w:ascii="宋体" w:hAnsi="宋体" w:cs="宋体"/>
          <w:color w:val="auto"/>
          <w:kern w:val="1"/>
          <w:szCs w:val="21"/>
          <w:highlight w:val="none"/>
          <w:u w:val="single"/>
        </w:rPr>
        <w:t>投标截止时间前未完成投标文件传输的或因投标人之外的原因造成投标文件未解密且投标人未递交备用电子投标文件的，视为投标人其撤回投标文件。因投标人原因造成投标文件未解密的或未在投标截止时间后</w:t>
      </w:r>
      <w:r>
        <w:rPr>
          <w:rFonts w:hint="eastAsia" w:ascii="宋体" w:hAnsi="宋体" w:cs="宋体"/>
          <w:b/>
          <w:bCs/>
          <w:color w:val="auto"/>
          <w:kern w:val="1"/>
          <w:szCs w:val="21"/>
          <w:highlight w:val="none"/>
          <w:u w:val="single"/>
        </w:rPr>
        <w:t>一个</w:t>
      </w:r>
      <w:r>
        <w:rPr>
          <w:rFonts w:hint="eastAsia" w:ascii="宋体" w:hAnsi="宋体" w:cs="宋体"/>
          <w:color w:val="auto"/>
          <w:kern w:val="1"/>
          <w:szCs w:val="21"/>
          <w:highlight w:val="none"/>
          <w:u w:val="single"/>
        </w:rPr>
        <w:t>小时</w:t>
      </w:r>
      <w:r>
        <w:rPr>
          <w:rFonts w:hint="eastAsia" w:ascii="宋体" w:hAnsi="宋体" w:cs="宋体"/>
          <w:b/>
          <w:bCs/>
          <w:color w:val="auto"/>
          <w:kern w:val="1"/>
          <w:szCs w:val="21"/>
          <w:highlight w:val="none"/>
          <w:u w:val="single"/>
        </w:rPr>
        <w:t>内</w:t>
      </w:r>
      <w:r>
        <w:rPr>
          <w:rFonts w:hint="eastAsia" w:ascii="宋体" w:hAnsi="宋体" w:cs="宋体"/>
          <w:color w:val="auto"/>
          <w:kern w:val="1"/>
          <w:szCs w:val="21"/>
          <w:highlight w:val="none"/>
          <w:u w:val="single"/>
        </w:rPr>
        <w:t>解密的，作为放弃投标处理。</w:t>
      </w:r>
    </w:p>
    <w:p w14:paraId="35819B98">
      <w:pPr>
        <w:spacing w:after="0" w:line="360" w:lineRule="auto"/>
        <w:ind w:firstLine="458"/>
        <w:rPr>
          <w:rFonts w:hint="eastAsia" w:ascii="宋体" w:hAnsi="宋体" w:cs="宋体"/>
          <w:color w:val="auto"/>
          <w:kern w:val="1"/>
          <w:szCs w:val="21"/>
          <w:highlight w:val="none"/>
          <w:u w:val="single"/>
        </w:rPr>
      </w:pPr>
      <w:r>
        <w:rPr>
          <w:rFonts w:ascii="宋体" w:hAnsi="宋体" w:cs="宋体"/>
          <w:color w:val="auto"/>
          <w:kern w:val="1"/>
          <w:szCs w:val="21"/>
          <w:highlight w:val="none"/>
          <w:u w:val="single"/>
        </w:rPr>
        <w:t>5.2.5</w:t>
      </w:r>
      <w:r>
        <w:rPr>
          <w:rFonts w:hint="eastAsia" w:ascii="宋体" w:hAnsi="宋体" w:cs="宋体"/>
          <w:color w:val="auto"/>
          <w:kern w:val="1"/>
          <w:szCs w:val="21"/>
          <w:highlight w:val="none"/>
          <w:u w:val="single"/>
        </w:rPr>
        <w:t>开标时，两个（含两个）以上的投标人加密打包投标文件电脑机器特征码一致的，不参与下一程序，并由评标委员会否决其投标。</w:t>
      </w:r>
    </w:p>
    <w:p w14:paraId="0318B0C6">
      <w:pPr>
        <w:spacing w:after="0" w:line="360" w:lineRule="auto"/>
        <w:ind w:firstLine="458"/>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5.2.6开标时，出现下列情形之一的，不参与资格审查和评标：</w:t>
      </w:r>
    </w:p>
    <w:p w14:paraId="45E947BE">
      <w:pPr>
        <w:spacing w:after="0" w:line="360" w:lineRule="auto"/>
        <w:ind w:firstLine="458"/>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（1）未按招标文件要求提供投标担保的；</w:t>
      </w:r>
    </w:p>
    <w:p w14:paraId="71A70C9F">
      <w:pPr>
        <w:spacing w:after="0" w:line="360" w:lineRule="auto"/>
        <w:ind w:firstLine="458"/>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注：1、广州交易集团有限公司（广州公共资源交易中心）代收投标保证金的，其缴纳情况以广州交易集团有限公司（广州公共资源交易中心）数据库记录的信息为准。</w:t>
      </w:r>
    </w:p>
    <w:p w14:paraId="6F689D9E">
      <w:pPr>
        <w:spacing w:after="0" w:line="360" w:lineRule="auto"/>
        <w:ind w:firstLine="458"/>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2、缴费的操作详见广州交易集团有限公司（广州公共资源交易中心）公布的《投标人基本账户保证金操作指引》。</w:t>
      </w:r>
    </w:p>
    <w:p w14:paraId="14812DA1">
      <w:pPr>
        <w:pStyle w:val="5"/>
        <w:spacing w:before="0" w:after="0" w:line="360" w:lineRule="auto"/>
        <w:ind w:firstLine="118"/>
        <w:rPr>
          <w:rFonts w:ascii="宋体" w:hAnsi="宋体" w:eastAsia="宋体"/>
          <w:b/>
          <w:bCs/>
          <w:color w:val="auto"/>
          <w:sz w:val="24"/>
          <w:szCs w:val="24"/>
          <w:highlight w:val="none"/>
        </w:rPr>
      </w:pPr>
      <w:bookmarkStart w:id="290" w:name="_Toc11457"/>
      <w:r>
        <w:rPr>
          <w:rFonts w:ascii="宋体" w:hAnsi="宋体" w:eastAsia="宋体"/>
          <w:b/>
          <w:bCs/>
          <w:color w:val="auto"/>
          <w:sz w:val="24"/>
          <w:szCs w:val="24"/>
          <w:highlight w:val="none"/>
        </w:rPr>
        <w:t xml:space="preserve">5.3 </w:t>
      </w:r>
      <w:r>
        <w:rPr>
          <w:rFonts w:hint="eastAsia" w:ascii="宋体" w:hAnsi="宋体" w:eastAsia="宋体"/>
          <w:b/>
          <w:bCs/>
          <w:color w:val="auto"/>
          <w:sz w:val="24"/>
          <w:szCs w:val="24"/>
          <w:highlight w:val="none"/>
        </w:rPr>
        <w:t>开标异议</w:t>
      </w:r>
      <w:bookmarkEnd w:id="290"/>
    </w:p>
    <w:p w14:paraId="76D4E2CC">
      <w:pPr>
        <w:spacing w:after="0" w:line="360" w:lineRule="auto"/>
        <w:ind w:firstLine="359"/>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6C80BAB7">
      <w:pPr>
        <w:pStyle w:val="4"/>
        <w:spacing w:before="0" w:after="0" w:line="360" w:lineRule="auto"/>
        <w:rPr>
          <w:rFonts w:ascii="宋体" w:hAnsi="宋体" w:eastAsia="宋体" w:cs="宋体"/>
          <w:color w:val="auto"/>
          <w:highlight w:val="none"/>
          <w:lang w:val="zh-CN"/>
        </w:rPr>
      </w:pPr>
      <w:bookmarkStart w:id="291" w:name="_Toc20998"/>
      <w:bookmarkEnd w:id="291"/>
      <w:bookmarkStart w:id="292" w:name="_Toc23707"/>
      <w:bookmarkEnd w:id="292"/>
      <w:bookmarkStart w:id="293" w:name="_Toc6507"/>
      <w:bookmarkStart w:id="294" w:name="_Toc5620328"/>
      <w:r>
        <w:rPr>
          <w:rFonts w:hint="eastAsia" w:ascii="宋体" w:hAnsi="宋体" w:eastAsia="宋体" w:cs="宋体"/>
          <w:color w:val="auto"/>
          <w:highlight w:val="none"/>
          <w:lang w:val="zh-CN"/>
        </w:rPr>
        <w:t>6. 评标</w:t>
      </w:r>
      <w:bookmarkEnd w:id="293"/>
      <w:bookmarkEnd w:id="294"/>
    </w:p>
    <w:p w14:paraId="3DC9E07E">
      <w:pPr>
        <w:pStyle w:val="5"/>
        <w:spacing w:before="0" w:after="0" w:line="360" w:lineRule="auto"/>
        <w:ind w:firstLine="0"/>
        <w:rPr>
          <w:rFonts w:ascii="宋体" w:hAnsi="宋体" w:eastAsia="宋体"/>
          <w:color w:val="auto"/>
          <w:sz w:val="21"/>
          <w:szCs w:val="21"/>
          <w:highlight w:val="none"/>
        </w:rPr>
      </w:pPr>
      <w:bookmarkStart w:id="295" w:name="_Toc19143"/>
      <w:bookmarkStart w:id="296" w:name="_Toc5620329"/>
      <w:r>
        <w:rPr>
          <w:rFonts w:hint="eastAsia" w:ascii="宋体" w:hAnsi="宋体" w:eastAsia="宋体"/>
          <w:color w:val="auto"/>
          <w:sz w:val="21"/>
          <w:szCs w:val="21"/>
          <w:highlight w:val="none"/>
        </w:rPr>
        <w:t>6.1 评标委员会</w:t>
      </w:r>
      <w:bookmarkEnd w:id="295"/>
      <w:bookmarkEnd w:id="296"/>
    </w:p>
    <w:p w14:paraId="6DC04E70">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6.1.1</w:t>
      </w:r>
      <w:r>
        <w:rPr>
          <w:rFonts w:hint="eastAsia" w:ascii="宋体" w:hAnsi="宋体" w:cs="宋体"/>
          <w:color w:val="auto"/>
          <w:kern w:val="1"/>
          <w:szCs w:val="21"/>
          <w:highlight w:val="none"/>
          <w:u w:val="single"/>
        </w:rPr>
        <w:t>评标由招标人依法组建的评标委员会负责，分勘察设计评审组、综合评审组，资格评审由综合评审组负责评审。</w:t>
      </w:r>
    </w:p>
    <w:p w14:paraId="2ADB051B">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6.1.2 评标委员会成员有下列情形之一的，应当回避：</w:t>
      </w:r>
    </w:p>
    <w:p w14:paraId="35EF905A">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（1）投标人或投标人主要负责人的近亲属；</w:t>
      </w:r>
    </w:p>
    <w:p w14:paraId="41B59895">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（2）项目主管部门或者行政监督部门的人员；</w:t>
      </w:r>
    </w:p>
    <w:p w14:paraId="5DB58F1A">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（3）与投标人有经济利益关系，可能影响对投标公正评审的；</w:t>
      </w:r>
    </w:p>
    <w:p w14:paraId="6FC795D2">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（4）曾因在招标、评标以及其他与招标投标有关活动中从事违法行为而受过行政处罚或刑事处罚的；</w:t>
      </w:r>
    </w:p>
    <w:p w14:paraId="279C4BAF">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（5）与投标人有其他利害关系。</w:t>
      </w:r>
    </w:p>
    <w:p w14:paraId="54320972">
      <w:pPr>
        <w:pStyle w:val="5"/>
        <w:spacing w:before="0" w:after="0" w:line="360" w:lineRule="auto"/>
        <w:ind w:firstLine="0"/>
        <w:rPr>
          <w:rFonts w:ascii="宋体" w:hAnsi="宋体" w:eastAsia="宋体"/>
          <w:color w:val="auto"/>
          <w:sz w:val="21"/>
          <w:szCs w:val="21"/>
          <w:highlight w:val="none"/>
        </w:rPr>
      </w:pPr>
      <w:bookmarkStart w:id="297" w:name="_Toc443505829"/>
      <w:bookmarkEnd w:id="297"/>
      <w:bookmarkStart w:id="298" w:name="_Toc7827"/>
      <w:bookmarkStart w:id="299" w:name="_Toc5620330"/>
      <w:r>
        <w:rPr>
          <w:rFonts w:hint="eastAsia" w:ascii="宋体" w:hAnsi="宋体" w:eastAsia="宋体"/>
          <w:color w:val="auto"/>
          <w:sz w:val="21"/>
          <w:szCs w:val="21"/>
          <w:highlight w:val="none"/>
        </w:rPr>
        <w:t>6.2 评标原则</w:t>
      </w:r>
      <w:bookmarkEnd w:id="298"/>
      <w:bookmarkEnd w:id="299"/>
      <w:r>
        <w:rPr>
          <w:rFonts w:hint="eastAsia" w:ascii="宋体" w:hAnsi="宋体" w:eastAsia="宋体"/>
          <w:color w:val="auto"/>
          <w:sz w:val="21"/>
          <w:szCs w:val="21"/>
          <w:highlight w:val="none"/>
        </w:rPr>
        <w:tab/>
      </w:r>
    </w:p>
    <w:p w14:paraId="5B61886B">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评标活动遵循公平、公正、科学和择优的原则。</w:t>
      </w:r>
    </w:p>
    <w:p w14:paraId="6B33A7E1">
      <w:pPr>
        <w:pStyle w:val="5"/>
        <w:spacing w:before="0" w:after="0" w:line="360" w:lineRule="auto"/>
        <w:ind w:firstLine="0"/>
        <w:rPr>
          <w:rFonts w:ascii="宋体" w:hAnsi="宋体" w:eastAsia="宋体"/>
          <w:color w:val="auto"/>
          <w:sz w:val="21"/>
          <w:szCs w:val="21"/>
          <w:highlight w:val="none"/>
        </w:rPr>
      </w:pPr>
      <w:bookmarkStart w:id="300" w:name="_Toc16832"/>
      <w:bookmarkStart w:id="301" w:name="_Toc5620331"/>
      <w:r>
        <w:rPr>
          <w:rFonts w:hint="eastAsia" w:ascii="宋体" w:hAnsi="宋体" w:eastAsia="宋体"/>
          <w:color w:val="auto"/>
          <w:sz w:val="21"/>
          <w:szCs w:val="21"/>
          <w:highlight w:val="none"/>
        </w:rPr>
        <w:t>6.3 评标</w:t>
      </w:r>
      <w:bookmarkEnd w:id="300"/>
      <w:bookmarkEnd w:id="301"/>
    </w:p>
    <w:p w14:paraId="1C505271">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评标委员会按照第三章“评标办法”规定的方法、评审因素、标准和程序对投标文件进行评审。第三章“评标办法”没有规定的方法、评审因素和标准，不作为评标依据。</w:t>
      </w:r>
    </w:p>
    <w:p w14:paraId="0EACCF27">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在评审过程中，评标委员会可以以书面形式要求投标人就资格审查文件和投标文件中含义不明确的内容进行书面说明并提供相关材料。</w:t>
      </w:r>
    </w:p>
    <w:p w14:paraId="35C1C898">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评标委员会经评审，认为所有投标都不符合招标文件要求的，可以否决所有投标。所有投标被否决后，招标人应当依法重新招标。</w:t>
      </w:r>
    </w:p>
    <w:p w14:paraId="5AC32A26">
      <w:pPr>
        <w:pStyle w:val="5"/>
        <w:spacing w:before="0" w:after="0" w:line="360" w:lineRule="auto"/>
        <w:ind w:firstLine="0"/>
        <w:rPr>
          <w:rFonts w:ascii="宋体" w:hAnsi="宋体" w:eastAsia="宋体"/>
          <w:color w:val="auto"/>
          <w:sz w:val="21"/>
          <w:szCs w:val="21"/>
          <w:highlight w:val="none"/>
          <w:u w:val="single"/>
        </w:rPr>
      </w:pPr>
      <w:bookmarkStart w:id="302" w:name="_Toc14839"/>
      <w:bookmarkStart w:id="303" w:name="_Toc5620332"/>
      <w:r>
        <w:rPr>
          <w:rFonts w:hint="eastAsia" w:ascii="宋体" w:hAnsi="宋体" w:eastAsia="宋体"/>
          <w:color w:val="auto"/>
          <w:sz w:val="21"/>
          <w:szCs w:val="21"/>
          <w:highlight w:val="none"/>
          <w:u w:val="single"/>
        </w:rPr>
        <w:t>6.4评标过程的保密</w:t>
      </w:r>
      <w:bookmarkEnd w:id="302"/>
      <w:bookmarkEnd w:id="303"/>
    </w:p>
    <w:p w14:paraId="4288C196">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6.4.1 开标后，直至授予中标人合同为止，凡属于对资格审查文件和投标文件的审查、澄清、评价和比较有关的资料以及中标候选人的推荐情况，与评标有关的其他任何情况均严格保密。</w:t>
      </w:r>
    </w:p>
    <w:p w14:paraId="19E30C5E">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6.4.2 在资格审查文件和投标文件的评审和比较、中标候选人推荐以及授予合同的过程中，投标人向招标人和评标委员会施加影响的任何行为，都将会导致其投标被拒绝。</w:t>
      </w:r>
    </w:p>
    <w:p w14:paraId="25DE64ED">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6.4.3 中标人确定后，招标人不对未中标人就评标过程以及未能中标原因作出任何解释。未中标人不得向评标委员会组成人员或其他有关人员索问评标过程的情况和材料。</w:t>
      </w:r>
    </w:p>
    <w:p w14:paraId="051EB9A7">
      <w:pPr>
        <w:pStyle w:val="4"/>
        <w:spacing w:before="0" w:after="0" w:line="360" w:lineRule="auto"/>
        <w:rPr>
          <w:rFonts w:ascii="宋体" w:hAnsi="宋体" w:eastAsia="宋体" w:cs="宋体"/>
          <w:color w:val="auto"/>
          <w:highlight w:val="none"/>
          <w:lang w:val="zh-CN"/>
        </w:rPr>
      </w:pPr>
      <w:bookmarkStart w:id="304" w:name="_Toc27077"/>
      <w:bookmarkEnd w:id="304"/>
      <w:bookmarkStart w:id="305" w:name="_Toc7746"/>
      <w:bookmarkEnd w:id="305"/>
      <w:bookmarkStart w:id="306" w:name="_Toc5620333"/>
      <w:bookmarkStart w:id="307" w:name="_Toc13256"/>
      <w:r>
        <w:rPr>
          <w:rFonts w:hint="eastAsia" w:ascii="宋体" w:hAnsi="宋体" w:eastAsia="宋体" w:cs="宋体"/>
          <w:color w:val="auto"/>
          <w:highlight w:val="none"/>
          <w:lang w:val="zh-CN"/>
        </w:rPr>
        <w:t>7. 合同授予</w:t>
      </w:r>
      <w:bookmarkEnd w:id="306"/>
      <w:bookmarkEnd w:id="307"/>
    </w:p>
    <w:p w14:paraId="7179FC32">
      <w:pPr>
        <w:pStyle w:val="5"/>
        <w:spacing w:before="0" w:after="0" w:line="360" w:lineRule="auto"/>
        <w:ind w:firstLine="0"/>
        <w:rPr>
          <w:rFonts w:ascii="宋体" w:hAnsi="宋体" w:eastAsia="宋体"/>
          <w:color w:val="auto"/>
          <w:sz w:val="21"/>
          <w:szCs w:val="21"/>
          <w:highlight w:val="none"/>
        </w:rPr>
      </w:pPr>
      <w:bookmarkStart w:id="308" w:name="_Toc5620334"/>
      <w:bookmarkStart w:id="309" w:name="_Toc18404"/>
      <w:r>
        <w:rPr>
          <w:rFonts w:hint="eastAsia" w:ascii="宋体" w:hAnsi="宋体" w:eastAsia="宋体"/>
          <w:color w:val="auto"/>
          <w:sz w:val="21"/>
          <w:szCs w:val="21"/>
          <w:highlight w:val="none"/>
        </w:rPr>
        <w:t>7.1 定标方式</w:t>
      </w:r>
      <w:bookmarkEnd w:id="308"/>
      <w:bookmarkEnd w:id="309"/>
    </w:p>
    <w:p w14:paraId="37B91905">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7.1.1除投标人须知前附表规定评标委员会直接确定中标人外，招标人依据评标委员会推荐的中标候选人确定中标人，评标委员会推荐中标候选人的人数见投标人须知前附表。</w:t>
      </w:r>
    </w:p>
    <w:p w14:paraId="44B103A7">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7.1.2 依法必须进行公开招标的项目，招标人应当确定排名第一的中标候选人为中标人。</w:t>
      </w:r>
    </w:p>
    <w:p w14:paraId="3185248B">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7.1.3排名第一的中标候选人放弃中标、因不可抗力不能履行合同，或者被查实存在影响中标结果的违法行为或项目负责人已在其他在建项目中任职、不符合任职数量规定时等情形，不符合中标条件的，招标人可以按照评标委员会提出的中标候选人名单排序依次确定其他中标候选人为中标人，也可以重新招标。</w:t>
      </w:r>
    </w:p>
    <w:p w14:paraId="2A1CA044">
      <w:pPr>
        <w:pStyle w:val="5"/>
        <w:spacing w:before="0" w:after="0" w:line="360" w:lineRule="auto"/>
        <w:ind w:firstLine="0"/>
        <w:rPr>
          <w:rFonts w:ascii="宋体" w:hAnsi="宋体" w:eastAsia="宋体"/>
          <w:color w:val="auto"/>
          <w:sz w:val="21"/>
          <w:szCs w:val="21"/>
          <w:highlight w:val="none"/>
        </w:rPr>
      </w:pPr>
      <w:bookmarkStart w:id="310" w:name="_Toc19474"/>
      <w:bookmarkStart w:id="311" w:name="_Toc5620335"/>
      <w:r>
        <w:rPr>
          <w:rFonts w:hint="eastAsia" w:ascii="宋体" w:hAnsi="宋体" w:eastAsia="宋体"/>
          <w:color w:val="auto"/>
          <w:sz w:val="21"/>
          <w:szCs w:val="21"/>
          <w:highlight w:val="none"/>
        </w:rPr>
        <w:t>7.2 中标候选人公示</w:t>
      </w:r>
      <w:bookmarkEnd w:id="310"/>
      <w:bookmarkEnd w:id="311"/>
    </w:p>
    <w:p w14:paraId="54BBE5E8">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7.2.1</w:t>
      </w:r>
      <w:r>
        <w:rPr>
          <w:rFonts w:hint="eastAsia" w:ascii="宋体" w:hAnsi="宋体" w:cs="宋体"/>
          <w:color w:val="auto"/>
          <w:kern w:val="1"/>
          <w:highlight w:val="none"/>
        </w:rPr>
        <w:t>招标人在投标人须知前附表规定的媒介公示中标候选人</w:t>
      </w:r>
      <w:r>
        <w:rPr>
          <w:rFonts w:hint="eastAsia" w:ascii="宋体" w:hAnsi="宋体" w:cs="宋体"/>
          <w:color w:val="auto"/>
          <w:kern w:val="1"/>
          <w:szCs w:val="21"/>
          <w:highlight w:val="none"/>
        </w:rPr>
        <w:t>。</w:t>
      </w:r>
    </w:p>
    <w:p w14:paraId="054B3157">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7.2.2在产生中标候选人后，招标人将中标候选人的投标文件商务部分文件的电子文件（包括人员、业绩、奖项等资料）在广州交易集团有限公司（广州公共资源交易中心）和广东省招标投标监管网公开。</w:t>
      </w:r>
    </w:p>
    <w:p w14:paraId="6954A5B5">
      <w:pPr>
        <w:pStyle w:val="5"/>
        <w:spacing w:before="0" w:after="0" w:line="360" w:lineRule="auto"/>
        <w:ind w:firstLine="0"/>
        <w:rPr>
          <w:rFonts w:ascii="宋体" w:hAnsi="宋体" w:eastAsia="宋体"/>
          <w:color w:val="auto"/>
          <w:sz w:val="21"/>
          <w:szCs w:val="21"/>
          <w:highlight w:val="none"/>
        </w:rPr>
      </w:pPr>
      <w:bookmarkStart w:id="312" w:name="_Toc5620336"/>
      <w:bookmarkStart w:id="313" w:name="_Toc28278"/>
      <w:r>
        <w:rPr>
          <w:rFonts w:hint="eastAsia" w:ascii="宋体" w:hAnsi="宋体" w:eastAsia="宋体"/>
          <w:color w:val="auto"/>
          <w:sz w:val="21"/>
          <w:szCs w:val="21"/>
          <w:highlight w:val="none"/>
        </w:rPr>
        <w:t>7.3 中标通知</w:t>
      </w:r>
      <w:bookmarkEnd w:id="312"/>
      <w:bookmarkEnd w:id="313"/>
    </w:p>
    <w:p w14:paraId="7D661ED1">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rPr>
        <w:t>7.3.1在本章第3.3 款规定的投标有效期内，</w:t>
      </w:r>
      <w:r>
        <w:rPr>
          <w:rFonts w:hint="eastAsia" w:ascii="宋体" w:hAnsi="宋体" w:cs="宋体"/>
          <w:color w:val="auto"/>
          <w:kern w:val="1"/>
          <w:highlight w:val="none"/>
          <w:u w:val="single"/>
        </w:rPr>
        <w:t>中标人自行于</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1"/>
          <w:highlight w:val="none"/>
          <w:u w:val="single"/>
        </w:rPr>
        <w:t>交易平台下载中标通知书，同时招标人将中标结果通过</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1"/>
          <w:highlight w:val="none"/>
          <w:u w:val="single"/>
        </w:rPr>
        <w:t>交易平台公开发布。中标人须对其投标文件真实性负责，并准备投标文件涉及的所有原件待查，如存在弄虚作假情况或原件不齐或与原件不符的，招标人有权取消其中标人资格，并上报建设行政主管部门。</w:t>
      </w:r>
    </w:p>
    <w:p w14:paraId="6550D396">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u w:val="single"/>
        </w:rPr>
        <w:t>7.3.2 招标人应当自确定中标人后，向招投标监管机构提交招标投标情况的书面报告；经招投标监管机构备案后，方可发出中标通知书。中标通知书由招标人（或招标代理机构）颁发，并经</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1"/>
          <w:highlight w:val="none"/>
          <w:u w:val="single"/>
        </w:rPr>
        <w:t>确认。</w:t>
      </w:r>
    </w:p>
    <w:p w14:paraId="58A167FC">
      <w:pPr>
        <w:pStyle w:val="5"/>
        <w:spacing w:before="0" w:after="0" w:line="360" w:lineRule="auto"/>
        <w:ind w:firstLine="0"/>
        <w:rPr>
          <w:rFonts w:hint="eastAsia" w:ascii="宋体" w:hAnsi="宋体" w:eastAsia="宋体"/>
          <w:color w:val="auto"/>
          <w:sz w:val="21"/>
          <w:szCs w:val="21"/>
          <w:highlight w:val="none"/>
        </w:rPr>
      </w:pPr>
      <w:bookmarkStart w:id="314" w:name="_Toc26932"/>
      <w:bookmarkStart w:id="315" w:name="_Toc5620337"/>
      <w:r>
        <w:rPr>
          <w:rFonts w:hint="eastAsia" w:ascii="宋体" w:hAnsi="宋体" w:eastAsia="宋体"/>
          <w:color w:val="auto"/>
          <w:sz w:val="21"/>
          <w:szCs w:val="21"/>
          <w:highlight w:val="none"/>
        </w:rPr>
        <w:t>7.4</w:t>
      </w:r>
      <w:bookmarkEnd w:id="314"/>
      <w:bookmarkEnd w:id="315"/>
      <w:bookmarkStart w:id="316" w:name="_Toc5620338"/>
      <w:bookmarkStart w:id="317" w:name="_Toc18213"/>
      <w:r>
        <w:rPr>
          <w:rFonts w:hint="eastAsia" w:ascii="宋体" w:hAnsi="宋体" w:eastAsia="宋体"/>
          <w:color w:val="auto"/>
          <w:sz w:val="21"/>
          <w:szCs w:val="21"/>
          <w:highlight w:val="none"/>
        </w:rPr>
        <w:t>履约担保</w:t>
      </w:r>
    </w:p>
    <w:p w14:paraId="25A62076">
      <w:pPr>
        <w:spacing w:line="360" w:lineRule="auto"/>
        <w:ind w:firstLine="420"/>
        <w:rPr>
          <w:rFonts w:hint="eastAsia" w:ascii="宋体" w:hAnsi="宋体" w:cs="宋体"/>
          <w:color w:val="auto"/>
          <w:kern w:val="1"/>
          <w:highlight w:val="none"/>
        </w:rPr>
      </w:pPr>
      <w:r>
        <w:rPr>
          <w:rFonts w:hint="eastAsia" w:ascii="宋体" w:hAnsi="宋体" w:cs="宋体"/>
          <w:color w:val="auto"/>
          <w:kern w:val="1"/>
          <w:szCs w:val="21"/>
          <w:highlight w:val="none"/>
        </w:rPr>
        <w:t>7.4.1 在签订合同前，中标人应按投标人须知前附表规定的担保形式向招标人提交履约担保。除投标人须知前附表另有规定外，履约担保金额为中标合同金额的10%。履约保函的担保期限按合同约定执行。</w:t>
      </w:r>
    </w:p>
    <w:p w14:paraId="075F962A">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7.4.2 中标人不能按本章第7.4.1项要求提交履约担保的，视为放弃中标，给招标人造成损失的，中标人还应当予以赔偿。</w:t>
      </w:r>
    </w:p>
    <w:p w14:paraId="4E89EABB">
      <w:pPr>
        <w:pStyle w:val="5"/>
        <w:spacing w:before="0" w:after="0" w:line="360" w:lineRule="auto"/>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7.5签订合同</w:t>
      </w:r>
      <w:bookmarkEnd w:id="316"/>
      <w:bookmarkEnd w:id="317"/>
    </w:p>
    <w:p w14:paraId="032953E1">
      <w:pPr>
        <w:spacing w:after="0" w:line="360" w:lineRule="auto"/>
        <w:ind w:firstLine="420"/>
        <w:rPr>
          <w:rFonts w:ascii="宋体" w:hAnsi="宋体" w:cs="宋体"/>
          <w:b/>
          <w:color w:val="auto"/>
          <w:kern w:val="1"/>
          <w:szCs w:val="24"/>
          <w:highlight w:val="none"/>
        </w:rPr>
      </w:pPr>
      <w:r>
        <w:rPr>
          <w:rFonts w:hint="eastAsia" w:ascii="宋体" w:hAnsi="宋体" w:cs="宋体"/>
          <w:color w:val="auto"/>
          <w:kern w:val="1"/>
          <w:highlight w:val="none"/>
        </w:rPr>
        <w:t>7.5.1 招标人和中标人应当自中标通知书发出之日起30天内，根据招标文件和中标人的投标文件订立书面合同。中标人无正当理由拒签合同的，招标人取消其中标资格</w:t>
      </w:r>
      <w:r>
        <w:rPr>
          <w:rFonts w:hint="eastAsia" w:ascii="宋体" w:hAnsi="宋体" w:cs="宋体"/>
          <w:color w:val="auto"/>
          <w:kern w:val="1"/>
          <w:szCs w:val="21"/>
          <w:highlight w:val="none"/>
        </w:rPr>
        <w:t>，</w:t>
      </w:r>
      <w:r>
        <w:rPr>
          <w:rFonts w:hint="eastAsia" w:ascii="宋体" w:hAnsi="宋体"/>
          <w:color w:val="auto"/>
          <w:highlight w:val="none"/>
        </w:rPr>
        <w:t>其投标保证金不予退还，</w:t>
      </w:r>
      <w:r>
        <w:rPr>
          <w:rFonts w:hint="eastAsia" w:ascii="宋体" w:hAnsi="宋体" w:cs="宋体"/>
          <w:color w:val="auto"/>
          <w:kern w:val="1"/>
          <w:szCs w:val="21"/>
          <w:highlight w:val="none"/>
        </w:rPr>
        <w:t>给招标人造成损失的，中标人还应当予以赔偿。</w:t>
      </w:r>
      <w:r>
        <w:rPr>
          <w:rFonts w:hint="eastAsia" w:ascii="宋体" w:hAnsi="宋体" w:cs="宋体"/>
          <w:color w:val="auto"/>
          <w:kern w:val="1"/>
          <w:highlight w:val="none"/>
        </w:rPr>
        <w:t xml:space="preserve"> </w:t>
      </w:r>
      <w:bookmarkStart w:id="318" w:name="_Toc11555"/>
      <w:bookmarkEnd w:id="318"/>
      <w:bookmarkStart w:id="319" w:name="_Toc15670"/>
      <w:bookmarkEnd w:id="319"/>
      <w:bookmarkStart w:id="320" w:name="_Toc443505830"/>
      <w:bookmarkEnd w:id="320"/>
    </w:p>
    <w:p w14:paraId="31DF9DF9">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7.5.2 发出中标通知书后，招标人无正当理由拒签合同</w:t>
      </w:r>
      <w:r>
        <w:rPr>
          <w:rFonts w:hint="eastAsia" w:ascii="宋体" w:hAnsi="宋体"/>
          <w:color w:val="auto"/>
          <w:highlight w:val="none"/>
        </w:rPr>
        <w:t>的，招标人向中标人退还投标保证金；</w:t>
      </w:r>
      <w:r>
        <w:rPr>
          <w:rFonts w:hint="eastAsia" w:ascii="宋体" w:hAnsi="宋体" w:cs="宋体"/>
          <w:color w:val="auto"/>
          <w:kern w:val="1"/>
          <w:highlight w:val="none"/>
        </w:rPr>
        <w:t>给中标人造成损失的，还应当赔偿损失。</w:t>
      </w:r>
    </w:p>
    <w:p w14:paraId="593034F4">
      <w:pPr>
        <w:pStyle w:val="4"/>
        <w:spacing w:before="0" w:after="0" w:line="360" w:lineRule="auto"/>
        <w:rPr>
          <w:rFonts w:ascii="宋体" w:hAnsi="宋体" w:eastAsia="宋体" w:cs="宋体"/>
          <w:color w:val="auto"/>
          <w:highlight w:val="none"/>
          <w:lang w:val="zh-CN"/>
        </w:rPr>
      </w:pPr>
      <w:bookmarkStart w:id="321" w:name="_Toc21320"/>
      <w:bookmarkEnd w:id="321"/>
      <w:bookmarkStart w:id="322" w:name="_Toc30835"/>
      <w:bookmarkEnd w:id="322"/>
      <w:bookmarkStart w:id="323" w:name="_Toc443505831"/>
      <w:bookmarkEnd w:id="323"/>
      <w:bookmarkStart w:id="324" w:name="_Toc9984"/>
      <w:bookmarkStart w:id="325" w:name="_Toc5620339"/>
      <w:r>
        <w:rPr>
          <w:rFonts w:hint="eastAsia" w:ascii="宋体" w:hAnsi="宋体" w:eastAsia="宋体" w:cs="宋体"/>
          <w:color w:val="auto"/>
          <w:highlight w:val="none"/>
          <w:lang w:val="zh-CN"/>
        </w:rPr>
        <w:t>8. 纪律和监督</w:t>
      </w:r>
      <w:bookmarkEnd w:id="324"/>
      <w:bookmarkEnd w:id="325"/>
    </w:p>
    <w:p w14:paraId="3C0FB562">
      <w:pPr>
        <w:spacing w:after="0" w:line="360" w:lineRule="auto"/>
        <w:rPr>
          <w:rFonts w:ascii="宋体" w:hAnsi="宋体" w:cs="宋体"/>
          <w:color w:val="auto"/>
          <w:kern w:val="1"/>
          <w:szCs w:val="21"/>
          <w:highlight w:val="none"/>
          <w:lang w:val="zh-CN"/>
        </w:rPr>
      </w:pPr>
      <w:bookmarkStart w:id="326" w:name="_Toc30367"/>
      <w:bookmarkEnd w:id="326"/>
      <w:bookmarkStart w:id="327" w:name="_Toc443505832"/>
      <w:bookmarkEnd w:id="327"/>
      <w:bookmarkStart w:id="328" w:name="_Toc7252"/>
      <w:bookmarkEnd w:id="328"/>
      <w:bookmarkStart w:id="329" w:name="_Toc5620340"/>
      <w:r>
        <w:rPr>
          <w:rFonts w:hint="eastAsia" w:ascii="宋体" w:hAnsi="宋体" w:cs="宋体"/>
          <w:color w:val="auto"/>
          <w:kern w:val="1"/>
          <w:szCs w:val="21"/>
          <w:highlight w:val="none"/>
          <w:lang w:val="zh-CN"/>
        </w:rPr>
        <w:t>8.1 对招标人的纪律要求</w:t>
      </w:r>
      <w:bookmarkEnd w:id="329"/>
    </w:p>
    <w:p w14:paraId="58AB9847">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招标人不得泄漏招标投标活动中应当保密的情况和资料，不得与投标人串通损害国家利益、社会公共利益或者他人合法权益。</w:t>
      </w:r>
    </w:p>
    <w:p w14:paraId="75132992">
      <w:pPr>
        <w:spacing w:after="0" w:line="360" w:lineRule="auto"/>
        <w:rPr>
          <w:rFonts w:ascii="宋体" w:hAnsi="宋体" w:cs="宋体"/>
          <w:color w:val="auto"/>
          <w:kern w:val="1"/>
          <w:highlight w:val="none"/>
        </w:rPr>
      </w:pPr>
      <w:r>
        <w:rPr>
          <w:rFonts w:hint="eastAsia" w:ascii="宋体" w:hAnsi="宋体" w:cs="宋体"/>
          <w:color w:val="auto"/>
          <w:kern w:val="1"/>
          <w:szCs w:val="21"/>
          <w:highlight w:val="none"/>
        </w:rPr>
        <w:t>8.2 对投标人的纪律要求</w:t>
      </w:r>
    </w:p>
    <w:p w14:paraId="663421BC">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DE89DF8">
      <w:pPr>
        <w:spacing w:after="0" w:line="360" w:lineRule="auto"/>
        <w:rPr>
          <w:rFonts w:ascii="宋体" w:hAnsi="宋体" w:cs="宋体"/>
          <w:color w:val="auto"/>
          <w:kern w:val="1"/>
          <w:highlight w:val="none"/>
        </w:rPr>
      </w:pPr>
      <w:r>
        <w:rPr>
          <w:rFonts w:hint="eastAsia" w:ascii="宋体" w:hAnsi="宋体" w:cs="宋体"/>
          <w:bCs/>
          <w:color w:val="auto"/>
          <w:kern w:val="1"/>
          <w:szCs w:val="21"/>
          <w:highlight w:val="none"/>
        </w:rPr>
        <w:t xml:space="preserve">8.3 </w:t>
      </w:r>
      <w:r>
        <w:rPr>
          <w:rFonts w:hint="eastAsia" w:ascii="宋体" w:hAnsi="宋体" w:cs="宋体"/>
          <w:color w:val="auto"/>
          <w:kern w:val="1"/>
          <w:highlight w:val="none"/>
        </w:rPr>
        <w:t>对评标委员会成员的纪律要求</w:t>
      </w:r>
    </w:p>
    <w:p w14:paraId="14D03A9A">
      <w:pPr>
        <w:spacing w:after="0" w:line="360" w:lineRule="auto"/>
        <w:ind w:firstLine="420"/>
        <w:rPr>
          <w:rFonts w:hint="eastAsia" w:ascii="宋体" w:hAnsi="宋体" w:cs="宋体"/>
          <w:color w:val="auto"/>
          <w:kern w:val="1"/>
          <w:szCs w:val="21"/>
          <w:highlight w:val="none"/>
        </w:rPr>
      </w:pPr>
      <w:r>
        <w:rPr>
          <w:rFonts w:hint="eastAsia" w:ascii="宋体" w:hAnsi="宋体" w:cs="宋体"/>
          <w:b/>
          <w:color w:val="auto"/>
          <w:szCs w:val="21"/>
          <w:highlight w:val="none"/>
        </w:rPr>
        <w:t>评标委员会在开始评标前，应了解评标专家的职责及守则，认真阅读附件二《评标委员会成员声明》的内容并签名，签字后方可进行评标。</w:t>
      </w:r>
    </w:p>
    <w:p w14:paraId="494ED2F3">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1CF17698">
      <w:pPr>
        <w:spacing w:after="0" w:line="360" w:lineRule="auto"/>
        <w:rPr>
          <w:rFonts w:ascii="宋体" w:hAnsi="宋体" w:cs="宋体"/>
          <w:color w:val="auto"/>
          <w:kern w:val="1"/>
          <w:highlight w:val="none"/>
        </w:rPr>
      </w:pPr>
      <w:r>
        <w:rPr>
          <w:rFonts w:hint="eastAsia" w:ascii="宋体" w:hAnsi="宋体" w:cs="宋体"/>
          <w:color w:val="auto"/>
          <w:kern w:val="1"/>
          <w:szCs w:val="21"/>
          <w:highlight w:val="none"/>
        </w:rPr>
        <w:t>8.4 对与评标活动有关的工作人员的纪律要求</w:t>
      </w:r>
    </w:p>
    <w:p w14:paraId="6668A7E0">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D8D07B6">
      <w:pPr>
        <w:spacing w:after="0" w:line="360" w:lineRule="auto"/>
        <w:rPr>
          <w:rFonts w:ascii="宋体" w:hAnsi="宋体" w:cs="宋体"/>
          <w:color w:val="auto"/>
          <w:kern w:val="1"/>
          <w:highlight w:val="none"/>
        </w:rPr>
      </w:pPr>
      <w:r>
        <w:rPr>
          <w:rFonts w:hint="eastAsia" w:ascii="宋体" w:hAnsi="宋体" w:cs="宋体"/>
          <w:bCs/>
          <w:color w:val="auto"/>
          <w:kern w:val="1"/>
          <w:szCs w:val="21"/>
          <w:highlight w:val="none"/>
        </w:rPr>
        <w:t>8.5 投诉</w:t>
      </w:r>
    </w:p>
    <w:p w14:paraId="4417BC66">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投标人和其他利害关系人认为本次招标活动违反法律、法规和规章规定的，有权向有关行政监督部门投诉。</w:t>
      </w:r>
    </w:p>
    <w:p w14:paraId="2D10A579">
      <w:pPr>
        <w:pStyle w:val="4"/>
        <w:spacing w:before="0" w:after="0" w:line="360" w:lineRule="auto"/>
        <w:rPr>
          <w:rFonts w:ascii="宋体" w:hAnsi="宋体" w:eastAsia="宋体" w:cs="宋体"/>
          <w:color w:val="auto"/>
          <w:highlight w:val="none"/>
          <w:lang w:val="zh-CN"/>
        </w:rPr>
      </w:pPr>
      <w:bookmarkStart w:id="330" w:name="_Toc17396"/>
      <w:bookmarkEnd w:id="330"/>
      <w:bookmarkStart w:id="331" w:name="_Toc443505833"/>
      <w:bookmarkEnd w:id="331"/>
      <w:bookmarkStart w:id="332" w:name="_Toc10775"/>
      <w:bookmarkEnd w:id="332"/>
      <w:bookmarkStart w:id="333" w:name="_Toc11223"/>
      <w:bookmarkStart w:id="334" w:name="_Toc5620341"/>
      <w:r>
        <w:rPr>
          <w:rFonts w:hint="eastAsia" w:ascii="宋体" w:hAnsi="宋体" w:eastAsia="宋体" w:cs="宋体"/>
          <w:color w:val="auto"/>
          <w:highlight w:val="none"/>
          <w:lang w:val="zh-CN"/>
        </w:rPr>
        <w:t>9. 需要补充的其他内容</w:t>
      </w:r>
      <w:bookmarkEnd w:id="333"/>
      <w:bookmarkEnd w:id="334"/>
    </w:p>
    <w:p w14:paraId="5E6E0237">
      <w:pPr>
        <w:spacing w:after="0" w:line="360" w:lineRule="auto"/>
        <w:ind w:firstLine="420"/>
        <w:rPr>
          <w:rFonts w:ascii="宋体" w:hAnsi="宋体" w:cs="宋体"/>
          <w:color w:val="auto"/>
          <w:kern w:val="1"/>
          <w:highlight w:val="none"/>
        </w:rPr>
      </w:pPr>
      <w:r>
        <w:rPr>
          <w:rFonts w:hint="eastAsia" w:ascii="宋体" w:hAnsi="宋体" w:cs="宋体"/>
          <w:color w:val="auto"/>
          <w:kern w:val="1"/>
          <w:highlight w:val="none"/>
        </w:rPr>
        <w:t>需要补充的其他内容：见投标人须知前附表。</w:t>
      </w:r>
    </w:p>
    <w:p w14:paraId="5B5C53EE">
      <w:pPr>
        <w:pStyle w:val="4"/>
        <w:spacing w:before="0" w:after="0" w:line="360" w:lineRule="auto"/>
        <w:rPr>
          <w:rFonts w:ascii="宋体" w:hAnsi="宋体" w:eastAsia="宋体" w:cs="宋体"/>
          <w:color w:val="auto"/>
          <w:highlight w:val="none"/>
          <w:lang w:val="zh-CN"/>
        </w:rPr>
      </w:pPr>
      <w:bookmarkStart w:id="335" w:name="_Toc443505834"/>
      <w:bookmarkEnd w:id="335"/>
      <w:bookmarkStart w:id="336" w:name="_Toc26121"/>
      <w:bookmarkEnd w:id="336"/>
      <w:bookmarkStart w:id="337" w:name="_Toc3028"/>
      <w:bookmarkEnd w:id="337"/>
      <w:bookmarkStart w:id="338" w:name="_Toc5620342"/>
      <w:bookmarkStart w:id="339" w:name="_Toc10563"/>
      <w:r>
        <w:rPr>
          <w:rFonts w:hint="eastAsia" w:ascii="宋体" w:hAnsi="宋体" w:eastAsia="宋体" w:cs="宋体"/>
          <w:color w:val="auto"/>
          <w:highlight w:val="none"/>
          <w:lang w:val="zh-CN"/>
        </w:rPr>
        <w:t>10. 电子招标投标</w:t>
      </w:r>
      <w:bookmarkEnd w:id="338"/>
      <w:bookmarkEnd w:id="339"/>
    </w:p>
    <w:p w14:paraId="7B9B7419">
      <w:pPr>
        <w:spacing w:after="0"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本招标项目是否采用电子招标投标方式，见投标人须知前附表。</w:t>
      </w:r>
    </w:p>
    <w:p w14:paraId="4408D7A1">
      <w:pPr>
        <w:pStyle w:val="4"/>
        <w:spacing w:before="0" w:after="0" w:line="360" w:lineRule="auto"/>
        <w:rPr>
          <w:rFonts w:ascii="宋体" w:hAnsi="宋体" w:eastAsia="宋体" w:cs="宋体"/>
          <w:color w:val="auto"/>
          <w:highlight w:val="none"/>
          <w:u w:val="single"/>
          <w:lang w:val="zh-CN"/>
        </w:rPr>
      </w:pPr>
      <w:bookmarkStart w:id="340" w:name="_Toc25267"/>
      <w:bookmarkEnd w:id="340"/>
      <w:bookmarkStart w:id="341" w:name="_Toc20042"/>
      <w:bookmarkEnd w:id="341"/>
      <w:bookmarkStart w:id="342" w:name="_Toc5620343"/>
      <w:bookmarkStart w:id="343" w:name="_Toc32213"/>
      <w:r>
        <w:rPr>
          <w:rFonts w:hint="eastAsia" w:ascii="宋体" w:hAnsi="宋体" w:eastAsia="宋体" w:cs="宋体"/>
          <w:color w:val="auto"/>
          <w:highlight w:val="none"/>
          <w:u w:val="single"/>
          <w:lang w:val="zh-CN"/>
        </w:rPr>
        <w:t>11.其他</w:t>
      </w:r>
      <w:bookmarkEnd w:id="342"/>
      <w:bookmarkEnd w:id="343"/>
    </w:p>
    <w:p w14:paraId="3897A191">
      <w:pPr>
        <w:spacing w:after="0" w:line="360" w:lineRule="auto"/>
        <w:ind w:firstLine="420"/>
        <w:rPr>
          <w:rFonts w:hint="eastAsia" w:ascii="宋体" w:hAnsi="宋体" w:cs="宋体"/>
          <w:color w:val="auto"/>
          <w:kern w:val="1"/>
          <w:highlight w:val="none"/>
          <w:u w:val="single"/>
        </w:rPr>
        <w:sectPr>
          <w:footerReference r:id="rId9" w:type="default"/>
          <w:pgSz w:w="11906" w:h="16838"/>
          <w:pgMar w:top="1134" w:right="1134" w:bottom="1134" w:left="1134" w:header="851" w:footer="992" w:gutter="0"/>
          <w:pgNumType w:start="1"/>
          <w:cols w:space="720" w:num="1"/>
        </w:sectPr>
      </w:pPr>
      <w:r>
        <w:rPr>
          <w:rFonts w:hint="eastAsia" w:ascii="宋体" w:hAnsi="宋体" w:cs="宋体"/>
          <w:color w:val="auto"/>
          <w:kern w:val="1"/>
          <w:highlight w:val="none"/>
          <w:u w:val="single"/>
        </w:rPr>
        <w:t>见投标人须知前附表。</w:t>
      </w:r>
    </w:p>
    <w:p w14:paraId="0EAF8412">
      <w:pPr>
        <w:keepNext/>
        <w:keepLines/>
        <w:spacing w:before="120" w:after="120" w:line="360" w:lineRule="auto"/>
        <w:ind w:firstLine="136"/>
        <w:rPr>
          <w:rFonts w:ascii="宋体" w:hAnsi="宋体"/>
          <w:color w:val="auto"/>
          <w:highlight w:val="none"/>
        </w:rPr>
      </w:pPr>
      <w:bookmarkStart w:id="344" w:name="_Toc5620345"/>
      <w:r>
        <w:rPr>
          <w:rFonts w:hint="eastAsia" w:ascii="宋体" w:hAnsi="宋体"/>
          <w:color w:val="auto"/>
          <w:highlight w:val="none"/>
        </w:rPr>
        <w:t>附件一：开标记录表</w:t>
      </w:r>
      <w:bookmarkEnd w:id="344"/>
    </w:p>
    <w:p w14:paraId="2857C4BD">
      <w:pPr>
        <w:spacing w:line="360" w:lineRule="auto"/>
        <w:jc w:val="center"/>
        <w:rPr>
          <w:rFonts w:ascii="宋体" w:hAnsi="宋体" w:cs="宋体"/>
          <w:color w:val="auto"/>
          <w:kern w:val="1"/>
          <w:sz w:val="28"/>
          <w:szCs w:val="28"/>
          <w:highlight w:val="none"/>
        </w:rPr>
      </w:pPr>
      <w:r>
        <w:rPr>
          <w:rFonts w:hint="eastAsia" w:ascii="宋体" w:hAnsi="宋体" w:cs="宋体"/>
          <w:color w:val="auto"/>
          <w:kern w:val="1"/>
          <w:sz w:val="28"/>
          <w:szCs w:val="28"/>
          <w:highlight w:val="none"/>
        </w:rPr>
        <w:t>开标记录表</w:t>
      </w:r>
    </w:p>
    <w:p w14:paraId="27BEAED5">
      <w:pPr>
        <w:spacing w:line="360" w:lineRule="auto"/>
        <w:ind w:right="420"/>
        <w:jc w:val="center"/>
        <w:rPr>
          <w:rFonts w:ascii="宋体" w:hAnsi="宋体" w:cs="宋体"/>
          <w:color w:val="auto"/>
          <w:kern w:val="1"/>
          <w:highlight w:val="none"/>
        </w:rPr>
      </w:pPr>
      <w:r>
        <w:rPr>
          <w:rFonts w:hint="eastAsia" w:ascii="宋体" w:hAnsi="宋体" w:cs="宋体"/>
          <w:color w:val="auto"/>
          <w:kern w:val="1"/>
          <w:highlight w:val="none"/>
        </w:rPr>
        <w:t xml:space="preserve">                                                                                                        开标时间： 年 月 日 时 分</w:t>
      </w:r>
    </w:p>
    <w:tbl>
      <w:tblPr>
        <w:tblStyle w:val="36"/>
        <w:tblW w:w="0" w:type="auto"/>
        <w:tblInd w:w="0" w:type="dxa"/>
        <w:tblLayout w:type="autofit"/>
        <w:tblCellMar>
          <w:top w:w="0" w:type="dxa"/>
          <w:left w:w="108" w:type="dxa"/>
          <w:bottom w:w="0" w:type="dxa"/>
          <w:right w:w="108" w:type="dxa"/>
        </w:tblCellMar>
      </w:tblPr>
      <w:tblGrid>
        <w:gridCol w:w="462"/>
        <w:gridCol w:w="660"/>
        <w:gridCol w:w="857"/>
        <w:gridCol w:w="857"/>
        <w:gridCol w:w="660"/>
        <w:gridCol w:w="594"/>
        <w:gridCol w:w="660"/>
        <w:gridCol w:w="660"/>
        <w:gridCol w:w="660"/>
        <w:gridCol w:w="1301"/>
        <w:gridCol w:w="905"/>
        <w:gridCol w:w="1061"/>
        <w:gridCol w:w="905"/>
        <w:gridCol w:w="1061"/>
        <w:gridCol w:w="1037"/>
        <w:gridCol w:w="1193"/>
        <w:gridCol w:w="791"/>
        <w:gridCol w:w="462"/>
      </w:tblGrid>
      <w:tr w14:paraId="059E2346">
        <w:tblPrEx>
          <w:tblCellMar>
            <w:top w:w="0" w:type="dxa"/>
            <w:left w:w="108" w:type="dxa"/>
            <w:bottom w:w="0" w:type="dxa"/>
            <w:right w:w="108" w:type="dxa"/>
          </w:tblCellMar>
        </w:tblPrEx>
        <w:trPr>
          <w:trHeight w:val="7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35C4E33">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DBFF45">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投标人名称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88975CC">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投标文件递交情况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451ADA">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投标文件解密情况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86FAE1">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投标总工期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77DE7C">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质量标准</w:t>
            </w:r>
          </w:p>
        </w:tc>
        <w:tc>
          <w:tcPr>
            <w:tcW w:w="0" w:type="auto"/>
            <w:tcBorders>
              <w:top w:val="single" w:color="000000" w:sz="4" w:space="0"/>
              <w:left w:val="single" w:color="000000" w:sz="4" w:space="0"/>
              <w:right w:val="single" w:color="auto" w:sz="4" w:space="0"/>
            </w:tcBorders>
            <w:noWrap w:val="0"/>
            <w:vAlign w:val="center"/>
          </w:tcPr>
          <w:p w14:paraId="0DB33C70">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项目负责人</w:t>
            </w:r>
          </w:p>
        </w:tc>
        <w:tc>
          <w:tcPr>
            <w:tcW w:w="0" w:type="auto"/>
            <w:tcBorders>
              <w:top w:val="single" w:color="000000" w:sz="4" w:space="0"/>
              <w:left w:val="single" w:color="auto" w:sz="4" w:space="0"/>
              <w:right w:val="single" w:color="000000" w:sz="4" w:space="0"/>
            </w:tcBorders>
            <w:noWrap w:val="0"/>
            <w:vAlign w:val="center"/>
          </w:tcPr>
          <w:p w14:paraId="0322E96B">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设计负责人</w:t>
            </w:r>
          </w:p>
        </w:tc>
        <w:tc>
          <w:tcPr>
            <w:tcW w:w="0" w:type="auto"/>
            <w:tcBorders>
              <w:top w:val="single" w:color="000000" w:sz="4" w:space="0"/>
              <w:left w:val="single" w:color="000000" w:sz="4" w:space="0"/>
              <w:right w:val="single" w:color="000000" w:sz="4" w:space="0"/>
            </w:tcBorders>
            <w:noWrap w:val="0"/>
            <w:vAlign w:val="center"/>
          </w:tcPr>
          <w:p w14:paraId="0051AFFB">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专职安全员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E51551">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投标总报价（人民币：万元）</w:t>
            </w:r>
          </w:p>
        </w:tc>
        <w:tc>
          <w:tcPr>
            <w:tcW w:w="0" w:type="auto"/>
            <w:tcBorders>
              <w:top w:val="single" w:color="000000" w:sz="4" w:space="0"/>
              <w:left w:val="single" w:color="000000" w:sz="4" w:space="0"/>
              <w:right w:val="single" w:color="000000" w:sz="4" w:space="0"/>
            </w:tcBorders>
            <w:noWrap w:val="0"/>
            <w:vAlign w:val="center"/>
          </w:tcPr>
          <w:p w14:paraId="0890BEE8">
            <w:pPr>
              <w:keepNext w:val="0"/>
              <w:keepLines w:val="0"/>
              <w:suppressLineNumbers w:val="0"/>
              <w:spacing w:before="0" w:beforeAutospacing="0" w:after="0" w:afterAutospacing="0" w:line="360" w:lineRule="auto"/>
              <w:ind w:left="0" w:right="0"/>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勘察费（万元）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20FA88">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勘察费下浮率（%</w:t>
            </w:r>
            <w:r>
              <w:rPr>
                <w:rFonts w:hint="default" w:ascii="宋体" w:hAnsi="宋体" w:cs="宋体"/>
                <w:color w:val="auto"/>
                <w:kern w:val="1"/>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6C5537">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设计费（万元）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B0F9CF">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default" w:ascii="宋体" w:hAnsi="宋体" w:cs="宋体"/>
                <w:color w:val="auto"/>
                <w:kern w:val="1"/>
                <w:sz w:val="18"/>
                <w:szCs w:val="18"/>
                <w:highlight w:val="none"/>
              </w:rPr>
              <w:t>设计</w:t>
            </w:r>
            <w:r>
              <w:rPr>
                <w:rFonts w:hint="eastAsia" w:ascii="宋体" w:hAnsi="宋体" w:cs="宋体"/>
                <w:color w:val="auto"/>
                <w:kern w:val="1"/>
                <w:sz w:val="18"/>
                <w:szCs w:val="18"/>
                <w:highlight w:val="none"/>
              </w:rPr>
              <w:t>费下浮率（%</w:t>
            </w:r>
            <w:r>
              <w:rPr>
                <w:rFonts w:hint="default" w:ascii="宋体" w:hAnsi="宋体" w:cs="宋体"/>
                <w:color w:val="auto"/>
                <w:kern w:val="1"/>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AC84ED">
            <w:pPr>
              <w:keepNext w:val="0"/>
              <w:keepLines w:val="0"/>
              <w:suppressLineNumbers w:val="0"/>
              <w:spacing w:before="0" w:beforeAutospacing="0" w:after="0" w:afterAutospacing="0" w:line="360" w:lineRule="auto"/>
              <w:ind w:left="0" w:right="0"/>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建安工程费（万元）</w:t>
            </w:r>
          </w:p>
        </w:tc>
        <w:tc>
          <w:tcPr>
            <w:tcW w:w="0" w:type="auto"/>
            <w:tcBorders>
              <w:top w:val="single" w:color="000000" w:sz="4" w:space="0"/>
              <w:left w:val="single" w:color="auto" w:sz="4" w:space="0"/>
              <w:bottom w:val="single" w:color="000000" w:sz="4" w:space="0"/>
              <w:right w:val="single" w:color="auto" w:sz="4" w:space="0"/>
            </w:tcBorders>
            <w:noWrap w:val="0"/>
            <w:vAlign w:val="center"/>
          </w:tcPr>
          <w:p w14:paraId="3EDBF18E">
            <w:pPr>
              <w:keepNext w:val="0"/>
              <w:keepLines w:val="0"/>
              <w:suppressLineNumbers w:val="0"/>
              <w:spacing w:before="0" w:beforeAutospacing="0" w:after="0" w:afterAutospacing="0" w:line="360" w:lineRule="auto"/>
              <w:ind w:left="0" w:right="0"/>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建安工程费下浮率（%</w:t>
            </w:r>
            <w:r>
              <w:rPr>
                <w:rFonts w:hint="default" w:ascii="宋体" w:hAnsi="宋体" w:cs="宋体"/>
                <w:color w:val="auto"/>
                <w:kern w:val="1"/>
                <w:sz w:val="18"/>
                <w:szCs w:val="18"/>
                <w:highlight w:val="none"/>
              </w:rPr>
              <w:t>）</w:t>
            </w: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55ACE485">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投标人代表签名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EB14A3">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 w:val="18"/>
                <w:szCs w:val="18"/>
                <w:highlight w:val="none"/>
              </w:rPr>
            </w:pPr>
            <w:r>
              <w:rPr>
                <w:rFonts w:hint="eastAsia" w:ascii="宋体" w:hAnsi="宋体" w:cs="宋体"/>
                <w:color w:val="auto"/>
                <w:kern w:val="1"/>
                <w:sz w:val="18"/>
                <w:szCs w:val="18"/>
                <w:highlight w:val="none"/>
              </w:rPr>
              <w:t>备注</w:t>
            </w:r>
          </w:p>
        </w:tc>
      </w:tr>
      <w:tr w14:paraId="5A5C56FD">
        <w:tblPrEx>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E895BA2">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8C9075">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3CA1AD">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E3600C">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ECD42C">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F5600B">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auto" w:sz="4" w:space="0"/>
            </w:tcBorders>
            <w:noWrap w:val="0"/>
            <w:vAlign w:val="center"/>
          </w:tcPr>
          <w:p w14:paraId="7707D420">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3E6B5B4A">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150B86">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3FC2E1">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auto" w:sz="4" w:space="0"/>
            </w:tcBorders>
            <w:noWrap w:val="0"/>
            <w:vAlign w:val="top"/>
          </w:tcPr>
          <w:p w14:paraId="7A281438">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auto" w:sz="4" w:space="0"/>
            </w:tcBorders>
            <w:noWrap w:val="0"/>
            <w:vAlign w:val="top"/>
          </w:tcPr>
          <w:p w14:paraId="5238F201">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noWrap w:val="0"/>
            <w:vAlign w:val="top"/>
          </w:tcPr>
          <w:p w14:paraId="11ECD1F7">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39E57F51">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noWrap w:val="0"/>
            <w:vAlign w:val="top"/>
          </w:tcPr>
          <w:p w14:paraId="55BAB357">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auto" w:sz="4" w:space="0"/>
            </w:tcBorders>
            <w:noWrap w:val="0"/>
            <w:vAlign w:val="top"/>
          </w:tcPr>
          <w:p w14:paraId="4AB38ABB">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noWrap w:val="0"/>
            <w:vAlign w:val="top"/>
          </w:tcPr>
          <w:p w14:paraId="650B8F6C">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45E67FD7">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463D8E85">
        <w:tblPrEx>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250FEE4">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E70AC2">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0303A6">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57F7F1">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1829A4">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1072B9">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auto" w:sz="4" w:space="0"/>
            </w:tcBorders>
            <w:noWrap w:val="0"/>
            <w:vAlign w:val="center"/>
          </w:tcPr>
          <w:p w14:paraId="7F098482">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2EEE7DE1">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D5C01B">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BCF354">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auto" w:sz="4" w:space="0"/>
            </w:tcBorders>
            <w:noWrap w:val="0"/>
            <w:vAlign w:val="top"/>
          </w:tcPr>
          <w:p w14:paraId="3F876409">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auto" w:sz="4" w:space="0"/>
            </w:tcBorders>
            <w:noWrap w:val="0"/>
            <w:vAlign w:val="top"/>
          </w:tcPr>
          <w:p w14:paraId="2E5319C1">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noWrap w:val="0"/>
            <w:vAlign w:val="top"/>
          </w:tcPr>
          <w:p w14:paraId="2C46867E">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443FFE25">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noWrap w:val="0"/>
            <w:vAlign w:val="top"/>
          </w:tcPr>
          <w:p w14:paraId="2B853FAA">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auto" w:sz="4" w:space="0"/>
            </w:tcBorders>
            <w:noWrap w:val="0"/>
            <w:vAlign w:val="top"/>
          </w:tcPr>
          <w:p w14:paraId="4E6CE139">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noWrap w:val="0"/>
            <w:vAlign w:val="top"/>
          </w:tcPr>
          <w:p w14:paraId="0A9E6B74">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52EFB566">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58F6C9CE">
        <w:tblPrEx>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65C2922">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CF35D6">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46FE1E">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030A9B">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61181E">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85E717">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auto" w:sz="4" w:space="0"/>
            </w:tcBorders>
            <w:noWrap w:val="0"/>
            <w:vAlign w:val="center"/>
          </w:tcPr>
          <w:p w14:paraId="14A4F459">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673A3A41">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1755AE">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6EAC42">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auto" w:sz="4" w:space="0"/>
            </w:tcBorders>
            <w:noWrap w:val="0"/>
            <w:vAlign w:val="top"/>
          </w:tcPr>
          <w:p w14:paraId="48C6A778">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auto" w:sz="4" w:space="0"/>
            </w:tcBorders>
            <w:noWrap w:val="0"/>
            <w:vAlign w:val="top"/>
          </w:tcPr>
          <w:p w14:paraId="5314C71B">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noWrap w:val="0"/>
            <w:vAlign w:val="top"/>
          </w:tcPr>
          <w:p w14:paraId="374D6E87">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5FB1D365">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noWrap w:val="0"/>
            <w:vAlign w:val="top"/>
          </w:tcPr>
          <w:p w14:paraId="36465008">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auto" w:sz="4" w:space="0"/>
            </w:tcBorders>
            <w:noWrap w:val="0"/>
            <w:vAlign w:val="top"/>
          </w:tcPr>
          <w:p w14:paraId="3A47149C">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noWrap w:val="0"/>
            <w:vAlign w:val="top"/>
          </w:tcPr>
          <w:p w14:paraId="120AB5BF">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6CC8E47B">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3D24FF86">
        <w:tblPrEx>
          <w:tblCellMar>
            <w:top w:w="0" w:type="dxa"/>
            <w:left w:w="108" w:type="dxa"/>
            <w:bottom w:w="0" w:type="dxa"/>
            <w:right w:w="108" w:type="dxa"/>
          </w:tblCellMar>
        </w:tblPrEx>
        <w:trPr>
          <w:trHeight w:val="62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B438AED">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C085DA">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0DA40C">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338276">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F02901">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ED9D53">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auto" w:sz="4" w:space="0"/>
            </w:tcBorders>
            <w:noWrap w:val="0"/>
            <w:vAlign w:val="center"/>
          </w:tcPr>
          <w:p w14:paraId="112E1B1E">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noWrap w:val="0"/>
            <w:vAlign w:val="center"/>
          </w:tcPr>
          <w:p w14:paraId="02D3924B">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53AC99">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3B3785">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auto" w:sz="4" w:space="0"/>
            </w:tcBorders>
            <w:noWrap w:val="0"/>
            <w:vAlign w:val="top"/>
          </w:tcPr>
          <w:p w14:paraId="397B78A7">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auto" w:sz="4" w:space="0"/>
            </w:tcBorders>
            <w:noWrap w:val="0"/>
            <w:vAlign w:val="top"/>
          </w:tcPr>
          <w:p w14:paraId="6CD4B933">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noWrap w:val="0"/>
            <w:vAlign w:val="top"/>
          </w:tcPr>
          <w:p w14:paraId="5091E353">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177D4BE6">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noWrap w:val="0"/>
            <w:vAlign w:val="top"/>
          </w:tcPr>
          <w:p w14:paraId="7550AE7C">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auto" w:sz="4" w:space="0"/>
            </w:tcBorders>
            <w:noWrap w:val="0"/>
            <w:vAlign w:val="top"/>
          </w:tcPr>
          <w:p w14:paraId="53CC99BB">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auto" w:sz="4" w:space="0"/>
              <w:bottom w:val="single" w:color="000000" w:sz="4" w:space="0"/>
              <w:right w:val="single" w:color="000000" w:sz="4" w:space="0"/>
            </w:tcBorders>
            <w:noWrap w:val="0"/>
            <w:vAlign w:val="top"/>
          </w:tcPr>
          <w:p w14:paraId="3730059C">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0ECD7BD1">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r>
    </w:tbl>
    <w:p w14:paraId="21B7581F">
      <w:pPr>
        <w:spacing w:line="360" w:lineRule="auto"/>
        <w:ind w:firstLine="840" w:firstLineChars="400"/>
        <w:rPr>
          <w:rFonts w:ascii="宋体" w:hAnsi="宋体" w:cs="宋体"/>
          <w:color w:val="auto"/>
          <w:kern w:val="1"/>
          <w:szCs w:val="21"/>
          <w:highlight w:val="none"/>
          <w:u w:val="single"/>
        </w:rPr>
      </w:pPr>
      <w:r>
        <w:rPr>
          <w:rFonts w:hint="eastAsia" w:ascii="宋体" w:hAnsi="宋体" w:cs="宋体"/>
          <w:color w:val="auto"/>
          <w:kern w:val="1"/>
          <w:szCs w:val="21"/>
          <w:highlight w:val="none"/>
        </w:rPr>
        <w:t>招标代理：                               招标人代表：                               交易中心见证人：</w:t>
      </w:r>
    </w:p>
    <w:p w14:paraId="15B6D6AE">
      <w:pPr>
        <w:spacing w:line="360" w:lineRule="auto"/>
        <w:rPr>
          <w:rFonts w:ascii="宋体" w:hAnsi="宋体" w:cs="宋体"/>
          <w:color w:val="auto"/>
          <w:kern w:val="1"/>
          <w:szCs w:val="21"/>
          <w:highlight w:val="none"/>
          <w:u w:val="single"/>
        </w:rPr>
        <w:sectPr>
          <w:headerReference r:id="rId10" w:type="default"/>
          <w:footerReference r:id="rId11" w:type="default"/>
          <w:pgSz w:w="16838" w:h="11906" w:orient="landscape"/>
          <w:pgMar w:top="1134" w:right="1134" w:bottom="1134" w:left="1134" w:header="851" w:footer="992" w:gutter="0"/>
          <w:cols w:space="720" w:num="1"/>
        </w:sectPr>
      </w:pPr>
      <w:r>
        <w:rPr>
          <w:rFonts w:hint="eastAsia" w:ascii="宋体" w:hAnsi="宋体" w:cs="宋体"/>
          <w:color w:val="auto"/>
          <w:kern w:val="1"/>
          <w:szCs w:val="21"/>
          <w:highlight w:val="none"/>
          <w:u w:val="single"/>
        </w:rPr>
        <w:t>本表仅供参考，具体以开标时广州交易集团有限公司（广州公共资源交易中心）系统的开标记录表为准。</w:t>
      </w:r>
    </w:p>
    <w:p w14:paraId="746B4CDA">
      <w:pPr>
        <w:ind w:firstLine="420"/>
        <w:rPr>
          <w:rFonts w:hint="eastAsia" w:ascii="宋体" w:hAnsi="宋体" w:cs="宋体"/>
          <w:color w:val="auto"/>
          <w:sz w:val="28"/>
          <w:szCs w:val="28"/>
          <w:highlight w:val="none"/>
        </w:rPr>
      </w:pPr>
      <w:bookmarkStart w:id="345" w:name="_Toc31642"/>
      <w:bookmarkEnd w:id="345"/>
      <w:bookmarkStart w:id="346" w:name="_Toc5620346"/>
      <w:bookmarkStart w:id="347" w:name="_Toc16394"/>
      <w:bookmarkStart w:id="348" w:name="_Toc169076295"/>
      <w:r>
        <w:rPr>
          <w:rFonts w:hint="eastAsia" w:ascii="宋体" w:hAnsi="宋体"/>
          <w:color w:val="auto"/>
          <w:highlight w:val="none"/>
        </w:rPr>
        <w:t>附件二：评标委员会成员声明</w:t>
      </w:r>
    </w:p>
    <w:p w14:paraId="207F25EA">
      <w:pPr>
        <w:ind w:firstLine="560" w:firstLineChars="20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评标委员会成员声明</w:t>
      </w:r>
    </w:p>
    <w:p w14:paraId="274DFF81">
      <w:pPr>
        <w:rPr>
          <w:rFonts w:hint="eastAsia" w:ascii="宋体" w:hAnsi="宋体" w:cs="宋体"/>
          <w:color w:val="auto"/>
          <w:sz w:val="22"/>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2"/>
          <w:highlight w:val="none"/>
          <w:u w:val="single"/>
        </w:rPr>
        <w:t xml:space="preserve">  本项目招标人  </w:t>
      </w:r>
      <w:r>
        <w:rPr>
          <w:rFonts w:hint="eastAsia" w:ascii="宋体" w:hAnsi="宋体" w:cs="宋体"/>
          <w:color w:val="auto"/>
          <w:sz w:val="22"/>
          <w:highlight w:val="none"/>
        </w:rPr>
        <w:t>：</w:t>
      </w:r>
    </w:p>
    <w:p w14:paraId="5E08760D">
      <w:pPr>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本人就参与</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项目的评标工作，作出郑重声明：</w:t>
      </w:r>
    </w:p>
    <w:p w14:paraId="28E170EE">
      <w:pPr>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36105FFA">
      <w:pPr>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7CE838B2">
      <w:pPr>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5DB26BA1">
      <w:pPr>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57315DAE">
      <w:pPr>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6552DC41">
      <w:pPr>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如果本人违反上述声明内容，造成的后果由本人自行承担。</w:t>
      </w:r>
    </w:p>
    <w:p w14:paraId="1A6D03E3">
      <w:pPr>
        <w:ind w:firstLine="440" w:firstLineChars="200"/>
        <w:rPr>
          <w:rFonts w:hint="eastAsia" w:ascii="宋体" w:hAnsi="宋体" w:cs="宋体"/>
          <w:color w:val="auto"/>
          <w:sz w:val="22"/>
          <w:highlight w:val="none"/>
        </w:rPr>
      </w:pPr>
    </w:p>
    <w:p w14:paraId="2107CCDD">
      <w:pPr>
        <w:pStyle w:val="3"/>
        <w:spacing w:line="360" w:lineRule="auto"/>
        <w:jc w:val="center"/>
        <w:rPr>
          <w:rFonts w:ascii="宋体" w:hAnsi="宋体" w:cs="宋体"/>
          <w:color w:val="auto"/>
          <w:kern w:val="1"/>
          <w:highlight w:val="none"/>
        </w:rPr>
      </w:pPr>
      <w:r>
        <w:rPr>
          <w:rFonts w:hint="eastAsia" w:ascii="宋体" w:hAnsi="宋体" w:cs="宋体"/>
          <w:color w:val="auto"/>
          <w:sz w:val="22"/>
          <w:szCs w:val="22"/>
          <w:highlight w:val="none"/>
        </w:rPr>
        <w:t>声明人：</w:t>
      </w:r>
      <w:r>
        <w:rPr>
          <w:rFonts w:hint="eastAsia" w:ascii="宋体" w:hAnsi="宋体" w:cs="宋体"/>
          <w:color w:val="auto"/>
          <w:sz w:val="22"/>
          <w:szCs w:val="22"/>
          <w:highlight w:val="none"/>
          <w:u w:val="single"/>
        </w:rPr>
        <w:t xml:space="preserve">（签名）  </w:t>
      </w:r>
      <w:r>
        <w:rPr>
          <w:rFonts w:hint="eastAsia" w:ascii="宋体" w:hAnsi="宋体" w:cs="宋体"/>
          <w:color w:val="auto"/>
          <w:kern w:val="1"/>
          <w:sz w:val="22"/>
          <w:szCs w:val="22"/>
          <w:highlight w:val="none"/>
        </w:rPr>
        <w:br w:type="page"/>
      </w:r>
      <w:r>
        <w:rPr>
          <w:rFonts w:hint="eastAsia" w:ascii="宋体" w:hAnsi="宋体" w:cs="宋体"/>
          <w:color w:val="auto"/>
          <w:kern w:val="1"/>
          <w:highlight w:val="none"/>
        </w:rPr>
        <w:t xml:space="preserve">第三章 </w:t>
      </w:r>
      <w:bookmarkStart w:id="349" w:name="_Hlk116911189"/>
      <w:r>
        <w:rPr>
          <w:rFonts w:hint="eastAsia" w:ascii="宋体" w:hAnsi="宋体" w:cs="宋体"/>
          <w:color w:val="auto"/>
          <w:kern w:val="1"/>
          <w:highlight w:val="none"/>
        </w:rPr>
        <w:t>评标办法</w:t>
      </w:r>
      <w:bookmarkEnd w:id="349"/>
      <w:r>
        <w:rPr>
          <w:rFonts w:hint="eastAsia" w:ascii="宋体" w:hAnsi="宋体" w:cs="宋体"/>
          <w:color w:val="auto"/>
          <w:kern w:val="1"/>
          <w:highlight w:val="none"/>
        </w:rPr>
        <w:t>（综合评估法）</w:t>
      </w:r>
      <w:bookmarkEnd w:id="346"/>
      <w:bookmarkEnd w:id="347"/>
      <w:bookmarkEnd w:id="348"/>
    </w:p>
    <w:p w14:paraId="0E54EC4D">
      <w:pPr>
        <w:spacing w:line="360" w:lineRule="auto"/>
        <w:jc w:val="center"/>
        <w:rPr>
          <w:rFonts w:ascii="宋体" w:hAnsi="宋体" w:cs="宋体"/>
          <w:b/>
          <w:color w:val="auto"/>
          <w:kern w:val="1"/>
          <w:sz w:val="28"/>
          <w:highlight w:val="none"/>
        </w:rPr>
      </w:pPr>
      <w:r>
        <w:rPr>
          <w:rFonts w:hint="eastAsia" w:ascii="宋体" w:hAnsi="宋体" w:cs="宋体"/>
          <w:b/>
          <w:color w:val="auto"/>
          <w:kern w:val="1"/>
          <w:sz w:val="28"/>
          <w:highlight w:val="none"/>
        </w:rPr>
        <w:t>评标办法前附表</w:t>
      </w:r>
    </w:p>
    <w:tbl>
      <w:tblPr>
        <w:tblStyle w:val="36"/>
        <w:tblW w:w="9240" w:type="dxa"/>
        <w:tblInd w:w="108" w:type="dxa"/>
        <w:tblLayout w:type="fixed"/>
        <w:tblCellMar>
          <w:top w:w="0" w:type="dxa"/>
          <w:left w:w="108" w:type="dxa"/>
          <w:bottom w:w="0" w:type="dxa"/>
          <w:right w:w="108" w:type="dxa"/>
        </w:tblCellMar>
      </w:tblPr>
      <w:tblGrid>
        <w:gridCol w:w="840"/>
        <w:gridCol w:w="338"/>
        <w:gridCol w:w="1447"/>
        <w:gridCol w:w="1373"/>
        <w:gridCol w:w="5242"/>
      </w:tblGrid>
      <w:tr w14:paraId="0EEF583B">
        <w:tblPrEx>
          <w:tblCellMar>
            <w:top w:w="0" w:type="dxa"/>
            <w:left w:w="108" w:type="dxa"/>
            <w:bottom w:w="0" w:type="dxa"/>
            <w:right w:w="108" w:type="dxa"/>
          </w:tblCellMar>
        </w:tblPrEx>
        <w:trPr>
          <w:trHeight w:val="567" w:hRule="atLeast"/>
          <w:tblHeader/>
        </w:trPr>
        <w:tc>
          <w:tcPr>
            <w:tcW w:w="2625" w:type="dxa"/>
            <w:gridSpan w:val="3"/>
            <w:tcBorders>
              <w:top w:val="single" w:color="000000" w:sz="4" w:space="0"/>
              <w:left w:val="single" w:color="000000" w:sz="4" w:space="0"/>
              <w:bottom w:val="single" w:color="000000" w:sz="6" w:space="0"/>
              <w:right w:val="single" w:color="000000" w:sz="6" w:space="0"/>
            </w:tcBorders>
            <w:noWrap w:val="0"/>
            <w:vAlign w:val="center"/>
          </w:tcPr>
          <w:p w14:paraId="278D8F6E">
            <w:pPr>
              <w:keepNext w:val="0"/>
              <w:keepLines w:val="0"/>
              <w:suppressLineNumbers w:val="0"/>
              <w:spacing w:before="0" w:beforeAutospacing="0" w:after="0" w:afterAutospacing="0" w:line="240" w:lineRule="auto"/>
              <w:ind w:left="0" w:right="0"/>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1373" w:type="dxa"/>
            <w:tcBorders>
              <w:top w:val="single" w:color="000000" w:sz="4" w:space="0"/>
              <w:left w:val="single" w:color="000000" w:sz="6" w:space="0"/>
              <w:bottom w:val="single" w:color="000000" w:sz="6" w:space="0"/>
              <w:right w:val="single" w:color="000000" w:sz="6" w:space="0"/>
            </w:tcBorders>
            <w:noWrap w:val="0"/>
            <w:vAlign w:val="center"/>
          </w:tcPr>
          <w:p w14:paraId="28378000">
            <w:pPr>
              <w:keepNext w:val="0"/>
              <w:keepLines w:val="0"/>
              <w:suppressLineNumbers w:val="0"/>
              <w:spacing w:before="0" w:beforeAutospacing="0" w:after="0" w:afterAutospacing="0" w:line="240" w:lineRule="auto"/>
              <w:ind w:left="0" w:right="0"/>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评审因素</w:t>
            </w:r>
          </w:p>
        </w:tc>
        <w:tc>
          <w:tcPr>
            <w:tcW w:w="5242" w:type="dxa"/>
            <w:tcBorders>
              <w:top w:val="single" w:color="000000" w:sz="4" w:space="0"/>
              <w:left w:val="single" w:color="000000" w:sz="6" w:space="0"/>
              <w:bottom w:val="single" w:color="000000" w:sz="6" w:space="0"/>
              <w:right w:val="single" w:color="000000" w:sz="4" w:space="0"/>
            </w:tcBorders>
            <w:noWrap w:val="0"/>
            <w:vAlign w:val="center"/>
          </w:tcPr>
          <w:p w14:paraId="293A2344">
            <w:pPr>
              <w:keepNext w:val="0"/>
              <w:keepLines w:val="0"/>
              <w:suppressLineNumbers w:val="0"/>
              <w:spacing w:before="0" w:beforeAutospacing="0" w:after="0" w:afterAutospacing="0" w:line="240" w:lineRule="auto"/>
              <w:ind w:left="0" w:right="0"/>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评审标准</w:t>
            </w:r>
          </w:p>
        </w:tc>
      </w:tr>
      <w:tr w14:paraId="2B102D0B">
        <w:tblPrEx>
          <w:tblCellMar>
            <w:top w:w="0" w:type="dxa"/>
            <w:left w:w="108" w:type="dxa"/>
            <w:bottom w:w="0" w:type="dxa"/>
            <w:right w:w="108" w:type="dxa"/>
          </w:tblCellMar>
        </w:tblPrEx>
        <w:trPr>
          <w:trHeight w:val="20" w:hRule="atLeast"/>
        </w:trPr>
        <w:tc>
          <w:tcPr>
            <w:tcW w:w="840" w:type="dxa"/>
            <w:tcBorders>
              <w:top w:val="single" w:color="000000" w:sz="6" w:space="0"/>
              <w:left w:val="single" w:color="000000" w:sz="4" w:space="0"/>
              <w:bottom w:val="single" w:color="auto" w:sz="4" w:space="0"/>
              <w:right w:val="single" w:color="000000" w:sz="6" w:space="0"/>
            </w:tcBorders>
            <w:noWrap w:val="0"/>
            <w:vAlign w:val="center"/>
          </w:tcPr>
          <w:p w14:paraId="4689FC72">
            <w:pPr>
              <w:keepNext w:val="0"/>
              <w:keepLines w:val="0"/>
              <w:suppressLineNumbers w:val="0"/>
              <w:spacing w:before="0" w:beforeAutospacing="0" w:after="0" w:afterAutospacing="0" w:line="36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w:t>
            </w:r>
          </w:p>
        </w:tc>
        <w:tc>
          <w:tcPr>
            <w:tcW w:w="1785" w:type="dxa"/>
            <w:gridSpan w:val="2"/>
            <w:tcBorders>
              <w:top w:val="single" w:color="000000" w:sz="6" w:space="0"/>
              <w:left w:val="single" w:color="000000" w:sz="6" w:space="0"/>
              <w:bottom w:val="single" w:color="auto" w:sz="4" w:space="0"/>
              <w:right w:val="single" w:color="000000" w:sz="6" w:space="0"/>
            </w:tcBorders>
            <w:noWrap w:val="0"/>
            <w:vAlign w:val="center"/>
          </w:tcPr>
          <w:p w14:paraId="508FE653">
            <w:pPr>
              <w:keepNext w:val="0"/>
              <w:keepLines w:val="0"/>
              <w:suppressLineNumbers w:val="0"/>
              <w:spacing w:before="0" w:beforeAutospacing="0" w:after="0" w:afterAutospacing="0" w:line="300" w:lineRule="exact"/>
              <w:ind w:left="0" w:right="0"/>
              <w:jc w:val="center"/>
              <w:rPr>
                <w:rFonts w:hint="eastAsia" w:ascii="宋体" w:hAnsi="宋体" w:cs="宋体"/>
                <w:color w:val="auto"/>
                <w:kern w:val="1"/>
                <w:szCs w:val="21"/>
                <w:highlight w:val="none"/>
              </w:rPr>
            </w:pPr>
            <w:r>
              <w:rPr>
                <w:rFonts w:hint="eastAsia" w:ascii="宋体" w:hAnsi="宋体" w:cs="宋体"/>
                <w:b/>
                <w:color w:val="auto"/>
                <w:kern w:val="2"/>
                <w:szCs w:val="21"/>
                <w:highlight w:val="none"/>
              </w:rPr>
              <w:t>评标方法</w:t>
            </w:r>
          </w:p>
        </w:tc>
        <w:tc>
          <w:tcPr>
            <w:tcW w:w="1373" w:type="dxa"/>
            <w:tcBorders>
              <w:top w:val="single" w:color="000000" w:sz="6" w:space="0"/>
              <w:left w:val="single" w:color="000000" w:sz="6" w:space="0"/>
              <w:bottom w:val="single" w:color="000000" w:sz="6" w:space="0"/>
              <w:right w:val="single" w:color="auto" w:sz="4" w:space="0"/>
            </w:tcBorders>
            <w:noWrap w:val="0"/>
            <w:vAlign w:val="center"/>
          </w:tcPr>
          <w:p w14:paraId="57845B58">
            <w:pPr>
              <w:keepNext w:val="0"/>
              <w:keepLines w:val="0"/>
              <w:suppressLineNumbers w:val="0"/>
              <w:spacing w:before="0" w:beforeAutospacing="0" w:after="0" w:afterAutospacing="0"/>
              <w:ind w:left="0" w:right="0"/>
              <w:jc w:val="center"/>
              <w:rPr>
                <w:rFonts w:hint="default" w:ascii="宋体" w:hAnsi="宋体" w:cs="宋体"/>
                <w:color w:val="auto"/>
                <w:kern w:val="2"/>
                <w:highlight w:val="none"/>
              </w:rPr>
            </w:pPr>
            <w:r>
              <w:rPr>
                <w:rFonts w:hint="eastAsia" w:ascii="宋体" w:hAnsi="宋体" w:cs="宋体"/>
                <w:b/>
                <w:color w:val="auto"/>
                <w:kern w:val="2"/>
                <w:szCs w:val="21"/>
                <w:highlight w:val="none"/>
              </w:rPr>
              <w:t>中标候选人排序方法</w:t>
            </w:r>
          </w:p>
        </w:tc>
        <w:tc>
          <w:tcPr>
            <w:tcW w:w="5242" w:type="dxa"/>
            <w:tcBorders>
              <w:top w:val="single" w:color="000000" w:sz="6" w:space="0"/>
              <w:left w:val="single" w:color="auto" w:sz="4" w:space="0"/>
              <w:bottom w:val="single" w:color="000000" w:sz="6" w:space="0"/>
              <w:right w:val="single" w:color="000000" w:sz="4" w:space="0"/>
            </w:tcBorders>
            <w:noWrap w:val="0"/>
            <w:vAlign w:val="center"/>
          </w:tcPr>
          <w:p w14:paraId="7BE0731C">
            <w:pPr>
              <w:keepNext w:val="0"/>
              <w:keepLines w:val="0"/>
              <w:suppressLineNumbers w:val="0"/>
              <w:spacing w:before="0" w:beforeAutospacing="0" w:after="0" w:afterAutospacing="0"/>
              <w:ind w:left="0" w:right="0"/>
              <w:rPr>
                <w:rFonts w:hint="default" w:ascii="宋体" w:hAnsi="宋体" w:cs="宋体"/>
                <w:b/>
                <w:color w:val="auto"/>
                <w:kern w:val="2"/>
                <w:highlight w:val="none"/>
              </w:rPr>
            </w:pPr>
            <w:r>
              <w:rPr>
                <w:rFonts w:hint="eastAsia" w:ascii="宋体" w:hAnsi="宋体" w:cs="宋体"/>
                <w:b/>
                <w:color w:val="auto"/>
                <w:kern w:val="2"/>
                <w:highlight w:val="none"/>
              </w:rPr>
              <w:t>本次评标采用综合评估法。评标委员会对满足招标文件实质性要求的投标文件，按照本章第2.2款规定的评分标准进行打分，并按得分由高到低顺序推荐中标候选人，但投标报价低于其成本的除外。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tc>
      </w:tr>
      <w:tr w14:paraId="3137D322">
        <w:tblPrEx>
          <w:tblCellMar>
            <w:top w:w="0" w:type="dxa"/>
            <w:left w:w="108" w:type="dxa"/>
            <w:bottom w:w="0" w:type="dxa"/>
            <w:right w:w="108" w:type="dxa"/>
          </w:tblCellMar>
        </w:tblPrEx>
        <w:trPr>
          <w:trHeight w:val="975" w:hRule="atLeast"/>
        </w:trPr>
        <w:tc>
          <w:tcPr>
            <w:tcW w:w="840" w:type="dxa"/>
            <w:tcBorders>
              <w:top w:val="single" w:color="auto" w:sz="4" w:space="0"/>
              <w:left w:val="single" w:color="000000" w:sz="4" w:space="0"/>
              <w:right w:val="single" w:color="000000" w:sz="6" w:space="0"/>
            </w:tcBorders>
            <w:noWrap w:val="0"/>
            <w:vAlign w:val="center"/>
          </w:tcPr>
          <w:p w14:paraId="00AFA83E">
            <w:pPr>
              <w:keepNext w:val="0"/>
              <w:keepLines w:val="0"/>
              <w:suppressLineNumbers w:val="0"/>
              <w:spacing w:before="0" w:beforeAutospacing="0" w:after="0" w:afterAutospacing="0" w:line="36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2.1.1</w:t>
            </w:r>
          </w:p>
        </w:tc>
        <w:tc>
          <w:tcPr>
            <w:tcW w:w="1785" w:type="dxa"/>
            <w:gridSpan w:val="2"/>
            <w:tcBorders>
              <w:top w:val="single" w:color="auto" w:sz="4" w:space="0"/>
              <w:left w:val="single" w:color="000000" w:sz="6" w:space="0"/>
              <w:right w:val="single" w:color="000000" w:sz="6" w:space="0"/>
            </w:tcBorders>
            <w:noWrap w:val="0"/>
            <w:vAlign w:val="center"/>
          </w:tcPr>
          <w:p w14:paraId="1E9380B0">
            <w:pPr>
              <w:keepNext w:val="0"/>
              <w:keepLines w:val="0"/>
              <w:suppressLineNumbers w:val="0"/>
              <w:spacing w:before="0" w:beforeAutospacing="0" w:after="0" w:afterAutospacing="0" w:line="300" w:lineRule="exact"/>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形式评审标准</w:t>
            </w:r>
          </w:p>
        </w:tc>
        <w:tc>
          <w:tcPr>
            <w:tcW w:w="6615" w:type="dxa"/>
            <w:gridSpan w:val="2"/>
            <w:tcBorders>
              <w:top w:val="single" w:color="000000" w:sz="6" w:space="0"/>
              <w:left w:val="single" w:color="000000" w:sz="6" w:space="0"/>
              <w:right w:val="single" w:color="000000" w:sz="4" w:space="0"/>
            </w:tcBorders>
            <w:noWrap w:val="0"/>
            <w:vAlign w:val="center"/>
          </w:tcPr>
          <w:p w14:paraId="58CC1426">
            <w:pPr>
              <w:keepNext w:val="0"/>
              <w:keepLines w:val="0"/>
              <w:suppressLineNumbers w:val="0"/>
              <w:spacing w:before="0" w:beforeAutospacing="0" w:after="0" w:afterAutospacing="0"/>
              <w:ind w:left="0" w:right="0"/>
              <w:rPr>
                <w:rFonts w:hint="default" w:ascii="宋体" w:hAnsi="宋体" w:cs="宋体"/>
                <w:color w:val="auto"/>
                <w:kern w:val="2"/>
                <w:highlight w:val="none"/>
              </w:rPr>
            </w:pPr>
            <w:r>
              <w:rPr>
                <w:rFonts w:hint="default" w:ascii="宋体" w:hAnsi="宋体" w:cs="宋体"/>
                <w:color w:val="auto"/>
                <w:kern w:val="2"/>
                <w:szCs w:val="21"/>
                <w:highlight w:val="none"/>
              </w:rPr>
              <w:t>具体评审标准详见附表1：《形式评审表》</w:t>
            </w:r>
          </w:p>
        </w:tc>
      </w:tr>
      <w:tr w14:paraId="13C116DF">
        <w:tblPrEx>
          <w:tblCellMar>
            <w:top w:w="0" w:type="dxa"/>
            <w:left w:w="108" w:type="dxa"/>
            <w:bottom w:w="0" w:type="dxa"/>
            <w:right w:w="108" w:type="dxa"/>
          </w:tblCellMar>
        </w:tblPrEx>
        <w:trPr>
          <w:trHeight w:val="695" w:hRule="atLeast"/>
        </w:trPr>
        <w:tc>
          <w:tcPr>
            <w:tcW w:w="840" w:type="dxa"/>
            <w:tcBorders>
              <w:top w:val="single" w:color="000000" w:sz="6" w:space="0"/>
              <w:left w:val="single" w:color="000000" w:sz="4" w:space="0"/>
              <w:right w:val="single" w:color="000000" w:sz="6" w:space="0"/>
            </w:tcBorders>
            <w:noWrap w:val="0"/>
            <w:vAlign w:val="center"/>
          </w:tcPr>
          <w:p w14:paraId="7E4F05B0">
            <w:pPr>
              <w:keepNext w:val="0"/>
              <w:keepLines w:val="0"/>
              <w:suppressLineNumbers w:val="0"/>
              <w:spacing w:before="0" w:beforeAutospacing="0" w:after="0" w:afterAutospacing="0" w:line="36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2.1.2</w:t>
            </w:r>
          </w:p>
        </w:tc>
        <w:tc>
          <w:tcPr>
            <w:tcW w:w="1785" w:type="dxa"/>
            <w:gridSpan w:val="2"/>
            <w:tcBorders>
              <w:top w:val="single" w:color="000000" w:sz="6" w:space="0"/>
              <w:left w:val="single" w:color="000000" w:sz="6" w:space="0"/>
              <w:right w:val="single" w:color="000000" w:sz="6" w:space="0"/>
            </w:tcBorders>
            <w:noWrap w:val="0"/>
            <w:vAlign w:val="center"/>
          </w:tcPr>
          <w:p w14:paraId="77B935FA">
            <w:pPr>
              <w:keepNext w:val="0"/>
              <w:keepLines w:val="0"/>
              <w:suppressLineNumbers w:val="0"/>
              <w:spacing w:before="0" w:beforeAutospacing="0" w:after="0" w:afterAutospacing="0" w:line="300" w:lineRule="exact"/>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资格评审标准</w:t>
            </w:r>
          </w:p>
        </w:tc>
        <w:tc>
          <w:tcPr>
            <w:tcW w:w="6615" w:type="dxa"/>
            <w:gridSpan w:val="2"/>
            <w:tcBorders>
              <w:top w:val="single" w:color="000000" w:sz="6" w:space="0"/>
              <w:left w:val="single" w:color="000000" w:sz="6" w:space="0"/>
              <w:right w:val="single" w:color="000000" w:sz="4" w:space="0"/>
            </w:tcBorders>
            <w:noWrap w:val="0"/>
            <w:vAlign w:val="center"/>
          </w:tcPr>
          <w:p w14:paraId="14727AEC">
            <w:pPr>
              <w:keepNext w:val="0"/>
              <w:keepLines w:val="0"/>
              <w:suppressLineNumbers w:val="0"/>
              <w:spacing w:before="0" w:beforeAutospacing="0" w:after="0" w:afterAutospacing="0"/>
              <w:ind w:left="0" w:right="0"/>
              <w:rPr>
                <w:rFonts w:hint="default" w:ascii="宋体" w:hAnsi="宋体" w:cs="宋体"/>
                <w:color w:val="auto"/>
                <w:kern w:val="2"/>
                <w:highlight w:val="none"/>
              </w:rPr>
            </w:pPr>
            <w:r>
              <w:rPr>
                <w:rFonts w:hint="default" w:ascii="宋体" w:hAnsi="宋体" w:cs="宋体"/>
                <w:color w:val="auto"/>
                <w:kern w:val="2"/>
                <w:szCs w:val="21"/>
                <w:highlight w:val="none"/>
              </w:rPr>
              <w:t>具体评审标准详见附表2：《资格评审表》</w:t>
            </w:r>
          </w:p>
        </w:tc>
      </w:tr>
      <w:tr w14:paraId="7A482786">
        <w:tblPrEx>
          <w:tblCellMar>
            <w:top w:w="0" w:type="dxa"/>
            <w:left w:w="108" w:type="dxa"/>
            <w:bottom w:w="0" w:type="dxa"/>
            <w:right w:w="108" w:type="dxa"/>
          </w:tblCellMar>
        </w:tblPrEx>
        <w:trPr>
          <w:trHeight w:val="1113" w:hRule="atLeast"/>
        </w:trPr>
        <w:tc>
          <w:tcPr>
            <w:tcW w:w="840" w:type="dxa"/>
            <w:tcBorders>
              <w:top w:val="single" w:color="auto" w:sz="4" w:space="0"/>
              <w:left w:val="single" w:color="000000" w:sz="4" w:space="0"/>
              <w:right w:val="single" w:color="000000" w:sz="6" w:space="0"/>
            </w:tcBorders>
            <w:noWrap w:val="0"/>
            <w:vAlign w:val="center"/>
          </w:tcPr>
          <w:p w14:paraId="219A0E19">
            <w:pPr>
              <w:keepNext w:val="0"/>
              <w:keepLines w:val="0"/>
              <w:suppressLineNumbers w:val="0"/>
              <w:spacing w:before="0" w:beforeAutospacing="0" w:after="0" w:afterAutospacing="0" w:line="36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2.1.3（1）</w:t>
            </w:r>
          </w:p>
        </w:tc>
        <w:tc>
          <w:tcPr>
            <w:tcW w:w="1785" w:type="dxa"/>
            <w:gridSpan w:val="2"/>
            <w:tcBorders>
              <w:top w:val="single" w:color="auto" w:sz="4" w:space="0"/>
              <w:left w:val="single" w:color="000000" w:sz="6" w:space="0"/>
              <w:right w:val="single" w:color="000000" w:sz="6" w:space="0"/>
            </w:tcBorders>
            <w:noWrap w:val="0"/>
            <w:vAlign w:val="center"/>
          </w:tcPr>
          <w:p w14:paraId="1DBD1701">
            <w:pPr>
              <w:keepNext w:val="0"/>
              <w:keepLines w:val="0"/>
              <w:suppressLineNumbers w:val="0"/>
              <w:spacing w:before="0" w:beforeAutospacing="0" w:after="0" w:afterAutospacing="0" w:line="300" w:lineRule="exact"/>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勘察设计方案响应性评审标准</w:t>
            </w:r>
          </w:p>
        </w:tc>
        <w:tc>
          <w:tcPr>
            <w:tcW w:w="6615" w:type="dxa"/>
            <w:gridSpan w:val="2"/>
            <w:tcBorders>
              <w:top w:val="single" w:color="000000" w:sz="6" w:space="0"/>
              <w:left w:val="single" w:color="000000" w:sz="6" w:space="0"/>
              <w:right w:val="single" w:color="000000" w:sz="4" w:space="0"/>
            </w:tcBorders>
            <w:noWrap w:val="0"/>
            <w:vAlign w:val="center"/>
          </w:tcPr>
          <w:p w14:paraId="042A38BD">
            <w:pPr>
              <w:keepNext w:val="0"/>
              <w:keepLines w:val="0"/>
              <w:suppressLineNumbers w:val="0"/>
              <w:spacing w:before="0" w:beforeAutospacing="0" w:after="0" w:afterAutospacing="0" w:line="276" w:lineRule="auto"/>
              <w:ind w:left="0" w:right="0"/>
              <w:rPr>
                <w:rFonts w:hint="default" w:ascii="宋体" w:hAnsi="宋体" w:cs="宋体"/>
                <w:color w:val="auto"/>
                <w:kern w:val="2"/>
                <w:szCs w:val="21"/>
                <w:highlight w:val="none"/>
              </w:rPr>
            </w:pPr>
            <w:r>
              <w:rPr>
                <w:rFonts w:hint="default" w:ascii="宋体" w:hAnsi="宋体" w:cs="宋体"/>
                <w:color w:val="auto"/>
                <w:kern w:val="2"/>
                <w:szCs w:val="21"/>
                <w:highlight w:val="none"/>
              </w:rPr>
              <w:t>具体评审标准详见附表3：《勘察设计方案响应性评审表》</w:t>
            </w:r>
          </w:p>
        </w:tc>
      </w:tr>
      <w:tr w14:paraId="33A458FA">
        <w:tblPrEx>
          <w:tblCellMar>
            <w:top w:w="0" w:type="dxa"/>
            <w:left w:w="108" w:type="dxa"/>
            <w:bottom w:w="0" w:type="dxa"/>
            <w:right w:w="108" w:type="dxa"/>
          </w:tblCellMar>
        </w:tblPrEx>
        <w:trPr>
          <w:trHeight w:val="1412" w:hRule="atLeast"/>
        </w:trPr>
        <w:tc>
          <w:tcPr>
            <w:tcW w:w="840" w:type="dxa"/>
            <w:tcBorders>
              <w:top w:val="single" w:color="000000" w:sz="6" w:space="0"/>
              <w:left w:val="single" w:color="000000" w:sz="4" w:space="0"/>
              <w:right w:val="single" w:color="000000" w:sz="6" w:space="0"/>
            </w:tcBorders>
            <w:noWrap w:val="0"/>
            <w:vAlign w:val="center"/>
          </w:tcPr>
          <w:p w14:paraId="28535B49">
            <w:pPr>
              <w:keepNext w:val="0"/>
              <w:keepLines w:val="0"/>
              <w:suppressLineNumbers w:val="0"/>
              <w:spacing w:before="0" w:beforeAutospacing="0" w:after="0" w:afterAutospacing="0" w:line="36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2.1.3（2）</w:t>
            </w:r>
          </w:p>
        </w:tc>
        <w:tc>
          <w:tcPr>
            <w:tcW w:w="1785" w:type="dxa"/>
            <w:gridSpan w:val="2"/>
            <w:tcBorders>
              <w:top w:val="single" w:color="000000" w:sz="6" w:space="0"/>
              <w:left w:val="single" w:color="000000" w:sz="6" w:space="0"/>
              <w:right w:val="single" w:color="000000" w:sz="6" w:space="0"/>
            </w:tcBorders>
            <w:noWrap w:val="0"/>
            <w:vAlign w:val="center"/>
          </w:tcPr>
          <w:p w14:paraId="5F467938">
            <w:pPr>
              <w:keepNext w:val="0"/>
              <w:keepLines w:val="0"/>
              <w:suppressLineNumbers w:val="0"/>
              <w:spacing w:before="0" w:beforeAutospacing="0" w:after="0" w:afterAutospacing="0" w:line="340" w:lineRule="exact"/>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工程总承包实施方案响应性评审标准</w:t>
            </w:r>
          </w:p>
        </w:tc>
        <w:tc>
          <w:tcPr>
            <w:tcW w:w="6615" w:type="dxa"/>
            <w:gridSpan w:val="2"/>
            <w:tcBorders>
              <w:top w:val="single" w:color="000000" w:sz="6" w:space="0"/>
              <w:left w:val="single" w:color="000000" w:sz="6" w:space="0"/>
              <w:right w:val="single" w:color="000000" w:sz="4" w:space="0"/>
            </w:tcBorders>
            <w:noWrap w:val="0"/>
            <w:vAlign w:val="center"/>
          </w:tcPr>
          <w:p w14:paraId="6EAA2EA3">
            <w:pPr>
              <w:keepNext w:val="0"/>
              <w:keepLines w:val="0"/>
              <w:suppressLineNumbers w:val="0"/>
              <w:spacing w:before="0" w:beforeAutospacing="0" w:after="0" w:afterAutospacing="0"/>
              <w:ind w:left="0" w:right="0"/>
              <w:rPr>
                <w:rFonts w:hint="default" w:ascii="宋体" w:hAnsi="宋体" w:cs="宋体"/>
                <w:color w:val="auto"/>
                <w:kern w:val="2"/>
                <w:highlight w:val="none"/>
              </w:rPr>
            </w:pPr>
            <w:r>
              <w:rPr>
                <w:rFonts w:hint="default" w:ascii="宋体" w:hAnsi="宋体" w:cs="宋体"/>
                <w:color w:val="auto"/>
                <w:kern w:val="2"/>
                <w:szCs w:val="21"/>
                <w:highlight w:val="none"/>
              </w:rPr>
              <w:t>具体评审标准详见附表4：《工程总承包实施方案响应性评审表》</w:t>
            </w:r>
          </w:p>
        </w:tc>
      </w:tr>
      <w:tr w14:paraId="1EF062FD">
        <w:tblPrEx>
          <w:tblCellMar>
            <w:top w:w="0" w:type="dxa"/>
            <w:left w:w="108" w:type="dxa"/>
            <w:bottom w:w="0" w:type="dxa"/>
            <w:right w:w="108" w:type="dxa"/>
          </w:tblCellMar>
        </w:tblPrEx>
        <w:trPr>
          <w:trHeight w:val="20" w:hRule="atLeast"/>
        </w:trPr>
        <w:tc>
          <w:tcPr>
            <w:tcW w:w="2625" w:type="dxa"/>
            <w:gridSpan w:val="3"/>
            <w:tcBorders>
              <w:top w:val="single" w:color="000000" w:sz="6" w:space="0"/>
              <w:left w:val="single" w:color="000000" w:sz="4" w:space="0"/>
              <w:bottom w:val="single" w:color="000000" w:sz="6" w:space="0"/>
              <w:right w:val="single" w:color="000000" w:sz="6" w:space="0"/>
            </w:tcBorders>
            <w:noWrap w:val="0"/>
            <w:vAlign w:val="center"/>
          </w:tcPr>
          <w:p w14:paraId="3FA2B05F">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1373" w:type="dxa"/>
            <w:tcBorders>
              <w:top w:val="single" w:color="000000" w:sz="6" w:space="0"/>
              <w:left w:val="single" w:color="000000" w:sz="6" w:space="0"/>
              <w:bottom w:val="single" w:color="000000" w:sz="6" w:space="0"/>
              <w:right w:val="single" w:color="000000" w:sz="6" w:space="0"/>
            </w:tcBorders>
            <w:noWrap w:val="0"/>
            <w:vAlign w:val="center"/>
          </w:tcPr>
          <w:p w14:paraId="2A97BBBE">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条款内容</w:t>
            </w:r>
          </w:p>
        </w:tc>
        <w:tc>
          <w:tcPr>
            <w:tcW w:w="5242" w:type="dxa"/>
            <w:tcBorders>
              <w:top w:val="single" w:color="000000" w:sz="6" w:space="0"/>
              <w:left w:val="single" w:color="000000" w:sz="6" w:space="0"/>
              <w:bottom w:val="single" w:color="000000" w:sz="6" w:space="0"/>
              <w:right w:val="single" w:color="000000" w:sz="4" w:space="0"/>
            </w:tcBorders>
            <w:noWrap w:val="0"/>
            <w:vAlign w:val="center"/>
          </w:tcPr>
          <w:p w14:paraId="1877F199">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编列内容</w:t>
            </w:r>
          </w:p>
        </w:tc>
      </w:tr>
      <w:tr w14:paraId="3C1AA594">
        <w:tblPrEx>
          <w:tblCellMar>
            <w:top w:w="0" w:type="dxa"/>
            <w:left w:w="108" w:type="dxa"/>
            <w:bottom w:w="0" w:type="dxa"/>
            <w:right w:w="108" w:type="dxa"/>
          </w:tblCellMar>
        </w:tblPrEx>
        <w:trPr>
          <w:trHeight w:val="948" w:hRule="atLeast"/>
        </w:trPr>
        <w:tc>
          <w:tcPr>
            <w:tcW w:w="2625" w:type="dxa"/>
            <w:gridSpan w:val="3"/>
            <w:tcBorders>
              <w:top w:val="single" w:color="000000" w:sz="6" w:space="0"/>
              <w:left w:val="single" w:color="000000" w:sz="4" w:space="0"/>
              <w:bottom w:val="single" w:color="000000" w:sz="6" w:space="0"/>
              <w:right w:val="single" w:color="000000" w:sz="6" w:space="0"/>
            </w:tcBorders>
            <w:noWrap w:val="0"/>
            <w:vAlign w:val="center"/>
          </w:tcPr>
          <w:p w14:paraId="0F3FEF0A">
            <w:pPr>
              <w:keepNext w:val="0"/>
              <w:keepLines w:val="0"/>
              <w:suppressLineNumbers w:val="0"/>
              <w:spacing w:before="0" w:beforeAutospacing="0" w:after="0" w:afterAutospacing="0" w:line="36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2.2.1</w:t>
            </w:r>
          </w:p>
        </w:tc>
        <w:tc>
          <w:tcPr>
            <w:tcW w:w="1373" w:type="dxa"/>
            <w:tcBorders>
              <w:top w:val="single" w:color="000000" w:sz="6" w:space="0"/>
              <w:left w:val="single" w:color="000000" w:sz="6" w:space="0"/>
              <w:bottom w:val="single" w:color="000000" w:sz="6" w:space="0"/>
              <w:right w:val="single" w:color="000000" w:sz="6" w:space="0"/>
            </w:tcBorders>
            <w:noWrap w:val="0"/>
            <w:vAlign w:val="center"/>
          </w:tcPr>
          <w:p w14:paraId="55FB9A4F">
            <w:pPr>
              <w:keepNext w:val="0"/>
              <w:keepLines w:val="0"/>
              <w:suppressLineNumbers w:val="0"/>
              <w:spacing w:before="0" w:beforeAutospacing="0" w:after="0" w:afterAutospacing="0" w:line="36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分值构成及权重</w:t>
            </w:r>
          </w:p>
        </w:tc>
        <w:tc>
          <w:tcPr>
            <w:tcW w:w="5242" w:type="dxa"/>
            <w:tcBorders>
              <w:top w:val="single" w:color="000000" w:sz="6" w:space="0"/>
              <w:left w:val="single" w:color="000000" w:sz="6" w:space="0"/>
              <w:bottom w:val="single" w:color="000000" w:sz="6" w:space="0"/>
              <w:right w:val="single" w:color="000000" w:sz="4" w:space="0"/>
            </w:tcBorders>
            <w:noWrap w:val="0"/>
            <w:vAlign w:val="center"/>
          </w:tcPr>
          <w:p w14:paraId="424B118A">
            <w:pPr>
              <w:keepNext w:val="0"/>
              <w:keepLines w:val="0"/>
              <w:suppressLineNumbers w:val="0"/>
              <w:spacing w:before="0" w:beforeAutospacing="0" w:after="0" w:afterAutospacing="0" w:line="276" w:lineRule="auto"/>
              <w:ind w:left="0" w:right="0"/>
              <w:rPr>
                <w:rFonts w:hint="default" w:ascii="宋体" w:hAnsi="宋体" w:cs="宋体"/>
                <w:color w:val="auto"/>
                <w:kern w:val="2"/>
                <w:highlight w:val="none"/>
              </w:rPr>
            </w:pPr>
            <w:r>
              <w:rPr>
                <w:rFonts w:hint="eastAsia" w:ascii="宋体" w:hAnsi="宋体" w:cs="宋体"/>
                <w:color w:val="auto"/>
                <w:kern w:val="2"/>
                <w:szCs w:val="21"/>
                <w:highlight w:val="none"/>
                <w:lang w:val="zh-TW"/>
              </w:rPr>
              <w:t>投标人总得分（满分100分）=勘察设计方案（满分100分）×勘察设计方案权重（30%）+（工程总承包实施方案部分得分（满分100分）×工程总承包实施方案部分得分权重（</w:t>
            </w:r>
            <w:r>
              <w:rPr>
                <w:rFonts w:hint="eastAsia" w:ascii="宋体" w:hAnsi="宋体" w:cs="宋体"/>
                <w:color w:val="auto"/>
                <w:kern w:val="2"/>
                <w:szCs w:val="21"/>
                <w:highlight w:val="none"/>
              </w:rPr>
              <w:t>65</w:t>
            </w:r>
            <w:r>
              <w:rPr>
                <w:rFonts w:hint="eastAsia" w:ascii="宋体" w:hAnsi="宋体" w:cs="宋体"/>
                <w:color w:val="auto"/>
                <w:kern w:val="2"/>
                <w:szCs w:val="21"/>
                <w:highlight w:val="none"/>
                <w:lang w:val="zh-TW"/>
              </w:rPr>
              <w:t>%）+投标报价得分（满分100分）×投标报价得分权重（</w:t>
            </w:r>
            <w:r>
              <w:rPr>
                <w:rFonts w:hint="eastAsia" w:ascii="宋体" w:hAnsi="宋体" w:cs="宋体"/>
                <w:color w:val="auto"/>
                <w:kern w:val="2"/>
                <w:szCs w:val="21"/>
                <w:highlight w:val="none"/>
              </w:rPr>
              <w:t>35</w:t>
            </w:r>
            <w:r>
              <w:rPr>
                <w:rFonts w:hint="eastAsia" w:ascii="宋体" w:hAnsi="宋体" w:cs="宋体"/>
                <w:color w:val="auto"/>
                <w:kern w:val="2"/>
                <w:szCs w:val="21"/>
                <w:highlight w:val="none"/>
                <w:lang w:val="zh-TW"/>
              </w:rPr>
              <w:t>%））×70%</w:t>
            </w:r>
          </w:p>
        </w:tc>
      </w:tr>
      <w:tr w14:paraId="38F43C2B">
        <w:tblPrEx>
          <w:tblCellMar>
            <w:top w:w="0" w:type="dxa"/>
            <w:left w:w="108" w:type="dxa"/>
            <w:bottom w:w="0" w:type="dxa"/>
            <w:right w:w="108" w:type="dxa"/>
          </w:tblCellMar>
        </w:tblPrEx>
        <w:trPr>
          <w:trHeight w:val="948" w:hRule="atLeast"/>
        </w:trPr>
        <w:tc>
          <w:tcPr>
            <w:tcW w:w="2625" w:type="dxa"/>
            <w:gridSpan w:val="3"/>
            <w:tcBorders>
              <w:top w:val="single" w:color="000000" w:sz="6" w:space="0"/>
              <w:left w:val="single" w:color="000000" w:sz="4" w:space="0"/>
              <w:bottom w:val="single" w:color="000000" w:sz="6" w:space="0"/>
              <w:right w:val="single" w:color="000000" w:sz="6" w:space="0"/>
            </w:tcBorders>
            <w:noWrap w:val="0"/>
            <w:vAlign w:val="center"/>
          </w:tcPr>
          <w:p w14:paraId="25EBE7C0">
            <w:pPr>
              <w:keepNext w:val="0"/>
              <w:keepLines w:val="0"/>
              <w:suppressLineNumbers w:val="0"/>
              <w:spacing w:before="0" w:beforeAutospacing="0" w:after="0" w:afterAutospacing="0" w:line="36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2.2.2</w:t>
            </w:r>
          </w:p>
        </w:tc>
        <w:tc>
          <w:tcPr>
            <w:tcW w:w="1373" w:type="dxa"/>
            <w:tcBorders>
              <w:top w:val="single" w:color="000000" w:sz="6" w:space="0"/>
              <w:left w:val="single" w:color="000000" w:sz="6" w:space="0"/>
              <w:bottom w:val="single" w:color="000000" w:sz="6" w:space="0"/>
              <w:right w:val="single" w:color="000000" w:sz="6" w:space="0"/>
            </w:tcBorders>
            <w:noWrap w:val="0"/>
            <w:vAlign w:val="center"/>
          </w:tcPr>
          <w:p w14:paraId="39DAC17E">
            <w:pPr>
              <w:keepNext w:val="0"/>
              <w:keepLines w:val="0"/>
              <w:suppressLineNumbers w:val="0"/>
              <w:spacing w:before="0" w:beforeAutospacing="0" w:after="0" w:afterAutospacing="0"/>
              <w:ind w:left="0" w:right="0"/>
              <w:jc w:val="center"/>
              <w:rPr>
                <w:rFonts w:hint="default" w:ascii="宋体" w:hAnsi="宋体" w:cs="宋体"/>
                <w:color w:val="auto"/>
                <w:kern w:val="2"/>
                <w:highlight w:val="none"/>
              </w:rPr>
            </w:pPr>
            <w:r>
              <w:rPr>
                <w:rFonts w:hint="eastAsia" w:ascii="宋体" w:hAnsi="宋体" w:cs="宋体"/>
                <w:color w:val="auto"/>
                <w:kern w:val="2"/>
                <w:highlight w:val="none"/>
              </w:rPr>
              <w:t>评标基准价计算方法</w:t>
            </w:r>
          </w:p>
        </w:tc>
        <w:tc>
          <w:tcPr>
            <w:tcW w:w="5242" w:type="dxa"/>
            <w:tcBorders>
              <w:top w:val="single" w:color="000000" w:sz="6" w:space="0"/>
              <w:left w:val="single" w:color="000000" w:sz="6" w:space="0"/>
              <w:bottom w:val="single" w:color="000000" w:sz="6" w:space="0"/>
              <w:right w:val="single" w:color="000000" w:sz="4" w:space="0"/>
            </w:tcBorders>
            <w:noWrap w:val="0"/>
            <w:vAlign w:val="center"/>
          </w:tcPr>
          <w:p w14:paraId="77C3F341">
            <w:pPr>
              <w:keepNext w:val="0"/>
              <w:keepLines w:val="0"/>
              <w:suppressLineNumbers w:val="0"/>
              <w:spacing w:before="0" w:beforeAutospacing="0" w:afterAutospacing="0"/>
              <w:ind w:left="0" w:right="0"/>
              <w:rPr>
                <w:rFonts w:hint="default"/>
                <w:color w:val="auto"/>
                <w:kern w:val="2"/>
                <w:highlight w:val="none"/>
              </w:rPr>
            </w:pPr>
            <w:r>
              <w:rPr>
                <w:rFonts w:hint="eastAsia" w:ascii="宋体" w:hAnsi="宋体"/>
                <w:color w:val="auto"/>
                <w:kern w:val="2"/>
                <w:highlight w:val="none"/>
              </w:rPr>
              <w:t>在通过初步评审且经算术复核的建安工程费投标报价位于[建安工程费最高投标限价×90%，建安工程费最高投标限价]区间的投标人超过5家时，在经算术复核的位于[建安工程费最高投标限价×90%，建安工程费最高投标限价]区间的投标人的建安工程费投标报价中，去掉一个最高价和一个最低价后，取剩余报价的算术平均值为评标基准价（精确到小数点后两位）；在通过初步评审且经算术复核的建安工程费投标报价位于[建安工程费最高投标限价×90%，建安工程费最高投标限价]区间的投标人少于5家（含5家）时，直接取区间中经算术复核的建安工程费投标报价的算术平均值为评标基准价（精确到小数点后两位）。</w:t>
            </w:r>
            <w:r>
              <w:rPr>
                <w:rFonts w:hint="eastAsia" w:ascii="宋体" w:hAnsi="宋体"/>
                <w:b/>
                <w:bCs/>
                <w:color w:val="auto"/>
                <w:kern w:val="2"/>
                <w:highlight w:val="none"/>
              </w:rPr>
              <w:t>若在通过初步评审且经算术复核的建安工程费投标报价中，没有建安工程费投标报价位于[建安工程费最高投标限价×90%，建安工程费最高投标限价]区间，</w:t>
            </w:r>
            <w:r>
              <w:rPr>
                <w:rFonts w:hint="eastAsia" w:ascii="宋体" w:hAnsi="宋体"/>
                <w:b/>
                <w:bCs/>
                <w:color w:val="auto"/>
                <w:kern w:val="2"/>
                <w:highlight w:val="none"/>
                <w:u w:val="single"/>
              </w:rPr>
              <w:t>则评标基准价=建安工程费最高投标限价×90%</w:t>
            </w:r>
            <w:r>
              <w:rPr>
                <w:rFonts w:hint="eastAsia" w:ascii="宋体" w:hAnsi="宋体"/>
                <w:color w:val="auto"/>
                <w:kern w:val="2"/>
                <w:highlight w:val="none"/>
              </w:rPr>
              <w:t>。</w:t>
            </w:r>
          </w:p>
        </w:tc>
      </w:tr>
      <w:tr w14:paraId="33FE3775">
        <w:tblPrEx>
          <w:tblCellMar>
            <w:top w:w="0" w:type="dxa"/>
            <w:left w:w="108" w:type="dxa"/>
            <w:bottom w:w="0" w:type="dxa"/>
            <w:right w:w="108" w:type="dxa"/>
          </w:tblCellMar>
        </w:tblPrEx>
        <w:trPr>
          <w:trHeight w:val="948" w:hRule="atLeast"/>
        </w:trPr>
        <w:tc>
          <w:tcPr>
            <w:tcW w:w="2625" w:type="dxa"/>
            <w:gridSpan w:val="3"/>
            <w:tcBorders>
              <w:top w:val="single" w:color="000000" w:sz="6" w:space="0"/>
              <w:left w:val="single" w:color="000000" w:sz="4" w:space="0"/>
              <w:bottom w:val="single" w:color="000000" w:sz="6" w:space="0"/>
              <w:right w:val="single" w:color="000000" w:sz="6" w:space="0"/>
            </w:tcBorders>
            <w:noWrap w:val="0"/>
            <w:vAlign w:val="center"/>
          </w:tcPr>
          <w:p w14:paraId="2D7B5D93">
            <w:pPr>
              <w:keepNext w:val="0"/>
              <w:keepLines w:val="0"/>
              <w:suppressLineNumbers w:val="0"/>
              <w:spacing w:before="0" w:beforeAutospacing="0" w:after="0" w:afterAutospacing="0" w:line="36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2.2.3</w:t>
            </w:r>
          </w:p>
        </w:tc>
        <w:tc>
          <w:tcPr>
            <w:tcW w:w="1373" w:type="dxa"/>
            <w:tcBorders>
              <w:top w:val="single" w:color="000000" w:sz="6" w:space="0"/>
              <w:left w:val="single" w:color="000000" w:sz="6" w:space="0"/>
              <w:bottom w:val="single" w:color="000000" w:sz="6" w:space="0"/>
              <w:right w:val="single" w:color="000000" w:sz="6" w:space="0"/>
            </w:tcBorders>
            <w:noWrap w:val="0"/>
            <w:vAlign w:val="center"/>
          </w:tcPr>
          <w:p w14:paraId="24288FFC">
            <w:pPr>
              <w:keepNext w:val="0"/>
              <w:keepLines w:val="0"/>
              <w:suppressLineNumbers w:val="0"/>
              <w:spacing w:before="0" w:beforeAutospacing="0" w:after="0" w:afterAutospacing="0"/>
              <w:ind w:left="0" w:right="0"/>
              <w:jc w:val="center"/>
              <w:rPr>
                <w:rFonts w:hint="default" w:ascii="宋体" w:hAnsi="宋体" w:cs="宋体"/>
                <w:color w:val="auto"/>
                <w:kern w:val="2"/>
                <w:highlight w:val="none"/>
              </w:rPr>
            </w:pPr>
            <w:r>
              <w:rPr>
                <w:rFonts w:hint="eastAsia" w:ascii="宋体" w:hAnsi="宋体" w:cs="宋体"/>
                <w:color w:val="auto"/>
                <w:kern w:val="2"/>
                <w:highlight w:val="none"/>
              </w:rPr>
              <w:t>建安工程费投标报价的偏差率计算公式</w:t>
            </w:r>
          </w:p>
        </w:tc>
        <w:tc>
          <w:tcPr>
            <w:tcW w:w="5242" w:type="dxa"/>
            <w:tcBorders>
              <w:top w:val="single" w:color="000000" w:sz="6" w:space="0"/>
              <w:left w:val="single" w:color="000000" w:sz="6" w:space="0"/>
              <w:bottom w:val="single" w:color="000000" w:sz="6" w:space="0"/>
              <w:right w:val="single" w:color="000000" w:sz="4" w:space="0"/>
            </w:tcBorders>
            <w:noWrap w:val="0"/>
            <w:vAlign w:val="center"/>
          </w:tcPr>
          <w:p w14:paraId="54698EA3">
            <w:pPr>
              <w:keepNext w:val="0"/>
              <w:keepLines w:val="0"/>
              <w:suppressLineNumbers w:val="0"/>
              <w:spacing w:before="0" w:beforeAutospacing="0" w:after="0" w:afterAutospacing="0"/>
              <w:ind w:left="0" w:right="0"/>
              <w:rPr>
                <w:rFonts w:hint="default" w:ascii="宋体" w:hAnsi="宋体" w:cs="宋体"/>
                <w:color w:val="auto"/>
                <w:kern w:val="2"/>
                <w:highlight w:val="none"/>
              </w:rPr>
            </w:pPr>
            <w:r>
              <w:rPr>
                <w:rFonts w:hint="eastAsia" w:ascii="宋体" w:hAnsi="宋体" w:cs="宋体"/>
                <w:color w:val="auto"/>
                <w:kern w:val="2"/>
                <w:highlight w:val="none"/>
              </w:rPr>
              <w:t>偏差率=100% ×（建安工程费投标报价－评标基准价）/评标基准价</w:t>
            </w:r>
          </w:p>
        </w:tc>
      </w:tr>
      <w:tr w14:paraId="2AAFBD2C">
        <w:tblPrEx>
          <w:tblCellMar>
            <w:top w:w="0" w:type="dxa"/>
            <w:left w:w="108" w:type="dxa"/>
            <w:bottom w:w="0" w:type="dxa"/>
            <w:right w:w="108" w:type="dxa"/>
          </w:tblCellMar>
        </w:tblPrEx>
        <w:trPr>
          <w:trHeight w:val="20" w:hRule="atLeast"/>
        </w:trPr>
        <w:tc>
          <w:tcPr>
            <w:tcW w:w="2625" w:type="dxa"/>
            <w:gridSpan w:val="3"/>
            <w:tcBorders>
              <w:top w:val="single" w:color="000000" w:sz="6" w:space="0"/>
              <w:left w:val="single" w:color="000000" w:sz="4" w:space="0"/>
              <w:bottom w:val="single" w:color="000000" w:sz="6" w:space="0"/>
              <w:right w:val="single" w:color="000000" w:sz="6" w:space="0"/>
            </w:tcBorders>
            <w:noWrap w:val="0"/>
            <w:vAlign w:val="center"/>
          </w:tcPr>
          <w:p w14:paraId="26E099DB">
            <w:pPr>
              <w:keepNext w:val="0"/>
              <w:keepLines w:val="0"/>
              <w:suppressLineNumbers w:val="0"/>
              <w:spacing w:before="0" w:beforeAutospacing="0" w:after="0" w:afterAutospacing="0" w:line="360" w:lineRule="auto"/>
              <w:ind w:left="0" w:right="0"/>
              <w:jc w:val="center"/>
              <w:rPr>
                <w:rFonts w:hint="eastAsia" w:ascii="宋体" w:hAnsi="宋体" w:cs="宋体"/>
                <w:color w:val="auto"/>
                <w:kern w:val="1"/>
                <w:szCs w:val="21"/>
                <w:highlight w:val="none"/>
              </w:rPr>
            </w:pPr>
            <w:r>
              <w:rPr>
                <w:rFonts w:hint="eastAsia" w:ascii="宋体" w:hAnsi="宋体" w:cs="宋体"/>
                <w:b/>
                <w:color w:val="auto"/>
                <w:kern w:val="1"/>
                <w:szCs w:val="21"/>
                <w:highlight w:val="none"/>
              </w:rPr>
              <w:t>条款号</w:t>
            </w:r>
          </w:p>
        </w:tc>
        <w:tc>
          <w:tcPr>
            <w:tcW w:w="1373" w:type="dxa"/>
            <w:tcBorders>
              <w:top w:val="single" w:color="000000" w:sz="6" w:space="0"/>
              <w:left w:val="single" w:color="000000" w:sz="6" w:space="0"/>
              <w:bottom w:val="single" w:color="000000" w:sz="6" w:space="0"/>
              <w:right w:val="single" w:color="000000" w:sz="4" w:space="0"/>
            </w:tcBorders>
            <w:noWrap w:val="0"/>
            <w:vAlign w:val="center"/>
          </w:tcPr>
          <w:p w14:paraId="2E05AC74">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评分因素</w:t>
            </w:r>
          </w:p>
        </w:tc>
        <w:tc>
          <w:tcPr>
            <w:tcW w:w="5242" w:type="dxa"/>
            <w:tcBorders>
              <w:top w:val="single" w:color="000000" w:sz="6" w:space="0"/>
              <w:left w:val="single" w:color="000000" w:sz="4" w:space="0"/>
              <w:bottom w:val="single" w:color="000000" w:sz="6" w:space="0"/>
              <w:right w:val="single" w:color="000000" w:sz="4" w:space="0"/>
            </w:tcBorders>
            <w:noWrap w:val="0"/>
            <w:vAlign w:val="center"/>
          </w:tcPr>
          <w:p w14:paraId="1AE86552">
            <w:pPr>
              <w:keepNext w:val="0"/>
              <w:keepLines w:val="0"/>
              <w:suppressLineNumbers w:val="0"/>
              <w:spacing w:before="0" w:beforeAutospacing="0" w:after="0" w:afterAutospacing="0" w:line="360" w:lineRule="auto"/>
              <w:ind w:left="0" w:right="0"/>
              <w:jc w:val="center"/>
              <w:rPr>
                <w:rFonts w:hint="eastAsia" w:ascii="宋体" w:hAnsi="宋体" w:cs="宋体"/>
                <w:color w:val="auto"/>
                <w:kern w:val="1"/>
                <w:szCs w:val="21"/>
                <w:highlight w:val="none"/>
              </w:rPr>
            </w:pPr>
            <w:r>
              <w:rPr>
                <w:rFonts w:hint="eastAsia" w:ascii="宋体" w:hAnsi="宋体" w:cs="宋体"/>
                <w:b/>
                <w:color w:val="auto"/>
                <w:kern w:val="1"/>
                <w:szCs w:val="21"/>
                <w:highlight w:val="none"/>
              </w:rPr>
              <w:t>评分标准</w:t>
            </w:r>
          </w:p>
        </w:tc>
      </w:tr>
      <w:tr w14:paraId="6CC26FEE">
        <w:tblPrEx>
          <w:tblCellMar>
            <w:top w:w="0" w:type="dxa"/>
            <w:left w:w="108" w:type="dxa"/>
            <w:bottom w:w="0" w:type="dxa"/>
            <w:right w:w="108" w:type="dxa"/>
          </w:tblCellMar>
        </w:tblPrEx>
        <w:trPr>
          <w:trHeight w:val="720" w:hRule="atLeast"/>
        </w:trPr>
        <w:tc>
          <w:tcPr>
            <w:tcW w:w="1178" w:type="dxa"/>
            <w:gridSpan w:val="2"/>
            <w:tcBorders>
              <w:top w:val="single" w:color="000000" w:sz="6" w:space="0"/>
              <w:left w:val="single" w:color="000000" w:sz="4" w:space="0"/>
              <w:bottom w:val="single" w:color="auto" w:sz="4" w:space="0"/>
              <w:right w:val="single" w:color="000000" w:sz="4" w:space="0"/>
            </w:tcBorders>
            <w:noWrap w:val="0"/>
            <w:vAlign w:val="center"/>
          </w:tcPr>
          <w:p w14:paraId="0767080F">
            <w:pPr>
              <w:keepNext w:val="0"/>
              <w:keepLines w:val="0"/>
              <w:suppressLineNumbers w:val="0"/>
              <w:spacing w:before="0" w:beforeAutospacing="0" w:after="0" w:afterAutospacing="0" w:line="36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2.2.4（1）</w:t>
            </w:r>
          </w:p>
        </w:tc>
        <w:tc>
          <w:tcPr>
            <w:tcW w:w="1447" w:type="dxa"/>
            <w:tcBorders>
              <w:top w:val="single" w:color="000000" w:sz="6" w:space="0"/>
              <w:left w:val="single" w:color="000000" w:sz="4" w:space="0"/>
              <w:bottom w:val="single" w:color="auto" w:sz="4" w:space="0"/>
              <w:right w:val="single" w:color="000000" w:sz="6" w:space="0"/>
            </w:tcBorders>
            <w:noWrap w:val="0"/>
            <w:vAlign w:val="center"/>
          </w:tcPr>
          <w:p w14:paraId="080339FB">
            <w:pPr>
              <w:keepNext w:val="0"/>
              <w:keepLines w:val="0"/>
              <w:suppressLineNumbers w:val="0"/>
              <w:spacing w:before="0" w:beforeAutospacing="0" w:after="0" w:afterAutospacing="0" w:line="36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勘察设计方案评分标准</w:t>
            </w:r>
          </w:p>
        </w:tc>
        <w:tc>
          <w:tcPr>
            <w:tcW w:w="1373" w:type="dxa"/>
            <w:tcBorders>
              <w:top w:val="single" w:color="000000" w:sz="6" w:space="0"/>
              <w:left w:val="single" w:color="000000" w:sz="6" w:space="0"/>
              <w:bottom w:val="single" w:color="000000" w:sz="6" w:space="0"/>
              <w:right w:val="single" w:color="000000" w:sz="4" w:space="0"/>
            </w:tcBorders>
            <w:noWrap w:val="0"/>
            <w:vAlign w:val="center"/>
          </w:tcPr>
          <w:p w14:paraId="25494111">
            <w:pPr>
              <w:keepNext w:val="0"/>
              <w:keepLines w:val="0"/>
              <w:suppressLineNumbers w:val="0"/>
              <w:spacing w:before="0" w:beforeAutospacing="0" w:after="0" w:afterAutospacing="0" w:line="36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勘察设计方案部分</w:t>
            </w:r>
          </w:p>
        </w:tc>
        <w:tc>
          <w:tcPr>
            <w:tcW w:w="5242" w:type="dxa"/>
            <w:tcBorders>
              <w:top w:val="single" w:color="000000" w:sz="6" w:space="0"/>
              <w:left w:val="single" w:color="000000" w:sz="4" w:space="0"/>
              <w:bottom w:val="single" w:color="000000" w:sz="6" w:space="0"/>
              <w:right w:val="single" w:color="000000" w:sz="4" w:space="0"/>
            </w:tcBorders>
            <w:noWrap w:val="0"/>
            <w:vAlign w:val="center"/>
          </w:tcPr>
          <w:p w14:paraId="75977987">
            <w:pPr>
              <w:keepNext w:val="0"/>
              <w:keepLines w:val="0"/>
              <w:suppressLineNumbers w:val="0"/>
              <w:spacing w:before="0" w:beforeAutospacing="0" w:after="0" w:afterAutospacing="0" w:line="360" w:lineRule="auto"/>
              <w:ind w:left="0" w:right="0"/>
              <w:rPr>
                <w:rFonts w:hint="eastAsia" w:ascii="宋体" w:hAnsi="宋体" w:cs="宋体"/>
                <w:color w:val="auto"/>
                <w:kern w:val="1"/>
                <w:szCs w:val="21"/>
                <w:highlight w:val="none"/>
              </w:rPr>
            </w:pPr>
            <w:r>
              <w:rPr>
                <w:rFonts w:hint="eastAsia" w:ascii="宋体" w:hAnsi="宋体" w:cs="宋体"/>
                <w:color w:val="auto"/>
                <w:kern w:val="1"/>
                <w:szCs w:val="21"/>
                <w:highlight w:val="none"/>
              </w:rPr>
              <w:t>见附表5《勘察设计方案评分表》</w:t>
            </w:r>
          </w:p>
        </w:tc>
      </w:tr>
      <w:tr w14:paraId="3225485B">
        <w:tblPrEx>
          <w:tblCellMar>
            <w:top w:w="0" w:type="dxa"/>
            <w:left w:w="108" w:type="dxa"/>
            <w:bottom w:w="0" w:type="dxa"/>
            <w:right w:w="108" w:type="dxa"/>
          </w:tblCellMar>
        </w:tblPrEx>
        <w:trPr>
          <w:trHeight w:val="714" w:hRule="atLeast"/>
        </w:trPr>
        <w:tc>
          <w:tcPr>
            <w:tcW w:w="1178" w:type="dxa"/>
            <w:gridSpan w:val="2"/>
            <w:tcBorders>
              <w:top w:val="single" w:color="000000" w:sz="6" w:space="0"/>
              <w:left w:val="single" w:color="000000" w:sz="4" w:space="0"/>
              <w:bottom w:val="single" w:color="auto" w:sz="4" w:space="0"/>
              <w:right w:val="single" w:color="000000" w:sz="4" w:space="0"/>
            </w:tcBorders>
            <w:noWrap w:val="0"/>
            <w:vAlign w:val="center"/>
          </w:tcPr>
          <w:p w14:paraId="587747EA">
            <w:pPr>
              <w:keepNext w:val="0"/>
              <w:keepLines w:val="0"/>
              <w:suppressLineNumbers w:val="0"/>
              <w:spacing w:before="0" w:beforeAutospacing="0" w:after="0" w:afterAutospacing="0" w:line="36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2.2.4（2）</w:t>
            </w:r>
          </w:p>
        </w:tc>
        <w:tc>
          <w:tcPr>
            <w:tcW w:w="1447" w:type="dxa"/>
            <w:vMerge w:val="restart"/>
            <w:tcBorders>
              <w:top w:val="single" w:color="auto" w:sz="4" w:space="0"/>
              <w:left w:val="single" w:color="000000" w:sz="4" w:space="0"/>
              <w:right w:val="single" w:color="000000" w:sz="6" w:space="0"/>
            </w:tcBorders>
            <w:noWrap w:val="0"/>
            <w:vAlign w:val="center"/>
          </w:tcPr>
          <w:p w14:paraId="0E327EF8">
            <w:pPr>
              <w:keepNext w:val="0"/>
              <w:keepLines w:val="0"/>
              <w:suppressLineNumbers w:val="0"/>
              <w:spacing w:before="0" w:beforeAutospacing="0" w:after="0" w:afterAutospacing="0" w:line="36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工程总承包实施方案评分标准</w:t>
            </w:r>
          </w:p>
        </w:tc>
        <w:tc>
          <w:tcPr>
            <w:tcW w:w="1373" w:type="dxa"/>
            <w:tcBorders>
              <w:top w:val="single" w:color="000000" w:sz="6" w:space="0"/>
              <w:left w:val="single" w:color="000000" w:sz="6" w:space="0"/>
              <w:bottom w:val="single" w:color="000000" w:sz="6" w:space="0"/>
              <w:right w:val="single" w:color="000000" w:sz="4" w:space="0"/>
            </w:tcBorders>
            <w:noWrap w:val="0"/>
            <w:vAlign w:val="center"/>
          </w:tcPr>
          <w:p w14:paraId="22ED163E">
            <w:pPr>
              <w:keepNext w:val="0"/>
              <w:keepLines w:val="0"/>
              <w:suppressLineNumbers w:val="0"/>
              <w:spacing w:before="0" w:beforeAutospacing="0" w:after="0" w:afterAutospacing="0" w:line="36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工程总承包实施方案技术部分</w:t>
            </w:r>
          </w:p>
        </w:tc>
        <w:tc>
          <w:tcPr>
            <w:tcW w:w="5242" w:type="dxa"/>
            <w:tcBorders>
              <w:top w:val="single" w:color="000000" w:sz="6" w:space="0"/>
              <w:left w:val="single" w:color="000000" w:sz="4" w:space="0"/>
              <w:bottom w:val="single" w:color="000000" w:sz="6" w:space="0"/>
              <w:right w:val="single" w:color="000000" w:sz="4" w:space="0"/>
            </w:tcBorders>
            <w:noWrap w:val="0"/>
            <w:vAlign w:val="center"/>
          </w:tcPr>
          <w:p w14:paraId="31EACCDB">
            <w:pPr>
              <w:keepNext w:val="0"/>
              <w:keepLines w:val="0"/>
              <w:suppressLineNumbers w:val="0"/>
              <w:spacing w:before="0" w:beforeAutospacing="0" w:after="0" w:afterAutospacing="0" w:line="360" w:lineRule="auto"/>
              <w:ind w:left="0" w:right="0"/>
              <w:rPr>
                <w:rFonts w:hint="eastAsia" w:ascii="宋体" w:hAnsi="宋体" w:cs="宋体"/>
                <w:color w:val="auto"/>
                <w:kern w:val="1"/>
                <w:szCs w:val="21"/>
                <w:highlight w:val="none"/>
              </w:rPr>
            </w:pPr>
            <w:r>
              <w:rPr>
                <w:rFonts w:hint="eastAsia" w:ascii="宋体" w:hAnsi="宋体" w:cs="宋体"/>
                <w:color w:val="auto"/>
                <w:kern w:val="1"/>
                <w:szCs w:val="21"/>
                <w:highlight w:val="none"/>
              </w:rPr>
              <w:t>见附表6《工程总承包实施方案技术部分评分表》</w:t>
            </w:r>
          </w:p>
        </w:tc>
      </w:tr>
      <w:tr w14:paraId="62D1F21B">
        <w:tblPrEx>
          <w:tblCellMar>
            <w:top w:w="0" w:type="dxa"/>
            <w:left w:w="108" w:type="dxa"/>
            <w:bottom w:w="0" w:type="dxa"/>
            <w:right w:w="108" w:type="dxa"/>
          </w:tblCellMar>
        </w:tblPrEx>
        <w:trPr>
          <w:trHeight w:val="538" w:hRule="atLeast"/>
        </w:trPr>
        <w:tc>
          <w:tcPr>
            <w:tcW w:w="1178" w:type="dxa"/>
            <w:gridSpan w:val="2"/>
            <w:tcBorders>
              <w:top w:val="single" w:color="auto" w:sz="4" w:space="0"/>
              <w:left w:val="single" w:color="000000" w:sz="4" w:space="0"/>
              <w:bottom w:val="single" w:color="000000" w:sz="6" w:space="0"/>
              <w:right w:val="single" w:color="000000" w:sz="4" w:space="0"/>
            </w:tcBorders>
            <w:noWrap w:val="0"/>
            <w:vAlign w:val="center"/>
          </w:tcPr>
          <w:p w14:paraId="6F299582">
            <w:pPr>
              <w:keepNext w:val="0"/>
              <w:keepLines w:val="0"/>
              <w:suppressLineNumbers w:val="0"/>
              <w:spacing w:before="0" w:beforeAutospacing="0" w:after="0" w:afterAutospacing="0" w:line="36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2.2.4（3）</w:t>
            </w:r>
          </w:p>
        </w:tc>
        <w:tc>
          <w:tcPr>
            <w:tcW w:w="1447" w:type="dxa"/>
            <w:vMerge w:val="continue"/>
            <w:tcBorders>
              <w:left w:val="single" w:color="000000" w:sz="4" w:space="0"/>
              <w:bottom w:val="single" w:color="000000" w:sz="6" w:space="0"/>
              <w:right w:val="single" w:color="000000" w:sz="6" w:space="0"/>
            </w:tcBorders>
            <w:noWrap w:val="0"/>
            <w:vAlign w:val="center"/>
          </w:tcPr>
          <w:p w14:paraId="1B6FDBAB">
            <w:pPr>
              <w:keepNext w:val="0"/>
              <w:keepLines w:val="0"/>
              <w:suppressLineNumbers w:val="0"/>
              <w:spacing w:before="0" w:beforeAutospacing="0" w:after="0" w:afterAutospacing="0" w:line="360" w:lineRule="auto"/>
              <w:ind w:left="0" w:right="0"/>
              <w:jc w:val="center"/>
              <w:rPr>
                <w:rFonts w:hint="eastAsia"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000000" w:sz="4" w:space="0"/>
            </w:tcBorders>
            <w:noWrap w:val="0"/>
            <w:vAlign w:val="center"/>
          </w:tcPr>
          <w:p w14:paraId="26BB3D41">
            <w:pPr>
              <w:keepNext w:val="0"/>
              <w:keepLines w:val="0"/>
              <w:suppressLineNumbers w:val="0"/>
              <w:spacing w:before="0" w:beforeAutospacing="0" w:after="0" w:afterAutospacing="0" w:line="360" w:lineRule="auto"/>
              <w:ind w:left="0" w:right="0"/>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工程总承包实施方案经济部分</w:t>
            </w:r>
          </w:p>
        </w:tc>
        <w:tc>
          <w:tcPr>
            <w:tcW w:w="5242" w:type="dxa"/>
            <w:tcBorders>
              <w:top w:val="single" w:color="000000" w:sz="6" w:space="0"/>
              <w:left w:val="single" w:color="000000" w:sz="4" w:space="0"/>
              <w:bottom w:val="single" w:color="000000" w:sz="6" w:space="0"/>
              <w:right w:val="single" w:color="000000" w:sz="4" w:space="0"/>
            </w:tcBorders>
            <w:noWrap w:val="0"/>
            <w:vAlign w:val="center"/>
          </w:tcPr>
          <w:p w14:paraId="112732AC">
            <w:pPr>
              <w:keepNext w:val="0"/>
              <w:keepLines w:val="0"/>
              <w:suppressLineNumbers w:val="0"/>
              <w:spacing w:before="0" w:beforeAutospacing="0" w:after="0" w:afterAutospacing="0" w:line="276" w:lineRule="auto"/>
              <w:ind w:left="0" w:right="0"/>
              <w:rPr>
                <w:rFonts w:hint="eastAsia" w:ascii="宋体" w:hAnsi="宋体" w:cs="宋体"/>
                <w:color w:val="auto"/>
                <w:kern w:val="1"/>
                <w:szCs w:val="21"/>
                <w:highlight w:val="none"/>
              </w:rPr>
            </w:pPr>
            <w:r>
              <w:rPr>
                <w:rFonts w:hint="eastAsia" w:ascii="宋体" w:hAnsi="宋体" w:cs="宋体"/>
                <w:color w:val="auto"/>
                <w:kern w:val="1"/>
                <w:szCs w:val="21"/>
                <w:highlight w:val="none"/>
              </w:rPr>
              <w:t>评标委员会按“当建安工程费投标报价等于评标基准价时得100分，评标价每高于评标基准价1%，扣</w:t>
            </w:r>
            <w:r>
              <w:rPr>
                <w:rFonts w:hint="eastAsia" w:ascii="宋体" w:hAnsi="宋体" w:cs="宋体"/>
                <w:color w:val="auto"/>
                <w:kern w:val="1"/>
                <w:szCs w:val="21"/>
                <w:highlight w:val="none"/>
                <w:lang w:eastAsia="zh-CN"/>
              </w:rPr>
              <w:t>1</w:t>
            </w:r>
            <w:r>
              <w:rPr>
                <w:rFonts w:hint="eastAsia" w:ascii="宋体" w:hAnsi="宋体" w:cs="宋体"/>
                <w:color w:val="auto"/>
                <w:kern w:val="1"/>
                <w:szCs w:val="21"/>
                <w:highlight w:val="none"/>
                <w:lang w:val="en-US" w:eastAsia="zh-CN"/>
              </w:rPr>
              <w:t>.5</w:t>
            </w:r>
            <w:r>
              <w:rPr>
                <w:rFonts w:hint="eastAsia" w:ascii="宋体" w:hAnsi="宋体" w:cs="宋体"/>
                <w:color w:val="auto"/>
                <w:kern w:val="1"/>
                <w:szCs w:val="21"/>
                <w:highlight w:val="none"/>
              </w:rPr>
              <w:t>分，每低于评标基准价1%，扣</w:t>
            </w:r>
            <w:r>
              <w:rPr>
                <w:rFonts w:hint="eastAsia" w:ascii="宋体" w:hAnsi="宋体" w:cs="宋体"/>
                <w:color w:val="auto"/>
                <w:kern w:val="1"/>
                <w:szCs w:val="21"/>
                <w:highlight w:val="none"/>
                <w:lang w:eastAsia="zh-CN"/>
              </w:rPr>
              <w:t>1</w:t>
            </w:r>
            <w:r>
              <w:rPr>
                <w:rFonts w:hint="eastAsia" w:ascii="宋体" w:hAnsi="宋体" w:cs="宋体"/>
                <w:color w:val="auto"/>
                <w:kern w:val="1"/>
                <w:szCs w:val="21"/>
                <w:highlight w:val="none"/>
              </w:rPr>
              <w:t>分，最多扣100分”的标准，计算出工程总承包实施方案经济部分得分，精确到小数点后两位。</w:t>
            </w:r>
          </w:p>
        </w:tc>
      </w:tr>
      <w:tr w14:paraId="7D99BB11">
        <w:tblPrEx>
          <w:tblCellMar>
            <w:top w:w="0" w:type="dxa"/>
            <w:left w:w="108" w:type="dxa"/>
            <w:bottom w:w="0" w:type="dxa"/>
            <w:right w:w="108" w:type="dxa"/>
          </w:tblCellMar>
        </w:tblPrEx>
        <w:trPr>
          <w:trHeight w:val="305" w:hRule="atLeast"/>
        </w:trPr>
        <w:tc>
          <w:tcPr>
            <w:tcW w:w="9240" w:type="dxa"/>
            <w:gridSpan w:val="5"/>
            <w:tcBorders>
              <w:top w:val="single" w:color="000000" w:sz="6" w:space="0"/>
              <w:left w:val="single" w:color="000000" w:sz="4" w:space="0"/>
              <w:bottom w:val="single" w:color="000000" w:sz="6" w:space="0"/>
              <w:right w:val="single" w:color="000000" w:sz="4" w:space="0"/>
            </w:tcBorders>
            <w:noWrap w:val="0"/>
            <w:vAlign w:val="center"/>
          </w:tcPr>
          <w:p w14:paraId="6D3D4EA2">
            <w:pPr>
              <w:keepNext w:val="0"/>
              <w:keepLines w:val="0"/>
              <w:suppressLineNumbers w:val="0"/>
              <w:spacing w:before="0" w:beforeAutospacing="0" w:after="0" w:afterAutospacing="0" w:line="360" w:lineRule="auto"/>
              <w:ind w:left="0" w:right="0"/>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需要补充的其他内容</w:t>
            </w:r>
          </w:p>
        </w:tc>
      </w:tr>
      <w:tr w14:paraId="1799CE38">
        <w:tblPrEx>
          <w:tblCellMar>
            <w:top w:w="0" w:type="dxa"/>
            <w:left w:w="108" w:type="dxa"/>
            <w:bottom w:w="0" w:type="dxa"/>
            <w:right w:w="108" w:type="dxa"/>
          </w:tblCellMar>
        </w:tblPrEx>
        <w:trPr>
          <w:trHeight w:val="759" w:hRule="atLeast"/>
        </w:trPr>
        <w:tc>
          <w:tcPr>
            <w:tcW w:w="9240" w:type="dxa"/>
            <w:gridSpan w:val="5"/>
            <w:tcBorders>
              <w:top w:val="single" w:color="000000" w:sz="6" w:space="0"/>
              <w:left w:val="single" w:color="000000" w:sz="4" w:space="0"/>
              <w:bottom w:val="single" w:color="000000" w:sz="4" w:space="0"/>
              <w:right w:val="single" w:color="000000" w:sz="4" w:space="0"/>
            </w:tcBorders>
            <w:noWrap w:val="0"/>
            <w:vAlign w:val="center"/>
          </w:tcPr>
          <w:p w14:paraId="182C881B">
            <w:pPr>
              <w:keepNext w:val="0"/>
              <w:keepLines w:val="0"/>
              <w:suppressLineNumbers w:val="0"/>
              <w:spacing w:before="0" w:beforeAutospacing="0" w:after="0" w:afterAutospacing="0" w:line="360" w:lineRule="auto"/>
              <w:ind w:left="0" w:right="0"/>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关于联合体投标人评标的相关规定：</w:t>
            </w:r>
          </w:p>
          <w:p w14:paraId="365382E4">
            <w:pPr>
              <w:keepNext w:val="0"/>
              <w:keepLines w:val="0"/>
              <w:suppressLineNumbers w:val="0"/>
              <w:spacing w:before="0" w:beforeAutospacing="0" w:after="0" w:afterAutospacing="0" w:line="360" w:lineRule="auto"/>
              <w:ind w:left="0" w:right="0"/>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1）如投标人组成联合体，应以</w:t>
            </w:r>
            <w:r>
              <w:rPr>
                <w:rFonts w:hint="eastAsia" w:ascii="宋体" w:hAnsi="宋体" w:cs="宋体"/>
                <w:color w:val="auto"/>
                <w:kern w:val="2"/>
                <w:szCs w:val="21"/>
                <w:highlight w:val="none"/>
              </w:rPr>
              <w:t>承接</w:t>
            </w:r>
            <w:r>
              <w:rPr>
                <w:rFonts w:hint="eastAsia" w:ascii="宋体" w:hAnsi="宋体" w:cs="宋体"/>
                <w:color w:val="auto"/>
                <w:kern w:val="2"/>
                <w:szCs w:val="21"/>
                <w:highlight w:val="none"/>
                <w:u w:val="single"/>
              </w:rPr>
              <w:t>施工</w:t>
            </w:r>
            <w:r>
              <w:rPr>
                <w:rFonts w:hint="eastAsia" w:ascii="宋体" w:hAnsi="宋体" w:cs="宋体"/>
                <w:color w:val="auto"/>
                <w:kern w:val="2"/>
                <w:szCs w:val="21"/>
                <w:highlight w:val="none"/>
              </w:rPr>
              <w:t>任务的一家单位为主办方</w:t>
            </w:r>
            <w:r>
              <w:rPr>
                <w:rFonts w:hint="eastAsia" w:ascii="宋体" w:hAnsi="宋体" w:cs="宋体"/>
                <w:color w:val="auto"/>
                <w:kern w:val="1"/>
                <w:szCs w:val="21"/>
                <w:highlight w:val="none"/>
              </w:rPr>
              <w:t>，并签订联合体共同投标协议书。联合体共同投标协议书应明确约定各方拟承担的工作和责任。投标人拟任本工程项目负责人应为</w:t>
            </w:r>
            <w:r>
              <w:rPr>
                <w:rFonts w:hint="eastAsia" w:ascii="宋体" w:hAnsi="宋体" w:cs="宋体"/>
                <w:color w:val="auto"/>
                <w:kern w:val="2"/>
                <w:szCs w:val="21"/>
                <w:highlight w:val="none"/>
              </w:rPr>
              <w:t>主办</w:t>
            </w:r>
            <w:r>
              <w:rPr>
                <w:rFonts w:hint="eastAsia" w:ascii="宋体" w:hAnsi="宋体" w:cs="宋体"/>
                <w:color w:val="auto"/>
                <w:kern w:val="1"/>
                <w:szCs w:val="21"/>
                <w:highlight w:val="none"/>
              </w:rPr>
              <w:t>方正式员工。</w:t>
            </w:r>
          </w:p>
          <w:p w14:paraId="5AA2E602">
            <w:pPr>
              <w:keepNext w:val="0"/>
              <w:keepLines w:val="0"/>
              <w:suppressLineNumbers w:val="0"/>
              <w:spacing w:before="0" w:beforeAutospacing="0" w:after="0" w:afterAutospacing="0" w:line="360" w:lineRule="auto"/>
              <w:ind w:left="0" w:right="0"/>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2）如组成联合体投标的，勘察设计部分评分以承接勘察设计任务的单位为准；施工部分评分以承接施工任务的单位为准。</w:t>
            </w:r>
          </w:p>
          <w:p w14:paraId="1633CC01">
            <w:pPr>
              <w:keepNext w:val="0"/>
              <w:keepLines w:val="0"/>
              <w:suppressLineNumbers w:val="0"/>
              <w:spacing w:before="0" w:beforeAutospacing="0" w:after="0" w:afterAutospacing="0" w:line="360" w:lineRule="auto"/>
              <w:ind w:left="0" w:right="0"/>
              <w:rPr>
                <w:rFonts w:hint="default" w:ascii="宋体" w:hAnsi="宋体"/>
                <w:color w:val="auto"/>
                <w:kern w:val="2"/>
                <w:highlight w:val="none"/>
              </w:rPr>
            </w:pPr>
            <w:r>
              <w:rPr>
                <w:rFonts w:hint="eastAsia" w:ascii="宋体" w:hAnsi="宋体"/>
                <w:color w:val="auto"/>
                <w:kern w:val="2"/>
                <w:highlight w:val="none"/>
              </w:rPr>
              <w:t>3）</w:t>
            </w:r>
            <w:r>
              <w:rPr>
                <w:rFonts w:hint="eastAsia" w:ascii="宋体" w:hAnsi="宋体"/>
                <w:b/>
                <w:bCs/>
                <w:color w:val="auto"/>
                <w:kern w:val="2"/>
                <w:highlight w:val="none"/>
              </w:rPr>
              <w:t>本项目工程成本警戒价为建安工程费投标最高限价的90%。</w:t>
            </w:r>
            <w:r>
              <w:rPr>
                <w:rFonts w:hint="eastAsia" w:ascii="宋体" w:hAnsi="宋体"/>
                <w:color w:val="auto"/>
                <w:kern w:val="2"/>
                <w:highlight w:val="none"/>
              </w:rPr>
              <w:t>对低于该警戒价的投标报价，投标人必须提供详细的施工组织设计、单价、措施性费用、单价分析表、主要材料价格表、投标人成本分析供评标委员会评审，由评标委员会判定其是否低于企业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69D797C8">
            <w:pPr>
              <w:pStyle w:val="4"/>
              <w:suppressLineNumbers w:val="0"/>
              <w:spacing w:beforeAutospacing="0" w:afterAutospacing="0" w:line="360" w:lineRule="auto"/>
              <w:ind w:left="0" w:right="0"/>
              <w:outlineLvl w:val="1"/>
              <w:rPr>
                <w:rFonts w:hint="default"/>
                <w:color w:val="auto"/>
                <w:kern w:val="2"/>
                <w:highlight w:val="none"/>
              </w:rPr>
            </w:pPr>
            <w:r>
              <w:rPr>
                <w:rFonts w:hint="eastAsia" w:ascii="宋体" w:hAnsi="宋体" w:eastAsia="宋体" w:cs="宋体"/>
                <w:b w:val="0"/>
                <w:color w:val="auto"/>
                <w:kern w:val="0"/>
                <w:sz w:val="21"/>
                <w:szCs w:val="21"/>
                <w:highlight w:val="none"/>
              </w:rPr>
              <w:t>4）投标人在编制工程总承包实施方案时应按照招标文件要求，并针对本项目的关键技术、工艺、重点、难点以及拟在本项目采用的新工艺、新技术、新材料编制，应突出重点，标准、规范中已有的内容无需赘述，不宜超过200页。超过部分不予评审。</w:t>
            </w:r>
          </w:p>
        </w:tc>
      </w:tr>
    </w:tbl>
    <w:p w14:paraId="155D3FE3">
      <w:pPr>
        <w:spacing w:line="360" w:lineRule="auto"/>
        <w:jc w:val="left"/>
        <w:rPr>
          <w:rFonts w:ascii="宋体" w:hAnsi="宋体" w:cs="宋体"/>
          <w:color w:val="auto"/>
          <w:highlight w:val="none"/>
        </w:rPr>
        <w:sectPr>
          <w:headerReference r:id="rId12" w:type="default"/>
          <w:footerReference r:id="rId13" w:type="default"/>
          <w:pgSz w:w="11907" w:h="16840"/>
          <w:pgMar w:top="1134" w:right="1134" w:bottom="1134" w:left="1134" w:header="851" w:footer="720" w:gutter="0"/>
          <w:cols w:space="720" w:num="1"/>
        </w:sectPr>
      </w:pPr>
    </w:p>
    <w:p w14:paraId="0E1501AD">
      <w:pPr>
        <w:pStyle w:val="4"/>
        <w:spacing w:before="0" w:after="0" w:line="360" w:lineRule="auto"/>
        <w:rPr>
          <w:rFonts w:ascii="宋体" w:hAnsi="宋体" w:eastAsia="宋体" w:cs="宋体"/>
          <w:color w:val="auto"/>
          <w:sz w:val="24"/>
          <w:szCs w:val="24"/>
          <w:highlight w:val="none"/>
          <w:lang w:val="zh-CN"/>
        </w:rPr>
      </w:pPr>
      <w:bookmarkStart w:id="350" w:name="_Toc3262"/>
      <w:bookmarkEnd w:id="350"/>
      <w:bookmarkStart w:id="351" w:name="_Toc27323"/>
      <w:bookmarkEnd w:id="351"/>
      <w:bookmarkStart w:id="352" w:name="_Toc1626"/>
      <w:bookmarkStart w:id="353" w:name="_Toc5620347"/>
      <w:r>
        <w:rPr>
          <w:rFonts w:hint="eastAsia" w:ascii="宋体" w:hAnsi="宋体" w:eastAsia="宋体" w:cs="宋体"/>
          <w:color w:val="auto"/>
          <w:sz w:val="24"/>
          <w:szCs w:val="24"/>
          <w:highlight w:val="none"/>
          <w:lang w:val="zh-CN"/>
        </w:rPr>
        <w:t>1. 评标方法</w:t>
      </w:r>
      <w:bookmarkEnd w:id="352"/>
      <w:bookmarkEnd w:id="353"/>
    </w:p>
    <w:p w14:paraId="21A4A036">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本次评标采用综合评估法。评标委员会对满足招标文件实质性要求的投标文件，按照本章第2.2款规定的评分标准进行打分，并按得分由高到低顺序推荐中标候选人，但投标报价低于其成本的除外。</w:t>
      </w:r>
      <w:r>
        <w:rPr>
          <w:rFonts w:hint="eastAsia" w:ascii="宋体" w:hAnsi="宋体" w:cs="宋体"/>
          <w:color w:val="auto"/>
          <w:kern w:val="1"/>
          <w:szCs w:val="21"/>
          <w:highlight w:val="none"/>
          <w:u w:val="single"/>
        </w:rPr>
        <w:t>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p w14:paraId="235E965D">
      <w:pPr>
        <w:pStyle w:val="4"/>
        <w:spacing w:before="0" w:after="0" w:line="360" w:lineRule="auto"/>
        <w:rPr>
          <w:rFonts w:ascii="宋体" w:hAnsi="宋体" w:eastAsia="宋体" w:cs="宋体"/>
          <w:color w:val="auto"/>
          <w:sz w:val="21"/>
          <w:szCs w:val="21"/>
          <w:highlight w:val="none"/>
          <w:lang w:val="zh-CN"/>
        </w:rPr>
      </w:pPr>
      <w:bookmarkStart w:id="354" w:name="_Toc3493"/>
      <w:bookmarkEnd w:id="354"/>
      <w:bookmarkStart w:id="355" w:name="_Toc26760"/>
      <w:bookmarkEnd w:id="355"/>
      <w:bookmarkStart w:id="356" w:name="_Toc5620348"/>
      <w:bookmarkStart w:id="357" w:name="_Toc26257"/>
      <w:r>
        <w:rPr>
          <w:rFonts w:hint="eastAsia" w:ascii="宋体" w:hAnsi="宋体" w:eastAsia="宋体" w:cs="宋体"/>
          <w:color w:val="auto"/>
          <w:sz w:val="21"/>
          <w:szCs w:val="21"/>
          <w:highlight w:val="none"/>
          <w:lang w:val="zh-CN"/>
        </w:rPr>
        <w:t>2. 评审标准</w:t>
      </w:r>
      <w:bookmarkEnd w:id="356"/>
      <w:bookmarkEnd w:id="357"/>
    </w:p>
    <w:p w14:paraId="57CB3BBE">
      <w:pPr>
        <w:pStyle w:val="5"/>
        <w:spacing w:before="0" w:after="0" w:line="360" w:lineRule="auto"/>
        <w:rPr>
          <w:rFonts w:ascii="宋体" w:hAnsi="宋体" w:eastAsia="宋体"/>
          <w:b/>
          <w:bCs/>
          <w:color w:val="auto"/>
          <w:sz w:val="21"/>
          <w:szCs w:val="21"/>
          <w:highlight w:val="none"/>
          <w:lang w:val="zh-CN"/>
        </w:rPr>
      </w:pPr>
      <w:bookmarkStart w:id="358" w:name="_Toc22589"/>
      <w:bookmarkEnd w:id="358"/>
      <w:bookmarkStart w:id="359" w:name="_Toc14978"/>
      <w:bookmarkEnd w:id="359"/>
      <w:bookmarkStart w:id="360" w:name="_Toc24233"/>
      <w:bookmarkStart w:id="361" w:name="_Toc5620349"/>
      <w:r>
        <w:rPr>
          <w:rFonts w:hint="eastAsia" w:ascii="宋体" w:hAnsi="宋体" w:eastAsia="宋体"/>
          <w:b/>
          <w:bCs/>
          <w:color w:val="auto"/>
          <w:sz w:val="21"/>
          <w:szCs w:val="21"/>
          <w:highlight w:val="none"/>
          <w:lang w:val="zh-CN"/>
        </w:rPr>
        <w:t>2.1 初步评审标准</w:t>
      </w:r>
      <w:bookmarkEnd w:id="360"/>
      <w:bookmarkEnd w:id="361"/>
    </w:p>
    <w:p w14:paraId="151A4CF1">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2.1.1 形式评审标准：见评标办法前附表。</w:t>
      </w:r>
    </w:p>
    <w:p w14:paraId="4F681DF8">
      <w:pPr>
        <w:spacing w:after="0"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2.1.2 </w:t>
      </w:r>
      <w:r>
        <w:rPr>
          <w:rFonts w:hint="eastAsia" w:ascii="宋体" w:hAnsi="宋体" w:cs="宋体"/>
          <w:color w:val="auto"/>
          <w:kern w:val="1"/>
          <w:szCs w:val="21"/>
          <w:highlight w:val="none"/>
        </w:rPr>
        <w:t>资格评审标准：见评标办法前附表。</w:t>
      </w:r>
    </w:p>
    <w:p w14:paraId="286C1123">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2.1.3</w:t>
      </w:r>
      <w:r>
        <w:rPr>
          <w:rFonts w:ascii="宋体" w:hAnsi="宋体" w:cs="宋体"/>
          <w:color w:val="auto"/>
          <w:kern w:val="1"/>
          <w:szCs w:val="21"/>
          <w:highlight w:val="none"/>
        </w:rPr>
        <w:t xml:space="preserve"> </w:t>
      </w:r>
      <w:r>
        <w:rPr>
          <w:rFonts w:hint="eastAsia" w:ascii="宋体" w:hAnsi="宋体" w:cs="宋体"/>
          <w:color w:val="auto"/>
          <w:kern w:val="1"/>
          <w:szCs w:val="21"/>
          <w:highlight w:val="none"/>
          <w:lang w:eastAsia="zh-CN"/>
        </w:rPr>
        <w:t>（</w:t>
      </w:r>
      <w:r>
        <w:rPr>
          <w:rFonts w:hint="eastAsia" w:ascii="宋体" w:hAnsi="宋体" w:cs="宋体"/>
          <w:color w:val="auto"/>
          <w:kern w:val="1"/>
          <w:szCs w:val="21"/>
          <w:highlight w:val="none"/>
          <w:lang w:val="en-US" w:eastAsia="zh-CN"/>
        </w:rPr>
        <w:t>1</w:t>
      </w:r>
      <w:r>
        <w:rPr>
          <w:rFonts w:hint="eastAsia" w:ascii="宋体" w:hAnsi="宋体" w:cs="宋体"/>
          <w:color w:val="auto"/>
          <w:kern w:val="1"/>
          <w:szCs w:val="21"/>
          <w:highlight w:val="none"/>
          <w:lang w:eastAsia="zh-CN"/>
        </w:rPr>
        <w:t>）</w:t>
      </w:r>
      <w:r>
        <w:rPr>
          <w:rFonts w:hint="eastAsia" w:ascii="宋体" w:hAnsi="宋体" w:cs="宋体"/>
          <w:color w:val="auto"/>
          <w:kern w:val="1"/>
          <w:szCs w:val="21"/>
          <w:highlight w:val="none"/>
        </w:rPr>
        <w:t>勘察设计方案响应性评审标准：见评标办法前附表。</w:t>
      </w:r>
    </w:p>
    <w:p w14:paraId="56677C67">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2.1.</w:t>
      </w:r>
      <w:r>
        <w:rPr>
          <w:rFonts w:hint="eastAsia" w:ascii="宋体" w:hAnsi="宋体" w:cs="宋体"/>
          <w:color w:val="auto"/>
          <w:kern w:val="1"/>
          <w:szCs w:val="21"/>
          <w:highlight w:val="none"/>
          <w:lang w:val="en-US" w:eastAsia="zh-CN"/>
        </w:rPr>
        <w:t>3（2）</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工程总承包实施方案响应性评审标准：见评标办法前附表。</w:t>
      </w:r>
    </w:p>
    <w:p w14:paraId="2FD0D58F">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注：</w:t>
      </w:r>
      <w:r>
        <w:rPr>
          <w:rFonts w:ascii="宋体" w:hAnsi="宋体" w:cs="宋体"/>
          <w:color w:val="auto"/>
          <w:kern w:val="1"/>
          <w:szCs w:val="21"/>
          <w:highlight w:val="none"/>
        </w:rPr>
        <w:t>不得将文件顺序、明显的文字错误等列为否决投标的情形。评委发现</w:t>
      </w:r>
      <w:r>
        <w:rPr>
          <w:rFonts w:hint="eastAsia" w:ascii="宋体" w:hAnsi="宋体" w:cs="宋体"/>
          <w:color w:val="auto"/>
          <w:kern w:val="1"/>
          <w:szCs w:val="21"/>
          <w:highlight w:val="none"/>
        </w:rPr>
        <w:t>投标文件</w:t>
      </w:r>
      <w:r>
        <w:rPr>
          <w:rFonts w:ascii="宋体" w:hAnsi="宋体" w:cs="宋体"/>
          <w:color w:val="auto"/>
          <w:kern w:val="1"/>
          <w:szCs w:val="21"/>
          <w:highlight w:val="none"/>
        </w:rPr>
        <w:t>中含义不明确、对同类问题表述不一致、有明显文字和计算错误的，应当要求投标人作必要的澄清、说明后再判定投标人是否通过</w:t>
      </w:r>
      <w:r>
        <w:rPr>
          <w:rFonts w:hint="eastAsia" w:ascii="宋体" w:hAnsi="宋体" w:cs="宋体"/>
          <w:color w:val="auto"/>
          <w:kern w:val="1"/>
          <w:szCs w:val="21"/>
          <w:highlight w:val="none"/>
        </w:rPr>
        <w:t>初步评审</w:t>
      </w:r>
      <w:r>
        <w:rPr>
          <w:rFonts w:ascii="宋体" w:hAnsi="宋体" w:cs="宋体"/>
          <w:color w:val="auto"/>
          <w:kern w:val="1"/>
          <w:szCs w:val="21"/>
          <w:highlight w:val="none"/>
        </w:rPr>
        <w:t>，不得直接认定其不通过</w:t>
      </w:r>
      <w:r>
        <w:rPr>
          <w:rFonts w:hint="eastAsia" w:ascii="宋体" w:hAnsi="宋体" w:cs="宋体"/>
          <w:color w:val="auto"/>
          <w:kern w:val="1"/>
          <w:szCs w:val="21"/>
          <w:highlight w:val="none"/>
        </w:rPr>
        <w:t>初步评审</w:t>
      </w:r>
      <w:r>
        <w:rPr>
          <w:rFonts w:ascii="宋体" w:hAnsi="宋体" w:cs="宋体"/>
          <w:color w:val="auto"/>
          <w:kern w:val="1"/>
          <w:szCs w:val="21"/>
          <w:highlight w:val="none"/>
        </w:rPr>
        <w:t>。</w:t>
      </w:r>
    </w:p>
    <w:p w14:paraId="2648F795">
      <w:pPr>
        <w:pStyle w:val="5"/>
        <w:spacing w:before="0" w:after="0" w:line="360" w:lineRule="auto"/>
        <w:rPr>
          <w:rFonts w:ascii="宋体" w:hAnsi="宋体" w:eastAsia="宋体"/>
          <w:b/>
          <w:bCs/>
          <w:color w:val="auto"/>
          <w:sz w:val="21"/>
          <w:szCs w:val="21"/>
          <w:highlight w:val="none"/>
          <w:lang w:val="zh-CN"/>
        </w:rPr>
      </w:pPr>
      <w:bookmarkStart w:id="362" w:name="_Toc21917"/>
      <w:bookmarkStart w:id="363" w:name="_Toc5620350"/>
      <w:r>
        <w:rPr>
          <w:rFonts w:hint="eastAsia" w:ascii="宋体" w:hAnsi="宋体" w:eastAsia="宋体"/>
          <w:b/>
          <w:bCs/>
          <w:color w:val="auto"/>
          <w:sz w:val="21"/>
          <w:szCs w:val="21"/>
          <w:highlight w:val="none"/>
          <w:lang w:val="zh-CN"/>
        </w:rPr>
        <w:t>2.2 分值构成与评分标准</w:t>
      </w:r>
      <w:bookmarkEnd w:id="362"/>
      <w:bookmarkEnd w:id="363"/>
    </w:p>
    <w:p w14:paraId="086B522A">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2.2.1 分值构成及权重：见评标办法前附表。</w:t>
      </w:r>
    </w:p>
    <w:p w14:paraId="12281DE0">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2.2.2评标基准价计算</w:t>
      </w:r>
    </w:p>
    <w:p w14:paraId="5C7FDED1">
      <w:pPr>
        <w:spacing w:after="0" w:line="360" w:lineRule="auto"/>
        <w:ind w:firstLine="420"/>
        <w:rPr>
          <w:rFonts w:ascii="Times New Roman" w:hAnsi="Times New Roman"/>
          <w:strike/>
          <w:color w:val="auto"/>
          <w:highlight w:val="none"/>
        </w:rPr>
      </w:pPr>
      <w:r>
        <w:rPr>
          <w:rFonts w:hint="eastAsia" w:ascii="宋体" w:hAnsi="宋体" w:cs="宋体"/>
          <w:color w:val="auto"/>
          <w:kern w:val="1"/>
          <w:szCs w:val="21"/>
          <w:highlight w:val="none"/>
        </w:rPr>
        <w:t>评标基准价计算方法：见评标办法前附表。</w:t>
      </w:r>
    </w:p>
    <w:p w14:paraId="41ED5AA4">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 xml:space="preserve">2.2.3 </w:t>
      </w:r>
      <w:r>
        <w:rPr>
          <w:rFonts w:hint="eastAsia" w:ascii="宋体" w:hAnsi="宋体" w:cs="宋体"/>
          <w:color w:val="auto"/>
          <w:szCs w:val="21"/>
          <w:highlight w:val="none"/>
        </w:rPr>
        <w:t>建安工程</w:t>
      </w:r>
      <w:r>
        <w:rPr>
          <w:rFonts w:hint="eastAsia" w:ascii="宋体" w:hAnsi="宋体" w:cs="宋体"/>
          <w:color w:val="auto"/>
          <w:kern w:val="1"/>
          <w:szCs w:val="21"/>
          <w:highlight w:val="none"/>
        </w:rPr>
        <w:t>费投标报价的偏差率计算</w:t>
      </w:r>
    </w:p>
    <w:p w14:paraId="0EDAE6A4">
      <w:pPr>
        <w:spacing w:after="0" w:line="360" w:lineRule="auto"/>
        <w:ind w:firstLine="420"/>
        <w:rPr>
          <w:rFonts w:ascii="宋体" w:hAnsi="宋体" w:cs="宋体"/>
          <w:color w:val="auto"/>
          <w:kern w:val="1"/>
          <w:szCs w:val="21"/>
          <w:highlight w:val="none"/>
        </w:rPr>
      </w:pPr>
      <w:r>
        <w:rPr>
          <w:rFonts w:hint="eastAsia" w:ascii="宋体" w:hAnsi="宋体" w:cs="宋体"/>
          <w:color w:val="auto"/>
          <w:szCs w:val="21"/>
          <w:highlight w:val="none"/>
        </w:rPr>
        <w:t>建安工程</w:t>
      </w:r>
      <w:r>
        <w:rPr>
          <w:rFonts w:hint="eastAsia" w:ascii="宋体" w:hAnsi="宋体" w:cs="宋体"/>
          <w:color w:val="auto"/>
          <w:kern w:val="1"/>
          <w:szCs w:val="21"/>
          <w:highlight w:val="none"/>
        </w:rPr>
        <w:t>费投标报价的偏差率计算公式：见评标办法前附表。</w:t>
      </w:r>
    </w:p>
    <w:p w14:paraId="03F88D2B">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2.2.4评分标准</w:t>
      </w:r>
    </w:p>
    <w:p w14:paraId="4CA4AE23">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（1）勘察设计方案部分：见评标办法前附表。</w:t>
      </w:r>
    </w:p>
    <w:p w14:paraId="5245CD7F">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2</w:t>
      </w:r>
      <w:r>
        <w:rPr>
          <w:rFonts w:hint="eastAsia" w:ascii="宋体" w:hAnsi="宋体" w:cs="宋体"/>
          <w:color w:val="auto"/>
          <w:kern w:val="1"/>
          <w:szCs w:val="21"/>
          <w:highlight w:val="none"/>
          <w:u w:val="single"/>
        </w:rPr>
        <w:t>）工程总承包实施方案技术部分：见评标办法前附表。</w:t>
      </w:r>
    </w:p>
    <w:p w14:paraId="49282C2F">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3</w:t>
      </w:r>
      <w:r>
        <w:rPr>
          <w:rFonts w:hint="eastAsia" w:ascii="宋体" w:hAnsi="宋体" w:cs="宋体"/>
          <w:color w:val="auto"/>
          <w:kern w:val="1"/>
          <w:szCs w:val="21"/>
          <w:highlight w:val="none"/>
          <w:u w:val="single"/>
        </w:rPr>
        <w:t>）工程总承包实施方案经济部分：见评标办法前附表。</w:t>
      </w:r>
    </w:p>
    <w:p w14:paraId="6D872E63">
      <w:pPr>
        <w:pStyle w:val="4"/>
        <w:spacing w:before="0" w:after="0" w:line="360" w:lineRule="auto"/>
        <w:rPr>
          <w:rFonts w:ascii="宋体" w:hAnsi="宋体" w:eastAsia="宋体" w:cs="宋体"/>
          <w:color w:val="auto"/>
          <w:sz w:val="21"/>
          <w:szCs w:val="21"/>
          <w:highlight w:val="none"/>
          <w:lang w:val="zh-CN"/>
        </w:rPr>
      </w:pPr>
      <w:bookmarkStart w:id="364" w:name="_Toc25997"/>
      <w:bookmarkEnd w:id="364"/>
      <w:bookmarkStart w:id="365" w:name="_Toc11733"/>
      <w:bookmarkEnd w:id="365"/>
      <w:bookmarkStart w:id="366" w:name="_Toc5620351"/>
      <w:bookmarkStart w:id="367" w:name="_Toc5818"/>
      <w:r>
        <w:rPr>
          <w:rFonts w:hint="eastAsia" w:ascii="宋体" w:hAnsi="宋体" w:eastAsia="宋体" w:cs="宋体"/>
          <w:color w:val="auto"/>
          <w:sz w:val="21"/>
          <w:szCs w:val="21"/>
          <w:highlight w:val="none"/>
          <w:lang w:val="zh-CN"/>
        </w:rPr>
        <w:t>3. 评标程序</w:t>
      </w:r>
      <w:bookmarkEnd w:id="366"/>
      <w:bookmarkEnd w:id="367"/>
    </w:p>
    <w:p w14:paraId="10ED4D39">
      <w:pPr>
        <w:spacing w:after="0" w:line="360" w:lineRule="auto"/>
        <w:ind w:firstLine="420" w:firstLineChars="200"/>
        <w:rPr>
          <w:rFonts w:ascii="宋体" w:hAnsi="宋体"/>
          <w:color w:val="auto"/>
          <w:highlight w:val="none"/>
          <w:u w:val="single"/>
          <w:lang w:val="zh-CN"/>
        </w:rPr>
      </w:pPr>
      <w:r>
        <w:rPr>
          <w:rFonts w:hint="eastAsia" w:ascii="宋体" w:hAnsi="宋体"/>
          <w:color w:val="auto"/>
          <w:highlight w:val="none"/>
          <w:u w:val="single"/>
          <w:lang w:val="zh-CN"/>
        </w:rPr>
        <w:t>本项目采取电子评标。勘察设计方案响应性评审、勘察设计方案评审由勘察设计评审组负责，形式评审、资格评审、工程总承包实施方案响应性评审、工程总承包实施方案评审及评审汇总由综合评审组负责。</w:t>
      </w:r>
    </w:p>
    <w:p w14:paraId="5B5A6BDB">
      <w:pPr>
        <w:pStyle w:val="5"/>
        <w:spacing w:before="0" w:after="0" w:line="360" w:lineRule="auto"/>
        <w:ind w:firstLine="103"/>
        <w:rPr>
          <w:rFonts w:ascii="宋体" w:hAnsi="宋体" w:eastAsia="宋体"/>
          <w:color w:val="auto"/>
          <w:kern w:val="1"/>
          <w:szCs w:val="21"/>
          <w:highlight w:val="none"/>
        </w:rPr>
      </w:pPr>
      <w:bookmarkStart w:id="368" w:name="_Toc22121"/>
      <w:bookmarkStart w:id="369" w:name="_Toc5620356"/>
      <w:r>
        <w:rPr>
          <w:rFonts w:hint="eastAsia" w:ascii="宋体" w:hAnsi="宋体" w:eastAsia="宋体"/>
          <w:b/>
          <w:color w:val="auto"/>
          <w:sz w:val="21"/>
          <w:szCs w:val="21"/>
          <w:highlight w:val="none"/>
          <w:u w:val="single"/>
        </w:rPr>
        <w:t>3.1</w:t>
      </w:r>
      <w:bookmarkEnd w:id="368"/>
      <w:r>
        <w:rPr>
          <w:rFonts w:hint="eastAsia" w:ascii="宋体" w:hAnsi="宋体" w:eastAsia="宋体"/>
          <w:b/>
          <w:color w:val="auto"/>
          <w:sz w:val="21"/>
          <w:szCs w:val="21"/>
          <w:highlight w:val="none"/>
          <w:u w:val="single"/>
        </w:rPr>
        <w:t>勘察设计方案评审（由勘察设计评审组负责）</w:t>
      </w:r>
    </w:p>
    <w:p w14:paraId="5EEA1385">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ascii="宋体" w:hAnsi="宋体" w:cs="宋体"/>
          <w:color w:val="auto"/>
          <w:kern w:val="1"/>
          <w:szCs w:val="21"/>
          <w:highlight w:val="none"/>
          <w:u w:val="single"/>
        </w:rPr>
        <w:t>1</w:t>
      </w:r>
      <w:r>
        <w:rPr>
          <w:rFonts w:hint="eastAsia" w:ascii="宋体" w:hAnsi="宋体" w:cs="宋体"/>
          <w:color w:val="auto"/>
          <w:kern w:val="1"/>
          <w:szCs w:val="21"/>
          <w:highlight w:val="none"/>
          <w:u w:val="single"/>
        </w:rPr>
        <w:t>.1勘察设计评审组评委按勘察设计方案响应性评审标准（详见前附表）对所有成功解密的勘察设计方案投标文件进行评审，只有通过响应性评审的勘察设计方案投标文件方可进入下一阶段的评审。如果有否决投标提议，则勘察设计评审组成员共同表决，按照少数服从多数的原则决定是否否决其投标。勘察设计评审组评委根据勘察设计方案响应性评审结果，否决未通过勘察设计方案响应性评审的投标人的投标。通过勘察设计方案响应性评审的勘察设计方案少于3个的，则本项目招标失败。</w:t>
      </w:r>
    </w:p>
    <w:p w14:paraId="583057A2">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3.1.2 勘察设计评审组评委按勘察设计方案评分标准（详见前附表）对通过勘察设计方案响应性评审的勘察设计方案投标文件进行评分。</w:t>
      </w:r>
    </w:p>
    <w:p w14:paraId="54FCE6CC">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3.1.3算术平均各勘察设计评审组评委评分，得出每个投标人勘察设计方案部分得分，分数出现小数点，保留小数点后二位，第三位小数四舍五入。</w:t>
      </w:r>
    </w:p>
    <w:p w14:paraId="30FC28A2">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ascii="宋体" w:hAnsi="宋体" w:cs="宋体"/>
          <w:color w:val="auto"/>
          <w:kern w:val="1"/>
          <w:szCs w:val="21"/>
          <w:highlight w:val="none"/>
          <w:u w:val="single"/>
        </w:rPr>
        <w:t xml:space="preserve">.1.4 </w:t>
      </w:r>
      <w:r>
        <w:rPr>
          <w:rFonts w:hint="eastAsia" w:ascii="宋体" w:hAnsi="宋体" w:cs="宋体"/>
          <w:color w:val="auto"/>
          <w:kern w:val="1"/>
          <w:szCs w:val="21"/>
          <w:highlight w:val="none"/>
          <w:u w:val="single"/>
        </w:rPr>
        <w:t>勘察设计评审组评委揭晓投标人身份。</w:t>
      </w:r>
    </w:p>
    <w:p w14:paraId="17E80B85">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ascii="宋体" w:hAnsi="宋体" w:cs="宋体"/>
          <w:color w:val="auto"/>
          <w:kern w:val="1"/>
          <w:szCs w:val="21"/>
          <w:highlight w:val="none"/>
          <w:u w:val="single"/>
        </w:rPr>
        <w:t>.1.5</w:t>
      </w:r>
      <w:r>
        <w:rPr>
          <w:rFonts w:hint="eastAsia" w:ascii="宋体" w:hAnsi="宋体" w:cs="宋体"/>
          <w:color w:val="auto"/>
          <w:kern w:val="1"/>
          <w:szCs w:val="21"/>
          <w:highlight w:val="none"/>
          <w:u w:val="single"/>
        </w:rPr>
        <w:t>勘察设计评审组评委汇总各投标人勘察设计方案部分得分、编写、签署勘察设计方案评标报告，评标报告由勘察设计评审组评委全体成员签名，对评标结论持有异议的评标委员会成员可以书面方式阐述其不同意见和理由。</w:t>
      </w:r>
    </w:p>
    <w:p w14:paraId="433F952D">
      <w:pPr>
        <w:spacing w:after="0"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3.</w:t>
      </w:r>
      <w:r>
        <w:rPr>
          <w:rFonts w:ascii="宋体" w:hAnsi="宋体" w:cs="宋体"/>
          <w:color w:val="auto"/>
          <w:kern w:val="1"/>
          <w:szCs w:val="21"/>
          <w:highlight w:val="none"/>
          <w:u w:val="single"/>
        </w:rPr>
        <w:t>1</w:t>
      </w: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6</w:t>
      </w:r>
      <w:r>
        <w:rPr>
          <w:rFonts w:hint="eastAsia" w:ascii="宋体" w:hAnsi="宋体" w:cs="宋体"/>
          <w:color w:val="auto"/>
          <w:kern w:val="1"/>
          <w:szCs w:val="21"/>
          <w:highlight w:val="none"/>
          <w:u w:val="single"/>
        </w:rPr>
        <w:t>勘察设计评审组评委向招标人提交书面勘察设计方案评标报告后即告解散。</w:t>
      </w:r>
    </w:p>
    <w:p w14:paraId="434F23F6">
      <w:pPr>
        <w:pStyle w:val="5"/>
        <w:spacing w:before="0" w:after="0" w:line="360" w:lineRule="auto"/>
        <w:ind w:firstLine="103"/>
        <w:rPr>
          <w:rFonts w:ascii="宋体" w:hAnsi="宋体" w:eastAsia="宋体"/>
          <w:color w:val="auto"/>
          <w:sz w:val="21"/>
          <w:szCs w:val="21"/>
          <w:highlight w:val="none"/>
          <w:u w:val="single"/>
        </w:rPr>
      </w:pPr>
      <w:bookmarkStart w:id="370" w:name="_Toc14439"/>
      <w:r>
        <w:rPr>
          <w:rFonts w:hint="eastAsia" w:ascii="宋体" w:hAnsi="宋体" w:eastAsia="宋体"/>
          <w:b/>
          <w:bCs/>
          <w:color w:val="auto"/>
          <w:sz w:val="21"/>
          <w:szCs w:val="21"/>
          <w:highlight w:val="none"/>
          <w:u w:val="single"/>
        </w:rPr>
        <w:t>3.</w:t>
      </w:r>
      <w:r>
        <w:rPr>
          <w:rFonts w:ascii="宋体" w:hAnsi="宋体" w:eastAsia="宋体"/>
          <w:b/>
          <w:bCs/>
          <w:color w:val="auto"/>
          <w:sz w:val="21"/>
          <w:szCs w:val="21"/>
          <w:highlight w:val="none"/>
          <w:u w:val="single"/>
        </w:rPr>
        <w:t>2</w:t>
      </w:r>
      <w:bookmarkEnd w:id="370"/>
      <w:r>
        <w:rPr>
          <w:rFonts w:hint="eastAsia" w:ascii="宋体" w:hAnsi="宋体" w:eastAsia="宋体"/>
          <w:b/>
          <w:bCs/>
          <w:color w:val="auto"/>
          <w:sz w:val="21"/>
          <w:szCs w:val="21"/>
          <w:highlight w:val="none"/>
          <w:u w:val="single"/>
        </w:rPr>
        <w:t>形式评审及资格评审（由综合评审组负责）</w:t>
      </w:r>
    </w:p>
    <w:p w14:paraId="4F815122">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3.2.1形式评审中全部符合形式评审标准（详见前附表）中规定情形的，为形式评审合格。否则为形式评审不合格，经综合评审组评委共同认定后，其投标文件将被拒绝。如综合评审组评委的评审意见不一致时，以综合评审组过半数成员的意见作为综合评审组对该情形的认定结论。</w:t>
      </w:r>
    </w:p>
    <w:p w14:paraId="37EFE8DA">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3.2.2汇总形式评审情况，只有通过形式评审的投标人方可进入下一阶段的评审。形式评审合格的投标人少于3名的，则本项目招标失败。</w:t>
      </w:r>
    </w:p>
    <w:p w14:paraId="0B2DD02E">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3.2.3综合评审组评委对所有通过形式评审的投标人进行资格评审。资格审查文件中全部符合资格评审标准（详见前附表）中规定情形的，为资格评审合格。否则为资格评审不合格，经综合评审组评委共同认定后，其投标将被拒绝。如综合评审组评委的评审意见不一致时，以综合评审组过半数成员的意见作为评标委员会对该情形的认定结论。只有通过资格评审的投标人方可进入下一阶段的评审。</w:t>
      </w:r>
    </w:p>
    <w:p w14:paraId="5EE79636">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3.2.4汇总资格评审情况，编写资格审查报告。资格评审合格的投标人少于3名的，则本项目招标失败。</w:t>
      </w:r>
    </w:p>
    <w:p w14:paraId="1DB009B9">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3.2.5形式评审及资格评审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33043FF3">
      <w:pPr>
        <w:spacing w:after="0" w:line="360" w:lineRule="auto"/>
        <w:ind w:firstLine="420"/>
        <w:rPr>
          <w:rFonts w:ascii="宋体" w:hAnsi="宋体" w:cs="宋体"/>
          <w:b/>
          <w:bCs/>
          <w:color w:val="auto"/>
          <w:kern w:val="1"/>
          <w:szCs w:val="21"/>
          <w:highlight w:val="none"/>
          <w:u w:val="single"/>
        </w:rPr>
      </w:pPr>
      <w:r>
        <w:rPr>
          <w:rFonts w:hint="eastAsia" w:ascii="宋体" w:hAnsi="宋体" w:cs="宋体"/>
          <w:b/>
          <w:color w:val="auto"/>
          <w:kern w:val="1"/>
          <w:szCs w:val="21"/>
          <w:highlight w:val="none"/>
          <w:u w:val="single"/>
        </w:rPr>
        <w:t>特别声明：资审合格后，投标人的资格发生变化而不满足投标人合格条件，在发出中标通知书前，资格问题仍未解决的，招标人将取消其中标资格。</w:t>
      </w:r>
    </w:p>
    <w:p w14:paraId="6395956A">
      <w:pPr>
        <w:spacing w:after="0" w:line="360" w:lineRule="auto"/>
        <w:rPr>
          <w:rFonts w:ascii="宋体" w:hAnsi="宋体" w:cs="宋体"/>
          <w:color w:val="auto"/>
          <w:kern w:val="1"/>
          <w:szCs w:val="21"/>
          <w:highlight w:val="none"/>
        </w:rPr>
      </w:pPr>
    </w:p>
    <w:p w14:paraId="1EC8EE33">
      <w:pPr>
        <w:pStyle w:val="5"/>
        <w:spacing w:before="0" w:after="0" w:line="360" w:lineRule="auto"/>
        <w:ind w:firstLine="103"/>
        <w:rPr>
          <w:rFonts w:ascii="宋体" w:hAnsi="宋体" w:eastAsia="宋体"/>
          <w:color w:val="auto"/>
          <w:sz w:val="21"/>
          <w:szCs w:val="21"/>
          <w:highlight w:val="none"/>
          <w:u w:val="single"/>
        </w:rPr>
      </w:pPr>
      <w:bookmarkStart w:id="371" w:name="_Toc31095"/>
      <w:r>
        <w:rPr>
          <w:rFonts w:hint="eastAsia" w:ascii="宋体" w:hAnsi="宋体" w:eastAsia="宋体"/>
          <w:b/>
          <w:bCs/>
          <w:color w:val="auto"/>
          <w:sz w:val="21"/>
          <w:szCs w:val="21"/>
          <w:highlight w:val="none"/>
          <w:u w:val="single"/>
        </w:rPr>
        <w:t>3.</w:t>
      </w:r>
      <w:r>
        <w:rPr>
          <w:rFonts w:ascii="宋体" w:hAnsi="宋体" w:eastAsia="宋体"/>
          <w:b/>
          <w:bCs/>
          <w:color w:val="auto"/>
          <w:sz w:val="21"/>
          <w:szCs w:val="21"/>
          <w:highlight w:val="none"/>
          <w:u w:val="single"/>
        </w:rPr>
        <w:t>3</w:t>
      </w:r>
      <w:bookmarkEnd w:id="369"/>
      <w:bookmarkEnd w:id="371"/>
      <w:r>
        <w:rPr>
          <w:rFonts w:hint="eastAsia" w:ascii="宋体" w:hAnsi="宋体" w:eastAsia="宋体"/>
          <w:b/>
          <w:bCs/>
          <w:color w:val="auto"/>
          <w:sz w:val="21"/>
          <w:szCs w:val="21"/>
          <w:highlight w:val="none"/>
          <w:u w:val="single"/>
        </w:rPr>
        <w:t>工程总承包实施方案技术部分评审（由综合评审组负责）</w:t>
      </w:r>
    </w:p>
    <w:p w14:paraId="0F08F28A">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3.3.1工程总承包实施方案的响应性评审：通过资格评审的投标文件中没有任一种列于工程总承包实施方案响应性评审标准（详见前附表）中情形的，为有效标书。否则为无效标书，经综合评审组评委共同认定后，其投标文件将被拒绝。如综合评审组评委的评审意见不一致时，以综合评审组评委过半数成员的意见作为评标委员会对该情形的认定结论。通过工程总承包实施方案响应性评审的投标人少于3名的，则本项目招标失败。</w:t>
      </w:r>
    </w:p>
    <w:p w14:paraId="45EF1F12">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3.3.2工程总承包实施方案技术部分详细审查：综合评审组评委按照工程总承包实施方案技术部分评分标准（详见前附表），对通过工程总承包实施方案响应性评审的投标文件进行详细评审，评分。</w:t>
      </w:r>
    </w:p>
    <w:p w14:paraId="18BE3841">
      <w:pPr>
        <w:spacing w:after="0"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3.3.3各投标人工程总承包实施方案技术部分得分为所有评委分数汇总后的算术平均值，综合评审组评委按此汇总每个投标人工程总承包实施方案技术部分详细评审得分，分数出现小数点，保留小数点后二位，第三位小数四舍五入。</w:t>
      </w:r>
    </w:p>
    <w:p w14:paraId="01233B49">
      <w:pPr>
        <w:pStyle w:val="5"/>
        <w:spacing w:before="0" w:after="0" w:line="360" w:lineRule="auto"/>
        <w:ind w:firstLine="103"/>
        <w:rPr>
          <w:rFonts w:ascii="宋体" w:hAnsi="宋体" w:eastAsia="宋体"/>
          <w:b/>
          <w:color w:val="auto"/>
          <w:sz w:val="21"/>
          <w:szCs w:val="21"/>
          <w:highlight w:val="none"/>
          <w:u w:val="single"/>
        </w:rPr>
      </w:pPr>
      <w:bookmarkStart w:id="372" w:name="_Toc5620357"/>
      <w:bookmarkStart w:id="373" w:name="_Toc31130"/>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4</w:t>
      </w:r>
      <w:r>
        <w:rPr>
          <w:rFonts w:hint="eastAsia" w:ascii="宋体" w:hAnsi="宋体" w:eastAsia="宋体"/>
          <w:b/>
          <w:color w:val="auto"/>
          <w:sz w:val="21"/>
          <w:szCs w:val="21"/>
          <w:highlight w:val="none"/>
          <w:u w:val="single"/>
        </w:rPr>
        <w:t>工程总承包实施方案经济部分评审（由综合评审组评委负责）</w:t>
      </w:r>
    </w:p>
    <w:p w14:paraId="2DF9647D">
      <w:pPr>
        <w:pStyle w:val="11"/>
        <w:spacing w:after="0"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3.4.1综合评审组评委汇总各投标人的初步评审结果，未通过初步评审的投标人的投标报价，不再进行工程总承包实施方案经济部分评审，也不参与评标基准价的计算。</w:t>
      </w:r>
    </w:p>
    <w:p w14:paraId="38862965">
      <w:pPr>
        <w:pStyle w:val="11"/>
        <w:spacing w:after="0"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w:t>
      </w:r>
      <w:r>
        <w:rPr>
          <w:rFonts w:ascii="宋体" w:hAnsi="宋体" w:cs="宋体"/>
          <w:color w:val="auto"/>
          <w:kern w:val="1"/>
          <w:sz w:val="21"/>
          <w:szCs w:val="21"/>
          <w:highlight w:val="none"/>
          <w:u w:val="single"/>
          <w:lang w:val="en-US"/>
        </w:rPr>
        <w:t>4.2</w:t>
      </w:r>
      <w:r>
        <w:rPr>
          <w:rFonts w:hint="eastAsia" w:ascii="宋体" w:hAnsi="宋体" w:cs="宋体"/>
          <w:color w:val="auto"/>
          <w:kern w:val="1"/>
          <w:sz w:val="21"/>
          <w:szCs w:val="21"/>
          <w:highlight w:val="none"/>
          <w:u w:val="single"/>
          <w:lang w:val="en-US"/>
        </w:rPr>
        <w:t xml:space="preserve"> 投标报价有算术错误的，综合评审组评委按以下原则对投标报价进行修正，修正的价格经投标人书面确认后具有约束力。投标人不接受修正价格的，评标委员会应当否决其投标。</w:t>
      </w:r>
    </w:p>
    <w:p w14:paraId="75E96D2D">
      <w:pPr>
        <w:pStyle w:val="11"/>
        <w:spacing w:after="0"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（1）投标文件中的大写金额与小写金额不一致的，以大写金额为准；</w:t>
      </w:r>
    </w:p>
    <w:p w14:paraId="3A28E991">
      <w:pPr>
        <w:pStyle w:val="11"/>
        <w:spacing w:after="0"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（2）总价金额与依据单价计算出的结果不一致的，以单价金额为准修正总价，但单价金额小数点有明显错误的除外。</w:t>
      </w:r>
    </w:p>
    <w:p w14:paraId="74C92842">
      <w:pPr>
        <w:pStyle w:val="11"/>
        <w:spacing w:after="0"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3.4.</w:t>
      </w:r>
      <w:r>
        <w:rPr>
          <w:rFonts w:ascii="宋体" w:hAnsi="宋体" w:cs="宋体"/>
          <w:color w:val="auto"/>
          <w:kern w:val="1"/>
          <w:sz w:val="21"/>
          <w:szCs w:val="21"/>
          <w:highlight w:val="none"/>
          <w:u w:val="single"/>
          <w:lang w:val="en-US"/>
        </w:rPr>
        <w:t>3</w:t>
      </w:r>
      <w:r>
        <w:rPr>
          <w:rFonts w:hint="eastAsia" w:ascii="宋体" w:hAnsi="宋体" w:cs="宋体"/>
          <w:color w:val="auto"/>
          <w:kern w:val="1"/>
          <w:sz w:val="21"/>
          <w:szCs w:val="21"/>
          <w:highlight w:val="none"/>
          <w:u w:val="single"/>
          <w:lang w:val="en-US"/>
        </w:rPr>
        <w:t>建安工程费投标报价的算术校核。综合评审组评委对通过初步评审的投标文件的建安工程费投标报价进行算术校核，具体标准如下：</w:t>
      </w:r>
    </w:p>
    <w:p w14:paraId="409B006C">
      <w:pPr>
        <w:pStyle w:val="11"/>
        <w:spacing w:after="0"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投标下浮率与建安工程费投标报价不对应时，以投标下浮率为准修正建安工程费投标报价（建安工程费下浮率有明显的数量级错误的除外，此时应修正投标下浮率），若修正后的建安工程费投标报价超过建安工程费最高投标限价的，作否决投标处理；</w:t>
      </w:r>
    </w:p>
    <w:p w14:paraId="03A0159E">
      <w:pPr>
        <w:pStyle w:val="11"/>
        <w:spacing w:after="0"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（2）分项报价累加不等总价的，以分项报价累加为准，修正总价；</w:t>
      </w:r>
    </w:p>
    <w:p w14:paraId="4DBBA057">
      <w:pPr>
        <w:pStyle w:val="11"/>
        <w:spacing w:after="0"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（3）投标文件存在其他计算性错误的，按就低不就高计算并修正；</w:t>
      </w:r>
    </w:p>
    <w:p w14:paraId="14A8667A">
      <w:pPr>
        <w:pStyle w:val="11"/>
        <w:spacing w:after="0"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（4）按上述修正错误的原则及方法调整或修正投标文件的建安工程费投标报价，调整后的建安工程费投标报价对投标人起约束作用。如果投标人不接受修正后的报价，则取消其投标资格或中标资格。</w:t>
      </w:r>
    </w:p>
    <w:p w14:paraId="2809247A">
      <w:pPr>
        <w:pStyle w:val="11"/>
        <w:spacing w:after="0"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3.4.</w:t>
      </w:r>
      <w:r>
        <w:rPr>
          <w:rFonts w:ascii="宋体" w:hAnsi="宋体" w:cs="宋体"/>
          <w:color w:val="auto"/>
          <w:kern w:val="1"/>
          <w:sz w:val="21"/>
          <w:szCs w:val="21"/>
          <w:highlight w:val="none"/>
          <w:u w:val="single"/>
          <w:lang w:val="en-US"/>
        </w:rPr>
        <w:t>4</w:t>
      </w:r>
      <w:r>
        <w:rPr>
          <w:rFonts w:hint="eastAsia" w:ascii="宋体" w:hAnsi="宋体" w:cs="宋体"/>
          <w:color w:val="auto"/>
          <w:kern w:val="1"/>
          <w:sz w:val="21"/>
          <w:szCs w:val="21"/>
          <w:highlight w:val="none"/>
          <w:u w:val="single"/>
          <w:lang w:val="en-US"/>
        </w:rPr>
        <w:t>工程总承包实施方案经济部分评分</w:t>
      </w:r>
    </w:p>
    <w:p w14:paraId="05375CB5">
      <w:pPr>
        <w:pStyle w:val="11"/>
        <w:spacing w:after="0"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（1）综合评审组评委按照评标基准价计算方法（详见前附表），计算出评标基准价。</w:t>
      </w:r>
    </w:p>
    <w:p w14:paraId="66AF76D2">
      <w:pPr>
        <w:ind w:firstLine="420" w:firstLineChars="200"/>
        <w:rPr>
          <w:rFonts w:ascii="Times New Roman" w:hAnsi="Times New Roman"/>
          <w:color w:val="auto"/>
          <w:highlight w:val="none"/>
        </w:rPr>
      </w:pPr>
      <w:r>
        <w:rPr>
          <w:rFonts w:hint="eastAsia" w:ascii="宋体" w:hAnsi="宋体" w:cs="宋体"/>
          <w:color w:val="auto"/>
          <w:kern w:val="1"/>
          <w:szCs w:val="21"/>
          <w:highlight w:val="none"/>
          <w:u w:val="single"/>
        </w:rPr>
        <w:t>（2）综合评审组评委按照工程总承包实施方案经济部分评分标准（详见前附表），对通过初步评审且经算术复核的投标文件建安工程费投标报价进行评分，评出工程总承包实施方案经济部分详细审查得分。</w:t>
      </w:r>
    </w:p>
    <w:p w14:paraId="23AD807F">
      <w:pPr>
        <w:pStyle w:val="5"/>
        <w:spacing w:before="0" w:after="0" w:line="360" w:lineRule="auto"/>
        <w:ind w:firstLine="103"/>
        <w:rPr>
          <w:rFonts w:ascii="宋体" w:hAnsi="宋体" w:eastAsia="宋体"/>
          <w:b/>
          <w:color w:val="auto"/>
          <w:sz w:val="21"/>
          <w:szCs w:val="21"/>
          <w:highlight w:val="none"/>
          <w:u w:val="single"/>
        </w:rPr>
      </w:pPr>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 xml:space="preserve">.5 </w:t>
      </w:r>
      <w:r>
        <w:rPr>
          <w:rFonts w:hint="eastAsia" w:ascii="宋体" w:hAnsi="宋体" w:eastAsia="宋体"/>
          <w:b/>
          <w:color w:val="auto"/>
          <w:sz w:val="21"/>
          <w:szCs w:val="21"/>
          <w:highlight w:val="none"/>
          <w:u w:val="single"/>
        </w:rPr>
        <w:t>评审汇总（由综合评审组评委负责）</w:t>
      </w:r>
    </w:p>
    <w:p w14:paraId="245739C1">
      <w:pPr>
        <w:spacing w:after="0"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3.5.1投标人总得分满分为100分，各部分分值分配详见评标办法前附表。</w:t>
      </w:r>
    </w:p>
    <w:p w14:paraId="3DB06FC1">
      <w:pPr>
        <w:spacing w:after="0"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3.5.2综合评审组汇总各有效投标文件的总分，并按照总分从高到低排列先后次序，只有通过初步评审的投标文件方可计算总分。总分相等时，按照中标候选人排序方法（详见前附表），确定中标候选人的排序。评标委员会应按排序先后，向招标人推荐前3名投标人依次为第一中标候选人至第三中标候选人，并编写评标报告。</w:t>
      </w:r>
    </w:p>
    <w:p w14:paraId="618307A9">
      <w:pPr>
        <w:spacing w:after="0"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3.5.3有效投标单位不足三家，应当依法重新组织招标。</w:t>
      </w:r>
    </w:p>
    <w:p w14:paraId="4F257893">
      <w:pPr>
        <w:pStyle w:val="5"/>
        <w:spacing w:before="0" w:after="0" w:line="360" w:lineRule="auto"/>
        <w:ind w:firstLine="103"/>
        <w:rPr>
          <w:rFonts w:ascii="宋体" w:hAnsi="宋体" w:eastAsia="宋体"/>
          <w:b/>
          <w:color w:val="auto"/>
          <w:sz w:val="21"/>
          <w:szCs w:val="21"/>
          <w:highlight w:val="none"/>
          <w:u w:val="single"/>
        </w:rPr>
      </w:pPr>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.6</w:t>
      </w:r>
      <w:r>
        <w:rPr>
          <w:rFonts w:hint="eastAsia" w:ascii="宋体" w:hAnsi="宋体" w:eastAsia="宋体"/>
          <w:b/>
          <w:color w:val="auto"/>
          <w:sz w:val="21"/>
          <w:szCs w:val="21"/>
          <w:highlight w:val="none"/>
          <w:u w:val="single"/>
        </w:rPr>
        <w:t>投标文件的澄清和补正</w:t>
      </w:r>
    </w:p>
    <w:p w14:paraId="55A0C24B">
      <w:pPr>
        <w:spacing w:after="0"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3.6.1为有助于投标文件的审查、评价和比较，评标期间，经评标委员会中两人以上（含两人）的成员以书面形式提出动议，评标委员会应当书面发出澄清通知，要求投标人对投标文件含义不明确的内容作出澄清。</w:t>
      </w:r>
    </w:p>
    <w:p w14:paraId="07AFEE09">
      <w:pPr>
        <w:spacing w:after="0"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0D76A00C">
      <w:pPr>
        <w:spacing w:after="0"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3.6.3 评标委员会成员均应当阅读投标人的澄清，但应独立参考澄清对投标文件进行评审。</w:t>
      </w:r>
    </w:p>
    <w:p w14:paraId="19B8ECBA">
      <w:pPr>
        <w:spacing w:after="0"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3.6.4如果投标文件实质上不响应招标文件的各项要求，评标委员会相应评审将按照响应性审查标准予以拒绝，不接受投标人通过修改或撤销其不符合要求的差异或保留，使之成为具有响应性的投标。</w:t>
      </w:r>
    </w:p>
    <w:p w14:paraId="0B37AF35">
      <w:pPr>
        <w:pStyle w:val="5"/>
        <w:spacing w:before="0" w:after="0" w:line="360" w:lineRule="auto"/>
        <w:ind w:firstLine="103"/>
        <w:rPr>
          <w:rFonts w:ascii="宋体" w:hAnsi="宋体" w:eastAsia="宋体"/>
          <w:b/>
          <w:color w:val="auto"/>
          <w:sz w:val="21"/>
          <w:szCs w:val="21"/>
          <w:highlight w:val="none"/>
          <w:u w:val="single"/>
        </w:rPr>
      </w:pPr>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.7</w:t>
      </w:r>
      <w:r>
        <w:rPr>
          <w:rFonts w:hint="eastAsia" w:ascii="宋体" w:hAnsi="宋体" w:eastAsia="宋体"/>
          <w:b/>
          <w:color w:val="auto"/>
          <w:sz w:val="21"/>
          <w:szCs w:val="21"/>
          <w:highlight w:val="none"/>
          <w:u w:val="single"/>
        </w:rPr>
        <w:t>评标结果</w:t>
      </w:r>
    </w:p>
    <w:bookmarkEnd w:id="372"/>
    <w:bookmarkEnd w:id="373"/>
    <w:p w14:paraId="31206D7F">
      <w:pPr>
        <w:pStyle w:val="11"/>
        <w:spacing w:after="0" w:line="360" w:lineRule="auto"/>
        <w:ind w:firstLine="426"/>
        <w:rPr>
          <w:rFonts w:ascii="宋体" w:hAnsi="宋体" w:cs="宋体"/>
          <w:color w:val="auto"/>
          <w:kern w:val="1"/>
          <w:sz w:val="21"/>
          <w:szCs w:val="21"/>
          <w:highlight w:val="none"/>
          <w:u w:val="single"/>
        </w:rPr>
      </w:pPr>
      <w:bookmarkStart w:id="374" w:name="_Toc11283"/>
      <w:r>
        <w:rPr>
          <w:rFonts w:hint="eastAsia" w:ascii="宋体" w:hAnsi="宋体" w:cs="宋体"/>
          <w:color w:val="auto"/>
          <w:kern w:val="1"/>
          <w:sz w:val="21"/>
          <w:szCs w:val="21"/>
          <w:highlight w:val="none"/>
          <w:u w:val="single"/>
        </w:rPr>
        <w:t>3.7.1 除第二章“投标人须知”前附表授权直接确定中标人外，评标委员会按照得分由高到低的顺序推荐中标候选人。</w:t>
      </w:r>
    </w:p>
    <w:p w14:paraId="571D388B">
      <w:pPr>
        <w:pStyle w:val="11"/>
        <w:spacing w:after="0" w:line="360" w:lineRule="auto"/>
        <w:ind w:firstLine="426"/>
        <w:rPr>
          <w:rFonts w:ascii="宋体" w:hAnsi="宋体" w:cs="宋体"/>
          <w:color w:val="auto"/>
          <w:kern w:val="1"/>
          <w:sz w:val="21"/>
          <w:szCs w:val="21"/>
          <w:highlight w:val="none"/>
          <w:u w:val="single"/>
        </w:rPr>
      </w:pPr>
      <w:r>
        <w:rPr>
          <w:rFonts w:hint="eastAsia" w:ascii="宋体" w:hAnsi="宋体" w:cs="宋体"/>
          <w:color w:val="auto"/>
          <w:kern w:val="1"/>
          <w:sz w:val="21"/>
          <w:szCs w:val="21"/>
          <w:highlight w:val="none"/>
          <w:u w:val="single"/>
        </w:rPr>
        <w:t>3.7.2 评标委员会完成评标后，应当向招标人提交书面评标报告。</w:t>
      </w:r>
    </w:p>
    <w:p w14:paraId="6547227B">
      <w:pPr>
        <w:pStyle w:val="11"/>
        <w:spacing w:after="0" w:line="360" w:lineRule="auto"/>
        <w:ind w:firstLine="426"/>
        <w:rPr>
          <w:rFonts w:ascii="宋体" w:hAnsi="宋体" w:cs="宋体"/>
          <w:color w:val="auto"/>
          <w:kern w:val="1"/>
          <w:sz w:val="21"/>
          <w:szCs w:val="21"/>
          <w:highlight w:val="none"/>
          <w:u w:val="single"/>
        </w:rPr>
      </w:pPr>
      <w:r>
        <w:rPr>
          <w:rFonts w:hint="eastAsia" w:ascii="宋体" w:hAnsi="宋体" w:cs="宋体"/>
          <w:color w:val="auto"/>
          <w:kern w:val="1"/>
          <w:sz w:val="21"/>
          <w:szCs w:val="21"/>
          <w:highlight w:val="none"/>
          <w:u w:val="single"/>
        </w:rPr>
        <w:t>3.7.3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14:paraId="1CFDAE9F">
      <w:pPr>
        <w:pStyle w:val="4"/>
        <w:numPr>
          <w:ilvl w:val="0"/>
          <w:numId w:val="4"/>
        </w:numPr>
        <w:spacing w:before="0" w:after="0" w:line="360" w:lineRule="auto"/>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否决性条款（详见附件：否决性条款汇总）</w:t>
      </w:r>
      <w:bookmarkEnd w:id="374"/>
    </w:p>
    <w:p w14:paraId="4867C2F3">
      <w:pPr>
        <w:pStyle w:val="4"/>
        <w:spacing w:before="0" w:after="0" w:line="360" w:lineRule="auto"/>
        <w:rPr>
          <w:rFonts w:ascii="宋体" w:hAnsi="宋体" w:eastAsia="宋体" w:cs="宋体"/>
          <w:color w:val="auto"/>
          <w:sz w:val="21"/>
          <w:szCs w:val="21"/>
          <w:highlight w:val="none"/>
          <w:lang w:val="zh-CN"/>
        </w:rPr>
      </w:pPr>
      <w:bookmarkStart w:id="375" w:name="_Toc14390"/>
      <w:bookmarkEnd w:id="375"/>
      <w:bookmarkStart w:id="376" w:name="_Toc29974"/>
      <w:bookmarkEnd w:id="376"/>
      <w:bookmarkStart w:id="377" w:name="_Toc30449"/>
      <w:bookmarkStart w:id="378" w:name="_Toc5620358"/>
      <w:r>
        <w:rPr>
          <w:rFonts w:hint="eastAsia" w:ascii="宋体" w:hAnsi="宋体" w:eastAsia="宋体" w:cs="宋体"/>
          <w:color w:val="auto"/>
          <w:sz w:val="21"/>
          <w:szCs w:val="21"/>
          <w:highlight w:val="none"/>
          <w:lang w:val="zh-CN"/>
        </w:rPr>
        <w:t>5. 评标表格</w:t>
      </w:r>
      <w:bookmarkEnd w:id="377"/>
      <w:bookmarkEnd w:id="378"/>
    </w:p>
    <w:p w14:paraId="62DE43E0">
      <w:pPr>
        <w:spacing w:after="0" w:line="360" w:lineRule="auto"/>
        <w:ind w:firstLine="420"/>
        <w:rPr>
          <w:rFonts w:ascii="宋体" w:hAnsi="宋体" w:cs="宋体"/>
          <w:b/>
          <w:color w:val="auto"/>
          <w:kern w:val="1"/>
          <w:highlight w:val="none"/>
        </w:rPr>
      </w:pPr>
      <w:r>
        <w:rPr>
          <w:rFonts w:hint="eastAsia" w:ascii="宋体" w:hAnsi="宋体" w:cs="宋体"/>
          <w:color w:val="auto"/>
          <w:kern w:val="1"/>
          <w:szCs w:val="21"/>
          <w:highlight w:val="none"/>
        </w:rPr>
        <w:t>见附表。</w:t>
      </w:r>
      <w:r>
        <w:rPr>
          <w:rFonts w:hint="eastAsia" w:ascii="宋体" w:hAnsi="宋体" w:cs="宋体"/>
          <w:color w:val="auto"/>
          <w:kern w:val="1"/>
          <w:highlight w:val="none"/>
        </w:rPr>
        <w:br w:type="page"/>
      </w:r>
      <w:r>
        <w:rPr>
          <w:rFonts w:hint="eastAsia" w:ascii="宋体" w:hAnsi="宋体" w:cs="宋体"/>
          <w:b/>
          <w:color w:val="auto"/>
          <w:kern w:val="1"/>
          <w:highlight w:val="none"/>
          <w:lang w:val="zh-CN"/>
        </w:rPr>
        <w:t>附件：否决性条款汇总</w:t>
      </w:r>
    </w:p>
    <w:p w14:paraId="7517C697">
      <w:pPr>
        <w:spacing w:line="360" w:lineRule="auto"/>
        <w:ind w:firstLine="422"/>
        <w:jc w:val="center"/>
        <w:rPr>
          <w:rFonts w:ascii="宋体" w:hAnsi="宋体" w:cs="宋体"/>
          <w:b/>
          <w:color w:val="auto"/>
          <w:kern w:val="1"/>
          <w:highlight w:val="none"/>
        </w:rPr>
      </w:pPr>
      <w:r>
        <w:rPr>
          <w:rFonts w:hint="eastAsia" w:ascii="宋体" w:hAnsi="宋体" w:cs="宋体"/>
          <w:b/>
          <w:color w:val="auto"/>
          <w:kern w:val="1"/>
          <w:highlight w:val="none"/>
          <w:lang w:val="zh-CN"/>
        </w:rPr>
        <w:t>否决性条款汇总</w:t>
      </w:r>
    </w:p>
    <w:p w14:paraId="32A85358">
      <w:pPr>
        <w:spacing w:line="360" w:lineRule="auto"/>
        <w:ind w:firstLine="420"/>
        <w:rPr>
          <w:rFonts w:ascii="宋体" w:hAnsi="宋体" w:cs="宋体"/>
          <w:color w:val="auto"/>
          <w:kern w:val="1"/>
          <w:highlight w:val="none"/>
        </w:rPr>
      </w:pPr>
    </w:p>
    <w:p w14:paraId="5220AFEF">
      <w:pPr>
        <w:spacing w:line="360" w:lineRule="auto"/>
        <w:ind w:firstLine="420"/>
        <w:rPr>
          <w:rFonts w:ascii="宋体" w:hAnsi="宋体" w:cs="宋体"/>
          <w:color w:val="auto"/>
          <w:kern w:val="1"/>
          <w:highlight w:val="none"/>
        </w:rPr>
      </w:pPr>
      <w:r>
        <w:rPr>
          <w:rFonts w:hint="eastAsia" w:ascii="宋体" w:hAnsi="宋体" w:cs="宋体"/>
          <w:color w:val="auto"/>
          <w:kern w:val="1"/>
          <w:highlight w:val="none"/>
          <w:lang w:val="zh-CN"/>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w:t>
      </w:r>
    </w:p>
    <w:p w14:paraId="428C22CB">
      <w:pPr>
        <w:spacing w:line="360" w:lineRule="auto"/>
        <w:ind w:firstLine="420"/>
        <w:rPr>
          <w:rFonts w:ascii="宋体" w:hAnsi="宋体" w:cs="宋体"/>
          <w:color w:val="auto"/>
          <w:kern w:val="1"/>
          <w:highlight w:val="none"/>
        </w:rPr>
      </w:pPr>
      <w:r>
        <w:rPr>
          <w:rFonts w:hint="eastAsia" w:ascii="宋体" w:hAnsi="宋体" w:cs="宋体"/>
          <w:color w:val="auto"/>
          <w:kern w:val="1"/>
          <w:highlight w:val="none"/>
          <w:lang w:val="zh-CN"/>
        </w:rPr>
        <w:t>否决性条款是指招标文件中规定的不予受理投标或者作无效标以及不合格标处理等否定投标文件效力的条款。</w:t>
      </w:r>
      <w:r>
        <w:rPr>
          <w:rFonts w:hint="eastAsia" w:ascii="宋体" w:hAnsi="宋体" w:cs="宋体"/>
          <w:color w:val="auto"/>
          <w:kern w:val="1"/>
          <w:highlight w:val="none"/>
        </w:rPr>
        <w:t>具体如下：</w:t>
      </w:r>
    </w:p>
    <w:p w14:paraId="6B93EBF9">
      <w:pPr>
        <w:spacing w:line="360" w:lineRule="auto"/>
        <w:ind w:firstLine="420"/>
        <w:jc w:val="left"/>
        <w:rPr>
          <w:rFonts w:hint="eastAsia" w:ascii="宋体" w:hAnsi="宋体" w:cs="宋体"/>
          <w:color w:val="auto"/>
          <w:kern w:val="1"/>
          <w:highlight w:val="none"/>
          <w:lang w:val="zh-CN"/>
        </w:rPr>
      </w:pPr>
      <w:r>
        <w:rPr>
          <w:rFonts w:hint="eastAsia" w:ascii="宋体" w:hAnsi="宋体" w:cs="宋体"/>
          <w:color w:val="auto"/>
          <w:kern w:val="1"/>
          <w:highlight w:val="none"/>
          <w:lang w:val="zh-CN"/>
        </w:rPr>
        <w:t>1.在投标截止期后逾期或未在</w:t>
      </w:r>
      <w:r>
        <w:rPr>
          <w:rFonts w:hint="eastAsia" w:ascii="宋体" w:hAnsi="宋体" w:cs="宋体"/>
          <w:color w:val="auto"/>
          <w:kern w:val="1"/>
          <w:szCs w:val="21"/>
          <w:highlight w:val="none"/>
          <w:u w:val="single"/>
        </w:rPr>
        <w:t>广州交易集团有限公司（广州公共资源交易中心）</w:t>
      </w:r>
      <w:r>
        <w:rPr>
          <w:rFonts w:hint="eastAsia" w:ascii="宋体" w:hAnsi="宋体" w:cs="宋体"/>
          <w:color w:val="auto"/>
          <w:kern w:val="1"/>
          <w:highlight w:val="none"/>
          <w:lang w:val="zh-CN"/>
        </w:rPr>
        <w:t>数字交易平台（http://www.gzggzy.cn）递交电子投标文件的，电子招标投标交易平台将拒绝接收其投标文件。</w:t>
      </w:r>
    </w:p>
    <w:p w14:paraId="342B64F4">
      <w:pPr>
        <w:spacing w:line="360" w:lineRule="auto"/>
        <w:ind w:firstLine="420"/>
        <w:jc w:val="left"/>
        <w:rPr>
          <w:rFonts w:hint="eastAsia" w:ascii="宋体" w:hAnsi="宋体" w:cs="宋体"/>
          <w:color w:val="auto"/>
          <w:kern w:val="1"/>
          <w:highlight w:val="none"/>
          <w:lang w:val="zh-CN"/>
        </w:rPr>
      </w:pPr>
      <w:r>
        <w:rPr>
          <w:rFonts w:hint="eastAsia" w:ascii="宋体" w:hAnsi="宋体" w:cs="宋体"/>
          <w:color w:val="auto"/>
          <w:kern w:val="1"/>
          <w:highlight w:val="none"/>
          <w:lang w:val="zh-CN"/>
        </w:rPr>
        <w:t>2.投标人未按投标文件要求提供附件或未按要求加盖电子印章及签名的，经评标委员会认定后，其投标文件将被否决。</w:t>
      </w:r>
    </w:p>
    <w:p w14:paraId="087A3D08">
      <w:pPr>
        <w:spacing w:line="360" w:lineRule="auto"/>
        <w:ind w:firstLine="420"/>
        <w:jc w:val="left"/>
        <w:rPr>
          <w:rFonts w:hint="eastAsia" w:ascii="宋体" w:hAnsi="宋体" w:cs="宋体"/>
          <w:color w:val="auto"/>
          <w:kern w:val="1"/>
          <w:highlight w:val="none"/>
          <w:lang w:val="zh-CN"/>
        </w:rPr>
      </w:pPr>
      <w:r>
        <w:rPr>
          <w:rFonts w:hint="eastAsia" w:ascii="宋体" w:hAnsi="宋体" w:cs="宋体"/>
          <w:color w:val="auto"/>
          <w:kern w:val="1"/>
          <w:highlight w:val="none"/>
          <w:lang w:val="zh-CN"/>
        </w:rPr>
        <w:t>3.投标文件中投标总报价高于最高投标限价总价的，或勘察费报价高于勘察费的最高投标限价，或勘察费各项投标报价超过其单价最高投标限价及总价最高投标限价，或设计费报价高于设计费的最高投标限价，或建安工程费报价高于建安工程费的最高投标限价，其投标文件将被否决。</w:t>
      </w:r>
    </w:p>
    <w:p w14:paraId="539E7DB2">
      <w:pPr>
        <w:spacing w:line="360" w:lineRule="auto"/>
        <w:ind w:firstLine="420"/>
        <w:jc w:val="left"/>
        <w:rPr>
          <w:rFonts w:hint="eastAsia" w:ascii="宋体" w:hAnsi="宋体" w:cs="宋体"/>
          <w:color w:val="auto"/>
          <w:kern w:val="1"/>
          <w:highlight w:val="none"/>
          <w:lang w:val="zh-CN"/>
        </w:rPr>
      </w:pPr>
      <w:r>
        <w:rPr>
          <w:rFonts w:hint="eastAsia" w:ascii="宋体" w:hAnsi="宋体" w:cs="宋体"/>
          <w:color w:val="auto"/>
          <w:kern w:val="1"/>
          <w:highlight w:val="none"/>
          <w:lang w:val="zh-CN"/>
        </w:rPr>
        <w:t>4.按投标报价的算术校核原则及方法调整或修正投标文件的投标报价，调整后的投标报价对投标人起约束作用。如果投标人不接受修正后的报价，则取消其中标资格。</w:t>
      </w:r>
    </w:p>
    <w:p w14:paraId="7B5CD522">
      <w:pPr>
        <w:spacing w:line="360" w:lineRule="auto"/>
        <w:ind w:firstLine="420"/>
        <w:jc w:val="left"/>
        <w:rPr>
          <w:rFonts w:hint="eastAsia" w:ascii="宋体" w:hAnsi="宋体" w:cs="宋体"/>
          <w:color w:val="auto"/>
          <w:kern w:val="1"/>
          <w:highlight w:val="none"/>
          <w:lang w:val="zh-CN"/>
        </w:rPr>
      </w:pPr>
      <w:r>
        <w:rPr>
          <w:rFonts w:hint="eastAsia" w:ascii="宋体" w:hAnsi="宋体" w:cs="宋体"/>
          <w:color w:val="auto"/>
          <w:kern w:val="1"/>
          <w:highlight w:val="none"/>
          <w:lang w:val="zh-CN"/>
        </w:rPr>
        <w:t>5.投标人如在本项目中存在串通投标、弄虚作假、行贿情形的，中标无效，该投标人将被招标人列入黑名单并限制其投标。行政监督部门将对其违法行为进行政处罚并通报。</w:t>
      </w:r>
    </w:p>
    <w:p w14:paraId="7776CBAF">
      <w:pPr>
        <w:spacing w:line="360" w:lineRule="auto"/>
        <w:ind w:firstLine="420"/>
        <w:rPr>
          <w:rFonts w:hint="eastAsia" w:ascii="宋体" w:hAnsi="宋体" w:cs="宋体"/>
          <w:color w:val="auto"/>
          <w:kern w:val="1"/>
          <w:highlight w:val="none"/>
          <w:lang w:val="zh-CN"/>
        </w:rPr>
        <w:sectPr>
          <w:headerReference r:id="rId14" w:type="default"/>
          <w:footerReference r:id="rId15" w:type="default"/>
          <w:pgSz w:w="11907" w:h="16840"/>
          <w:pgMar w:top="1134" w:right="1134" w:bottom="1134" w:left="1134" w:header="851" w:footer="720" w:gutter="0"/>
          <w:cols w:space="720" w:num="1"/>
        </w:sectPr>
      </w:pPr>
      <w:r>
        <w:rPr>
          <w:rFonts w:hint="eastAsia" w:ascii="宋体" w:hAnsi="宋体" w:cs="宋体"/>
          <w:color w:val="auto"/>
          <w:kern w:val="1"/>
          <w:highlight w:val="none"/>
          <w:lang w:val="zh-CN"/>
        </w:rPr>
        <w:t>6.投标文件符合列于《评标办法前附表》“资格审查”、“勘察设计方案响应性评审标准”、“工程总承包实施方案响应性评审标准”中所有情形的，为有效投标文件。任一情形不符合均为无效投标文件，经评标委员会认定后，其投标文件将被否决。</w:t>
      </w:r>
    </w:p>
    <w:p w14:paraId="73CFDA89">
      <w:pPr>
        <w:widowControl/>
        <w:jc w:val="left"/>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附表1</w:t>
      </w:r>
    </w:p>
    <w:p w14:paraId="682F4CA9">
      <w:pPr>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形式评审表</w:t>
      </w:r>
    </w:p>
    <w:tbl>
      <w:tblPr>
        <w:tblStyle w:val="36"/>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976"/>
        <w:gridCol w:w="9639"/>
        <w:gridCol w:w="425"/>
        <w:gridCol w:w="504"/>
      </w:tblGrid>
      <w:tr w14:paraId="3424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57F79098">
            <w:pPr>
              <w:pStyle w:val="35"/>
              <w:keepNext w:val="0"/>
              <w:keepLines w:val="0"/>
              <w:suppressLineNumbers w:val="0"/>
              <w:spacing w:before="0" w:beforeAutospacing="0" w:afterAutospacing="0"/>
              <w:ind w:left="0" w:leftChars="0" w:right="0" w:firstLine="0" w:firstLineChars="0"/>
              <w:jc w:val="center"/>
              <w:rPr>
                <w:rFonts w:hint="default"/>
                <w:b/>
                <w:bCs/>
                <w:color w:val="auto"/>
                <w:kern w:val="2"/>
                <w:highlight w:val="none"/>
                <w:lang w:eastAsia="zh-CN"/>
              </w:rPr>
            </w:pPr>
            <w:r>
              <w:rPr>
                <w:rFonts w:hint="default" w:ascii="宋体" w:hAnsi="宋体" w:cs="宋体"/>
                <w:b/>
                <w:bCs/>
                <w:color w:val="auto"/>
                <w:kern w:val="2"/>
                <w:szCs w:val="21"/>
                <w:highlight w:val="none"/>
              </w:rPr>
              <w:t>序号</w:t>
            </w:r>
          </w:p>
        </w:tc>
        <w:tc>
          <w:tcPr>
            <w:tcW w:w="2976" w:type="dxa"/>
            <w:noWrap w:val="0"/>
            <w:vAlign w:val="center"/>
          </w:tcPr>
          <w:p w14:paraId="656E1503">
            <w:pPr>
              <w:pStyle w:val="35"/>
              <w:keepNext w:val="0"/>
              <w:keepLines w:val="0"/>
              <w:suppressLineNumbers w:val="0"/>
              <w:spacing w:before="0" w:beforeAutospacing="0" w:afterAutospacing="0"/>
              <w:ind w:left="0" w:leftChars="0" w:right="0" w:firstLine="0" w:firstLineChars="0"/>
              <w:jc w:val="center"/>
              <w:rPr>
                <w:rFonts w:hint="default"/>
                <w:b/>
                <w:bCs/>
                <w:color w:val="auto"/>
                <w:kern w:val="2"/>
                <w:highlight w:val="none"/>
                <w:lang w:eastAsia="zh-CN"/>
              </w:rPr>
            </w:pPr>
            <w:r>
              <w:rPr>
                <w:rFonts w:hint="default" w:ascii="宋体" w:hAnsi="宋体" w:cs="宋体"/>
                <w:b/>
                <w:bCs/>
                <w:color w:val="auto"/>
                <w:kern w:val="2"/>
                <w:szCs w:val="21"/>
                <w:highlight w:val="none"/>
              </w:rPr>
              <w:t>评审因素</w:t>
            </w:r>
          </w:p>
        </w:tc>
        <w:tc>
          <w:tcPr>
            <w:tcW w:w="9639" w:type="dxa"/>
            <w:noWrap w:val="0"/>
            <w:vAlign w:val="center"/>
          </w:tcPr>
          <w:p w14:paraId="3ED2C1E4">
            <w:pPr>
              <w:pStyle w:val="35"/>
              <w:keepNext w:val="0"/>
              <w:keepLines w:val="0"/>
              <w:suppressLineNumbers w:val="0"/>
              <w:spacing w:before="0" w:beforeAutospacing="0" w:afterAutospacing="0"/>
              <w:ind w:left="0" w:leftChars="0" w:right="0" w:firstLine="0" w:firstLineChars="0"/>
              <w:jc w:val="center"/>
              <w:rPr>
                <w:rFonts w:hint="default"/>
                <w:b/>
                <w:bCs/>
                <w:color w:val="auto"/>
                <w:kern w:val="2"/>
                <w:highlight w:val="none"/>
                <w:lang w:eastAsia="zh-CN"/>
              </w:rPr>
            </w:pPr>
            <w:r>
              <w:rPr>
                <w:rFonts w:hint="default" w:ascii="宋体" w:hAnsi="宋体" w:cs="宋体"/>
                <w:b/>
                <w:bCs/>
                <w:color w:val="auto"/>
                <w:kern w:val="2"/>
                <w:szCs w:val="21"/>
                <w:highlight w:val="none"/>
              </w:rPr>
              <w:t>评审标准</w:t>
            </w:r>
          </w:p>
        </w:tc>
        <w:tc>
          <w:tcPr>
            <w:tcW w:w="425" w:type="dxa"/>
            <w:noWrap w:val="0"/>
            <w:vAlign w:val="center"/>
          </w:tcPr>
          <w:p w14:paraId="6063F5D9">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c>
          <w:tcPr>
            <w:tcW w:w="504" w:type="dxa"/>
            <w:noWrap w:val="0"/>
            <w:vAlign w:val="center"/>
          </w:tcPr>
          <w:p w14:paraId="21BBE95C">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r>
      <w:tr w14:paraId="7526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1CBE3679">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szCs w:val="21"/>
                <w:highlight w:val="none"/>
              </w:rPr>
              <w:t>1</w:t>
            </w:r>
          </w:p>
        </w:tc>
        <w:tc>
          <w:tcPr>
            <w:tcW w:w="2976" w:type="dxa"/>
            <w:noWrap w:val="0"/>
            <w:vAlign w:val="center"/>
          </w:tcPr>
          <w:p w14:paraId="35CDB17F">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szCs w:val="21"/>
                <w:highlight w:val="none"/>
                <w:lang w:eastAsia="zh-CN"/>
              </w:rPr>
              <w:t>投标人名称</w:t>
            </w:r>
            <w:r>
              <w:rPr>
                <w:rFonts w:hint="eastAsia"/>
                <w:color w:val="auto"/>
                <w:kern w:val="2"/>
                <w:highlight w:val="none"/>
                <w:lang w:eastAsia="zh-CN"/>
              </w:rPr>
              <w:t>、项目负责人、</w:t>
            </w:r>
            <w:r>
              <w:rPr>
                <w:rFonts w:hint="eastAsia"/>
                <w:color w:val="auto"/>
                <w:kern w:val="2"/>
                <w:highlight w:val="none"/>
                <w:lang w:val="en-US" w:eastAsia="zh-CN"/>
              </w:rPr>
              <w:t>专职</w:t>
            </w:r>
            <w:r>
              <w:rPr>
                <w:rFonts w:hint="eastAsia"/>
                <w:color w:val="auto"/>
                <w:kern w:val="2"/>
                <w:highlight w:val="none"/>
                <w:lang w:eastAsia="zh-CN"/>
              </w:rPr>
              <w:t>安全员</w:t>
            </w:r>
          </w:p>
        </w:tc>
        <w:tc>
          <w:tcPr>
            <w:tcW w:w="9639" w:type="dxa"/>
            <w:noWrap w:val="0"/>
            <w:vAlign w:val="center"/>
          </w:tcPr>
          <w:p w14:paraId="5A5DBDEC">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r>
              <w:rPr>
                <w:rFonts w:hint="default" w:ascii="宋体" w:hAnsi="宋体" w:cs="宋体"/>
                <w:color w:val="auto"/>
                <w:kern w:val="2"/>
                <w:szCs w:val="21"/>
                <w:highlight w:val="none"/>
                <w:lang w:eastAsia="zh-CN"/>
              </w:rPr>
              <w:t>投标人名称与营业执照、资质证书一致，投标人名称、项目负责人、</w:t>
            </w:r>
            <w:r>
              <w:rPr>
                <w:rFonts w:hint="eastAsia" w:ascii="宋体" w:hAnsi="宋体" w:cs="宋体"/>
                <w:color w:val="auto"/>
                <w:kern w:val="2"/>
                <w:szCs w:val="21"/>
                <w:highlight w:val="none"/>
                <w:lang w:eastAsia="zh-CN"/>
              </w:rPr>
              <w:t>专职</w:t>
            </w:r>
            <w:r>
              <w:rPr>
                <w:rFonts w:hint="default" w:ascii="宋体" w:hAnsi="宋体" w:cs="宋体"/>
                <w:color w:val="auto"/>
                <w:kern w:val="2"/>
                <w:szCs w:val="21"/>
                <w:highlight w:val="none"/>
                <w:lang w:eastAsia="zh-CN"/>
              </w:rPr>
              <w:t>安全员与投标登记时一致</w:t>
            </w:r>
          </w:p>
        </w:tc>
        <w:tc>
          <w:tcPr>
            <w:tcW w:w="425" w:type="dxa"/>
            <w:noWrap w:val="0"/>
            <w:vAlign w:val="center"/>
          </w:tcPr>
          <w:p w14:paraId="58743EA8">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c>
          <w:tcPr>
            <w:tcW w:w="504" w:type="dxa"/>
            <w:noWrap w:val="0"/>
            <w:vAlign w:val="center"/>
          </w:tcPr>
          <w:p w14:paraId="6C75C315">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r>
      <w:tr w14:paraId="2905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81" w:type="dxa"/>
            <w:noWrap w:val="0"/>
            <w:vAlign w:val="center"/>
          </w:tcPr>
          <w:p w14:paraId="7FD8B45E">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szCs w:val="21"/>
                <w:highlight w:val="none"/>
              </w:rPr>
              <w:t>2</w:t>
            </w:r>
          </w:p>
        </w:tc>
        <w:tc>
          <w:tcPr>
            <w:tcW w:w="2976" w:type="dxa"/>
            <w:noWrap w:val="0"/>
            <w:vAlign w:val="center"/>
          </w:tcPr>
          <w:p w14:paraId="27130374">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szCs w:val="21"/>
                <w:highlight w:val="none"/>
                <w:lang w:eastAsia="zh-CN"/>
              </w:rPr>
              <w:t>法定代表人证明及授权委托书</w:t>
            </w:r>
          </w:p>
        </w:tc>
        <w:tc>
          <w:tcPr>
            <w:tcW w:w="9639" w:type="dxa"/>
            <w:noWrap w:val="0"/>
            <w:vAlign w:val="center"/>
          </w:tcPr>
          <w:p w14:paraId="3A1A9BF7">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r>
              <w:rPr>
                <w:rFonts w:hint="default" w:ascii="宋体" w:hAnsi="宋体" w:cs="宋体"/>
                <w:color w:val="auto"/>
                <w:kern w:val="2"/>
                <w:szCs w:val="21"/>
                <w:highlight w:val="none"/>
                <w:lang w:eastAsia="zh-CN"/>
              </w:rPr>
              <w:t>投标文件中有有效的法定代表人证明书，或由委托代理人签字或盖章的投标文件中有法定代表人证明书和授权委托证明书。</w:t>
            </w:r>
          </w:p>
        </w:tc>
        <w:tc>
          <w:tcPr>
            <w:tcW w:w="425" w:type="dxa"/>
            <w:noWrap w:val="0"/>
            <w:vAlign w:val="center"/>
          </w:tcPr>
          <w:p w14:paraId="6040A673">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c>
          <w:tcPr>
            <w:tcW w:w="504" w:type="dxa"/>
            <w:noWrap w:val="0"/>
            <w:vAlign w:val="center"/>
          </w:tcPr>
          <w:p w14:paraId="07CCB610">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r>
      <w:tr w14:paraId="061B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681" w:type="dxa"/>
            <w:noWrap w:val="0"/>
            <w:vAlign w:val="center"/>
          </w:tcPr>
          <w:p w14:paraId="7D8190C5">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szCs w:val="21"/>
                <w:highlight w:val="none"/>
              </w:rPr>
              <w:t>3</w:t>
            </w:r>
          </w:p>
        </w:tc>
        <w:tc>
          <w:tcPr>
            <w:tcW w:w="2976" w:type="dxa"/>
            <w:noWrap w:val="0"/>
            <w:vAlign w:val="center"/>
          </w:tcPr>
          <w:p w14:paraId="28E1549E">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highlight w:val="none"/>
                <w:lang w:eastAsia="zh-CN"/>
              </w:rPr>
              <w:t>《投标函》、《勘察设计投标书》、《技术投标书》、《经济标投标书》签字盖章</w:t>
            </w:r>
          </w:p>
        </w:tc>
        <w:tc>
          <w:tcPr>
            <w:tcW w:w="9639" w:type="dxa"/>
            <w:noWrap w:val="0"/>
            <w:vAlign w:val="center"/>
          </w:tcPr>
          <w:p w14:paraId="6C961666">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r>
              <w:rPr>
                <w:rFonts w:hint="eastAsia" w:ascii="宋体" w:hAnsi="宋体" w:cs="宋体"/>
                <w:color w:val="auto"/>
                <w:kern w:val="2"/>
                <w:highlight w:val="none"/>
                <w:lang w:eastAsia="zh-CN"/>
              </w:rPr>
              <w:t>按招标文件规定的格式填写，没有出现内容不全，或者关键字迹模糊无法辨认的；有法定代表人或其委托代理人签字或盖章并加盖单位章</w:t>
            </w:r>
          </w:p>
        </w:tc>
        <w:tc>
          <w:tcPr>
            <w:tcW w:w="425" w:type="dxa"/>
            <w:noWrap w:val="0"/>
            <w:vAlign w:val="center"/>
          </w:tcPr>
          <w:p w14:paraId="70BFD22B">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c>
          <w:tcPr>
            <w:tcW w:w="504" w:type="dxa"/>
            <w:noWrap w:val="0"/>
            <w:vAlign w:val="center"/>
          </w:tcPr>
          <w:p w14:paraId="62D8723E">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r>
      <w:tr w14:paraId="6ED3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4C278084">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szCs w:val="21"/>
                <w:highlight w:val="none"/>
              </w:rPr>
              <w:t>4</w:t>
            </w:r>
          </w:p>
        </w:tc>
        <w:tc>
          <w:tcPr>
            <w:tcW w:w="2976" w:type="dxa"/>
            <w:noWrap w:val="0"/>
            <w:vAlign w:val="center"/>
          </w:tcPr>
          <w:p w14:paraId="5ED96FC1">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szCs w:val="21"/>
                <w:highlight w:val="none"/>
              </w:rPr>
              <w:t>投标文件格式</w:t>
            </w:r>
          </w:p>
        </w:tc>
        <w:tc>
          <w:tcPr>
            <w:tcW w:w="9639" w:type="dxa"/>
            <w:noWrap w:val="0"/>
            <w:vAlign w:val="center"/>
          </w:tcPr>
          <w:p w14:paraId="7360D8E8">
            <w:pPr>
              <w:keepNext w:val="0"/>
              <w:keepLines w:val="0"/>
              <w:suppressLineNumbers w:val="0"/>
              <w:spacing w:before="0" w:beforeAutospacing="0" w:after="0" w:afterAutospacing="0"/>
              <w:ind w:left="0" w:right="0"/>
              <w:rPr>
                <w:rFonts w:hint="default" w:ascii="宋体" w:hAnsi="宋体" w:cs="宋体"/>
                <w:color w:val="auto"/>
                <w:kern w:val="2"/>
                <w:highlight w:val="none"/>
              </w:rPr>
            </w:pPr>
            <w:r>
              <w:rPr>
                <w:rFonts w:hint="eastAsia" w:ascii="宋体" w:hAnsi="宋体" w:cs="宋体"/>
                <w:color w:val="auto"/>
                <w:kern w:val="2"/>
                <w:highlight w:val="none"/>
              </w:rPr>
              <w:t>工程总承包实施方案技术投标文件按规定的格式（第七章“工程总承包实施方案技术投标文件格式”格式1、格式2、格式3、格式4、格式11）要求填写，按规定盖章签署，没有主要内容不全，或关键字迹模糊、无法辨认的情形；</w:t>
            </w:r>
          </w:p>
          <w:p w14:paraId="2AF85CBC">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r>
              <w:rPr>
                <w:rFonts w:hint="eastAsia" w:ascii="宋体" w:hAnsi="宋体" w:cs="宋体"/>
                <w:color w:val="auto"/>
                <w:kern w:val="2"/>
                <w:highlight w:val="none"/>
                <w:lang w:eastAsia="zh-CN"/>
              </w:rPr>
              <w:t>工程总承包实施方案经济投标文件按规定的格式（第七章“工程总承包实施方案经济投标文件格式”格式1、格式2、格式3）要求填写，按规定盖章签署，没有主要内容不全，或关键字迹模糊、无法辨认的情形；</w:t>
            </w:r>
          </w:p>
        </w:tc>
        <w:tc>
          <w:tcPr>
            <w:tcW w:w="425" w:type="dxa"/>
            <w:noWrap w:val="0"/>
            <w:vAlign w:val="center"/>
          </w:tcPr>
          <w:p w14:paraId="43835110">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c>
          <w:tcPr>
            <w:tcW w:w="504" w:type="dxa"/>
            <w:noWrap w:val="0"/>
            <w:vAlign w:val="center"/>
          </w:tcPr>
          <w:p w14:paraId="132A2DB9">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r>
      <w:tr w14:paraId="2238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3B913DFB">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szCs w:val="21"/>
                <w:highlight w:val="none"/>
              </w:rPr>
              <w:t>5</w:t>
            </w:r>
          </w:p>
        </w:tc>
        <w:tc>
          <w:tcPr>
            <w:tcW w:w="2976" w:type="dxa"/>
            <w:noWrap w:val="0"/>
            <w:vAlign w:val="center"/>
          </w:tcPr>
          <w:p w14:paraId="0B12766D">
            <w:pPr>
              <w:pStyle w:val="35"/>
              <w:keepNext w:val="0"/>
              <w:keepLines w:val="0"/>
              <w:suppressLineNumbers w:val="0"/>
              <w:spacing w:before="0" w:beforeAutospacing="0" w:afterAutospacing="0"/>
              <w:ind w:left="0" w:leftChars="0" w:right="0" w:firstLine="0" w:firstLineChars="0"/>
              <w:jc w:val="center"/>
              <w:rPr>
                <w:rFonts w:hint="default"/>
                <w:strike/>
                <w:color w:val="auto"/>
                <w:kern w:val="2"/>
                <w:highlight w:val="none"/>
                <w:lang w:eastAsia="zh-CN"/>
              </w:rPr>
            </w:pPr>
            <w:r>
              <w:rPr>
                <w:rFonts w:hint="default" w:ascii="宋体" w:hAnsi="宋体" w:cs="宋体"/>
                <w:color w:val="auto"/>
                <w:kern w:val="2"/>
                <w:szCs w:val="21"/>
                <w:highlight w:val="none"/>
              </w:rPr>
              <w:t>报价唯一</w:t>
            </w:r>
          </w:p>
        </w:tc>
        <w:tc>
          <w:tcPr>
            <w:tcW w:w="9639" w:type="dxa"/>
            <w:noWrap w:val="0"/>
            <w:vAlign w:val="center"/>
          </w:tcPr>
          <w:p w14:paraId="6C6DBE08">
            <w:pPr>
              <w:pStyle w:val="35"/>
              <w:keepNext w:val="0"/>
              <w:keepLines w:val="0"/>
              <w:suppressLineNumbers w:val="0"/>
              <w:spacing w:before="0" w:beforeAutospacing="0" w:afterAutospacing="0"/>
              <w:ind w:left="0" w:leftChars="0" w:right="0" w:firstLine="0" w:firstLineChars="0"/>
              <w:rPr>
                <w:rFonts w:hint="default"/>
                <w:strike/>
                <w:color w:val="auto"/>
                <w:kern w:val="2"/>
                <w:highlight w:val="none"/>
                <w:lang w:eastAsia="zh-CN"/>
              </w:rPr>
            </w:pPr>
            <w:r>
              <w:rPr>
                <w:rFonts w:hint="default" w:ascii="宋体" w:hAnsi="宋体" w:cs="宋体"/>
                <w:color w:val="auto"/>
                <w:kern w:val="2"/>
                <w:szCs w:val="21"/>
                <w:highlight w:val="none"/>
                <w:lang w:eastAsia="zh-CN"/>
              </w:rPr>
              <w:t>只能有一个有效投标总报价</w:t>
            </w:r>
          </w:p>
        </w:tc>
        <w:tc>
          <w:tcPr>
            <w:tcW w:w="425" w:type="dxa"/>
            <w:noWrap w:val="0"/>
            <w:vAlign w:val="center"/>
          </w:tcPr>
          <w:p w14:paraId="18AD3A34">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c>
          <w:tcPr>
            <w:tcW w:w="504" w:type="dxa"/>
            <w:noWrap w:val="0"/>
            <w:vAlign w:val="center"/>
          </w:tcPr>
          <w:p w14:paraId="5F406362">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r>
      <w:tr w14:paraId="76BC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6B0F5C4D">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szCs w:val="21"/>
                <w:highlight w:val="none"/>
              </w:rPr>
              <w:t>6</w:t>
            </w:r>
          </w:p>
        </w:tc>
        <w:tc>
          <w:tcPr>
            <w:tcW w:w="2976" w:type="dxa"/>
            <w:noWrap w:val="0"/>
            <w:vAlign w:val="center"/>
          </w:tcPr>
          <w:p w14:paraId="38EDEF31">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highlight w:val="none"/>
                <w:lang w:eastAsia="zh-CN"/>
              </w:rPr>
              <w:t>参与编制投标文件人员名单</w:t>
            </w:r>
          </w:p>
        </w:tc>
        <w:tc>
          <w:tcPr>
            <w:tcW w:w="9639" w:type="dxa"/>
            <w:noWrap w:val="0"/>
            <w:vAlign w:val="center"/>
          </w:tcPr>
          <w:p w14:paraId="0AF76A4A">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r>
              <w:rPr>
                <w:rFonts w:hint="default" w:ascii="宋体" w:hAnsi="宋体" w:cs="宋体"/>
                <w:color w:val="auto"/>
                <w:kern w:val="2"/>
                <w:highlight w:val="none"/>
                <w:lang w:eastAsia="zh-CN"/>
              </w:rPr>
              <w:t>有《参与编制工程总承包实施方案技术投标文件人员名单》和《参与编制工程总承包实施方案经济投标文件人员名单》的</w:t>
            </w:r>
          </w:p>
        </w:tc>
        <w:tc>
          <w:tcPr>
            <w:tcW w:w="425" w:type="dxa"/>
            <w:noWrap w:val="0"/>
            <w:vAlign w:val="center"/>
          </w:tcPr>
          <w:p w14:paraId="7B55B7D7">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c>
          <w:tcPr>
            <w:tcW w:w="504" w:type="dxa"/>
            <w:noWrap w:val="0"/>
            <w:vAlign w:val="center"/>
          </w:tcPr>
          <w:p w14:paraId="53ACCC6D">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r>
      <w:tr w14:paraId="092A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19259FAC">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szCs w:val="21"/>
                <w:highlight w:val="none"/>
              </w:rPr>
              <w:t>7</w:t>
            </w:r>
          </w:p>
        </w:tc>
        <w:tc>
          <w:tcPr>
            <w:tcW w:w="2976" w:type="dxa"/>
            <w:noWrap w:val="0"/>
            <w:vAlign w:val="center"/>
          </w:tcPr>
          <w:p w14:paraId="34674DA1">
            <w:pPr>
              <w:pStyle w:val="35"/>
              <w:keepNext w:val="0"/>
              <w:keepLines w:val="0"/>
              <w:suppressLineNumbers w:val="0"/>
              <w:spacing w:before="0" w:beforeAutospacing="0" w:afterAutospacing="0"/>
              <w:ind w:left="0" w:leftChars="0" w:right="0" w:firstLine="0" w:firstLineChars="0"/>
              <w:jc w:val="center"/>
              <w:rPr>
                <w:rFonts w:hint="default"/>
                <w:color w:val="auto"/>
                <w:kern w:val="2"/>
                <w:highlight w:val="none"/>
                <w:lang w:eastAsia="zh-CN"/>
              </w:rPr>
            </w:pPr>
            <w:r>
              <w:rPr>
                <w:rFonts w:hint="default" w:ascii="宋体" w:hAnsi="宋体" w:cs="宋体"/>
                <w:color w:val="auto"/>
                <w:kern w:val="2"/>
                <w:szCs w:val="21"/>
                <w:highlight w:val="none"/>
              </w:rPr>
              <w:t>机器特征码一致</w:t>
            </w:r>
          </w:p>
        </w:tc>
        <w:tc>
          <w:tcPr>
            <w:tcW w:w="9639" w:type="dxa"/>
            <w:noWrap w:val="0"/>
            <w:vAlign w:val="center"/>
          </w:tcPr>
          <w:p w14:paraId="543D187F">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r>
              <w:rPr>
                <w:rFonts w:hint="default" w:ascii="宋体" w:hAnsi="宋体" w:cs="宋体"/>
                <w:color w:val="auto"/>
                <w:kern w:val="2"/>
                <w:szCs w:val="21"/>
                <w:highlight w:val="none"/>
                <w:lang w:eastAsia="zh-CN"/>
              </w:rPr>
              <w:t>投标人与</w:t>
            </w:r>
            <w:r>
              <w:rPr>
                <w:rFonts w:hint="eastAsia" w:ascii="宋体" w:hAnsi="宋体" w:cs="宋体"/>
                <w:color w:val="auto"/>
                <w:kern w:val="2"/>
                <w:szCs w:val="21"/>
                <w:highlight w:val="none"/>
                <w:lang w:eastAsia="zh-CN"/>
              </w:rPr>
              <w:t>本项目</w:t>
            </w:r>
            <w:r>
              <w:rPr>
                <w:rFonts w:hint="default" w:ascii="宋体" w:hAnsi="宋体" w:cs="宋体"/>
                <w:color w:val="auto"/>
                <w:kern w:val="2"/>
                <w:szCs w:val="21"/>
                <w:highlight w:val="none"/>
                <w:lang w:eastAsia="zh-CN"/>
              </w:rPr>
              <w:t>其他投标人加密打包投标文件电脑机器特征码不一致(以</w:t>
            </w:r>
            <w:r>
              <w:rPr>
                <w:rFonts w:hint="eastAsia" w:ascii="宋体" w:hAnsi="宋体" w:cs="宋体"/>
                <w:color w:val="auto"/>
                <w:kern w:val="1"/>
                <w:szCs w:val="21"/>
                <w:highlight w:val="none"/>
                <w:u w:val="single"/>
                <w:lang w:eastAsia="zh-CN"/>
              </w:rPr>
              <w:t>广州交易集团有限公司（广州公共资源交易中心）</w:t>
            </w:r>
            <w:r>
              <w:rPr>
                <w:rFonts w:hint="default" w:ascii="宋体" w:hAnsi="宋体" w:cs="宋体"/>
                <w:color w:val="auto"/>
                <w:kern w:val="2"/>
                <w:szCs w:val="21"/>
                <w:highlight w:val="none"/>
                <w:lang w:eastAsia="zh-CN"/>
              </w:rPr>
              <w:t>交易平台评标系统的检索信息为准)</w:t>
            </w:r>
          </w:p>
        </w:tc>
        <w:tc>
          <w:tcPr>
            <w:tcW w:w="425" w:type="dxa"/>
            <w:noWrap w:val="0"/>
            <w:vAlign w:val="center"/>
          </w:tcPr>
          <w:p w14:paraId="76B86F74">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c>
          <w:tcPr>
            <w:tcW w:w="504" w:type="dxa"/>
            <w:noWrap w:val="0"/>
            <w:vAlign w:val="center"/>
          </w:tcPr>
          <w:p w14:paraId="60C73CFF">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r>
      <w:tr w14:paraId="0403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14:paraId="0E73BBF9">
            <w:pPr>
              <w:pStyle w:val="35"/>
              <w:keepNext w:val="0"/>
              <w:keepLines w:val="0"/>
              <w:suppressLineNumbers w:val="0"/>
              <w:spacing w:before="0" w:beforeAutospacing="0" w:afterAutospacing="0"/>
              <w:ind w:left="0" w:leftChars="0" w:right="0" w:firstLine="0" w:firstLineChars="0"/>
              <w:jc w:val="center"/>
              <w:rPr>
                <w:rFonts w:hint="default" w:ascii="宋体" w:hAnsi="宋体" w:cs="宋体"/>
                <w:color w:val="auto"/>
                <w:kern w:val="2"/>
                <w:szCs w:val="21"/>
                <w:highlight w:val="none"/>
              </w:rPr>
            </w:pPr>
            <w:r>
              <w:rPr>
                <w:rFonts w:hint="default" w:ascii="宋体" w:hAnsi="宋体" w:cs="宋体"/>
                <w:color w:val="auto"/>
                <w:kern w:val="2"/>
                <w:szCs w:val="21"/>
                <w:highlight w:val="none"/>
              </w:rPr>
              <w:t>8</w:t>
            </w:r>
          </w:p>
        </w:tc>
        <w:tc>
          <w:tcPr>
            <w:tcW w:w="2976" w:type="dxa"/>
            <w:noWrap w:val="0"/>
            <w:vAlign w:val="center"/>
          </w:tcPr>
          <w:p w14:paraId="13E16243">
            <w:pPr>
              <w:pStyle w:val="35"/>
              <w:keepNext w:val="0"/>
              <w:keepLines w:val="0"/>
              <w:suppressLineNumbers w:val="0"/>
              <w:spacing w:before="0" w:beforeAutospacing="0" w:afterAutospacing="0"/>
              <w:ind w:left="0" w:leftChars="0" w:right="0" w:firstLine="0" w:firstLineChars="0"/>
              <w:jc w:val="center"/>
              <w:rPr>
                <w:rFonts w:hint="default" w:ascii="宋体" w:hAnsi="宋体" w:cs="宋体"/>
                <w:color w:val="auto"/>
                <w:kern w:val="2"/>
                <w:highlight w:val="none"/>
              </w:rPr>
            </w:pPr>
            <w:r>
              <w:rPr>
                <w:rFonts w:hint="default" w:ascii="宋体" w:hAnsi="宋体" w:cs="宋体"/>
                <w:color w:val="auto"/>
                <w:kern w:val="2"/>
                <w:highlight w:val="none"/>
              </w:rPr>
              <w:t>串通投标情形</w:t>
            </w:r>
          </w:p>
        </w:tc>
        <w:tc>
          <w:tcPr>
            <w:tcW w:w="9639" w:type="dxa"/>
            <w:noWrap w:val="0"/>
            <w:vAlign w:val="center"/>
          </w:tcPr>
          <w:p w14:paraId="6844F3BF">
            <w:pPr>
              <w:pStyle w:val="35"/>
              <w:keepNext w:val="0"/>
              <w:keepLines w:val="0"/>
              <w:suppressLineNumbers w:val="0"/>
              <w:spacing w:before="0" w:beforeAutospacing="0" w:afterAutospacing="0"/>
              <w:ind w:left="0" w:leftChars="0" w:right="0" w:firstLine="0" w:firstLineChars="0"/>
              <w:rPr>
                <w:rFonts w:hint="default" w:ascii="宋体" w:hAnsi="宋体" w:cs="宋体"/>
                <w:color w:val="auto"/>
                <w:kern w:val="2"/>
                <w:highlight w:val="none"/>
                <w:lang w:eastAsia="zh-CN"/>
              </w:rPr>
            </w:pPr>
            <w:r>
              <w:rPr>
                <w:rFonts w:hint="default" w:ascii="宋体" w:hAnsi="宋体" w:cs="宋体"/>
                <w:color w:val="auto"/>
                <w:kern w:val="2"/>
                <w:highlight w:val="none"/>
                <w:lang w:eastAsia="zh-CN"/>
              </w:rPr>
              <w:t>不存在串通投标情形（串通投标情形以《中华人民共和国招标投标法实施条例》的规定为准）</w:t>
            </w:r>
          </w:p>
        </w:tc>
        <w:tc>
          <w:tcPr>
            <w:tcW w:w="425" w:type="dxa"/>
            <w:noWrap w:val="0"/>
            <w:vAlign w:val="center"/>
          </w:tcPr>
          <w:p w14:paraId="6492073A">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c>
          <w:tcPr>
            <w:tcW w:w="504" w:type="dxa"/>
            <w:noWrap w:val="0"/>
            <w:vAlign w:val="center"/>
          </w:tcPr>
          <w:p w14:paraId="1AC11D40">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r>
      <w:tr w14:paraId="4ADF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7" w:type="dxa"/>
            <w:gridSpan w:val="2"/>
            <w:noWrap w:val="0"/>
            <w:vAlign w:val="center"/>
          </w:tcPr>
          <w:p w14:paraId="58BC1830">
            <w:pPr>
              <w:pStyle w:val="35"/>
              <w:keepNext w:val="0"/>
              <w:keepLines w:val="0"/>
              <w:suppressLineNumbers w:val="0"/>
              <w:spacing w:before="0" w:beforeAutospacing="0" w:afterAutospacing="0"/>
              <w:ind w:left="0" w:leftChars="0" w:right="0" w:firstLine="0" w:firstLineChars="0"/>
              <w:jc w:val="center"/>
              <w:rPr>
                <w:rFonts w:hint="default" w:ascii="宋体" w:hAnsi="宋体" w:cs="宋体"/>
                <w:color w:val="auto"/>
                <w:kern w:val="2"/>
                <w:highlight w:val="none"/>
                <w:lang w:eastAsia="zh-CN"/>
              </w:rPr>
            </w:pPr>
            <w:r>
              <w:rPr>
                <w:rFonts w:hint="default" w:ascii="宋体" w:hAnsi="宋体" w:cs="宋体"/>
                <w:color w:val="auto"/>
                <w:kern w:val="2"/>
                <w:szCs w:val="21"/>
                <w:highlight w:val="none"/>
              </w:rPr>
              <w:t>结论</w:t>
            </w:r>
          </w:p>
        </w:tc>
        <w:tc>
          <w:tcPr>
            <w:tcW w:w="9639" w:type="dxa"/>
            <w:noWrap w:val="0"/>
            <w:vAlign w:val="center"/>
          </w:tcPr>
          <w:p w14:paraId="59C7DD88">
            <w:pPr>
              <w:pStyle w:val="35"/>
              <w:keepNext w:val="0"/>
              <w:keepLines w:val="0"/>
              <w:suppressLineNumbers w:val="0"/>
              <w:spacing w:before="0" w:beforeAutospacing="0" w:afterAutospacing="0"/>
              <w:ind w:left="0" w:leftChars="0" w:right="0" w:firstLine="0" w:firstLineChars="0"/>
              <w:rPr>
                <w:rFonts w:hint="default" w:ascii="宋体" w:hAnsi="宋体" w:cs="宋体"/>
                <w:color w:val="auto"/>
                <w:kern w:val="2"/>
                <w:highlight w:val="none"/>
                <w:lang w:eastAsia="zh-CN"/>
              </w:rPr>
            </w:pPr>
          </w:p>
        </w:tc>
        <w:tc>
          <w:tcPr>
            <w:tcW w:w="425" w:type="dxa"/>
            <w:noWrap w:val="0"/>
            <w:vAlign w:val="center"/>
          </w:tcPr>
          <w:p w14:paraId="6BABB716">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c>
          <w:tcPr>
            <w:tcW w:w="504" w:type="dxa"/>
            <w:noWrap w:val="0"/>
            <w:vAlign w:val="center"/>
          </w:tcPr>
          <w:p w14:paraId="7D08B2F7">
            <w:pPr>
              <w:pStyle w:val="35"/>
              <w:keepNext w:val="0"/>
              <w:keepLines w:val="0"/>
              <w:suppressLineNumbers w:val="0"/>
              <w:spacing w:before="0" w:beforeAutospacing="0" w:afterAutospacing="0"/>
              <w:ind w:left="0" w:leftChars="0" w:right="0" w:firstLine="0" w:firstLineChars="0"/>
              <w:rPr>
                <w:rFonts w:hint="default"/>
                <w:color w:val="auto"/>
                <w:kern w:val="2"/>
                <w:highlight w:val="none"/>
                <w:lang w:eastAsia="zh-CN"/>
              </w:rPr>
            </w:pPr>
          </w:p>
        </w:tc>
      </w:tr>
    </w:tbl>
    <w:p w14:paraId="171589E7">
      <w:pPr>
        <w:spacing w:after="0" w:line="240" w:lineRule="auto"/>
        <w:rPr>
          <w:rFonts w:hint="eastAsia" w:ascii="宋体" w:hAnsi="宋体" w:cs="宋体"/>
          <w:color w:val="auto"/>
          <w:szCs w:val="21"/>
          <w:highlight w:val="none"/>
        </w:rPr>
      </w:pPr>
      <w:r>
        <w:rPr>
          <w:rFonts w:hint="eastAsia" w:ascii="宋体" w:hAnsi="宋体" w:cs="宋体"/>
          <w:color w:val="auto"/>
          <w:szCs w:val="21"/>
          <w:highlight w:val="none"/>
        </w:rPr>
        <w:t>注：1.每一项目符合有效的记“通过”无效的记“不通过”，全部审查项目均为有效的，结论为“通过”，否则为“不通过”。</w:t>
      </w:r>
    </w:p>
    <w:p w14:paraId="719621A9">
      <w:pPr>
        <w:spacing w:after="0" w:line="240" w:lineRule="auto"/>
        <w:ind w:right="848" w:rightChars="404"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2.如对本表中某种情形的评审意见不一致时，以评审组过半数成员的意见作为评审组对该情形的认定结论。</w:t>
      </w:r>
    </w:p>
    <w:p w14:paraId="4FA39256">
      <w:pPr>
        <w:spacing w:after="0" w:line="240" w:lineRule="auto"/>
        <w:ind w:right="848" w:rightChars="404"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得将文件顺序、明显的文字错误等列为否决投标的情形。评委发现投标文件中含义不明确、对同类问题表述不一致、有明显文字和计算错误的，应当要求投标人作必要的澄清、说明后再判定投标人是否通过形式审查，不得直接否决投标，若出现评标委员会否决投标的，应在评标报告中载明否决投标的具体情形、原因。</w:t>
      </w:r>
    </w:p>
    <w:p w14:paraId="29D2CD00">
      <w:pPr>
        <w:spacing w:line="400" w:lineRule="exact"/>
        <w:jc w:val="center"/>
        <w:rPr>
          <w:rFonts w:hint="eastAsia" w:ascii="宋体" w:hAnsi="宋体"/>
          <w:b/>
          <w:color w:val="auto"/>
          <w:sz w:val="36"/>
          <w:szCs w:val="36"/>
          <w:highlight w:val="none"/>
        </w:rPr>
      </w:pPr>
      <w:r>
        <w:rPr>
          <w:rFonts w:hint="eastAsia" w:ascii="宋体" w:hAnsi="宋体" w:cs="宋体"/>
          <w:color w:val="auto"/>
          <w:szCs w:val="21"/>
          <w:highlight w:val="none"/>
        </w:rPr>
        <w:t>评委签名：</w:t>
      </w:r>
    </w:p>
    <w:p w14:paraId="63A0B987">
      <w:pPr>
        <w:spacing w:line="400" w:lineRule="exact"/>
        <w:jc w:val="center"/>
        <w:rPr>
          <w:rFonts w:hint="eastAsia" w:ascii="宋体" w:hAnsi="宋体"/>
          <w:b/>
          <w:color w:val="auto"/>
          <w:sz w:val="36"/>
          <w:szCs w:val="36"/>
          <w:highlight w:val="none"/>
        </w:rPr>
      </w:pPr>
    </w:p>
    <w:p w14:paraId="7762EC43">
      <w:pPr>
        <w:spacing w:line="400" w:lineRule="exact"/>
        <w:jc w:val="center"/>
        <w:rPr>
          <w:rFonts w:hint="eastAsia" w:ascii="宋体" w:hAnsi="宋体"/>
          <w:b/>
          <w:color w:val="auto"/>
          <w:sz w:val="36"/>
          <w:szCs w:val="36"/>
          <w:highlight w:val="none"/>
        </w:rPr>
      </w:pPr>
    </w:p>
    <w:p w14:paraId="560147D6">
      <w:pPr>
        <w:spacing w:line="400" w:lineRule="exact"/>
        <w:jc w:val="center"/>
        <w:rPr>
          <w:rFonts w:hint="eastAsia" w:ascii="宋体" w:hAnsi="宋体"/>
          <w:b/>
          <w:color w:val="auto"/>
          <w:sz w:val="36"/>
          <w:szCs w:val="36"/>
          <w:highlight w:val="none"/>
        </w:rPr>
      </w:pPr>
    </w:p>
    <w:p w14:paraId="00B97BCD">
      <w:pPr>
        <w:spacing w:line="400" w:lineRule="exact"/>
        <w:jc w:val="center"/>
        <w:rPr>
          <w:rFonts w:hint="eastAsia" w:ascii="宋体" w:hAnsi="宋体"/>
          <w:b/>
          <w:color w:val="auto"/>
          <w:sz w:val="36"/>
          <w:szCs w:val="36"/>
          <w:highlight w:val="none"/>
        </w:rPr>
      </w:pPr>
    </w:p>
    <w:p w14:paraId="3AD30D39">
      <w:pPr>
        <w:spacing w:line="400" w:lineRule="exact"/>
        <w:jc w:val="center"/>
        <w:rPr>
          <w:rFonts w:hint="eastAsia" w:ascii="宋体" w:hAnsi="宋体"/>
          <w:b/>
          <w:color w:val="auto"/>
          <w:sz w:val="36"/>
          <w:szCs w:val="36"/>
          <w:highlight w:val="none"/>
        </w:rPr>
      </w:pPr>
    </w:p>
    <w:p w14:paraId="0AE927CF">
      <w:pPr>
        <w:spacing w:line="400" w:lineRule="exact"/>
        <w:jc w:val="center"/>
        <w:rPr>
          <w:rFonts w:hint="eastAsia" w:ascii="宋体" w:hAnsi="宋体"/>
          <w:b/>
          <w:color w:val="auto"/>
          <w:sz w:val="36"/>
          <w:szCs w:val="36"/>
          <w:highlight w:val="none"/>
        </w:rPr>
      </w:pPr>
    </w:p>
    <w:p w14:paraId="109BAC84">
      <w:pPr>
        <w:spacing w:line="400" w:lineRule="exact"/>
        <w:jc w:val="center"/>
        <w:rPr>
          <w:rFonts w:hint="eastAsia" w:ascii="宋体" w:hAnsi="宋体"/>
          <w:b/>
          <w:color w:val="auto"/>
          <w:sz w:val="36"/>
          <w:szCs w:val="36"/>
          <w:highlight w:val="none"/>
        </w:rPr>
      </w:pPr>
    </w:p>
    <w:p w14:paraId="7F0AB742">
      <w:pPr>
        <w:spacing w:line="400" w:lineRule="exact"/>
        <w:jc w:val="center"/>
        <w:rPr>
          <w:rFonts w:hint="eastAsia" w:ascii="宋体" w:hAnsi="宋体"/>
          <w:b/>
          <w:color w:val="auto"/>
          <w:sz w:val="36"/>
          <w:szCs w:val="36"/>
          <w:highlight w:val="none"/>
        </w:rPr>
      </w:pPr>
    </w:p>
    <w:p w14:paraId="7E8C81C4">
      <w:pPr>
        <w:spacing w:line="400" w:lineRule="exact"/>
        <w:jc w:val="center"/>
        <w:rPr>
          <w:rFonts w:hint="eastAsia" w:ascii="宋体" w:hAnsi="宋体"/>
          <w:b/>
          <w:color w:val="auto"/>
          <w:sz w:val="36"/>
          <w:szCs w:val="36"/>
          <w:highlight w:val="none"/>
        </w:rPr>
      </w:pPr>
    </w:p>
    <w:p w14:paraId="2030CA82">
      <w:pPr>
        <w:spacing w:line="400" w:lineRule="exact"/>
        <w:jc w:val="center"/>
        <w:rPr>
          <w:rFonts w:hint="eastAsia" w:ascii="宋体" w:hAnsi="宋体"/>
          <w:b/>
          <w:color w:val="auto"/>
          <w:sz w:val="36"/>
          <w:szCs w:val="36"/>
          <w:highlight w:val="none"/>
        </w:rPr>
      </w:pPr>
    </w:p>
    <w:p w14:paraId="75CBB649">
      <w:pPr>
        <w:spacing w:line="400" w:lineRule="exact"/>
        <w:jc w:val="center"/>
        <w:rPr>
          <w:rFonts w:hint="eastAsia" w:ascii="宋体" w:hAnsi="宋体"/>
          <w:b/>
          <w:color w:val="auto"/>
          <w:sz w:val="36"/>
          <w:szCs w:val="36"/>
          <w:highlight w:val="none"/>
        </w:rPr>
      </w:pPr>
    </w:p>
    <w:p w14:paraId="6031C3DB">
      <w:pPr>
        <w:spacing w:line="400" w:lineRule="exact"/>
        <w:jc w:val="center"/>
        <w:rPr>
          <w:rFonts w:hint="eastAsia" w:ascii="宋体" w:hAnsi="宋体"/>
          <w:b/>
          <w:color w:val="auto"/>
          <w:sz w:val="36"/>
          <w:szCs w:val="36"/>
          <w:highlight w:val="none"/>
        </w:rPr>
      </w:pPr>
    </w:p>
    <w:p w14:paraId="53C03A14">
      <w:pPr>
        <w:spacing w:line="400" w:lineRule="exact"/>
        <w:jc w:val="left"/>
        <w:rPr>
          <w:rFonts w:hint="eastAsia" w:ascii="宋体" w:hAnsi="宋体"/>
          <w:b/>
          <w:color w:val="auto"/>
          <w:sz w:val="36"/>
          <w:szCs w:val="36"/>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附表2：</w:t>
      </w:r>
    </w:p>
    <w:p w14:paraId="03E6E4A5">
      <w:pPr>
        <w:spacing w:line="400" w:lineRule="exact"/>
        <w:jc w:val="center"/>
        <w:rPr>
          <w:rFonts w:ascii="宋体" w:hAnsi="宋体"/>
          <w:b/>
          <w:color w:val="auto"/>
          <w:sz w:val="36"/>
          <w:szCs w:val="36"/>
          <w:highlight w:val="none"/>
        </w:rPr>
      </w:pPr>
      <w:r>
        <w:rPr>
          <w:rFonts w:ascii="宋体" w:hAnsi="宋体"/>
          <w:b/>
          <w:color w:val="auto"/>
          <w:sz w:val="36"/>
          <w:szCs w:val="36"/>
          <w:highlight w:val="none"/>
        </w:rPr>
        <w:t>资格</w:t>
      </w:r>
      <w:r>
        <w:rPr>
          <w:rFonts w:hint="eastAsia" w:ascii="宋体" w:hAnsi="宋体"/>
          <w:b/>
          <w:color w:val="auto"/>
          <w:sz w:val="36"/>
          <w:szCs w:val="36"/>
          <w:highlight w:val="none"/>
        </w:rPr>
        <w:t>评</w:t>
      </w:r>
      <w:r>
        <w:rPr>
          <w:rFonts w:ascii="宋体" w:hAnsi="宋体"/>
          <w:b/>
          <w:color w:val="auto"/>
          <w:sz w:val="36"/>
          <w:szCs w:val="36"/>
          <w:highlight w:val="none"/>
        </w:rPr>
        <w:t>审</w:t>
      </w:r>
      <w:r>
        <w:rPr>
          <w:rFonts w:hint="eastAsia" w:ascii="宋体" w:hAnsi="宋体"/>
          <w:b/>
          <w:color w:val="auto"/>
          <w:sz w:val="36"/>
          <w:szCs w:val="36"/>
          <w:highlight w:val="none"/>
        </w:rPr>
        <w:t>表</w:t>
      </w:r>
    </w:p>
    <w:tbl>
      <w:tblPr>
        <w:tblStyle w:val="36"/>
        <w:tblW w:w="133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30"/>
        <w:gridCol w:w="10819"/>
        <w:gridCol w:w="585"/>
        <w:gridCol w:w="615"/>
        <w:gridCol w:w="825"/>
      </w:tblGrid>
      <w:tr w14:paraId="4EC68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noWrap w:val="0"/>
            <w:vAlign w:val="center"/>
          </w:tcPr>
          <w:p w14:paraId="561027EB">
            <w:pPr>
              <w:keepNext w:val="0"/>
              <w:keepLines w:val="0"/>
              <w:suppressLineNumbers w:val="0"/>
              <w:spacing w:before="0" w:beforeAutospacing="0" w:after="0" w:afterAutospacing="0" w:line="240" w:lineRule="auto"/>
              <w:ind w:left="0" w:right="0"/>
              <w:jc w:val="center"/>
              <w:rPr>
                <w:rFonts w:hint="default" w:ascii="宋体" w:hAnsi="宋体"/>
                <w:b/>
                <w:color w:val="auto"/>
                <w:kern w:val="2"/>
                <w:sz w:val="18"/>
                <w:szCs w:val="18"/>
                <w:highlight w:val="none"/>
              </w:rPr>
            </w:pPr>
            <w:r>
              <w:rPr>
                <w:rFonts w:hint="eastAsia" w:ascii="宋体" w:hAnsi="宋体"/>
                <w:b/>
                <w:color w:val="auto"/>
                <w:kern w:val="2"/>
                <w:sz w:val="18"/>
                <w:szCs w:val="18"/>
                <w:highlight w:val="none"/>
                <w:lang w:bidi="ar"/>
              </w:rPr>
              <w:t>序号</w:t>
            </w:r>
          </w:p>
        </w:tc>
        <w:tc>
          <w:tcPr>
            <w:tcW w:w="10819" w:type="dxa"/>
            <w:noWrap w:val="0"/>
            <w:vAlign w:val="center"/>
          </w:tcPr>
          <w:p w14:paraId="5F736667">
            <w:pPr>
              <w:keepNext w:val="0"/>
              <w:keepLines w:val="0"/>
              <w:suppressLineNumbers w:val="0"/>
              <w:spacing w:before="0" w:beforeAutospacing="0" w:after="0" w:afterAutospacing="0" w:line="240" w:lineRule="auto"/>
              <w:ind w:left="0" w:right="0"/>
              <w:jc w:val="center"/>
              <w:rPr>
                <w:rFonts w:hint="default" w:ascii="宋体" w:hAnsi="宋体"/>
                <w:b/>
                <w:color w:val="auto"/>
                <w:kern w:val="2"/>
                <w:sz w:val="18"/>
                <w:szCs w:val="18"/>
                <w:highlight w:val="none"/>
              </w:rPr>
            </w:pPr>
            <w:r>
              <w:rPr>
                <w:rFonts w:hint="eastAsia" w:ascii="宋体" w:hAnsi="宋体"/>
                <w:b/>
                <w:color w:val="auto"/>
                <w:kern w:val="2"/>
                <w:sz w:val="18"/>
                <w:szCs w:val="18"/>
                <w:highlight w:val="none"/>
                <w:lang w:bidi="ar"/>
              </w:rPr>
              <w:t>评审内容</w:t>
            </w:r>
          </w:p>
        </w:tc>
        <w:tc>
          <w:tcPr>
            <w:tcW w:w="585" w:type="dxa"/>
            <w:noWrap w:val="0"/>
            <w:vAlign w:val="top"/>
          </w:tcPr>
          <w:p w14:paraId="709AB024">
            <w:pPr>
              <w:keepNext w:val="0"/>
              <w:keepLines w:val="0"/>
              <w:suppressLineNumbers w:val="0"/>
              <w:spacing w:before="0" w:beforeAutospacing="0" w:after="0" w:afterAutospacing="0" w:line="240" w:lineRule="auto"/>
              <w:ind w:left="0" w:right="0"/>
              <w:rPr>
                <w:rFonts w:hint="default" w:ascii="宋体" w:hAnsi="宋体"/>
                <w:b/>
                <w:color w:val="auto"/>
                <w:kern w:val="2"/>
                <w:sz w:val="18"/>
                <w:szCs w:val="18"/>
                <w:highlight w:val="none"/>
              </w:rPr>
            </w:pPr>
          </w:p>
        </w:tc>
        <w:tc>
          <w:tcPr>
            <w:tcW w:w="615" w:type="dxa"/>
            <w:noWrap w:val="0"/>
            <w:vAlign w:val="top"/>
          </w:tcPr>
          <w:p w14:paraId="07257917">
            <w:pPr>
              <w:keepNext w:val="0"/>
              <w:keepLines w:val="0"/>
              <w:suppressLineNumbers w:val="0"/>
              <w:spacing w:before="0" w:beforeAutospacing="0" w:after="0" w:afterAutospacing="0" w:line="240" w:lineRule="auto"/>
              <w:ind w:left="0" w:right="0"/>
              <w:rPr>
                <w:rFonts w:hint="default" w:ascii="宋体" w:hAnsi="宋体"/>
                <w:b/>
                <w:color w:val="auto"/>
                <w:kern w:val="2"/>
                <w:sz w:val="18"/>
                <w:szCs w:val="18"/>
                <w:highlight w:val="none"/>
              </w:rPr>
            </w:pPr>
          </w:p>
        </w:tc>
        <w:tc>
          <w:tcPr>
            <w:tcW w:w="825" w:type="dxa"/>
            <w:noWrap w:val="0"/>
            <w:vAlign w:val="top"/>
          </w:tcPr>
          <w:p w14:paraId="468A28AD">
            <w:pPr>
              <w:keepNext w:val="0"/>
              <w:keepLines w:val="0"/>
              <w:suppressLineNumbers w:val="0"/>
              <w:spacing w:before="0" w:beforeAutospacing="0" w:after="0" w:afterAutospacing="0" w:line="240" w:lineRule="auto"/>
              <w:ind w:left="0" w:right="0"/>
              <w:rPr>
                <w:rFonts w:hint="default" w:ascii="宋体" w:hAnsi="宋体"/>
                <w:b/>
                <w:color w:val="auto"/>
                <w:kern w:val="2"/>
                <w:sz w:val="18"/>
                <w:szCs w:val="18"/>
                <w:highlight w:val="none"/>
              </w:rPr>
            </w:pPr>
          </w:p>
        </w:tc>
      </w:tr>
      <w:tr w14:paraId="06F54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noWrap w:val="0"/>
            <w:vAlign w:val="center"/>
          </w:tcPr>
          <w:p w14:paraId="530FD08D">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1</w:t>
            </w:r>
          </w:p>
        </w:tc>
        <w:tc>
          <w:tcPr>
            <w:tcW w:w="10819" w:type="dxa"/>
            <w:noWrap w:val="0"/>
            <w:vAlign w:val="center"/>
          </w:tcPr>
          <w:p w14:paraId="3B4FB0DC">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rPr>
              <w:t>投标文件中有法定代表人证明书，如投标文件为委托代理人签署应同时附上法定代表人证明书和法定代表人授权委托书。（联合体投标的，由联合体主办方出具）</w:t>
            </w:r>
          </w:p>
        </w:tc>
        <w:tc>
          <w:tcPr>
            <w:tcW w:w="585" w:type="dxa"/>
            <w:noWrap w:val="0"/>
            <w:vAlign w:val="top"/>
          </w:tcPr>
          <w:p w14:paraId="43209922">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615" w:type="dxa"/>
            <w:noWrap w:val="0"/>
            <w:vAlign w:val="top"/>
          </w:tcPr>
          <w:p w14:paraId="51A5AE06">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noWrap w:val="0"/>
            <w:vAlign w:val="top"/>
          </w:tcPr>
          <w:p w14:paraId="28DC45FB">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71C31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noWrap w:val="0"/>
            <w:vAlign w:val="center"/>
          </w:tcPr>
          <w:p w14:paraId="6488F210">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2</w:t>
            </w:r>
          </w:p>
        </w:tc>
        <w:tc>
          <w:tcPr>
            <w:tcW w:w="10819" w:type="dxa"/>
            <w:noWrap w:val="0"/>
            <w:vAlign w:val="center"/>
          </w:tcPr>
          <w:p w14:paraId="32BA0734">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rPr>
              <w:t>投标人（联合体各成员）均具有独立法人资格，持有市场监督管理部门核发的法人营业执照或各级政府事业单位登记管理机关颁发的事业单位法人证书[联合体承担设计任务的一方为普通合伙企业形式的设计事务所的，需持有市场监督管理部门核发的合伙企业营业执照；联合体承担设计任务的一方为单独投标的香港企业的，需持有在香港进行商业登记的证明文书]，按国家法律经营。</w:t>
            </w:r>
            <w:r>
              <w:rPr>
                <w:rFonts w:hint="eastAsia" w:ascii="宋体" w:hAnsi="宋体"/>
                <w:b/>
                <w:bCs/>
                <w:color w:val="auto"/>
                <w:kern w:val="2"/>
                <w:sz w:val="18"/>
                <w:szCs w:val="18"/>
                <w:highlight w:val="none"/>
                <w:u w:val="single"/>
              </w:rPr>
              <w:t>提供相关扫描件或电子证照。</w:t>
            </w:r>
          </w:p>
        </w:tc>
        <w:tc>
          <w:tcPr>
            <w:tcW w:w="585" w:type="dxa"/>
            <w:noWrap w:val="0"/>
            <w:vAlign w:val="top"/>
          </w:tcPr>
          <w:p w14:paraId="5F4CFD65">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615" w:type="dxa"/>
            <w:noWrap w:val="0"/>
            <w:vAlign w:val="top"/>
          </w:tcPr>
          <w:p w14:paraId="6B2EDE94">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noWrap w:val="0"/>
            <w:vAlign w:val="top"/>
          </w:tcPr>
          <w:p w14:paraId="2A352603">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7A47E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noWrap w:val="0"/>
            <w:vAlign w:val="center"/>
          </w:tcPr>
          <w:p w14:paraId="4711D733">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3</w:t>
            </w:r>
          </w:p>
        </w:tc>
        <w:tc>
          <w:tcPr>
            <w:tcW w:w="10819" w:type="dxa"/>
            <w:noWrap w:val="0"/>
            <w:vAlign w:val="center"/>
          </w:tcPr>
          <w:p w14:paraId="0BD5054F">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投标人（若为联合体投标，由联合体施工方提供）持有有效的建设行政主管部门颁发的安全生产许可证。</w:t>
            </w:r>
            <w:r>
              <w:rPr>
                <w:rFonts w:hint="eastAsia" w:ascii="宋体" w:hAnsi="宋体"/>
                <w:b/>
                <w:bCs/>
                <w:color w:val="auto"/>
                <w:kern w:val="2"/>
                <w:sz w:val="18"/>
                <w:szCs w:val="18"/>
                <w:highlight w:val="none"/>
                <w:u w:val="single"/>
              </w:rPr>
              <w:t>提供相关扫描件或电子证照。</w:t>
            </w:r>
          </w:p>
        </w:tc>
        <w:tc>
          <w:tcPr>
            <w:tcW w:w="585" w:type="dxa"/>
            <w:noWrap w:val="0"/>
            <w:vAlign w:val="top"/>
          </w:tcPr>
          <w:p w14:paraId="101E4C17">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615" w:type="dxa"/>
            <w:noWrap w:val="0"/>
            <w:vAlign w:val="top"/>
          </w:tcPr>
          <w:p w14:paraId="67EF5108">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noWrap w:val="0"/>
            <w:vAlign w:val="top"/>
          </w:tcPr>
          <w:p w14:paraId="3A24423C">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7BDE8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noWrap w:val="0"/>
            <w:vAlign w:val="center"/>
          </w:tcPr>
          <w:p w14:paraId="073940F9">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4</w:t>
            </w:r>
          </w:p>
        </w:tc>
        <w:tc>
          <w:tcPr>
            <w:tcW w:w="10819" w:type="dxa"/>
            <w:noWrap w:val="0"/>
            <w:vAlign w:val="center"/>
          </w:tcPr>
          <w:p w14:paraId="50AC6861">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投标人（若为联合体，指联合体各方）持有建设行政主管部门颁发的有效期内的企业资质证书；投标人资质符合公告要求。</w:t>
            </w:r>
            <w:r>
              <w:rPr>
                <w:rFonts w:hint="eastAsia" w:ascii="宋体" w:hAnsi="宋体"/>
                <w:b/>
                <w:bCs/>
                <w:color w:val="auto"/>
                <w:kern w:val="2"/>
                <w:sz w:val="18"/>
                <w:szCs w:val="18"/>
                <w:highlight w:val="none"/>
                <w:u w:val="single"/>
              </w:rPr>
              <w:t>提供相关扫描件或电子证照。</w:t>
            </w:r>
          </w:p>
        </w:tc>
        <w:tc>
          <w:tcPr>
            <w:tcW w:w="585" w:type="dxa"/>
            <w:noWrap w:val="0"/>
            <w:vAlign w:val="top"/>
          </w:tcPr>
          <w:p w14:paraId="3C708F61">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615" w:type="dxa"/>
            <w:noWrap w:val="0"/>
            <w:vAlign w:val="top"/>
          </w:tcPr>
          <w:p w14:paraId="3693D641">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noWrap w:val="0"/>
            <w:vAlign w:val="top"/>
          </w:tcPr>
          <w:p w14:paraId="6F6205D7">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628DA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noWrap w:val="0"/>
            <w:vAlign w:val="center"/>
          </w:tcPr>
          <w:p w14:paraId="03112E9D">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5</w:t>
            </w:r>
          </w:p>
        </w:tc>
        <w:tc>
          <w:tcPr>
            <w:tcW w:w="10819" w:type="dxa"/>
            <w:noWrap w:val="0"/>
            <w:vAlign w:val="center"/>
          </w:tcPr>
          <w:p w14:paraId="39B1E6E6">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rPr>
              <w:t>投标人拟担任本项目项目负责人（兼施工负责人，若为联合体投标，由联合体主办方提供）资格符合招标公告要求，提供项目负责人相关证书扫描件</w:t>
            </w:r>
            <w:r>
              <w:rPr>
                <w:rFonts w:hint="eastAsia" w:ascii="宋体" w:hAnsi="宋体"/>
                <w:b/>
                <w:bCs/>
                <w:color w:val="auto"/>
                <w:kern w:val="2"/>
                <w:sz w:val="18"/>
                <w:szCs w:val="18"/>
                <w:highlight w:val="none"/>
                <w:u w:val="single"/>
              </w:rPr>
              <w:t>或电子证书</w:t>
            </w:r>
            <w:r>
              <w:rPr>
                <w:rFonts w:hint="eastAsia" w:ascii="宋体" w:hAnsi="宋体"/>
                <w:color w:val="auto"/>
                <w:kern w:val="2"/>
                <w:sz w:val="18"/>
                <w:szCs w:val="18"/>
                <w:highlight w:val="none"/>
              </w:rPr>
              <w:t>；项目负责人应持有在有效期内的安全生产合格证书（B类）或建筑施工企业项目负责人安全生产考核合格证书。</w:t>
            </w:r>
          </w:p>
        </w:tc>
        <w:tc>
          <w:tcPr>
            <w:tcW w:w="585" w:type="dxa"/>
            <w:noWrap w:val="0"/>
            <w:vAlign w:val="top"/>
          </w:tcPr>
          <w:p w14:paraId="78CD7173">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615" w:type="dxa"/>
            <w:noWrap w:val="0"/>
            <w:vAlign w:val="top"/>
          </w:tcPr>
          <w:p w14:paraId="00B4EE6C">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noWrap w:val="0"/>
            <w:vAlign w:val="top"/>
          </w:tcPr>
          <w:p w14:paraId="776E3651">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41E59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noWrap w:val="0"/>
            <w:vAlign w:val="center"/>
          </w:tcPr>
          <w:p w14:paraId="191F7E3C">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6</w:t>
            </w:r>
          </w:p>
        </w:tc>
        <w:tc>
          <w:tcPr>
            <w:tcW w:w="10819" w:type="dxa"/>
            <w:noWrap w:val="0"/>
            <w:vAlign w:val="center"/>
          </w:tcPr>
          <w:p w14:paraId="4507640D">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rPr>
              <w:t>投标人拟担任本项目设计负责人（若联合体投标的，由联合体中承接设计任务的单位提供）资格符合招标公告要求，提供设计负责人相关证书扫描件</w:t>
            </w:r>
            <w:r>
              <w:rPr>
                <w:rFonts w:hint="eastAsia" w:ascii="宋体" w:hAnsi="宋体"/>
                <w:b/>
                <w:bCs/>
                <w:color w:val="auto"/>
                <w:kern w:val="2"/>
                <w:sz w:val="18"/>
                <w:szCs w:val="18"/>
                <w:highlight w:val="none"/>
                <w:u w:val="single"/>
              </w:rPr>
              <w:t>或电子证书</w:t>
            </w:r>
            <w:r>
              <w:rPr>
                <w:rFonts w:hint="eastAsia" w:ascii="宋体" w:hAnsi="宋体"/>
                <w:color w:val="auto"/>
                <w:kern w:val="2"/>
                <w:sz w:val="18"/>
                <w:szCs w:val="18"/>
                <w:highlight w:val="none"/>
              </w:rPr>
              <w:t>。</w:t>
            </w:r>
          </w:p>
        </w:tc>
        <w:tc>
          <w:tcPr>
            <w:tcW w:w="585" w:type="dxa"/>
            <w:noWrap w:val="0"/>
            <w:vAlign w:val="top"/>
          </w:tcPr>
          <w:p w14:paraId="693F8003">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615" w:type="dxa"/>
            <w:noWrap w:val="0"/>
            <w:vAlign w:val="top"/>
          </w:tcPr>
          <w:p w14:paraId="4B159216">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noWrap w:val="0"/>
            <w:vAlign w:val="top"/>
          </w:tcPr>
          <w:p w14:paraId="37A1D9CA">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607F5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noWrap w:val="0"/>
            <w:vAlign w:val="center"/>
          </w:tcPr>
          <w:p w14:paraId="3398C5FC">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lang w:bidi="ar"/>
              </w:rPr>
            </w:pPr>
            <w:r>
              <w:rPr>
                <w:rFonts w:hint="eastAsia" w:ascii="宋体" w:hAnsi="宋体"/>
                <w:color w:val="auto"/>
                <w:kern w:val="2"/>
                <w:sz w:val="18"/>
                <w:szCs w:val="18"/>
                <w:highlight w:val="none"/>
                <w:lang w:bidi="ar"/>
              </w:rPr>
              <w:t>7</w:t>
            </w:r>
          </w:p>
        </w:tc>
        <w:tc>
          <w:tcPr>
            <w:tcW w:w="10819" w:type="dxa"/>
            <w:noWrap w:val="0"/>
            <w:vAlign w:val="center"/>
          </w:tcPr>
          <w:p w14:paraId="358BDE08">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lang w:bidi="ar"/>
              </w:rPr>
            </w:pPr>
            <w:r>
              <w:rPr>
                <w:rFonts w:hint="eastAsia" w:ascii="宋体" w:hAnsi="宋体"/>
                <w:color w:val="auto"/>
                <w:kern w:val="2"/>
                <w:sz w:val="18"/>
                <w:szCs w:val="18"/>
                <w:highlight w:val="none"/>
                <w:lang w:bidi="ar"/>
              </w:rPr>
              <w:t>投标人拟担任本工程项目技术负责人（若联合体投标，由联合体主办方提供）资格符合招标公告要求，提供技术负责人相关证书扫描件</w:t>
            </w:r>
            <w:r>
              <w:rPr>
                <w:rFonts w:hint="eastAsia" w:ascii="宋体" w:hAnsi="宋体"/>
                <w:b/>
                <w:bCs/>
                <w:color w:val="auto"/>
                <w:kern w:val="2"/>
                <w:sz w:val="18"/>
                <w:szCs w:val="18"/>
                <w:highlight w:val="none"/>
                <w:u w:val="single"/>
              </w:rPr>
              <w:t>或电子证书</w:t>
            </w:r>
            <w:r>
              <w:rPr>
                <w:rFonts w:hint="eastAsia" w:ascii="宋体" w:hAnsi="宋体"/>
                <w:color w:val="auto"/>
                <w:kern w:val="2"/>
                <w:sz w:val="18"/>
                <w:szCs w:val="18"/>
                <w:highlight w:val="none"/>
                <w:lang w:bidi="ar"/>
              </w:rPr>
              <w:t>。</w:t>
            </w:r>
          </w:p>
        </w:tc>
        <w:tc>
          <w:tcPr>
            <w:tcW w:w="585" w:type="dxa"/>
            <w:noWrap w:val="0"/>
            <w:vAlign w:val="top"/>
          </w:tcPr>
          <w:p w14:paraId="50C06144">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615" w:type="dxa"/>
            <w:noWrap w:val="0"/>
            <w:vAlign w:val="top"/>
          </w:tcPr>
          <w:p w14:paraId="18634562">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noWrap w:val="0"/>
            <w:vAlign w:val="top"/>
          </w:tcPr>
          <w:p w14:paraId="31F54A38">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43F09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noWrap w:val="0"/>
            <w:vAlign w:val="center"/>
          </w:tcPr>
          <w:p w14:paraId="3DF800D6">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8</w:t>
            </w:r>
          </w:p>
        </w:tc>
        <w:tc>
          <w:tcPr>
            <w:tcW w:w="10819" w:type="dxa"/>
            <w:noWrap w:val="0"/>
            <w:vAlign w:val="center"/>
          </w:tcPr>
          <w:p w14:paraId="705CEF58">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投标人拟担任本工程专职安全人员（若联合体投标，由联合体主办方提供）具有在有效期内的安全生产考核合格证（C类）或建筑施工企业专职安全生产管理人员安全生产考核合格证书（C3）。</w:t>
            </w:r>
            <w:r>
              <w:rPr>
                <w:rFonts w:hint="eastAsia" w:ascii="宋体" w:hAnsi="宋体"/>
                <w:b/>
                <w:bCs/>
                <w:color w:val="auto"/>
                <w:kern w:val="2"/>
                <w:sz w:val="18"/>
                <w:szCs w:val="18"/>
                <w:highlight w:val="none"/>
                <w:u w:val="single"/>
              </w:rPr>
              <w:t>提供相关扫描件或或电子证书</w:t>
            </w:r>
          </w:p>
        </w:tc>
        <w:tc>
          <w:tcPr>
            <w:tcW w:w="585" w:type="dxa"/>
            <w:noWrap w:val="0"/>
            <w:vAlign w:val="top"/>
          </w:tcPr>
          <w:p w14:paraId="4AA58CAE">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615" w:type="dxa"/>
            <w:noWrap w:val="0"/>
            <w:vAlign w:val="top"/>
          </w:tcPr>
          <w:p w14:paraId="19F86C10">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noWrap w:val="0"/>
            <w:vAlign w:val="top"/>
          </w:tcPr>
          <w:p w14:paraId="1F20C1ED">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15604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noWrap w:val="0"/>
            <w:vAlign w:val="center"/>
          </w:tcPr>
          <w:p w14:paraId="656014E4">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9</w:t>
            </w:r>
          </w:p>
        </w:tc>
        <w:tc>
          <w:tcPr>
            <w:tcW w:w="10819" w:type="dxa"/>
            <w:noWrap w:val="0"/>
            <w:vAlign w:val="center"/>
          </w:tcPr>
          <w:p w14:paraId="608F402A">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资格审查前，投标人（或联合体各方）须在广州市住房和城乡建设局建立企业信用档案及拟担任本工程项目负责人、设计负责人、专职安全员须是本企业信用档案中的在册人员（若为联合体投标，企业信息和人员在册情况为《联合体共同投标协议》分工对应企业库内登记信息）。</w:t>
            </w:r>
          </w:p>
        </w:tc>
        <w:tc>
          <w:tcPr>
            <w:tcW w:w="585" w:type="dxa"/>
            <w:noWrap w:val="0"/>
            <w:vAlign w:val="top"/>
          </w:tcPr>
          <w:p w14:paraId="5C80CB3A">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615" w:type="dxa"/>
            <w:noWrap w:val="0"/>
            <w:vAlign w:val="top"/>
          </w:tcPr>
          <w:p w14:paraId="4DBA2B2C">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noWrap w:val="0"/>
            <w:vAlign w:val="top"/>
          </w:tcPr>
          <w:p w14:paraId="5014ED76">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6ABDD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noWrap w:val="0"/>
            <w:vAlign w:val="center"/>
          </w:tcPr>
          <w:p w14:paraId="055BBC47">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10</w:t>
            </w:r>
          </w:p>
        </w:tc>
        <w:tc>
          <w:tcPr>
            <w:tcW w:w="10819" w:type="dxa"/>
            <w:noWrap w:val="0"/>
            <w:vAlign w:val="center"/>
          </w:tcPr>
          <w:p w14:paraId="5B12B800">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投标人按规定的格式及内容要求签署《投标人声明》（格式见招标公告附件一）。</w:t>
            </w:r>
          </w:p>
        </w:tc>
        <w:tc>
          <w:tcPr>
            <w:tcW w:w="585" w:type="dxa"/>
            <w:noWrap w:val="0"/>
            <w:vAlign w:val="top"/>
          </w:tcPr>
          <w:p w14:paraId="78C873F4">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615" w:type="dxa"/>
            <w:noWrap w:val="0"/>
            <w:vAlign w:val="top"/>
          </w:tcPr>
          <w:p w14:paraId="11B2B129">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noWrap w:val="0"/>
            <w:vAlign w:val="top"/>
          </w:tcPr>
          <w:p w14:paraId="42A701F3">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14A00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noWrap w:val="0"/>
            <w:vAlign w:val="center"/>
          </w:tcPr>
          <w:p w14:paraId="2D6E8BA4">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11</w:t>
            </w:r>
          </w:p>
        </w:tc>
        <w:tc>
          <w:tcPr>
            <w:tcW w:w="10819" w:type="dxa"/>
            <w:noWrap w:val="0"/>
            <w:vAlign w:val="center"/>
          </w:tcPr>
          <w:p w14:paraId="4746A0A7">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本项目接受联合体投标。如联合体投标，按招标文件要求签订了联合体共同投标协议，且协议中明确约定了各方拟承担的工作和责任。（适用于以联合体投标的需递交，格式见招标公告附件二）。</w:t>
            </w:r>
          </w:p>
        </w:tc>
        <w:tc>
          <w:tcPr>
            <w:tcW w:w="585" w:type="dxa"/>
            <w:noWrap w:val="0"/>
            <w:vAlign w:val="top"/>
          </w:tcPr>
          <w:p w14:paraId="4E2749AF">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615" w:type="dxa"/>
            <w:noWrap w:val="0"/>
            <w:vAlign w:val="top"/>
          </w:tcPr>
          <w:p w14:paraId="1F2BD6D2">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noWrap w:val="0"/>
            <w:vAlign w:val="top"/>
          </w:tcPr>
          <w:p w14:paraId="1A1A6258">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6FFF3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noWrap w:val="0"/>
            <w:vAlign w:val="center"/>
          </w:tcPr>
          <w:p w14:paraId="2C3DB9DE">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12</w:t>
            </w:r>
          </w:p>
        </w:tc>
        <w:tc>
          <w:tcPr>
            <w:tcW w:w="10819" w:type="dxa"/>
            <w:noWrap w:val="0"/>
            <w:vAlign w:val="center"/>
          </w:tcPr>
          <w:p w14:paraId="674F7A13">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投标人</w:t>
            </w:r>
            <w:r>
              <w:rPr>
                <w:rFonts w:hint="eastAsia" w:ascii="宋体" w:hAnsi="宋体" w:cs="宋体"/>
                <w:color w:val="auto"/>
                <w:kern w:val="0"/>
                <w:sz w:val="18"/>
                <w:szCs w:val="18"/>
                <w:highlight w:val="none"/>
              </w:rPr>
              <w:t>（若为联合体投标，指联合体各方）</w:t>
            </w:r>
            <w:r>
              <w:rPr>
                <w:rFonts w:hint="eastAsia" w:ascii="宋体" w:hAnsi="宋体"/>
                <w:color w:val="auto"/>
                <w:kern w:val="2"/>
                <w:sz w:val="18"/>
                <w:szCs w:val="18"/>
                <w:highlight w:val="none"/>
                <w:lang w:bidi="ar"/>
              </w:rPr>
              <w:t>未出现以下情形：与其它投标人（若为联合体投标，指联合体各方）的单位负责人为同一人或者存在控股、管理关系的（按投标人提供的《投标人声明》第八条内容进行评审）。</w:t>
            </w:r>
          </w:p>
        </w:tc>
        <w:tc>
          <w:tcPr>
            <w:tcW w:w="585" w:type="dxa"/>
            <w:noWrap w:val="0"/>
            <w:vAlign w:val="top"/>
          </w:tcPr>
          <w:p w14:paraId="5DD2F481">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615" w:type="dxa"/>
            <w:noWrap w:val="0"/>
            <w:vAlign w:val="top"/>
          </w:tcPr>
          <w:p w14:paraId="1B5810CB">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noWrap w:val="0"/>
            <w:vAlign w:val="top"/>
          </w:tcPr>
          <w:p w14:paraId="791F1EE4">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38C14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noWrap w:val="0"/>
            <w:vAlign w:val="center"/>
          </w:tcPr>
          <w:p w14:paraId="0BAD4FAD">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13</w:t>
            </w:r>
          </w:p>
        </w:tc>
        <w:tc>
          <w:tcPr>
            <w:tcW w:w="10819" w:type="dxa"/>
            <w:noWrap w:val="0"/>
            <w:vAlign w:val="center"/>
          </w:tcPr>
          <w:p w14:paraId="4F6F2EB0">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投标人（含联合体各方）未被列入拖欠农民工工资失信联合惩戒对象名单。（投标人无需提供资料，</w:t>
            </w:r>
            <w:r>
              <w:rPr>
                <w:rFonts w:hint="eastAsia" w:ascii="宋体" w:hAnsi="宋体"/>
                <w:color w:val="auto"/>
                <w:kern w:val="2"/>
                <w:sz w:val="18"/>
                <w:szCs w:val="18"/>
                <w:highlight w:val="none"/>
                <w:lang w:val="en-US" w:eastAsia="zh-CN" w:bidi="ar"/>
              </w:rPr>
              <w:t>按投标截止时间</w:t>
            </w:r>
            <w:r>
              <w:rPr>
                <w:rFonts w:hint="eastAsia" w:ascii="宋体" w:hAnsi="宋体"/>
                <w:color w:val="auto"/>
                <w:kern w:val="2"/>
                <w:sz w:val="18"/>
                <w:szCs w:val="18"/>
                <w:highlight w:val="none"/>
                <w:lang w:bidi="ar"/>
              </w:rPr>
              <w:t>，根据广州交易集团有限公司（</w:t>
            </w:r>
            <w:r>
              <w:rPr>
                <w:rFonts w:hint="eastAsia" w:ascii="宋体" w:hAnsi="宋体" w:cs="宋体"/>
                <w:color w:val="auto"/>
                <w:kern w:val="1"/>
                <w:szCs w:val="21"/>
                <w:highlight w:val="none"/>
                <w:u w:val="single"/>
              </w:rPr>
              <w:t>（广州公共资源交易中心）</w:t>
            </w:r>
            <w:r>
              <w:rPr>
                <w:rFonts w:hint="eastAsia" w:ascii="宋体" w:hAnsi="宋体"/>
                <w:color w:val="auto"/>
                <w:kern w:val="2"/>
                <w:sz w:val="18"/>
                <w:szCs w:val="18"/>
                <w:highlight w:val="none"/>
                <w:lang w:bidi="ar"/>
              </w:rPr>
              <w:t>）交易系统比对结果为准）</w:t>
            </w:r>
          </w:p>
        </w:tc>
        <w:tc>
          <w:tcPr>
            <w:tcW w:w="585" w:type="dxa"/>
            <w:noWrap w:val="0"/>
            <w:vAlign w:val="top"/>
          </w:tcPr>
          <w:p w14:paraId="055B5FA8">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615" w:type="dxa"/>
            <w:noWrap w:val="0"/>
            <w:vAlign w:val="top"/>
          </w:tcPr>
          <w:p w14:paraId="072E69A8">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noWrap w:val="0"/>
            <w:vAlign w:val="top"/>
          </w:tcPr>
          <w:p w14:paraId="452971D4">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r w14:paraId="081D0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530" w:type="dxa"/>
            <w:noWrap w:val="0"/>
            <w:vAlign w:val="center"/>
          </w:tcPr>
          <w:p w14:paraId="4B926AFE">
            <w:pPr>
              <w:keepNext w:val="0"/>
              <w:keepLines w:val="0"/>
              <w:suppressLineNumbers w:val="0"/>
              <w:spacing w:before="0" w:beforeAutospacing="0" w:after="0" w:afterAutospacing="0" w:line="240" w:lineRule="auto"/>
              <w:ind w:left="0" w:right="0"/>
              <w:jc w:val="center"/>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14</w:t>
            </w:r>
          </w:p>
        </w:tc>
        <w:tc>
          <w:tcPr>
            <w:tcW w:w="10819" w:type="dxa"/>
            <w:noWrap w:val="0"/>
            <w:vAlign w:val="center"/>
          </w:tcPr>
          <w:p w14:paraId="233C85FD">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r>
              <w:rPr>
                <w:rFonts w:hint="eastAsia" w:ascii="宋体" w:hAnsi="宋体"/>
                <w:color w:val="auto"/>
                <w:kern w:val="2"/>
                <w:sz w:val="18"/>
                <w:szCs w:val="18"/>
                <w:highlight w:val="none"/>
                <w:lang w:bidi="ar"/>
              </w:rPr>
              <w:t>结论</w:t>
            </w:r>
          </w:p>
        </w:tc>
        <w:tc>
          <w:tcPr>
            <w:tcW w:w="585" w:type="dxa"/>
            <w:noWrap w:val="0"/>
            <w:vAlign w:val="top"/>
          </w:tcPr>
          <w:p w14:paraId="0933199C">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615" w:type="dxa"/>
            <w:noWrap w:val="0"/>
            <w:vAlign w:val="top"/>
          </w:tcPr>
          <w:p w14:paraId="1377E4D6">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c>
          <w:tcPr>
            <w:tcW w:w="825" w:type="dxa"/>
            <w:noWrap w:val="0"/>
            <w:vAlign w:val="top"/>
          </w:tcPr>
          <w:p w14:paraId="6A243751">
            <w:pPr>
              <w:keepNext w:val="0"/>
              <w:keepLines w:val="0"/>
              <w:suppressLineNumbers w:val="0"/>
              <w:spacing w:before="0" w:beforeAutospacing="0" w:after="0" w:afterAutospacing="0" w:line="240" w:lineRule="auto"/>
              <w:ind w:left="0" w:right="0"/>
              <w:rPr>
                <w:rFonts w:hint="default" w:ascii="宋体" w:hAnsi="宋体"/>
                <w:color w:val="auto"/>
                <w:kern w:val="2"/>
                <w:sz w:val="18"/>
                <w:szCs w:val="18"/>
                <w:highlight w:val="none"/>
              </w:rPr>
            </w:pPr>
          </w:p>
        </w:tc>
      </w:tr>
    </w:tbl>
    <w:p w14:paraId="38C8AB5C">
      <w:pPr>
        <w:spacing w:line="240" w:lineRule="exact"/>
        <w:rPr>
          <w:rFonts w:ascii="宋体" w:hAnsi="宋体"/>
          <w:color w:val="auto"/>
          <w:sz w:val="18"/>
          <w:szCs w:val="18"/>
          <w:highlight w:val="none"/>
        </w:rPr>
      </w:pPr>
      <w:r>
        <w:rPr>
          <w:rFonts w:hint="eastAsia" w:ascii="宋体" w:hAnsi="宋体"/>
          <w:color w:val="auto"/>
          <w:sz w:val="18"/>
          <w:szCs w:val="18"/>
          <w:highlight w:val="none"/>
        </w:rPr>
        <w:t>注：</w:t>
      </w:r>
      <w:r>
        <w:rPr>
          <w:rFonts w:ascii="宋体" w:hAnsi="宋体"/>
          <w:color w:val="auto"/>
          <w:sz w:val="18"/>
          <w:szCs w:val="18"/>
          <w:highlight w:val="none"/>
        </w:rPr>
        <w:t>1.每一项目符合有效的记“通过”无效的记“不通过”，全部审查项目均为有效的，结论为“通过”，否则为“不通过”。2.如对本表中某种情形的评审意见不一致时，以评</w:t>
      </w:r>
      <w:r>
        <w:rPr>
          <w:rFonts w:hint="eastAsia" w:ascii="宋体" w:hAnsi="宋体"/>
          <w:color w:val="auto"/>
          <w:sz w:val="18"/>
          <w:szCs w:val="18"/>
          <w:highlight w:val="none"/>
        </w:rPr>
        <w:t>审组过半数成员的意见作为评审组对该情形的认定结论。</w:t>
      </w:r>
    </w:p>
    <w:p w14:paraId="3DE93EB2">
      <w:pPr>
        <w:spacing w:line="240" w:lineRule="exact"/>
        <w:ind w:firstLine="360"/>
        <w:rPr>
          <w:rFonts w:hint="eastAsia"/>
          <w:color w:val="auto"/>
          <w:highlight w:val="none"/>
        </w:rPr>
      </w:pPr>
      <w:r>
        <w:rPr>
          <w:rFonts w:hint="eastAsia" w:ascii="宋体" w:hAnsi="宋体"/>
          <w:color w:val="auto"/>
          <w:sz w:val="18"/>
          <w:szCs w:val="18"/>
          <w:highlight w:val="none"/>
        </w:rPr>
        <w:t>评委签名：</w:t>
      </w:r>
      <w:r>
        <w:rPr>
          <w:rFonts w:ascii="宋体" w:hAnsi="宋体"/>
          <w:color w:val="auto"/>
          <w:sz w:val="18"/>
          <w:szCs w:val="18"/>
          <w:highlight w:val="none"/>
        </w:rPr>
        <w:t xml:space="preserve">                                                                        </w:t>
      </w:r>
      <w:r>
        <w:rPr>
          <w:rFonts w:hint="eastAsia" w:ascii="宋体" w:hAnsi="宋体"/>
          <w:color w:val="auto"/>
          <w:sz w:val="18"/>
          <w:szCs w:val="18"/>
          <w:highlight w:val="none"/>
        </w:rPr>
        <w:t>日期：</w:t>
      </w:r>
    </w:p>
    <w:p w14:paraId="6EF024AE">
      <w:pPr>
        <w:spacing w:line="400" w:lineRule="exact"/>
        <w:jc w:val="left"/>
        <w:rPr>
          <w:rFonts w:hint="eastAsia" w:ascii="宋体" w:hAnsi="宋体" w:cs="宋体"/>
          <w:b/>
          <w:color w:val="auto"/>
          <w:kern w:val="1"/>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附表3：</w:t>
      </w:r>
    </w:p>
    <w:p w14:paraId="7056600F">
      <w:pPr>
        <w:jc w:val="center"/>
        <w:rPr>
          <w:rFonts w:hint="eastAsia" w:ascii="宋体" w:hAnsi="宋体" w:cs="宋体"/>
          <w:b/>
          <w:color w:val="auto"/>
          <w:kern w:val="1"/>
          <w:sz w:val="28"/>
          <w:szCs w:val="28"/>
          <w:highlight w:val="none"/>
        </w:rPr>
      </w:pPr>
      <w:r>
        <w:rPr>
          <w:rFonts w:hint="eastAsia" w:ascii="宋体" w:hAnsi="宋体" w:cs="宋体"/>
          <w:b/>
          <w:color w:val="auto"/>
          <w:kern w:val="1"/>
          <w:sz w:val="28"/>
          <w:szCs w:val="28"/>
          <w:highlight w:val="none"/>
        </w:rPr>
        <w:t>勘察设计方案响应性评审表</w:t>
      </w:r>
    </w:p>
    <w:tbl>
      <w:tblPr>
        <w:tblStyle w:val="3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62"/>
        <w:gridCol w:w="7092"/>
        <w:gridCol w:w="1591"/>
        <w:gridCol w:w="1591"/>
        <w:gridCol w:w="1591"/>
      </w:tblGrid>
      <w:tr w14:paraId="2FF60E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0" w:hRule="atLeast"/>
        </w:trPr>
        <w:tc>
          <w:tcPr>
            <w:tcW w:w="462" w:type="dxa"/>
            <w:noWrap w:val="0"/>
            <w:vAlign w:val="center"/>
          </w:tcPr>
          <w:p w14:paraId="047F9FC8">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default" w:ascii="宋体" w:hAnsi="宋体" w:cs="宋体"/>
                <w:color w:val="auto"/>
                <w:szCs w:val="21"/>
                <w:highlight w:val="none"/>
              </w:rPr>
              <w:t>序号</w:t>
            </w:r>
          </w:p>
        </w:tc>
        <w:tc>
          <w:tcPr>
            <w:tcW w:w="7092" w:type="dxa"/>
            <w:noWrap w:val="0"/>
            <w:vAlign w:val="center"/>
          </w:tcPr>
          <w:p w14:paraId="333C67B0">
            <w:pPr>
              <w:pStyle w:val="91"/>
              <w:keepNext w:val="0"/>
              <w:keepLines w:val="0"/>
              <w:suppressLineNumbers w:val="0"/>
              <w:spacing w:before="0" w:beforeAutospacing="0" w:afterAutospacing="0"/>
              <w:ind w:left="0" w:right="0" w:firstLine="420" w:firstLineChars="200"/>
              <w:jc w:val="center"/>
              <w:rPr>
                <w:rFonts w:hint="default" w:ascii="宋体" w:hAnsi="宋体" w:cs="宋体"/>
                <w:color w:val="auto"/>
                <w:szCs w:val="21"/>
                <w:highlight w:val="none"/>
              </w:rPr>
            </w:pPr>
            <w:r>
              <w:rPr>
                <w:rFonts w:hint="default" w:ascii="宋体" w:hAnsi="宋体" w:cs="宋体"/>
                <w:color w:val="auto"/>
                <w:szCs w:val="21"/>
                <w:highlight w:val="none"/>
              </w:rPr>
              <w:t>评审标准</w:t>
            </w:r>
          </w:p>
        </w:tc>
        <w:tc>
          <w:tcPr>
            <w:tcW w:w="1591" w:type="dxa"/>
            <w:noWrap w:val="0"/>
            <w:vAlign w:val="center"/>
          </w:tcPr>
          <w:p w14:paraId="3EAE282F">
            <w:pPr>
              <w:pStyle w:val="91"/>
              <w:keepNext w:val="0"/>
              <w:keepLines w:val="0"/>
              <w:suppressLineNumbers w:val="0"/>
              <w:spacing w:before="0" w:beforeAutospacing="0" w:afterAutospacing="0"/>
              <w:ind w:left="0" w:right="0" w:firstLine="420" w:firstLineChars="200"/>
              <w:jc w:val="center"/>
              <w:rPr>
                <w:rFonts w:hint="default" w:ascii="宋体" w:hAnsi="宋体" w:cs="宋体"/>
                <w:color w:val="auto"/>
                <w:szCs w:val="21"/>
                <w:highlight w:val="none"/>
              </w:rPr>
            </w:pPr>
          </w:p>
        </w:tc>
        <w:tc>
          <w:tcPr>
            <w:tcW w:w="1591" w:type="dxa"/>
            <w:noWrap w:val="0"/>
            <w:vAlign w:val="center"/>
          </w:tcPr>
          <w:p w14:paraId="355D7F4C">
            <w:pPr>
              <w:pStyle w:val="91"/>
              <w:keepNext w:val="0"/>
              <w:keepLines w:val="0"/>
              <w:suppressLineNumbers w:val="0"/>
              <w:spacing w:before="0" w:beforeAutospacing="0" w:afterAutospacing="0"/>
              <w:ind w:left="0" w:right="0" w:firstLine="420" w:firstLineChars="200"/>
              <w:jc w:val="center"/>
              <w:rPr>
                <w:rFonts w:hint="default" w:ascii="宋体" w:hAnsi="宋体" w:cs="宋体"/>
                <w:color w:val="auto"/>
                <w:szCs w:val="21"/>
                <w:highlight w:val="none"/>
              </w:rPr>
            </w:pPr>
          </w:p>
        </w:tc>
        <w:tc>
          <w:tcPr>
            <w:tcW w:w="1591" w:type="dxa"/>
            <w:noWrap w:val="0"/>
            <w:vAlign w:val="center"/>
          </w:tcPr>
          <w:p w14:paraId="4968FA5E">
            <w:pPr>
              <w:pStyle w:val="91"/>
              <w:keepNext w:val="0"/>
              <w:keepLines w:val="0"/>
              <w:suppressLineNumbers w:val="0"/>
              <w:spacing w:before="0" w:beforeAutospacing="0" w:afterAutospacing="0"/>
              <w:ind w:left="0" w:right="0" w:firstLine="420" w:firstLineChars="200"/>
              <w:jc w:val="center"/>
              <w:rPr>
                <w:rFonts w:hint="default" w:ascii="宋体" w:hAnsi="宋体" w:cs="宋体"/>
                <w:color w:val="auto"/>
                <w:szCs w:val="21"/>
                <w:highlight w:val="none"/>
              </w:rPr>
            </w:pPr>
          </w:p>
        </w:tc>
      </w:tr>
      <w:tr w14:paraId="7B2633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0" w:hRule="atLeast"/>
        </w:trPr>
        <w:tc>
          <w:tcPr>
            <w:tcW w:w="462" w:type="dxa"/>
            <w:noWrap w:val="0"/>
            <w:vAlign w:val="center"/>
          </w:tcPr>
          <w:p w14:paraId="167C8FC1">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default" w:ascii="宋体" w:hAnsi="宋体" w:cs="宋体"/>
                <w:color w:val="auto"/>
                <w:szCs w:val="21"/>
                <w:highlight w:val="none"/>
              </w:rPr>
              <w:t>1</w:t>
            </w:r>
          </w:p>
        </w:tc>
        <w:tc>
          <w:tcPr>
            <w:tcW w:w="7092" w:type="dxa"/>
            <w:noWrap w:val="0"/>
            <w:vAlign w:val="center"/>
          </w:tcPr>
          <w:p w14:paraId="7148E37F">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bookmarkStart w:id="379" w:name="OLE_LINK5"/>
            <w:bookmarkStart w:id="380" w:name="OLE_LINK6"/>
            <w:r>
              <w:rPr>
                <w:rFonts w:hint="eastAsia" w:ascii="宋体" w:hAnsi="宋体" w:cs="宋体"/>
                <w:color w:val="auto"/>
                <w:kern w:val="1"/>
                <w:szCs w:val="21"/>
                <w:highlight w:val="none"/>
              </w:rPr>
              <w:t>勘察</w:t>
            </w:r>
            <w:bookmarkEnd w:id="379"/>
            <w:bookmarkEnd w:id="380"/>
            <w:r>
              <w:rPr>
                <w:rFonts w:hint="eastAsia" w:ascii="宋体" w:hAnsi="宋体" w:cs="宋体"/>
                <w:color w:val="auto"/>
                <w:kern w:val="2"/>
                <w:szCs w:val="21"/>
                <w:highlight w:val="none"/>
              </w:rPr>
              <w:t>设计方案文件按招标文件要求编制；投标人未在</w:t>
            </w:r>
            <w:r>
              <w:rPr>
                <w:rFonts w:hint="eastAsia" w:ascii="宋体" w:hAnsi="宋体" w:cs="宋体"/>
                <w:color w:val="auto"/>
                <w:kern w:val="1"/>
                <w:szCs w:val="21"/>
                <w:highlight w:val="none"/>
              </w:rPr>
              <w:t>勘察</w:t>
            </w:r>
            <w:r>
              <w:rPr>
                <w:rFonts w:hint="eastAsia" w:ascii="宋体" w:hAnsi="宋体" w:cs="宋体"/>
                <w:color w:val="auto"/>
                <w:kern w:val="2"/>
                <w:szCs w:val="21"/>
                <w:highlight w:val="none"/>
              </w:rPr>
              <w:t>设计方案内标注名称、印章、商标、图形等记认符号（或使人辨认出投标人或其专业技术人员的身份）</w:t>
            </w:r>
          </w:p>
        </w:tc>
        <w:tc>
          <w:tcPr>
            <w:tcW w:w="1591" w:type="dxa"/>
            <w:noWrap w:val="0"/>
            <w:vAlign w:val="center"/>
          </w:tcPr>
          <w:p w14:paraId="7B6AD07B">
            <w:pPr>
              <w:keepNext w:val="0"/>
              <w:keepLines w:val="0"/>
              <w:suppressLineNumbers w:val="0"/>
              <w:spacing w:before="0" w:beforeAutospacing="0" w:afterAutospacing="0"/>
              <w:ind w:left="0" w:right="0"/>
              <w:rPr>
                <w:rFonts w:hint="default" w:ascii="宋体" w:hAnsi="宋体" w:cs="宋体"/>
                <w:color w:val="auto"/>
                <w:kern w:val="2"/>
                <w:szCs w:val="21"/>
                <w:highlight w:val="none"/>
              </w:rPr>
            </w:pPr>
          </w:p>
        </w:tc>
        <w:tc>
          <w:tcPr>
            <w:tcW w:w="1591" w:type="dxa"/>
            <w:noWrap w:val="0"/>
            <w:vAlign w:val="center"/>
          </w:tcPr>
          <w:p w14:paraId="1061CE3B">
            <w:pPr>
              <w:keepNext w:val="0"/>
              <w:keepLines w:val="0"/>
              <w:suppressLineNumbers w:val="0"/>
              <w:spacing w:before="0" w:beforeAutospacing="0" w:afterAutospacing="0"/>
              <w:ind w:left="0" w:right="0"/>
              <w:rPr>
                <w:rFonts w:hint="default" w:ascii="宋体" w:hAnsi="宋体" w:cs="宋体"/>
                <w:color w:val="auto"/>
                <w:kern w:val="2"/>
                <w:szCs w:val="21"/>
                <w:highlight w:val="none"/>
              </w:rPr>
            </w:pPr>
          </w:p>
        </w:tc>
        <w:tc>
          <w:tcPr>
            <w:tcW w:w="1591" w:type="dxa"/>
            <w:noWrap w:val="0"/>
            <w:vAlign w:val="center"/>
          </w:tcPr>
          <w:p w14:paraId="1398BF9E">
            <w:pPr>
              <w:keepNext w:val="0"/>
              <w:keepLines w:val="0"/>
              <w:suppressLineNumbers w:val="0"/>
              <w:spacing w:before="0" w:beforeAutospacing="0" w:afterAutospacing="0"/>
              <w:ind w:left="0" w:right="0"/>
              <w:rPr>
                <w:rFonts w:hint="default" w:ascii="宋体" w:hAnsi="宋体" w:cs="宋体"/>
                <w:color w:val="auto"/>
                <w:kern w:val="2"/>
                <w:szCs w:val="21"/>
                <w:highlight w:val="none"/>
              </w:rPr>
            </w:pPr>
          </w:p>
        </w:tc>
      </w:tr>
      <w:tr w14:paraId="25A513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8" w:hRule="atLeast"/>
        </w:trPr>
        <w:tc>
          <w:tcPr>
            <w:tcW w:w="462" w:type="dxa"/>
            <w:noWrap w:val="0"/>
            <w:vAlign w:val="center"/>
          </w:tcPr>
          <w:p w14:paraId="281F796C">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default" w:ascii="宋体" w:hAnsi="宋体" w:cs="宋体"/>
                <w:color w:val="auto"/>
                <w:szCs w:val="21"/>
                <w:highlight w:val="none"/>
              </w:rPr>
              <w:t>2</w:t>
            </w:r>
          </w:p>
        </w:tc>
        <w:tc>
          <w:tcPr>
            <w:tcW w:w="7092" w:type="dxa"/>
            <w:noWrap w:val="0"/>
            <w:vAlign w:val="center"/>
          </w:tcPr>
          <w:p w14:paraId="4B686A89">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r>
              <w:rPr>
                <w:rFonts w:hint="eastAsia" w:ascii="宋体" w:hAnsi="宋体" w:cs="宋体"/>
                <w:color w:val="auto"/>
                <w:kern w:val="1"/>
                <w:szCs w:val="21"/>
                <w:highlight w:val="none"/>
              </w:rPr>
              <w:t>勘察</w:t>
            </w:r>
            <w:r>
              <w:rPr>
                <w:rFonts w:hint="eastAsia" w:ascii="宋体" w:hAnsi="宋体" w:cs="宋体"/>
                <w:color w:val="auto"/>
                <w:kern w:val="2"/>
                <w:szCs w:val="21"/>
                <w:highlight w:val="none"/>
              </w:rPr>
              <w:t>设计方案投标文件未超过200页；</w:t>
            </w:r>
          </w:p>
        </w:tc>
        <w:tc>
          <w:tcPr>
            <w:tcW w:w="1591" w:type="dxa"/>
            <w:noWrap w:val="0"/>
            <w:vAlign w:val="center"/>
          </w:tcPr>
          <w:p w14:paraId="157911B3">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7E6C097A">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5DFBAA93">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r>
      <w:tr w14:paraId="419155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8" w:hRule="atLeast"/>
        </w:trPr>
        <w:tc>
          <w:tcPr>
            <w:tcW w:w="462" w:type="dxa"/>
            <w:noWrap w:val="0"/>
            <w:vAlign w:val="center"/>
          </w:tcPr>
          <w:p w14:paraId="779D54A9">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default" w:ascii="宋体" w:hAnsi="宋体" w:cs="宋体"/>
                <w:color w:val="auto"/>
                <w:szCs w:val="21"/>
                <w:highlight w:val="none"/>
              </w:rPr>
              <w:t>3</w:t>
            </w:r>
          </w:p>
        </w:tc>
        <w:tc>
          <w:tcPr>
            <w:tcW w:w="7092" w:type="dxa"/>
            <w:noWrap w:val="0"/>
            <w:vAlign w:val="center"/>
          </w:tcPr>
          <w:p w14:paraId="0E7DBAB9">
            <w:pPr>
              <w:keepNext w:val="0"/>
              <w:keepLines w:val="0"/>
              <w:suppressLineNumbers w:val="0"/>
              <w:spacing w:before="0" w:beforeAutospacing="0" w:afterAutospacing="0"/>
              <w:ind w:left="0" w:right="0"/>
              <w:jc w:val="left"/>
              <w:rPr>
                <w:rFonts w:hint="default" w:ascii="宋体" w:hAnsi="宋体" w:cs="宋体"/>
                <w:color w:val="auto"/>
                <w:kern w:val="2"/>
                <w:szCs w:val="21"/>
                <w:highlight w:val="none"/>
              </w:rPr>
            </w:pPr>
            <w:r>
              <w:rPr>
                <w:rFonts w:hint="eastAsia" w:ascii="宋体" w:hAnsi="宋体" w:cs="宋体"/>
                <w:color w:val="auto"/>
                <w:kern w:val="2"/>
                <w:szCs w:val="21"/>
                <w:highlight w:val="none"/>
              </w:rPr>
              <w:t>未发现明显抄袭行为；</w:t>
            </w:r>
          </w:p>
        </w:tc>
        <w:tc>
          <w:tcPr>
            <w:tcW w:w="1591" w:type="dxa"/>
            <w:noWrap w:val="0"/>
            <w:vAlign w:val="center"/>
          </w:tcPr>
          <w:p w14:paraId="110E42E6">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15381154">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43B4C587">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r>
      <w:tr w14:paraId="6C5284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8" w:hRule="atLeast"/>
        </w:trPr>
        <w:tc>
          <w:tcPr>
            <w:tcW w:w="462" w:type="dxa"/>
            <w:noWrap w:val="0"/>
            <w:vAlign w:val="center"/>
          </w:tcPr>
          <w:p w14:paraId="0794F1F8">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w:t>
            </w:r>
          </w:p>
        </w:tc>
        <w:tc>
          <w:tcPr>
            <w:tcW w:w="7092" w:type="dxa"/>
            <w:noWrap w:val="0"/>
            <w:vAlign w:val="center"/>
          </w:tcPr>
          <w:p w14:paraId="13E8D143">
            <w:pPr>
              <w:keepNext w:val="0"/>
              <w:keepLines w:val="0"/>
              <w:suppressLineNumbers w:val="0"/>
              <w:spacing w:before="0" w:beforeAutospacing="0" w:afterAutospacing="0"/>
              <w:ind w:left="0" w:right="0"/>
              <w:jc w:val="left"/>
              <w:rPr>
                <w:rFonts w:hint="default" w:ascii="宋体" w:hAnsi="宋体" w:cs="宋体"/>
                <w:color w:val="auto"/>
                <w:kern w:val="2"/>
                <w:szCs w:val="21"/>
                <w:highlight w:val="none"/>
              </w:rPr>
            </w:pPr>
            <w:r>
              <w:rPr>
                <w:rFonts w:hint="eastAsia" w:ascii="宋体" w:hAnsi="宋体" w:cs="宋体"/>
                <w:color w:val="auto"/>
                <w:kern w:val="2"/>
                <w:szCs w:val="21"/>
                <w:highlight w:val="none"/>
              </w:rPr>
              <w:t>未发现侵犯他人著作权和特许权；</w:t>
            </w:r>
          </w:p>
        </w:tc>
        <w:tc>
          <w:tcPr>
            <w:tcW w:w="1591" w:type="dxa"/>
            <w:noWrap w:val="0"/>
            <w:vAlign w:val="center"/>
          </w:tcPr>
          <w:p w14:paraId="4748E6BF">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730E297C">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1F11A124">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r>
      <w:tr w14:paraId="27174F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8" w:hRule="atLeast"/>
        </w:trPr>
        <w:tc>
          <w:tcPr>
            <w:tcW w:w="462" w:type="dxa"/>
            <w:noWrap w:val="0"/>
            <w:vAlign w:val="center"/>
          </w:tcPr>
          <w:p w14:paraId="1C048B7A">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5</w:t>
            </w:r>
          </w:p>
        </w:tc>
        <w:tc>
          <w:tcPr>
            <w:tcW w:w="7092" w:type="dxa"/>
            <w:noWrap w:val="0"/>
            <w:vAlign w:val="center"/>
          </w:tcPr>
          <w:p w14:paraId="2D579910">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r>
              <w:rPr>
                <w:rFonts w:hint="default" w:ascii="宋体" w:hAnsi="宋体" w:cs="宋体"/>
                <w:color w:val="auto"/>
                <w:kern w:val="2"/>
                <w:szCs w:val="21"/>
                <w:highlight w:val="none"/>
              </w:rPr>
              <w:t>投标文件未通过明标、暗标中包含的相同内容（如报价等）互相印证、辨认投标人身份</w:t>
            </w:r>
          </w:p>
        </w:tc>
        <w:tc>
          <w:tcPr>
            <w:tcW w:w="1591" w:type="dxa"/>
            <w:noWrap w:val="0"/>
            <w:vAlign w:val="center"/>
          </w:tcPr>
          <w:p w14:paraId="3968D4E4">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3AB8ACE8">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0116172E">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r>
      <w:tr w14:paraId="7FB7EA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trPr>
        <w:tc>
          <w:tcPr>
            <w:tcW w:w="462" w:type="dxa"/>
            <w:noWrap w:val="0"/>
            <w:vAlign w:val="center"/>
          </w:tcPr>
          <w:p w14:paraId="55D6043B">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6</w:t>
            </w:r>
          </w:p>
        </w:tc>
        <w:tc>
          <w:tcPr>
            <w:tcW w:w="7092" w:type="dxa"/>
            <w:noWrap w:val="0"/>
            <w:vAlign w:val="center"/>
          </w:tcPr>
          <w:p w14:paraId="52A8B7C6">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r>
              <w:rPr>
                <w:rFonts w:hint="default" w:ascii="宋体" w:hAnsi="宋体" w:cs="宋体"/>
                <w:color w:val="auto"/>
                <w:kern w:val="2"/>
                <w:szCs w:val="21"/>
                <w:highlight w:val="none"/>
              </w:rPr>
              <w:t>投标人之间不存在《广东省实施&lt;中华人民共和国招标投标法&gt;》第十六条所禁止的情形的</w:t>
            </w:r>
          </w:p>
        </w:tc>
        <w:tc>
          <w:tcPr>
            <w:tcW w:w="1591" w:type="dxa"/>
            <w:noWrap w:val="0"/>
            <w:vAlign w:val="center"/>
          </w:tcPr>
          <w:p w14:paraId="05952C40">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1EF40883">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696FAA8B">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r>
      <w:tr w14:paraId="545EF5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8" w:hRule="atLeast"/>
        </w:trPr>
        <w:tc>
          <w:tcPr>
            <w:tcW w:w="462" w:type="dxa"/>
            <w:noWrap w:val="0"/>
            <w:vAlign w:val="center"/>
          </w:tcPr>
          <w:p w14:paraId="53916195">
            <w:pPr>
              <w:keepNext w:val="0"/>
              <w:keepLines w:val="0"/>
              <w:suppressLineNumbers w:val="0"/>
              <w:spacing w:before="0" w:beforeAutospacing="0" w:afterAutospacing="0" w:line="288" w:lineRule="auto"/>
              <w:ind w:left="0" w:right="0"/>
              <w:jc w:val="center"/>
              <w:rPr>
                <w:rFonts w:hint="default" w:ascii="宋体" w:hAnsi="宋体" w:cs="宋体"/>
                <w:color w:val="auto"/>
                <w:kern w:val="2"/>
                <w:szCs w:val="21"/>
                <w:highlight w:val="none"/>
              </w:rPr>
            </w:pPr>
            <w:r>
              <w:rPr>
                <w:rFonts w:hint="default" w:ascii="宋体" w:hAnsi="宋体" w:cs="宋体"/>
                <w:color w:val="auto"/>
                <w:kern w:val="2"/>
                <w:szCs w:val="21"/>
                <w:highlight w:val="none"/>
              </w:rPr>
              <w:t>结论</w:t>
            </w:r>
          </w:p>
        </w:tc>
        <w:tc>
          <w:tcPr>
            <w:tcW w:w="7092" w:type="dxa"/>
            <w:noWrap w:val="0"/>
            <w:vAlign w:val="center"/>
          </w:tcPr>
          <w:p w14:paraId="6BEF3677">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251AA477">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5AE0C7E2">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236E767E">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r>
    </w:tbl>
    <w:p w14:paraId="7B1E7F3D">
      <w:pPr>
        <w:spacing w:after="0" w:line="240" w:lineRule="auto"/>
        <w:rPr>
          <w:rFonts w:hint="eastAsia" w:ascii="宋体" w:hAnsi="宋体" w:cs="宋体"/>
          <w:color w:val="auto"/>
          <w:szCs w:val="21"/>
          <w:highlight w:val="none"/>
        </w:rPr>
      </w:pPr>
      <w:r>
        <w:rPr>
          <w:rFonts w:hint="eastAsia" w:ascii="宋体" w:hAnsi="宋体" w:cs="宋体"/>
          <w:color w:val="auto"/>
          <w:szCs w:val="21"/>
          <w:highlight w:val="none"/>
        </w:rPr>
        <w:t>注：1.每一项目符合有效的记“通过”无效的记“不通过”，全部审查项目均为有效的，结论为“通过”，否则为“不通过”。</w:t>
      </w:r>
    </w:p>
    <w:p w14:paraId="23041122">
      <w:pPr>
        <w:numPr>
          <w:ilvl w:val="0"/>
          <w:numId w:val="5"/>
        </w:numPr>
        <w:spacing w:after="0" w:line="240" w:lineRule="auto"/>
        <w:ind w:right="848" w:rightChars="404"/>
        <w:rPr>
          <w:rFonts w:hint="eastAsia" w:ascii="宋体" w:hAnsi="宋体" w:cs="宋体"/>
          <w:color w:val="auto"/>
          <w:szCs w:val="21"/>
          <w:highlight w:val="none"/>
        </w:rPr>
      </w:pPr>
      <w:r>
        <w:rPr>
          <w:rFonts w:hint="eastAsia" w:ascii="宋体" w:hAnsi="宋体" w:cs="宋体"/>
          <w:color w:val="auto"/>
          <w:szCs w:val="21"/>
          <w:highlight w:val="none"/>
        </w:rPr>
        <w:t>如对本表中某种情形的评审意见不一致时，以评审组过半数成员的意见作为评审组对该情形的认定结论。</w:t>
      </w:r>
    </w:p>
    <w:p w14:paraId="36D5E9E7">
      <w:pPr>
        <w:numPr>
          <w:ilvl w:val="0"/>
          <w:numId w:val="5"/>
        </w:numPr>
        <w:spacing w:after="0" w:line="240" w:lineRule="auto"/>
        <w:ind w:right="848" w:rightChars="404"/>
        <w:rPr>
          <w:rFonts w:hint="eastAsia" w:ascii="宋体" w:hAnsi="宋体" w:cs="宋体"/>
          <w:color w:val="auto"/>
          <w:szCs w:val="21"/>
          <w:highlight w:val="none"/>
        </w:rPr>
      </w:pPr>
      <w:r>
        <w:rPr>
          <w:rFonts w:hint="eastAsia" w:ascii="宋体" w:hAnsi="宋体" w:cs="宋体"/>
          <w:color w:val="auto"/>
          <w:szCs w:val="21"/>
          <w:highlight w:val="none"/>
        </w:rPr>
        <w:t>不得将文件顺序、明显的文字错误等列为否决投标的情形。评委发现投标文件中含义不明确、对同类问题表述不一致、有明显文字和计算错误的，应当要求投标人作必要的澄清、说明后再判定投标人是否通过响应性审查，不得直接否决投标，若出现评标委员会否决投标的，应在评标报告中载明否决投标的具体情形、原因。</w:t>
      </w:r>
    </w:p>
    <w:p w14:paraId="41F11667">
      <w:pPr>
        <w:pStyle w:val="35"/>
        <w:ind w:left="420" w:firstLine="420"/>
        <w:rPr>
          <w:rFonts w:hint="eastAsia"/>
          <w:color w:val="auto"/>
          <w:highlight w:val="none"/>
          <w:lang w:eastAsia="zh-CN"/>
        </w:rPr>
      </w:pPr>
      <w:r>
        <w:rPr>
          <w:rFonts w:hint="eastAsia" w:ascii="宋体" w:hAnsi="宋体" w:cs="宋体"/>
          <w:color w:val="auto"/>
          <w:szCs w:val="21"/>
          <w:highlight w:val="none"/>
          <w:lang w:eastAsia="zh-CN"/>
        </w:rPr>
        <w:t>评委签名：</w:t>
      </w:r>
    </w:p>
    <w:p w14:paraId="51EC92CE">
      <w:pPr>
        <w:pStyle w:val="35"/>
        <w:ind w:left="420" w:firstLine="420"/>
        <w:rPr>
          <w:color w:val="auto"/>
          <w:highlight w:val="none"/>
          <w:lang w:eastAsia="zh-CN"/>
        </w:rPr>
        <w:sectPr>
          <w:pgSz w:w="16840" w:h="11907" w:orient="landscape"/>
          <w:pgMar w:top="1134" w:right="1134" w:bottom="1134" w:left="1134" w:header="851" w:footer="720" w:gutter="0"/>
          <w:cols w:space="720" w:num="1"/>
        </w:sectPr>
      </w:pPr>
    </w:p>
    <w:p w14:paraId="412903E0">
      <w:pPr>
        <w:spacing w:line="360" w:lineRule="auto"/>
        <w:jc w:val="left"/>
        <w:rPr>
          <w:rFonts w:hint="eastAsia" w:ascii="宋体" w:hAnsi="宋体" w:cs="宋体"/>
          <w:b/>
          <w:color w:val="auto"/>
          <w:kern w:val="1"/>
          <w:sz w:val="24"/>
          <w:szCs w:val="24"/>
          <w:highlight w:val="none"/>
        </w:rPr>
      </w:pPr>
      <w:r>
        <w:rPr>
          <w:rFonts w:hint="eastAsia" w:ascii="宋体" w:hAnsi="宋体" w:cs="宋体"/>
          <w:b/>
          <w:color w:val="auto"/>
          <w:kern w:val="1"/>
          <w:sz w:val="24"/>
          <w:szCs w:val="24"/>
          <w:highlight w:val="none"/>
        </w:rPr>
        <w:t>附表</w:t>
      </w:r>
      <w:bookmarkStart w:id="381" w:name="_Hlk55894641"/>
      <w:r>
        <w:rPr>
          <w:rFonts w:hint="eastAsia" w:ascii="宋体" w:hAnsi="宋体" w:cs="宋体"/>
          <w:b/>
          <w:color w:val="auto"/>
          <w:kern w:val="1"/>
          <w:sz w:val="24"/>
          <w:szCs w:val="24"/>
          <w:highlight w:val="none"/>
        </w:rPr>
        <w:t>4</w:t>
      </w:r>
      <w:r>
        <w:rPr>
          <w:rFonts w:ascii="宋体" w:hAnsi="宋体" w:cs="宋体"/>
          <w:b/>
          <w:color w:val="auto"/>
          <w:kern w:val="1"/>
          <w:sz w:val="24"/>
          <w:szCs w:val="24"/>
          <w:highlight w:val="none"/>
        </w:rPr>
        <w:t xml:space="preserve">                                  </w:t>
      </w:r>
    </w:p>
    <w:p w14:paraId="5623EE83">
      <w:pPr>
        <w:jc w:val="center"/>
        <w:rPr>
          <w:rFonts w:hint="eastAsia" w:ascii="宋体" w:hAnsi="宋体" w:cs="宋体"/>
          <w:b/>
          <w:color w:val="auto"/>
          <w:kern w:val="1"/>
          <w:sz w:val="28"/>
          <w:szCs w:val="28"/>
          <w:highlight w:val="none"/>
        </w:rPr>
      </w:pPr>
      <w:r>
        <w:rPr>
          <w:rFonts w:hint="eastAsia" w:ascii="宋体" w:hAnsi="宋体" w:cs="宋体"/>
          <w:b/>
          <w:color w:val="auto"/>
          <w:kern w:val="1"/>
          <w:sz w:val="28"/>
          <w:szCs w:val="28"/>
          <w:highlight w:val="none"/>
        </w:rPr>
        <w:t>工程总承包实施方案响应性评审表</w:t>
      </w:r>
    </w:p>
    <w:tbl>
      <w:tblPr>
        <w:tblStyle w:val="3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62"/>
        <w:gridCol w:w="1279"/>
        <w:gridCol w:w="7092"/>
        <w:gridCol w:w="1591"/>
        <w:gridCol w:w="1591"/>
        <w:gridCol w:w="1591"/>
      </w:tblGrid>
      <w:tr w14:paraId="6923B8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0" w:hRule="atLeast"/>
          <w:jc w:val="center"/>
        </w:trPr>
        <w:tc>
          <w:tcPr>
            <w:tcW w:w="462" w:type="dxa"/>
            <w:noWrap w:val="0"/>
            <w:vAlign w:val="center"/>
          </w:tcPr>
          <w:p w14:paraId="5A0CBE81">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default" w:ascii="宋体" w:hAnsi="宋体" w:cs="宋体"/>
                <w:color w:val="auto"/>
                <w:szCs w:val="21"/>
                <w:highlight w:val="none"/>
              </w:rPr>
              <w:t>序号</w:t>
            </w:r>
          </w:p>
        </w:tc>
        <w:tc>
          <w:tcPr>
            <w:tcW w:w="1279" w:type="dxa"/>
            <w:noWrap w:val="0"/>
            <w:vAlign w:val="center"/>
          </w:tcPr>
          <w:p w14:paraId="05CD8999">
            <w:pPr>
              <w:pStyle w:val="91"/>
              <w:keepNext w:val="0"/>
              <w:keepLines w:val="0"/>
              <w:suppressLineNumbers w:val="0"/>
              <w:spacing w:before="0" w:beforeAutospacing="0" w:afterAutospacing="0"/>
              <w:ind w:left="-1" w:leftChars="-37" w:right="0" w:hanging="77" w:hangingChars="37"/>
              <w:jc w:val="center"/>
              <w:rPr>
                <w:rFonts w:hint="default" w:ascii="宋体" w:hAnsi="宋体" w:cs="宋体"/>
                <w:color w:val="auto"/>
                <w:szCs w:val="21"/>
                <w:highlight w:val="none"/>
              </w:rPr>
            </w:pPr>
            <w:r>
              <w:rPr>
                <w:rFonts w:hint="default" w:ascii="宋体" w:hAnsi="宋体" w:cs="宋体"/>
                <w:color w:val="auto"/>
                <w:szCs w:val="21"/>
                <w:highlight w:val="none"/>
              </w:rPr>
              <w:t>评审因素</w:t>
            </w:r>
          </w:p>
        </w:tc>
        <w:tc>
          <w:tcPr>
            <w:tcW w:w="7092" w:type="dxa"/>
            <w:noWrap w:val="0"/>
            <w:vAlign w:val="center"/>
          </w:tcPr>
          <w:p w14:paraId="4BEDFD2A">
            <w:pPr>
              <w:pStyle w:val="91"/>
              <w:keepNext w:val="0"/>
              <w:keepLines w:val="0"/>
              <w:suppressLineNumbers w:val="0"/>
              <w:spacing w:before="0" w:beforeAutospacing="0" w:afterAutospacing="0"/>
              <w:ind w:left="0" w:right="0" w:firstLine="420" w:firstLineChars="200"/>
              <w:jc w:val="center"/>
              <w:rPr>
                <w:rFonts w:hint="default" w:ascii="宋体" w:hAnsi="宋体" w:cs="宋体"/>
                <w:color w:val="auto"/>
                <w:szCs w:val="21"/>
                <w:highlight w:val="none"/>
              </w:rPr>
            </w:pPr>
            <w:r>
              <w:rPr>
                <w:rFonts w:hint="default" w:ascii="宋体" w:hAnsi="宋体" w:cs="宋体"/>
                <w:color w:val="auto"/>
                <w:szCs w:val="21"/>
                <w:highlight w:val="none"/>
              </w:rPr>
              <w:t>评审标准</w:t>
            </w:r>
          </w:p>
        </w:tc>
        <w:tc>
          <w:tcPr>
            <w:tcW w:w="1591" w:type="dxa"/>
            <w:noWrap w:val="0"/>
            <w:vAlign w:val="center"/>
          </w:tcPr>
          <w:p w14:paraId="1E07D515">
            <w:pPr>
              <w:pStyle w:val="91"/>
              <w:keepNext w:val="0"/>
              <w:keepLines w:val="0"/>
              <w:suppressLineNumbers w:val="0"/>
              <w:spacing w:before="0" w:beforeAutospacing="0" w:afterAutospacing="0"/>
              <w:ind w:left="0" w:right="0" w:firstLine="420" w:firstLineChars="200"/>
              <w:jc w:val="center"/>
              <w:rPr>
                <w:rFonts w:hint="default" w:ascii="宋体" w:hAnsi="宋体" w:cs="宋体"/>
                <w:color w:val="auto"/>
                <w:szCs w:val="21"/>
                <w:highlight w:val="none"/>
              </w:rPr>
            </w:pPr>
          </w:p>
        </w:tc>
        <w:tc>
          <w:tcPr>
            <w:tcW w:w="1591" w:type="dxa"/>
            <w:noWrap w:val="0"/>
            <w:vAlign w:val="center"/>
          </w:tcPr>
          <w:p w14:paraId="3BA53F1B">
            <w:pPr>
              <w:pStyle w:val="91"/>
              <w:keepNext w:val="0"/>
              <w:keepLines w:val="0"/>
              <w:suppressLineNumbers w:val="0"/>
              <w:spacing w:before="0" w:beforeAutospacing="0" w:afterAutospacing="0"/>
              <w:ind w:left="0" w:right="0" w:firstLine="420" w:firstLineChars="200"/>
              <w:jc w:val="center"/>
              <w:rPr>
                <w:rFonts w:hint="default" w:ascii="宋体" w:hAnsi="宋体" w:cs="宋体"/>
                <w:color w:val="auto"/>
                <w:szCs w:val="21"/>
                <w:highlight w:val="none"/>
              </w:rPr>
            </w:pPr>
          </w:p>
        </w:tc>
        <w:tc>
          <w:tcPr>
            <w:tcW w:w="1591" w:type="dxa"/>
            <w:noWrap w:val="0"/>
            <w:vAlign w:val="center"/>
          </w:tcPr>
          <w:p w14:paraId="5787E081">
            <w:pPr>
              <w:pStyle w:val="91"/>
              <w:keepNext w:val="0"/>
              <w:keepLines w:val="0"/>
              <w:suppressLineNumbers w:val="0"/>
              <w:spacing w:before="0" w:beforeAutospacing="0" w:afterAutospacing="0"/>
              <w:ind w:left="0" w:right="0" w:firstLine="420" w:firstLineChars="200"/>
              <w:jc w:val="center"/>
              <w:rPr>
                <w:rFonts w:hint="default" w:ascii="宋体" w:hAnsi="宋体" w:cs="宋体"/>
                <w:color w:val="auto"/>
                <w:szCs w:val="21"/>
                <w:highlight w:val="none"/>
              </w:rPr>
            </w:pPr>
          </w:p>
        </w:tc>
      </w:tr>
      <w:tr w14:paraId="44262D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0" w:hRule="atLeast"/>
          <w:jc w:val="center"/>
        </w:trPr>
        <w:tc>
          <w:tcPr>
            <w:tcW w:w="462" w:type="dxa"/>
            <w:noWrap w:val="0"/>
            <w:vAlign w:val="center"/>
          </w:tcPr>
          <w:p w14:paraId="78B63D31">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default" w:ascii="宋体" w:hAnsi="宋体" w:cs="宋体"/>
                <w:color w:val="auto"/>
                <w:szCs w:val="21"/>
                <w:highlight w:val="none"/>
              </w:rPr>
              <w:t>1</w:t>
            </w:r>
          </w:p>
        </w:tc>
        <w:tc>
          <w:tcPr>
            <w:tcW w:w="1279" w:type="dxa"/>
            <w:noWrap w:val="0"/>
            <w:vAlign w:val="center"/>
          </w:tcPr>
          <w:p w14:paraId="1532C6F7">
            <w:pPr>
              <w:keepNext w:val="0"/>
              <w:keepLines w:val="0"/>
              <w:suppressLineNumbers w:val="0"/>
              <w:spacing w:before="0" w:beforeAutospacing="0" w:afterAutospacing="0" w:line="288" w:lineRule="auto"/>
              <w:ind w:left="0" w:right="0"/>
              <w:jc w:val="center"/>
              <w:rPr>
                <w:rFonts w:hint="default" w:ascii="宋体" w:hAnsi="宋体" w:cs="宋体"/>
                <w:color w:val="auto"/>
                <w:kern w:val="2"/>
                <w:szCs w:val="21"/>
                <w:highlight w:val="none"/>
              </w:rPr>
            </w:pPr>
            <w:r>
              <w:rPr>
                <w:rFonts w:hint="default" w:ascii="宋体" w:hAnsi="宋体" w:cs="宋体"/>
                <w:color w:val="auto"/>
                <w:kern w:val="2"/>
                <w:szCs w:val="21"/>
                <w:highlight w:val="none"/>
              </w:rPr>
              <w:t>投标报价</w:t>
            </w:r>
          </w:p>
        </w:tc>
        <w:tc>
          <w:tcPr>
            <w:tcW w:w="7092" w:type="dxa"/>
            <w:noWrap w:val="0"/>
            <w:vAlign w:val="center"/>
          </w:tcPr>
          <w:p w14:paraId="0E25A301">
            <w:pPr>
              <w:keepNext w:val="0"/>
              <w:keepLines w:val="0"/>
              <w:suppressLineNumbers w:val="0"/>
              <w:spacing w:before="0" w:beforeAutospacing="0" w:afterAutospacing="0"/>
              <w:ind w:left="0" w:right="0"/>
              <w:rPr>
                <w:rFonts w:hint="default" w:ascii="宋体" w:hAnsi="宋体" w:cs="宋体"/>
                <w:color w:val="auto"/>
                <w:kern w:val="2"/>
                <w:szCs w:val="21"/>
                <w:highlight w:val="none"/>
              </w:rPr>
            </w:pPr>
            <w:r>
              <w:rPr>
                <w:rFonts w:hint="default" w:ascii="宋体" w:hAnsi="宋体" w:cs="宋体"/>
                <w:color w:val="auto"/>
                <w:kern w:val="2"/>
                <w:szCs w:val="21"/>
                <w:highlight w:val="none"/>
              </w:rPr>
              <w:t>投标报价不高于最高投标限价的，并按招标文件</w:t>
            </w:r>
            <w:r>
              <w:rPr>
                <w:rStyle w:val="42"/>
                <w:rFonts w:hint="default" w:ascii="宋体" w:hAnsi="宋体" w:cs="宋体"/>
                <w:color w:val="auto"/>
                <w:kern w:val="2"/>
                <w:highlight w:val="none"/>
              </w:rPr>
              <w:t>第二章“投标人须知”第3.2款</w:t>
            </w:r>
            <w:r>
              <w:rPr>
                <w:rFonts w:hint="default" w:ascii="宋体" w:hAnsi="宋体" w:cs="宋体"/>
                <w:color w:val="auto"/>
                <w:kern w:val="2"/>
                <w:szCs w:val="21"/>
                <w:highlight w:val="none"/>
              </w:rPr>
              <w:t>要求</w:t>
            </w:r>
            <w:r>
              <w:rPr>
                <w:rFonts w:hint="eastAsia" w:ascii="宋体" w:hAnsi="宋体" w:cs="宋体"/>
                <w:color w:val="auto"/>
                <w:kern w:val="2"/>
                <w:szCs w:val="21"/>
                <w:highlight w:val="none"/>
              </w:rPr>
              <w:t>规定</w:t>
            </w:r>
            <w:r>
              <w:rPr>
                <w:rFonts w:hint="default" w:ascii="宋体" w:hAnsi="宋体" w:cs="宋体"/>
                <w:color w:val="auto"/>
                <w:kern w:val="2"/>
                <w:szCs w:val="21"/>
                <w:highlight w:val="none"/>
              </w:rPr>
              <w:t>的；</w:t>
            </w:r>
          </w:p>
        </w:tc>
        <w:tc>
          <w:tcPr>
            <w:tcW w:w="1591" w:type="dxa"/>
            <w:noWrap w:val="0"/>
            <w:vAlign w:val="center"/>
          </w:tcPr>
          <w:p w14:paraId="7D90AE97">
            <w:pPr>
              <w:keepNext w:val="0"/>
              <w:keepLines w:val="0"/>
              <w:suppressLineNumbers w:val="0"/>
              <w:spacing w:before="0" w:beforeAutospacing="0" w:afterAutospacing="0"/>
              <w:ind w:left="0" w:right="0"/>
              <w:rPr>
                <w:rFonts w:hint="default" w:ascii="宋体" w:hAnsi="宋体" w:cs="宋体"/>
                <w:color w:val="auto"/>
                <w:kern w:val="2"/>
                <w:szCs w:val="21"/>
                <w:highlight w:val="none"/>
              </w:rPr>
            </w:pPr>
          </w:p>
        </w:tc>
        <w:tc>
          <w:tcPr>
            <w:tcW w:w="1591" w:type="dxa"/>
            <w:noWrap w:val="0"/>
            <w:vAlign w:val="center"/>
          </w:tcPr>
          <w:p w14:paraId="181B4F8F">
            <w:pPr>
              <w:keepNext w:val="0"/>
              <w:keepLines w:val="0"/>
              <w:suppressLineNumbers w:val="0"/>
              <w:spacing w:before="0" w:beforeAutospacing="0" w:afterAutospacing="0"/>
              <w:ind w:left="0" w:right="0"/>
              <w:rPr>
                <w:rFonts w:hint="default" w:ascii="宋体" w:hAnsi="宋体" w:cs="宋体"/>
                <w:color w:val="auto"/>
                <w:kern w:val="2"/>
                <w:szCs w:val="21"/>
                <w:highlight w:val="none"/>
              </w:rPr>
            </w:pPr>
          </w:p>
        </w:tc>
        <w:tc>
          <w:tcPr>
            <w:tcW w:w="1591" w:type="dxa"/>
            <w:noWrap w:val="0"/>
            <w:vAlign w:val="center"/>
          </w:tcPr>
          <w:p w14:paraId="0C9225AA">
            <w:pPr>
              <w:keepNext w:val="0"/>
              <w:keepLines w:val="0"/>
              <w:suppressLineNumbers w:val="0"/>
              <w:spacing w:before="0" w:beforeAutospacing="0" w:afterAutospacing="0"/>
              <w:ind w:left="0" w:right="0"/>
              <w:rPr>
                <w:rFonts w:hint="default" w:ascii="宋体" w:hAnsi="宋体" w:cs="宋体"/>
                <w:color w:val="auto"/>
                <w:kern w:val="2"/>
                <w:szCs w:val="21"/>
                <w:highlight w:val="none"/>
              </w:rPr>
            </w:pPr>
          </w:p>
        </w:tc>
      </w:tr>
      <w:tr w14:paraId="4E6C2F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8" w:hRule="atLeast"/>
          <w:jc w:val="center"/>
        </w:trPr>
        <w:tc>
          <w:tcPr>
            <w:tcW w:w="462" w:type="dxa"/>
            <w:noWrap w:val="0"/>
            <w:vAlign w:val="center"/>
          </w:tcPr>
          <w:p w14:paraId="31C6C25A">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default" w:ascii="宋体" w:hAnsi="宋体" w:cs="宋体"/>
                <w:color w:val="auto"/>
                <w:szCs w:val="21"/>
                <w:highlight w:val="none"/>
              </w:rPr>
              <w:t>2</w:t>
            </w:r>
          </w:p>
        </w:tc>
        <w:tc>
          <w:tcPr>
            <w:tcW w:w="1279" w:type="dxa"/>
            <w:noWrap w:val="0"/>
            <w:vAlign w:val="center"/>
          </w:tcPr>
          <w:p w14:paraId="4FE5BA8D">
            <w:pPr>
              <w:keepNext w:val="0"/>
              <w:keepLines w:val="0"/>
              <w:suppressLineNumbers w:val="0"/>
              <w:spacing w:before="0" w:beforeAutospacing="0" w:afterAutospacing="0" w:line="288" w:lineRule="auto"/>
              <w:ind w:left="0" w:right="0"/>
              <w:jc w:val="center"/>
              <w:rPr>
                <w:rFonts w:hint="default" w:ascii="宋体" w:hAnsi="宋体" w:cs="宋体"/>
                <w:color w:val="auto"/>
                <w:kern w:val="2"/>
                <w:szCs w:val="21"/>
                <w:highlight w:val="none"/>
              </w:rPr>
            </w:pPr>
            <w:r>
              <w:rPr>
                <w:rFonts w:hint="default" w:ascii="宋体" w:hAnsi="宋体" w:cs="宋体"/>
                <w:color w:val="auto"/>
                <w:kern w:val="2"/>
                <w:szCs w:val="21"/>
                <w:highlight w:val="none"/>
              </w:rPr>
              <w:t>投标内容</w:t>
            </w:r>
          </w:p>
        </w:tc>
        <w:tc>
          <w:tcPr>
            <w:tcW w:w="7092" w:type="dxa"/>
            <w:noWrap w:val="0"/>
            <w:vAlign w:val="center"/>
          </w:tcPr>
          <w:p w14:paraId="728187EC">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r>
              <w:rPr>
                <w:rFonts w:hint="eastAsia" w:ascii="宋体" w:hAnsi="宋体" w:cs="宋体"/>
                <w:color w:val="auto"/>
                <w:kern w:val="2"/>
                <w:highlight w:val="none"/>
              </w:rPr>
              <w:t>符合第二章“投标人须知”第1.3.1项规定</w:t>
            </w:r>
          </w:p>
        </w:tc>
        <w:tc>
          <w:tcPr>
            <w:tcW w:w="1591" w:type="dxa"/>
            <w:noWrap w:val="0"/>
            <w:vAlign w:val="center"/>
          </w:tcPr>
          <w:p w14:paraId="216F13A8">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02410FCC">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1718B62E">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r>
      <w:tr w14:paraId="1FB7AE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jc w:val="center"/>
        </w:trPr>
        <w:tc>
          <w:tcPr>
            <w:tcW w:w="462" w:type="dxa"/>
            <w:noWrap w:val="0"/>
            <w:vAlign w:val="center"/>
          </w:tcPr>
          <w:p w14:paraId="00B9B7C7">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default" w:ascii="宋体" w:hAnsi="宋体" w:cs="宋体"/>
                <w:color w:val="auto"/>
                <w:szCs w:val="21"/>
                <w:highlight w:val="none"/>
              </w:rPr>
              <w:t>3</w:t>
            </w:r>
          </w:p>
        </w:tc>
        <w:tc>
          <w:tcPr>
            <w:tcW w:w="1279" w:type="dxa"/>
            <w:noWrap w:val="0"/>
            <w:vAlign w:val="center"/>
          </w:tcPr>
          <w:p w14:paraId="64FDA0A3">
            <w:pPr>
              <w:keepNext w:val="0"/>
              <w:keepLines w:val="0"/>
              <w:suppressLineNumbers w:val="0"/>
              <w:spacing w:before="0" w:beforeAutospacing="0" w:afterAutospacing="0" w:line="288" w:lineRule="auto"/>
              <w:ind w:left="0" w:right="0"/>
              <w:jc w:val="center"/>
              <w:rPr>
                <w:rFonts w:hint="default" w:ascii="宋体" w:hAnsi="宋体" w:cs="宋体"/>
                <w:color w:val="auto"/>
                <w:kern w:val="2"/>
                <w:szCs w:val="21"/>
                <w:highlight w:val="none"/>
              </w:rPr>
            </w:pPr>
            <w:r>
              <w:rPr>
                <w:rFonts w:hint="default" w:ascii="宋体" w:hAnsi="宋体" w:cs="宋体"/>
                <w:color w:val="auto"/>
                <w:kern w:val="2"/>
                <w:szCs w:val="21"/>
                <w:highlight w:val="none"/>
              </w:rPr>
              <w:t>工期</w:t>
            </w:r>
          </w:p>
        </w:tc>
        <w:tc>
          <w:tcPr>
            <w:tcW w:w="7092" w:type="dxa"/>
            <w:noWrap w:val="0"/>
            <w:vAlign w:val="center"/>
          </w:tcPr>
          <w:p w14:paraId="2CFF4F82">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r>
              <w:rPr>
                <w:rFonts w:hint="eastAsia" w:ascii="宋体" w:hAnsi="宋体" w:cs="宋体"/>
                <w:color w:val="auto"/>
                <w:kern w:val="2"/>
                <w:highlight w:val="none"/>
              </w:rPr>
              <w:t>符合第二章“投标人须知”第1.3.2项规定</w:t>
            </w:r>
          </w:p>
        </w:tc>
        <w:tc>
          <w:tcPr>
            <w:tcW w:w="1591" w:type="dxa"/>
            <w:noWrap w:val="0"/>
            <w:vAlign w:val="center"/>
          </w:tcPr>
          <w:p w14:paraId="02A7DF75">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024B1383">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71C40497">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r>
      <w:tr w14:paraId="145886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9" w:hRule="atLeast"/>
          <w:jc w:val="center"/>
        </w:trPr>
        <w:tc>
          <w:tcPr>
            <w:tcW w:w="462" w:type="dxa"/>
            <w:noWrap w:val="0"/>
            <w:vAlign w:val="center"/>
          </w:tcPr>
          <w:p w14:paraId="4F81F859">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default" w:ascii="宋体" w:hAnsi="宋体" w:cs="宋体"/>
                <w:color w:val="auto"/>
                <w:szCs w:val="21"/>
                <w:highlight w:val="none"/>
              </w:rPr>
              <w:t>4</w:t>
            </w:r>
          </w:p>
        </w:tc>
        <w:tc>
          <w:tcPr>
            <w:tcW w:w="1279" w:type="dxa"/>
            <w:noWrap w:val="0"/>
            <w:vAlign w:val="center"/>
          </w:tcPr>
          <w:p w14:paraId="3E585C17">
            <w:pPr>
              <w:keepNext w:val="0"/>
              <w:keepLines w:val="0"/>
              <w:suppressLineNumbers w:val="0"/>
              <w:spacing w:before="0" w:beforeAutospacing="0" w:afterAutospacing="0" w:line="288" w:lineRule="auto"/>
              <w:ind w:left="0" w:right="0"/>
              <w:jc w:val="center"/>
              <w:rPr>
                <w:rFonts w:hint="default" w:ascii="宋体" w:hAnsi="宋体" w:cs="宋体"/>
                <w:color w:val="auto"/>
                <w:kern w:val="2"/>
                <w:szCs w:val="21"/>
                <w:highlight w:val="none"/>
              </w:rPr>
            </w:pPr>
            <w:r>
              <w:rPr>
                <w:rFonts w:hint="default" w:ascii="宋体" w:hAnsi="宋体" w:cs="宋体"/>
                <w:color w:val="auto"/>
                <w:kern w:val="2"/>
                <w:szCs w:val="21"/>
                <w:highlight w:val="none"/>
              </w:rPr>
              <w:t>质量标准</w:t>
            </w:r>
          </w:p>
        </w:tc>
        <w:tc>
          <w:tcPr>
            <w:tcW w:w="7092" w:type="dxa"/>
            <w:noWrap w:val="0"/>
            <w:vAlign w:val="center"/>
          </w:tcPr>
          <w:p w14:paraId="2D6A2876">
            <w:pPr>
              <w:keepNext w:val="0"/>
              <w:keepLines w:val="0"/>
              <w:suppressLineNumbers w:val="0"/>
              <w:spacing w:before="0" w:beforeAutospacing="0" w:after="0" w:afterAutospacing="0"/>
              <w:ind w:left="0" w:right="0"/>
              <w:rPr>
                <w:rFonts w:hint="default" w:ascii="宋体" w:hAnsi="宋体" w:cs="宋体"/>
                <w:color w:val="auto"/>
                <w:kern w:val="2"/>
                <w:highlight w:val="none"/>
              </w:rPr>
            </w:pPr>
            <w:r>
              <w:rPr>
                <w:rFonts w:hint="eastAsia" w:ascii="宋体" w:hAnsi="宋体" w:cs="宋体"/>
                <w:color w:val="auto"/>
                <w:kern w:val="2"/>
                <w:highlight w:val="none"/>
              </w:rPr>
              <w:t>符合第二章“投标人须知”第1.3.3项规定</w:t>
            </w:r>
          </w:p>
        </w:tc>
        <w:tc>
          <w:tcPr>
            <w:tcW w:w="1591" w:type="dxa"/>
            <w:noWrap w:val="0"/>
            <w:vAlign w:val="center"/>
          </w:tcPr>
          <w:p w14:paraId="0F5BDB22">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7AD3ABBA">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60566494">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r>
      <w:tr w14:paraId="50DD97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7" w:hRule="atLeast"/>
          <w:jc w:val="center"/>
        </w:trPr>
        <w:tc>
          <w:tcPr>
            <w:tcW w:w="462" w:type="dxa"/>
            <w:noWrap w:val="0"/>
            <w:vAlign w:val="center"/>
          </w:tcPr>
          <w:p w14:paraId="5CB36097">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default" w:ascii="宋体" w:hAnsi="宋体" w:cs="宋体"/>
                <w:color w:val="auto"/>
                <w:szCs w:val="21"/>
                <w:highlight w:val="none"/>
              </w:rPr>
              <w:t>5</w:t>
            </w:r>
          </w:p>
        </w:tc>
        <w:tc>
          <w:tcPr>
            <w:tcW w:w="1279" w:type="dxa"/>
            <w:noWrap w:val="0"/>
            <w:vAlign w:val="center"/>
          </w:tcPr>
          <w:p w14:paraId="7C78987A">
            <w:pPr>
              <w:keepNext w:val="0"/>
              <w:keepLines w:val="0"/>
              <w:suppressLineNumbers w:val="0"/>
              <w:spacing w:before="0" w:beforeAutospacing="0" w:afterAutospacing="0" w:line="288" w:lineRule="auto"/>
              <w:ind w:left="0" w:right="0"/>
              <w:jc w:val="center"/>
              <w:rPr>
                <w:rFonts w:hint="default" w:ascii="宋体" w:hAnsi="宋体" w:cs="宋体"/>
                <w:color w:val="auto"/>
                <w:kern w:val="2"/>
                <w:szCs w:val="21"/>
                <w:highlight w:val="none"/>
              </w:rPr>
            </w:pPr>
            <w:r>
              <w:rPr>
                <w:rFonts w:hint="default" w:ascii="宋体" w:hAnsi="宋体" w:cs="宋体"/>
                <w:color w:val="auto"/>
                <w:kern w:val="2"/>
                <w:szCs w:val="21"/>
                <w:highlight w:val="none"/>
              </w:rPr>
              <w:t>保修期限</w:t>
            </w:r>
          </w:p>
        </w:tc>
        <w:tc>
          <w:tcPr>
            <w:tcW w:w="7092" w:type="dxa"/>
            <w:noWrap w:val="0"/>
            <w:vAlign w:val="center"/>
          </w:tcPr>
          <w:p w14:paraId="5F3EC204">
            <w:pPr>
              <w:keepNext w:val="0"/>
              <w:keepLines w:val="0"/>
              <w:suppressLineNumbers w:val="0"/>
              <w:spacing w:before="0" w:beforeAutospacing="0" w:after="0" w:afterAutospacing="0"/>
              <w:ind w:left="0" w:right="0"/>
              <w:rPr>
                <w:rFonts w:hint="default" w:ascii="宋体" w:hAnsi="宋体" w:cs="宋体"/>
                <w:color w:val="auto"/>
                <w:kern w:val="2"/>
                <w:highlight w:val="none"/>
              </w:rPr>
            </w:pPr>
            <w:r>
              <w:rPr>
                <w:rFonts w:hint="eastAsia" w:ascii="宋体" w:hAnsi="宋体" w:cs="宋体"/>
                <w:color w:val="auto"/>
                <w:kern w:val="2"/>
                <w:highlight w:val="none"/>
              </w:rPr>
              <w:t>符合第二章“投标人须知前附表”第9.2项规定</w:t>
            </w:r>
          </w:p>
        </w:tc>
        <w:tc>
          <w:tcPr>
            <w:tcW w:w="1591" w:type="dxa"/>
            <w:noWrap w:val="0"/>
            <w:vAlign w:val="top"/>
          </w:tcPr>
          <w:p w14:paraId="47705546">
            <w:pPr>
              <w:keepNext w:val="0"/>
              <w:keepLines w:val="0"/>
              <w:suppressLineNumbers w:val="0"/>
              <w:spacing w:before="0" w:beforeAutospacing="0" w:afterAutospacing="0" w:line="288" w:lineRule="auto"/>
              <w:ind w:left="0" w:right="0"/>
              <w:rPr>
                <w:rFonts w:hint="default" w:ascii="宋体" w:hAnsi="宋体" w:cs="宋体"/>
                <w:bCs/>
                <w:color w:val="auto"/>
                <w:kern w:val="2"/>
                <w:szCs w:val="21"/>
                <w:highlight w:val="none"/>
              </w:rPr>
            </w:pPr>
          </w:p>
        </w:tc>
        <w:tc>
          <w:tcPr>
            <w:tcW w:w="1591" w:type="dxa"/>
            <w:noWrap w:val="0"/>
            <w:vAlign w:val="top"/>
          </w:tcPr>
          <w:p w14:paraId="06532EF2">
            <w:pPr>
              <w:keepNext w:val="0"/>
              <w:keepLines w:val="0"/>
              <w:suppressLineNumbers w:val="0"/>
              <w:spacing w:before="0" w:beforeAutospacing="0" w:afterAutospacing="0" w:line="288" w:lineRule="auto"/>
              <w:ind w:left="0" w:right="0"/>
              <w:rPr>
                <w:rFonts w:hint="default" w:ascii="宋体" w:hAnsi="宋体" w:cs="宋体"/>
                <w:bCs/>
                <w:color w:val="auto"/>
                <w:kern w:val="2"/>
                <w:szCs w:val="21"/>
                <w:highlight w:val="none"/>
              </w:rPr>
            </w:pPr>
          </w:p>
        </w:tc>
        <w:tc>
          <w:tcPr>
            <w:tcW w:w="1591" w:type="dxa"/>
            <w:noWrap w:val="0"/>
            <w:vAlign w:val="top"/>
          </w:tcPr>
          <w:p w14:paraId="5E3BDB4E">
            <w:pPr>
              <w:keepNext w:val="0"/>
              <w:keepLines w:val="0"/>
              <w:suppressLineNumbers w:val="0"/>
              <w:spacing w:before="0" w:beforeAutospacing="0" w:afterAutospacing="0" w:line="288" w:lineRule="auto"/>
              <w:ind w:left="0" w:right="0"/>
              <w:rPr>
                <w:rFonts w:hint="default" w:ascii="宋体" w:hAnsi="宋体" w:cs="宋体"/>
                <w:bCs/>
                <w:color w:val="auto"/>
                <w:kern w:val="2"/>
                <w:szCs w:val="21"/>
                <w:highlight w:val="none"/>
              </w:rPr>
            </w:pPr>
          </w:p>
        </w:tc>
      </w:tr>
      <w:tr w14:paraId="6E96B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7" w:hRule="atLeast"/>
          <w:jc w:val="center"/>
        </w:trPr>
        <w:tc>
          <w:tcPr>
            <w:tcW w:w="462" w:type="dxa"/>
            <w:noWrap w:val="0"/>
            <w:vAlign w:val="center"/>
          </w:tcPr>
          <w:p w14:paraId="36A04EDB">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default" w:ascii="宋体" w:hAnsi="宋体" w:cs="宋体"/>
                <w:color w:val="auto"/>
                <w:szCs w:val="21"/>
                <w:highlight w:val="none"/>
              </w:rPr>
              <w:t>6</w:t>
            </w:r>
          </w:p>
        </w:tc>
        <w:tc>
          <w:tcPr>
            <w:tcW w:w="1279" w:type="dxa"/>
            <w:noWrap w:val="0"/>
            <w:vAlign w:val="center"/>
          </w:tcPr>
          <w:p w14:paraId="4D53A5EB">
            <w:pPr>
              <w:keepNext w:val="0"/>
              <w:keepLines w:val="0"/>
              <w:suppressLineNumbers w:val="0"/>
              <w:spacing w:before="0" w:beforeAutospacing="0" w:afterAutospacing="0" w:line="288"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投标保证金</w:t>
            </w:r>
          </w:p>
        </w:tc>
        <w:tc>
          <w:tcPr>
            <w:tcW w:w="7092" w:type="dxa"/>
            <w:noWrap w:val="0"/>
            <w:vAlign w:val="center"/>
          </w:tcPr>
          <w:p w14:paraId="04649266">
            <w:pPr>
              <w:keepNext w:val="0"/>
              <w:keepLines w:val="0"/>
              <w:suppressLineNumbers w:val="0"/>
              <w:spacing w:before="0" w:beforeAutospacing="0" w:after="0" w:afterAutospacing="0"/>
              <w:ind w:left="0" w:right="0"/>
              <w:rPr>
                <w:rFonts w:hint="default" w:ascii="宋体" w:hAnsi="宋体" w:cs="宋体"/>
                <w:color w:val="auto"/>
                <w:kern w:val="2"/>
                <w:highlight w:val="none"/>
              </w:rPr>
            </w:pPr>
            <w:r>
              <w:rPr>
                <w:rFonts w:hint="eastAsia" w:ascii="宋体" w:hAnsi="宋体" w:cs="宋体"/>
                <w:color w:val="auto"/>
                <w:kern w:val="2"/>
                <w:highlight w:val="none"/>
              </w:rPr>
              <w:t>符合第二章“投标人须知前附表”第3.4.1项规定</w:t>
            </w:r>
          </w:p>
        </w:tc>
        <w:tc>
          <w:tcPr>
            <w:tcW w:w="1591" w:type="dxa"/>
            <w:noWrap w:val="0"/>
            <w:vAlign w:val="top"/>
          </w:tcPr>
          <w:p w14:paraId="4DCD0BCE">
            <w:pPr>
              <w:keepNext w:val="0"/>
              <w:keepLines w:val="0"/>
              <w:suppressLineNumbers w:val="0"/>
              <w:spacing w:before="0" w:beforeAutospacing="0" w:afterAutospacing="0" w:line="288" w:lineRule="auto"/>
              <w:ind w:left="0" w:right="0"/>
              <w:rPr>
                <w:rFonts w:hint="default" w:ascii="宋体" w:hAnsi="宋体" w:cs="宋体"/>
                <w:bCs/>
                <w:color w:val="auto"/>
                <w:kern w:val="2"/>
                <w:szCs w:val="21"/>
                <w:highlight w:val="none"/>
              </w:rPr>
            </w:pPr>
          </w:p>
        </w:tc>
        <w:tc>
          <w:tcPr>
            <w:tcW w:w="1591" w:type="dxa"/>
            <w:noWrap w:val="0"/>
            <w:vAlign w:val="top"/>
          </w:tcPr>
          <w:p w14:paraId="35346D4A">
            <w:pPr>
              <w:keepNext w:val="0"/>
              <w:keepLines w:val="0"/>
              <w:suppressLineNumbers w:val="0"/>
              <w:spacing w:before="0" w:beforeAutospacing="0" w:afterAutospacing="0" w:line="288" w:lineRule="auto"/>
              <w:ind w:left="0" w:right="0"/>
              <w:rPr>
                <w:rFonts w:hint="default" w:ascii="宋体" w:hAnsi="宋体" w:cs="宋体"/>
                <w:bCs/>
                <w:color w:val="auto"/>
                <w:kern w:val="2"/>
                <w:szCs w:val="21"/>
                <w:highlight w:val="none"/>
              </w:rPr>
            </w:pPr>
          </w:p>
        </w:tc>
        <w:tc>
          <w:tcPr>
            <w:tcW w:w="1591" w:type="dxa"/>
            <w:noWrap w:val="0"/>
            <w:vAlign w:val="top"/>
          </w:tcPr>
          <w:p w14:paraId="527393C5">
            <w:pPr>
              <w:keepNext w:val="0"/>
              <w:keepLines w:val="0"/>
              <w:suppressLineNumbers w:val="0"/>
              <w:spacing w:before="0" w:beforeAutospacing="0" w:afterAutospacing="0" w:line="288" w:lineRule="auto"/>
              <w:ind w:left="0" w:right="0"/>
              <w:rPr>
                <w:rFonts w:hint="default" w:ascii="宋体" w:hAnsi="宋体" w:cs="宋体"/>
                <w:bCs/>
                <w:color w:val="auto"/>
                <w:kern w:val="2"/>
                <w:szCs w:val="21"/>
                <w:highlight w:val="none"/>
              </w:rPr>
            </w:pPr>
          </w:p>
        </w:tc>
      </w:tr>
      <w:tr w14:paraId="2297C9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3" w:hRule="atLeast"/>
          <w:jc w:val="center"/>
        </w:trPr>
        <w:tc>
          <w:tcPr>
            <w:tcW w:w="462" w:type="dxa"/>
            <w:noWrap w:val="0"/>
            <w:vAlign w:val="center"/>
          </w:tcPr>
          <w:p w14:paraId="286BE8E5">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default" w:ascii="宋体" w:hAnsi="宋体" w:cs="宋体"/>
                <w:color w:val="auto"/>
                <w:szCs w:val="21"/>
                <w:highlight w:val="none"/>
              </w:rPr>
              <w:t>7</w:t>
            </w:r>
          </w:p>
        </w:tc>
        <w:tc>
          <w:tcPr>
            <w:tcW w:w="1279" w:type="dxa"/>
            <w:noWrap w:val="0"/>
            <w:vAlign w:val="center"/>
          </w:tcPr>
          <w:p w14:paraId="4E944551">
            <w:pPr>
              <w:keepNext w:val="0"/>
              <w:keepLines w:val="0"/>
              <w:suppressLineNumbers w:val="0"/>
              <w:spacing w:before="0" w:beforeAutospacing="0" w:afterAutospacing="0" w:line="288" w:lineRule="auto"/>
              <w:ind w:left="0" w:right="0"/>
              <w:jc w:val="center"/>
              <w:rPr>
                <w:rFonts w:hint="default" w:ascii="宋体" w:hAnsi="宋体" w:cs="宋体"/>
                <w:color w:val="auto"/>
                <w:kern w:val="2"/>
                <w:szCs w:val="21"/>
                <w:highlight w:val="none"/>
              </w:rPr>
            </w:pPr>
            <w:r>
              <w:rPr>
                <w:rFonts w:hint="default" w:ascii="宋体" w:hAnsi="宋体" w:cs="宋体"/>
                <w:color w:val="auto"/>
                <w:kern w:val="2"/>
                <w:szCs w:val="21"/>
                <w:highlight w:val="none"/>
              </w:rPr>
              <w:t>投标有效期</w:t>
            </w:r>
          </w:p>
        </w:tc>
        <w:tc>
          <w:tcPr>
            <w:tcW w:w="7092" w:type="dxa"/>
            <w:noWrap w:val="0"/>
            <w:vAlign w:val="center"/>
          </w:tcPr>
          <w:p w14:paraId="427AC32D">
            <w:pPr>
              <w:keepNext w:val="0"/>
              <w:keepLines w:val="0"/>
              <w:suppressLineNumbers w:val="0"/>
              <w:spacing w:before="0" w:beforeAutospacing="0" w:after="0" w:afterAutospacing="0"/>
              <w:ind w:left="0" w:right="0"/>
              <w:rPr>
                <w:rFonts w:hint="default" w:ascii="宋体" w:hAnsi="宋体" w:cs="宋体"/>
                <w:color w:val="auto"/>
                <w:kern w:val="2"/>
                <w:highlight w:val="none"/>
              </w:rPr>
            </w:pPr>
            <w:r>
              <w:rPr>
                <w:rFonts w:hint="eastAsia" w:ascii="宋体" w:hAnsi="宋体" w:cs="宋体"/>
                <w:color w:val="auto"/>
                <w:kern w:val="2"/>
                <w:highlight w:val="none"/>
              </w:rPr>
              <w:t>符合第二章“投标人须知”第3.3.1项规定</w:t>
            </w:r>
          </w:p>
        </w:tc>
        <w:tc>
          <w:tcPr>
            <w:tcW w:w="1591" w:type="dxa"/>
            <w:noWrap w:val="0"/>
            <w:vAlign w:val="center"/>
          </w:tcPr>
          <w:p w14:paraId="01385550">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1C8FF666">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5F7E920C">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r>
      <w:tr w14:paraId="1D6045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3" w:hRule="atLeast"/>
          <w:jc w:val="center"/>
        </w:trPr>
        <w:tc>
          <w:tcPr>
            <w:tcW w:w="462" w:type="dxa"/>
            <w:noWrap w:val="0"/>
            <w:vAlign w:val="center"/>
          </w:tcPr>
          <w:p w14:paraId="753EB4FA">
            <w:pPr>
              <w:pStyle w:val="91"/>
              <w:keepNext w:val="0"/>
              <w:keepLines w:val="0"/>
              <w:suppressLineNumbers w:val="0"/>
              <w:spacing w:before="0" w:beforeAutospacing="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8</w:t>
            </w:r>
          </w:p>
        </w:tc>
        <w:tc>
          <w:tcPr>
            <w:tcW w:w="1279" w:type="dxa"/>
            <w:noWrap w:val="0"/>
            <w:vAlign w:val="center"/>
          </w:tcPr>
          <w:p w14:paraId="55026DA8">
            <w:pPr>
              <w:keepNext w:val="0"/>
              <w:keepLines w:val="0"/>
              <w:suppressLineNumbers w:val="0"/>
              <w:spacing w:before="0" w:beforeAutospacing="0" w:afterAutospacing="0" w:line="288" w:lineRule="auto"/>
              <w:ind w:left="0" w:right="0"/>
              <w:jc w:val="center"/>
              <w:rPr>
                <w:rFonts w:hint="default" w:ascii="宋体" w:hAnsi="宋体" w:cs="宋体"/>
                <w:color w:val="auto"/>
                <w:kern w:val="2"/>
                <w:szCs w:val="21"/>
                <w:highlight w:val="none"/>
              </w:rPr>
            </w:pPr>
            <w:r>
              <w:rPr>
                <w:rFonts w:hint="default" w:ascii="宋体" w:hAnsi="宋体" w:cs="宋体"/>
                <w:color w:val="auto"/>
                <w:kern w:val="2"/>
                <w:szCs w:val="21"/>
                <w:highlight w:val="none"/>
              </w:rPr>
              <w:t>合法合规性</w:t>
            </w:r>
          </w:p>
        </w:tc>
        <w:tc>
          <w:tcPr>
            <w:tcW w:w="7092" w:type="dxa"/>
            <w:noWrap w:val="0"/>
            <w:vAlign w:val="center"/>
          </w:tcPr>
          <w:p w14:paraId="093C16CB">
            <w:pPr>
              <w:keepNext w:val="0"/>
              <w:keepLines w:val="0"/>
              <w:suppressLineNumbers w:val="0"/>
              <w:spacing w:before="0" w:beforeAutospacing="0" w:after="0" w:afterAutospacing="0"/>
              <w:ind w:left="0" w:right="0"/>
              <w:rPr>
                <w:rFonts w:hint="default" w:ascii="宋体" w:hAnsi="宋体" w:cs="宋体"/>
                <w:color w:val="auto"/>
                <w:kern w:val="2"/>
                <w:highlight w:val="none"/>
              </w:rPr>
            </w:pPr>
            <w:r>
              <w:rPr>
                <w:rFonts w:hint="eastAsia" w:ascii="宋体" w:hAnsi="宋体" w:cs="宋体"/>
                <w:color w:val="auto"/>
                <w:kern w:val="2"/>
                <w:szCs w:val="21"/>
                <w:highlight w:val="none"/>
              </w:rPr>
              <w:t>投标人之间不存在《广东省实施&lt;中华人民共和国招标投标法&gt;》第十六条所禁止的情形的</w:t>
            </w:r>
          </w:p>
        </w:tc>
        <w:tc>
          <w:tcPr>
            <w:tcW w:w="1591" w:type="dxa"/>
            <w:noWrap w:val="0"/>
            <w:vAlign w:val="center"/>
          </w:tcPr>
          <w:p w14:paraId="027D7F60">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2F690319">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1ADF354B">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r>
      <w:tr w14:paraId="6AEFA3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8" w:hRule="atLeast"/>
          <w:jc w:val="center"/>
        </w:trPr>
        <w:tc>
          <w:tcPr>
            <w:tcW w:w="1741" w:type="dxa"/>
            <w:gridSpan w:val="2"/>
            <w:noWrap w:val="0"/>
            <w:vAlign w:val="center"/>
          </w:tcPr>
          <w:p w14:paraId="1F502003">
            <w:pPr>
              <w:keepNext w:val="0"/>
              <w:keepLines w:val="0"/>
              <w:suppressLineNumbers w:val="0"/>
              <w:spacing w:before="0" w:beforeAutospacing="0" w:afterAutospacing="0" w:line="288" w:lineRule="auto"/>
              <w:ind w:left="0" w:right="0"/>
              <w:jc w:val="center"/>
              <w:rPr>
                <w:rFonts w:hint="default" w:ascii="宋体" w:hAnsi="宋体" w:cs="宋体"/>
                <w:color w:val="auto"/>
                <w:kern w:val="2"/>
                <w:szCs w:val="21"/>
                <w:highlight w:val="none"/>
              </w:rPr>
            </w:pPr>
            <w:r>
              <w:rPr>
                <w:rFonts w:hint="default" w:ascii="宋体" w:hAnsi="宋体" w:cs="宋体"/>
                <w:color w:val="auto"/>
                <w:kern w:val="2"/>
                <w:szCs w:val="21"/>
                <w:highlight w:val="none"/>
              </w:rPr>
              <w:t>结论</w:t>
            </w:r>
          </w:p>
        </w:tc>
        <w:tc>
          <w:tcPr>
            <w:tcW w:w="7092" w:type="dxa"/>
            <w:noWrap w:val="0"/>
            <w:vAlign w:val="center"/>
          </w:tcPr>
          <w:p w14:paraId="13357CDC">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5FD2F902">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54E231DE">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c>
          <w:tcPr>
            <w:tcW w:w="1591" w:type="dxa"/>
            <w:noWrap w:val="0"/>
            <w:vAlign w:val="center"/>
          </w:tcPr>
          <w:p w14:paraId="4B0D4DAF">
            <w:pPr>
              <w:keepNext w:val="0"/>
              <w:keepLines w:val="0"/>
              <w:suppressLineNumbers w:val="0"/>
              <w:spacing w:before="0" w:beforeAutospacing="0" w:afterAutospacing="0" w:line="288" w:lineRule="auto"/>
              <w:ind w:left="0" w:right="0"/>
              <w:rPr>
                <w:rFonts w:hint="default" w:ascii="宋体" w:hAnsi="宋体" w:cs="宋体"/>
                <w:color w:val="auto"/>
                <w:kern w:val="2"/>
                <w:szCs w:val="21"/>
                <w:highlight w:val="none"/>
              </w:rPr>
            </w:pPr>
          </w:p>
        </w:tc>
      </w:tr>
    </w:tbl>
    <w:p w14:paraId="4A427768">
      <w:pPr>
        <w:spacing w:after="0" w:line="240" w:lineRule="auto"/>
        <w:rPr>
          <w:rFonts w:hint="eastAsia" w:ascii="宋体" w:hAnsi="宋体" w:cs="宋体"/>
          <w:color w:val="auto"/>
          <w:szCs w:val="21"/>
          <w:highlight w:val="none"/>
        </w:rPr>
      </w:pPr>
      <w:r>
        <w:rPr>
          <w:rFonts w:hint="eastAsia" w:ascii="宋体" w:hAnsi="宋体" w:cs="宋体"/>
          <w:color w:val="auto"/>
          <w:szCs w:val="21"/>
          <w:highlight w:val="none"/>
        </w:rPr>
        <w:t>注：1.每一项目符合有效的记“通过”无效的记“不通过”，全部审查项目均为有效的，结论为“通过”，否则为“不通过”。</w:t>
      </w:r>
    </w:p>
    <w:p w14:paraId="5E0A5E36">
      <w:pPr>
        <w:numPr>
          <w:ilvl w:val="0"/>
          <w:numId w:val="6"/>
        </w:numPr>
        <w:spacing w:after="0" w:line="240" w:lineRule="auto"/>
        <w:ind w:right="848" w:rightChars="404"/>
        <w:rPr>
          <w:rFonts w:hint="eastAsia" w:ascii="宋体" w:hAnsi="宋体" w:cs="宋体"/>
          <w:color w:val="auto"/>
          <w:szCs w:val="21"/>
          <w:highlight w:val="none"/>
        </w:rPr>
      </w:pPr>
      <w:r>
        <w:rPr>
          <w:rFonts w:hint="eastAsia" w:ascii="宋体" w:hAnsi="宋体" w:cs="宋体"/>
          <w:color w:val="auto"/>
          <w:szCs w:val="21"/>
          <w:highlight w:val="none"/>
        </w:rPr>
        <w:t>如对本表中某种情形的评审意见不一致时，以评审组过半数成员的意见作为评审组对该情形的认定结论。</w:t>
      </w:r>
    </w:p>
    <w:p w14:paraId="7FC64527">
      <w:pPr>
        <w:numPr>
          <w:ilvl w:val="0"/>
          <w:numId w:val="6"/>
        </w:numPr>
        <w:spacing w:after="0" w:line="240" w:lineRule="auto"/>
        <w:ind w:right="848" w:rightChars="404"/>
        <w:rPr>
          <w:rFonts w:hint="eastAsia" w:ascii="宋体" w:hAnsi="宋体" w:cs="宋体"/>
          <w:color w:val="auto"/>
          <w:szCs w:val="21"/>
          <w:highlight w:val="none"/>
        </w:rPr>
      </w:pPr>
      <w:r>
        <w:rPr>
          <w:rFonts w:hint="eastAsia" w:ascii="宋体" w:hAnsi="宋体" w:cs="宋体"/>
          <w:color w:val="auto"/>
          <w:szCs w:val="21"/>
          <w:highlight w:val="none"/>
        </w:rPr>
        <w:t>不得将文件顺序、明显的文字错误等列为否决投标的情形。评委发现投标文件中含义不明确、对同类问题表述不一致、有明显文字和计算错误的，应当要求投标人作必要的澄清、说明后再判定投标人是否通过响应性审查，不得直接否决投标，若出现评标委员会否决投标的，应在评标报告中载明否决投标的具体情形、原因。</w:t>
      </w:r>
    </w:p>
    <w:p w14:paraId="31C04BA3">
      <w:pPr>
        <w:pStyle w:val="35"/>
        <w:ind w:left="420" w:firstLine="420"/>
        <w:rPr>
          <w:color w:val="auto"/>
          <w:highlight w:val="none"/>
          <w:lang w:eastAsia="zh-CN"/>
        </w:rPr>
      </w:pPr>
      <w:r>
        <w:rPr>
          <w:rFonts w:hint="eastAsia" w:ascii="宋体" w:hAnsi="宋体" w:cs="宋体"/>
          <w:color w:val="auto"/>
          <w:szCs w:val="21"/>
          <w:highlight w:val="none"/>
          <w:lang w:eastAsia="zh-CN"/>
        </w:rPr>
        <w:t>评委签名：</w:t>
      </w:r>
    </w:p>
    <w:p w14:paraId="310342B0">
      <w:pPr>
        <w:spacing w:line="360" w:lineRule="auto"/>
        <w:jc w:val="left"/>
        <w:rPr>
          <w:rFonts w:hint="eastAsia" w:ascii="宋体" w:hAnsi="宋体" w:cs="宋体"/>
          <w:b/>
          <w:color w:val="auto"/>
          <w:sz w:val="28"/>
          <w:szCs w:val="28"/>
          <w:highlight w:val="none"/>
        </w:rPr>
      </w:pPr>
    </w:p>
    <w:p w14:paraId="30D4E454">
      <w:pPr>
        <w:spacing w:line="360" w:lineRule="auto"/>
        <w:jc w:val="left"/>
        <w:rPr>
          <w:rFonts w:hint="eastAsia" w:ascii="宋体" w:hAnsi="宋体" w:cs="宋体"/>
          <w:b/>
          <w:color w:val="auto"/>
          <w:kern w:val="1"/>
          <w:sz w:val="28"/>
          <w:szCs w:val="28"/>
          <w:highlight w:val="none"/>
        </w:rPr>
      </w:pPr>
      <w:r>
        <w:rPr>
          <w:rFonts w:hint="eastAsia" w:ascii="宋体" w:hAnsi="宋体" w:cs="宋体"/>
          <w:b/>
          <w:color w:val="auto"/>
          <w:sz w:val="28"/>
          <w:szCs w:val="28"/>
          <w:highlight w:val="none"/>
        </w:rPr>
        <w:t>附表5：</w:t>
      </w:r>
    </w:p>
    <w:p w14:paraId="4A929F48">
      <w:pPr>
        <w:spacing w:line="360" w:lineRule="auto"/>
        <w:jc w:val="center"/>
        <w:rPr>
          <w:rFonts w:hint="eastAsia" w:ascii="宋体" w:hAnsi="宋体" w:cs="宋体"/>
          <w:b/>
          <w:color w:val="auto"/>
          <w:kern w:val="1"/>
          <w:sz w:val="28"/>
          <w:szCs w:val="28"/>
          <w:highlight w:val="none"/>
        </w:rPr>
      </w:pPr>
      <w:r>
        <w:rPr>
          <w:rFonts w:hint="eastAsia" w:ascii="宋体" w:hAnsi="宋体" w:cs="宋体"/>
          <w:b/>
          <w:color w:val="auto"/>
          <w:kern w:val="1"/>
          <w:sz w:val="28"/>
          <w:szCs w:val="28"/>
          <w:highlight w:val="none"/>
        </w:rPr>
        <w:t>勘察设计方案评分表</w:t>
      </w:r>
    </w:p>
    <w:tbl>
      <w:tblPr>
        <w:tblStyle w:val="36"/>
        <w:tblW w:w="14262"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543"/>
        <w:gridCol w:w="1140"/>
        <w:gridCol w:w="1858"/>
        <w:gridCol w:w="10045"/>
        <w:gridCol w:w="676"/>
      </w:tblGrid>
      <w:tr w14:paraId="02267135">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43" w:type="dxa"/>
            <w:tcBorders>
              <w:top w:val="double" w:color="auto" w:sz="2" w:space="0"/>
              <w:left w:val="double" w:color="auto" w:sz="2" w:space="0"/>
              <w:bottom w:val="single" w:color="auto" w:sz="6" w:space="0"/>
              <w:right w:val="single" w:color="auto" w:sz="6" w:space="0"/>
            </w:tcBorders>
            <w:noWrap w:val="0"/>
            <w:vAlign w:val="center"/>
          </w:tcPr>
          <w:p w14:paraId="1BF996B9">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highlight w:val="none"/>
              </w:rPr>
              <w:t>序号</w:t>
            </w:r>
          </w:p>
        </w:tc>
        <w:tc>
          <w:tcPr>
            <w:tcW w:w="1140" w:type="dxa"/>
            <w:tcBorders>
              <w:top w:val="double" w:color="auto" w:sz="2" w:space="0"/>
              <w:left w:val="nil"/>
              <w:bottom w:val="single" w:color="auto" w:sz="6" w:space="0"/>
              <w:right w:val="single" w:color="auto" w:sz="6" w:space="0"/>
            </w:tcBorders>
            <w:noWrap w:val="0"/>
            <w:vAlign w:val="center"/>
          </w:tcPr>
          <w:p w14:paraId="7C126BC1">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highlight w:val="none"/>
              </w:rPr>
              <w:t>项目</w:t>
            </w:r>
          </w:p>
        </w:tc>
        <w:tc>
          <w:tcPr>
            <w:tcW w:w="1858" w:type="dxa"/>
            <w:tcBorders>
              <w:top w:val="double" w:color="auto" w:sz="2" w:space="0"/>
              <w:left w:val="nil"/>
              <w:bottom w:val="single" w:color="auto" w:sz="6" w:space="0"/>
              <w:right w:val="single" w:color="auto" w:sz="6" w:space="0"/>
            </w:tcBorders>
            <w:noWrap w:val="0"/>
            <w:vAlign w:val="center"/>
          </w:tcPr>
          <w:p w14:paraId="0277D5E8">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highlight w:val="none"/>
              </w:rPr>
              <w:t>分值</w:t>
            </w:r>
          </w:p>
        </w:tc>
        <w:tc>
          <w:tcPr>
            <w:tcW w:w="10045" w:type="dxa"/>
            <w:tcBorders>
              <w:top w:val="double" w:color="auto" w:sz="2" w:space="0"/>
              <w:left w:val="nil"/>
              <w:bottom w:val="single" w:color="auto" w:sz="6" w:space="0"/>
              <w:right w:val="single" w:color="auto" w:sz="6" w:space="0"/>
            </w:tcBorders>
            <w:noWrap w:val="0"/>
            <w:vAlign w:val="center"/>
          </w:tcPr>
          <w:p w14:paraId="31A46720">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highlight w:val="none"/>
              </w:rPr>
              <w:t>内容</w:t>
            </w:r>
          </w:p>
        </w:tc>
        <w:tc>
          <w:tcPr>
            <w:tcW w:w="676" w:type="dxa"/>
            <w:tcBorders>
              <w:top w:val="double" w:color="auto" w:sz="2" w:space="0"/>
              <w:left w:val="nil"/>
              <w:bottom w:val="single" w:color="auto" w:sz="6" w:space="0"/>
              <w:right w:val="double" w:color="auto" w:sz="2" w:space="0"/>
            </w:tcBorders>
            <w:noWrap w:val="0"/>
            <w:vAlign w:val="center"/>
          </w:tcPr>
          <w:p w14:paraId="0A8B43F2">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highlight w:val="none"/>
              </w:rPr>
              <w:t>得分</w:t>
            </w:r>
          </w:p>
        </w:tc>
      </w:tr>
      <w:tr w14:paraId="6EE41DC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777" w:hRule="atLeast"/>
          <w:jc w:val="center"/>
        </w:trPr>
        <w:tc>
          <w:tcPr>
            <w:tcW w:w="543" w:type="dxa"/>
            <w:tcBorders>
              <w:top w:val="single" w:color="auto" w:sz="6" w:space="0"/>
              <w:left w:val="double" w:color="auto" w:sz="2" w:space="0"/>
              <w:bottom w:val="single" w:color="auto" w:sz="6" w:space="0"/>
              <w:right w:val="single" w:color="auto" w:sz="6" w:space="0"/>
            </w:tcBorders>
            <w:noWrap w:val="0"/>
            <w:vAlign w:val="center"/>
          </w:tcPr>
          <w:p w14:paraId="4CF7CAAA">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highlight w:val="none"/>
              </w:rPr>
              <w:t>一</w:t>
            </w:r>
          </w:p>
        </w:tc>
        <w:tc>
          <w:tcPr>
            <w:tcW w:w="1140" w:type="dxa"/>
            <w:tcBorders>
              <w:top w:val="single" w:color="auto" w:sz="6" w:space="0"/>
              <w:left w:val="nil"/>
              <w:bottom w:val="single" w:color="auto" w:sz="6" w:space="0"/>
              <w:right w:val="single" w:color="auto" w:sz="6" w:space="0"/>
            </w:tcBorders>
            <w:noWrap w:val="0"/>
            <w:vAlign w:val="center"/>
          </w:tcPr>
          <w:p w14:paraId="7D469A42">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工程概况及特点</w:t>
            </w:r>
          </w:p>
        </w:tc>
        <w:tc>
          <w:tcPr>
            <w:tcW w:w="1858" w:type="dxa"/>
            <w:tcBorders>
              <w:top w:val="single" w:color="auto" w:sz="6" w:space="0"/>
              <w:left w:val="nil"/>
              <w:bottom w:val="single" w:color="auto" w:sz="6" w:space="0"/>
              <w:right w:val="single" w:color="auto" w:sz="6" w:space="0"/>
            </w:tcBorders>
            <w:noWrap w:val="0"/>
            <w:vAlign w:val="center"/>
          </w:tcPr>
          <w:p w14:paraId="4698AE6F">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highlight w:val="none"/>
              </w:rPr>
              <w:t>（20</w:t>
            </w:r>
            <w:r>
              <w:rPr>
                <w:rFonts w:hint="eastAsia" w:ascii="宋体" w:hAnsi="宋体"/>
                <w:color w:val="auto"/>
                <w:kern w:val="2"/>
                <w:highlight w:val="none"/>
                <w:lang w:val="en-US" w:eastAsia="zh-CN"/>
              </w:rPr>
              <w:t>分</w:t>
            </w:r>
            <w:r>
              <w:rPr>
                <w:rFonts w:hint="eastAsia" w:ascii="宋体" w:hAnsi="宋体"/>
                <w:color w:val="auto"/>
                <w:kern w:val="2"/>
                <w:highlight w:val="none"/>
              </w:rPr>
              <w:t>）</w:t>
            </w:r>
          </w:p>
        </w:tc>
        <w:tc>
          <w:tcPr>
            <w:tcW w:w="10045" w:type="dxa"/>
            <w:tcBorders>
              <w:top w:val="single" w:color="auto" w:sz="6" w:space="0"/>
              <w:left w:val="nil"/>
              <w:bottom w:val="single" w:color="auto" w:sz="6" w:space="0"/>
              <w:right w:val="single" w:color="auto" w:sz="6" w:space="0"/>
            </w:tcBorders>
            <w:noWrap w:val="0"/>
            <w:vAlign w:val="center"/>
          </w:tcPr>
          <w:p w14:paraId="22C9E03D">
            <w:pPr>
              <w:keepNext w:val="0"/>
              <w:keepLines w:val="0"/>
              <w:suppressLineNumbers w:val="0"/>
              <w:autoSpaceDE w:val="0"/>
              <w:autoSpaceDN w:val="0"/>
              <w:adjustRightInd w:val="0"/>
              <w:spacing w:before="0" w:beforeAutospacing="0" w:after="0" w:afterAutospacing="0"/>
              <w:ind w:left="0" w:right="0"/>
              <w:rPr>
                <w:rFonts w:hint="default" w:ascii="宋体" w:hAnsi="宋体"/>
                <w:color w:val="auto"/>
                <w:kern w:val="2"/>
                <w:highlight w:val="none"/>
              </w:rPr>
            </w:pPr>
            <w:r>
              <w:rPr>
                <w:rFonts w:hint="eastAsia" w:ascii="宋体" w:hAnsi="宋体" w:cs="宋体"/>
                <w:color w:val="auto"/>
                <w:kern w:val="2"/>
                <w:szCs w:val="21"/>
                <w:highlight w:val="none"/>
              </w:rPr>
              <w:t>1、工程概况及特点的描述包含工程背景、工程规模、工程目标、工程特点，满足得10分，不满足得0分。</w:t>
            </w:r>
          </w:p>
          <w:p w14:paraId="38BBD1DF">
            <w:pPr>
              <w:keepNext w:val="0"/>
              <w:keepLines w:val="0"/>
              <w:suppressLineNumbers w:val="0"/>
              <w:autoSpaceDE w:val="0"/>
              <w:autoSpaceDN w:val="0"/>
              <w:adjustRightInd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2、对</w:t>
            </w:r>
            <w:r>
              <w:rPr>
                <w:rFonts w:hint="eastAsia" w:ascii="宋体" w:hAnsi="宋体" w:cs="宋体"/>
                <w:color w:val="auto"/>
                <w:kern w:val="2"/>
                <w:szCs w:val="21"/>
                <w:highlight w:val="none"/>
              </w:rPr>
              <w:t>工程背景、工程规模、工程目标、工程特点的描述，全面、清晰。</w:t>
            </w:r>
            <w:r>
              <w:rPr>
                <w:rFonts w:hint="default" w:ascii="宋体" w:hAnsi="宋体"/>
                <w:color w:val="auto"/>
                <w:kern w:val="2"/>
                <w:highlight w:val="none"/>
              </w:rPr>
              <w:t>优得</w:t>
            </w:r>
            <w:r>
              <w:rPr>
                <w:rFonts w:hint="eastAsia" w:ascii="宋体" w:hAnsi="宋体"/>
                <w:color w:val="auto"/>
                <w:kern w:val="2"/>
                <w:highlight w:val="none"/>
              </w:rPr>
              <w:t>10</w:t>
            </w:r>
            <w:r>
              <w:rPr>
                <w:rFonts w:hint="default" w:ascii="宋体" w:hAnsi="宋体"/>
                <w:color w:val="auto"/>
                <w:kern w:val="2"/>
                <w:highlight w:val="none"/>
              </w:rPr>
              <w:t>分，良得</w:t>
            </w:r>
            <w:r>
              <w:rPr>
                <w:rFonts w:hint="eastAsia" w:ascii="宋体" w:hAnsi="宋体"/>
                <w:color w:val="auto"/>
                <w:kern w:val="2"/>
                <w:highlight w:val="none"/>
              </w:rPr>
              <w:t>8</w:t>
            </w:r>
            <w:r>
              <w:rPr>
                <w:rFonts w:hint="default" w:ascii="宋体" w:hAnsi="宋体"/>
                <w:color w:val="auto"/>
                <w:kern w:val="2"/>
                <w:highlight w:val="none"/>
              </w:rPr>
              <w:t>分，</w:t>
            </w:r>
            <w:r>
              <w:rPr>
                <w:rFonts w:hint="eastAsia" w:ascii="宋体" w:hAnsi="宋体"/>
                <w:color w:val="auto"/>
                <w:kern w:val="2"/>
                <w:highlight w:val="none"/>
              </w:rPr>
              <w:t>一般</w:t>
            </w:r>
            <w:r>
              <w:rPr>
                <w:rFonts w:hint="default" w:ascii="宋体" w:hAnsi="宋体"/>
                <w:color w:val="auto"/>
                <w:kern w:val="2"/>
                <w:highlight w:val="none"/>
              </w:rPr>
              <w:t>得</w:t>
            </w:r>
            <w:r>
              <w:rPr>
                <w:rFonts w:hint="eastAsia" w:ascii="宋体" w:hAnsi="宋体"/>
                <w:color w:val="auto"/>
                <w:kern w:val="2"/>
                <w:highlight w:val="none"/>
              </w:rPr>
              <w:t>6</w:t>
            </w:r>
            <w:r>
              <w:rPr>
                <w:rFonts w:hint="default" w:ascii="宋体" w:hAnsi="宋体"/>
                <w:color w:val="auto"/>
                <w:kern w:val="2"/>
                <w:highlight w:val="none"/>
              </w:rPr>
              <w:t>分。</w:t>
            </w:r>
          </w:p>
        </w:tc>
        <w:tc>
          <w:tcPr>
            <w:tcW w:w="676" w:type="dxa"/>
            <w:tcBorders>
              <w:top w:val="single" w:color="auto" w:sz="6" w:space="0"/>
              <w:left w:val="nil"/>
              <w:bottom w:val="single" w:color="auto" w:sz="6" w:space="0"/>
              <w:right w:val="double" w:color="auto" w:sz="2" w:space="0"/>
            </w:tcBorders>
            <w:noWrap w:val="0"/>
            <w:vAlign w:val="center"/>
          </w:tcPr>
          <w:p w14:paraId="768BAD32">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p>
        </w:tc>
      </w:tr>
      <w:tr w14:paraId="14B35FDE">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835" w:hRule="atLeast"/>
          <w:jc w:val="center"/>
        </w:trPr>
        <w:tc>
          <w:tcPr>
            <w:tcW w:w="543" w:type="dxa"/>
            <w:tcBorders>
              <w:top w:val="nil"/>
              <w:left w:val="double" w:color="auto" w:sz="2" w:space="0"/>
              <w:bottom w:val="single" w:color="auto" w:sz="6" w:space="0"/>
              <w:right w:val="single" w:color="auto" w:sz="6" w:space="0"/>
            </w:tcBorders>
            <w:noWrap w:val="0"/>
            <w:vAlign w:val="center"/>
          </w:tcPr>
          <w:p w14:paraId="5F906B7D">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olor w:val="auto"/>
                <w:kern w:val="2"/>
                <w:highlight w:val="none"/>
              </w:rPr>
            </w:pPr>
            <w:r>
              <w:rPr>
                <w:rFonts w:hint="eastAsia" w:ascii="宋体" w:hAnsi="宋体"/>
                <w:color w:val="auto"/>
                <w:kern w:val="2"/>
                <w:highlight w:val="none"/>
              </w:rPr>
              <w:t>二</w:t>
            </w:r>
          </w:p>
        </w:tc>
        <w:tc>
          <w:tcPr>
            <w:tcW w:w="1140" w:type="dxa"/>
            <w:tcBorders>
              <w:top w:val="single" w:color="auto" w:sz="6" w:space="0"/>
              <w:left w:val="nil"/>
              <w:bottom w:val="single" w:color="auto" w:sz="6" w:space="0"/>
              <w:right w:val="single" w:color="auto" w:sz="4" w:space="0"/>
            </w:tcBorders>
            <w:noWrap w:val="0"/>
            <w:vAlign w:val="center"/>
          </w:tcPr>
          <w:p w14:paraId="4537A1A1">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highlight w:val="none"/>
              </w:rPr>
              <w:t>建筑功能</w:t>
            </w:r>
          </w:p>
        </w:tc>
        <w:tc>
          <w:tcPr>
            <w:tcW w:w="1858" w:type="dxa"/>
            <w:tcBorders>
              <w:top w:val="single" w:color="auto" w:sz="6" w:space="0"/>
              <w:left w:val="single" w:color="auto" w:sz="6" w:space="0"/>
              <w:bottom w:val="single" w:color="auto" w:sz="6" w:space="0"/>
              <w:right w:val="single" w:color="auto" w:sz="6" w:space="0"/>
            </w:tcBorders>
            <w:noWrap w:val="0"/>
            <w:vAlign w:val="center"/>
          </w:tcPr>
          <w:p w14:paraId="72E2EF51">
            <w:pPr>
              <w:keepNext w:val="0"/>
              <w:keepLines w:val="0"/>
              <w:suppressLineNumbers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highlight w:val="none"/>
              </w:rPr>
              <w:t>（12分）</w:t>
            </w:r>
          </w:p>
        </w:tc>
        <w:tc>
          <w:tcPr>
            <w:tcW w:w="10045" w:type="dxa"/>
            <w:tcBorders>
              <w:top w:val="single" w:color="auto" w:sz="6" w:space="0"/>
              <w:left w:val="nil"/>
              <w:bottom w:val="single" w:color="auto" w:sz="4" w:space="0"/>
              <w:right w:val="single" w:color="auto" w:sz="6" w:space="0"/>
            </w:tcBorders>
            <w:noWrap w:val="0"/>
            <w:vAlign w:val="center"/>
          </w:tcPr>
          <w:p w14:paraId="7DF188E0">
            <w:pPr>
              <w:keepNext w:val="0"/>
              <w:keepLines w:val="0"/>
              <w:suppressLineNumbers w:val="0"/>
              <w:autoSpaceDE w:val="0"/>
              <w:autoSpaceDN w:val="0"/>
              <w:adjustRightInd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1、建筑使用功能设计方案，有得6分，无得0分。</w:t>
            </w:r>
          </w:p>
          <w:p w14:paraId="33854E1B">
            <w:pPr>
              <w:keepNext w:val="0"/>
              <w:keepLines w:val="0"/>
              <w:suppressLineNumbers w:val="0"/>
              <w:autoSpaceDE w:val="0"/>
              <w:autoSpaceDN w:val="0"/>
              <w:adjustRightInd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olor w:val="auto"/>
                <w:kern w:val="2"/>
                <w:highlight w:val="none"/>
              </w:rPr>
              <w:t>2、建筑使用功能设计符合招标项目性质要求的设计规范，设计内容完整无遗漏，建筑总面积和单项面积符合招标文件和功能要求。</w:t>
            </w:r>
            <w:r>
              <w:rPr>
                <w:rFonts w:hint="default" w:ascii="宋体" w:hAnsi="宋体"/>
                <w:color w:val="auto"/>
                <w:kern w:val="2"/>
                <w:highlight w:val="none"/>
              </w:rPr>
              <w:t>优得</w:t>
            </w:r>
            <w:r>
              <w:rPr>
                <w:rFonts w:hint="eastAsia" w:ascii="宋体" w:hAnsi="宋体"/>
                <w:color w:val="auto"/>
                <w:kern w:val="2"/>
                <w:highlight w:val="none"/>
              </w:rPr>
              <w:t>6</w:t>
            </w:r>
            <w:r>
              <w:rPr>
                <w:rFonts w:hint="default" w:ascii="宋体" w:hAnsi="宋体"/>
                <w:color w:val="auto"/>
                <w:kern w:val="2"/>
                <w:highlight w:val="none"/>
              </w:rPr>
              <w:t>分，良得</w:t>
            </w:r>
            <w:r>
              <w:rPr>
                <w:rFonts w:hint="eastAsia" w:ascii="宋体" w:hAnsi="宋体"/>
                <w:color w:val="auto"/>
                <w:kern w:val="2"/>
                <w:highlight w:val="none"/>
              </w:rPr>
              <w:t>4</w:t>
            </w:r>
            <w:r>
              <w:rPr>
                <w:rFonts w:hint="default" w:ascii="宋体" w:hAnsi="宋体"/>
                <w:color w:val="auto"/>
                <w:kern w:val="2"/>
                <w:highlight w:val="none"/>
              </w:rPr>
              <w:t>分，</w:t>
            </w:r>
            <w:r>
              <w:rPr>
                <w:rFonts w:hint="eastAsia" w:ascii="宋体" w:hAnsi="宋体"/>
                <w:color w:val="auto"/>
                <w:kern w:val="2"/>
                <w:highlight w:val="none"/>
              </w:rPr>
              <w:t>一般</w:t>
            </w:r>
            <w:r>
              <w:rPr>
                <w:rFonts w:hint="default" w:ascii="宋体" w:hAnsi="宋体"/>
                <w:color w:val="auto"/>
                <w:kern w:val="2"/>
                <w:highlight w:val="none"/>
              </w:rPr>
              <w:t>得</w:t>
            </w:r>
            <w:r>
              <w:rPr>
                <w:rFonts w:hint="eastAsia" w:ascii="宋体" w:hAnsi="宋体"/>
                <w:color w:val="auto"/>
                <w:kern w:val="2"/>
                <w:highlight w:val="none"/>
              </w:rPr>
              <w:t>2</w:t>
            </w:r>
            <w:r>
              <w:rPr>
                <w:rFonts w:hint="default" w:ascii="宋体" w:hAnsi="宋体"/>
                <w:color w:val="auto"/>
                <w:kern w:val="2"/>
                <w:highlight w:val="none"/>
              </w:rPr>
              <w:t>分。</w:t>
            </w:r>
          </w:p>
        </w:tc>
        <w:tc>
          <w:tcPr>
            <w:tcW w:w="676" w:type="dxa"/>
            <w:tcBorders>
              <w:top w:val="single" w:color="auto" w:sz="6" w:space="0"/>
              <w:left w:val="nil"/>
              <w:bottom w:val="single" w:color="auto" w:sz="6" w:space="0"/>
              <w:right w:val="double" w:color="auto" w:sz="2" w:space="0"/>
            </w:tcBorders>
            <w:noWrap w:val="0"/>
            <w:vAlign w:val="center"/>
          </w:tcPr>
          <w:p w14:paraId="6E1727E2">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p>
        </w:tc>
      </w:tr>
      <w:tr w14:paraId="09B8EE61">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254" w:hRule="atLeast"/>
          <w:jc w:val="center"/>
        </w:trPr>
        <w:tc>
          <w:tcPr>
            <w:tcW w:w="543" w:type="dxa"/>
            <w:tcBorders>
              <w:top w:val="nil"/>
              <w:left w:val="double" w:color="auto" w:sz="2" w:space="0"/>
              <w:bottom w:val="single" w:color="auto" w:sz="6" w:space="0"/>
              <w:right w:val="single" w:color="auto" w:sz="6" w:space="0"/>
            </w:tcBorders>
            <w:noWrap w:val="0"/>
            <w:vAlign w:val="center"/>
          </w:tcPr>
          <w:p w14:paraId="5F7AFCA3">
            <w:pPr>
              <w:keepNext w:val="0"/>
              <w:keepLines w:val="0"/>
              <w:widowControl/>
              <w:suppressLineNumbers w:val="0"/>
              <w:autoSpaceDE w:val="0"/>
              <w:autoSpaceDN w:val="0"/>
              <w:adjustRightInd w:val="0"/>
              <w:spacing w:before="100" w:beforeAutospacing="1" w:after="0" w:afterAutospacing="0" w:line="273" w:lineRule="auto"/>
              <w:ind w:left="0" w:right="0"/>
              <w:jc w:val="center"/>
              <w:rPr>
                <w:rFonts w:hint="default" w:ascii="宋体" w:hAnsi="宋体"/>
                <w:color w:val="auto"/>
                <w:kern w:val="2"/>
                <w:highlight w:val="none"/>
              </w:rPr>
            </w:pPr>
            <w:r>
              <w:rPr>
                <w:rFonts w:hint="eastAsia" w:ascii="宋体" w:hAnsi="宋体"/>
                <w:color w:val="auto"/>
                <w:kern w:val="2"/>
                <w:highlight w:val="none"/>
              </w:rPr>
              <w:t>三</w:t>
            </w:r>
          </w:p>
        </w:tc>
        <w:tc>
          <w:tcPr>
            <w:tcW w:w="1140" w:type="dxa"/>
            <w:tcBorders>
              <w:top w:val="single" w:color="auto" w:sz="6" w:space="0"/>
              <w:left w:val="nil"/>
              <w:bottom w:val="single" w:color="auto" w:sz="6" w:space="0"/>
              <w:right w:val="single" w:color="auto" w:sz="4" w:space="0"/>
            </w:tcBorders>
            <w:noWrap w:val="0"/>
            <w:vAlign w:val="center"/>
          </w:tcPr>
          <w:p w14:paraId="6F3C5D60">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highlight w:val="none"/>
              </w:rPr>
              <w:t>规划布局</w:t>
            </w:r>
          </w:p>
        </w:tc>
        <w:tc>
          <w:tcPr>
            <w:tcW w:w="1858" w:type="dxa"/>
            <w:tcBorders>
              <w:top w:val="single" w:color="auto" w:sz="6" w:space="0"/>
              <w:left w:val="single" w:color="auto" w:sz="6" w:space="0"/>
              <w:bottom w:val="single" w:color="auto" w:sz="6" w:space="0"/>
              <w:right w:val="single" w:color="auto" w:sz="6" w:space="0"/>
            </w:tcBorders>
            <w:noWrap w:val="0"/>
            <w:vAlign w:val="center"/>
          </w:tcPr>
          <w:p w14:paraId="3DB35334">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highlight w:val="none"/>
              </w:rPr>
              <w:t>（12分）</w:t>
            </w:r>
          </w:p>
        </w:tc>
        <w:tc>
          <w:tcPr>
            <w:tcW w:w="10045" w:type="dxa"/>
            <w:tcBorders>
              <w:top w:val="single" w:color="auto" w:sz="6" w:space="0"/>
              <w:left w:val="nil"/>
              <w:bottom w:val="single" w:color="auto" w:sz="4" w:space="0"/>
              <w:right w:val="single" w:color="auto" w:sz="6" w:space="0"/>
            </w:tcBorders>
            <w:noWrap w:val="0"/>
            <w:vAlign w:val="center"/>
          </w:tcPr>
          <w:p w14:paraId="59494810">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1、规划布局设计方案，有得6分，无得0分。</w:t>
            </w:r>
          </w:p>
          <w:p w14:paraId="797CA350">
            <w:pPr>
              <w:keepNext w:val="0"/>
              <w:keepLines w:val="0"/>
              <w:suppressLineNumbers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olor w:val="auto"/>
                <w:kern w:val="2"/>
                <w:highlight w:val="none"/>
              </w:rPr>
              <w:t>2、设计方案符合规划设计要求、平面布置疏密适宜，与周边环境有机结合，满足招标人对设计规模的最大化需求的规划措施。</w:t>
            </w:r>
            <w:r>
              <w:rPr>
                <w:rFonts w:hint="default" w:ascii="宋体" w:hAnsi="宋体"/>
                <w:color w:val="auto"/>
                <w:kern w:val="2"/>
                <w:highlight w:val="none"/>
              </w:rPr>
              <w:t>优得</w:t>
            </w:r>
            <w:r>
              <w:rPr>
                <w:rFonts w:hint="eastAsia" w:ascii="宋体" w:hAnsi="宋体"/>
                <w:color w:val="auto"/>
                <w:kern w:val="2"/>
                <w:highlight w:val="none"/>
              </w:rPr>
              <w:t>6</w:t>
            </w:r>
            <w:r>
              <w:rPr>
                <w:rFonts w:hint="default" w:ascii="宋体" w:hAnsi="宋体"/>
                <w:color w:val="auto"/>
                <w:kern w:val="2"/>
                <w:highlight w:val="none"/>
              </w:rPr>
              <w:t>分，良得</w:t>
            </w:r>
            <w:r>
              <w:rPr>
                <w:rFonts w:hint="eastAsia" w:ascii="宋体" w:hAnsi="宋体"/>
                <w:color w:val="auto"/>
                <w:kern w:val="2"/>
                <w:highlight w:val="none"/>
              </w:rPr>
              <w:t>4</w:t>
            </w:r>
            <w:r>
              <w:rPr>
                <w:rFonts w:hint="default" w:ascii="宋体" w:hAnsi="宋体"/>
                <w:color w:val="auto"/>
                <w:kern w:val="2"/>
                <w:highlight w:val="none"/>
              </w:rPr>
              <w:t>分，</w:t>
            </w:r>
            <w:r>
              <w:rPr>
                <w:rFonts w:hint="eastAsia" w:ascii="宋体" w:hAnsi="宋体"/>
                <w:color w:val="auto"/>
                <w:kern w:val="2"/>
                <w:highlight w:val="none"/>
              </w:rPr>
              <w:t>一般</w:t>
            </w:r>
            <w:r>
              <w:rPr>
                <w:rFonts w:hint="default" w:ascii="宋体" w:hAnsi="宋体"/>
                <w:color w:val="auto"/>
                <w:kern w:val="2"/>
                <w:highlight w:val="none"/>
              </w:rPr>
              <w:t>得</w:t>
            </w:r>
            <w:r>
              <w:rPr>
                <w:rFonts w:hint="eastAsia" w:ascii="宋体" w:hAnsi="宋体"/>
                <w:color w:val="auto"/>
                <w:kern w:val="2"/>
                <w:highlight w:val="none"/>
              </w:rPr>
              <w:t>2</w:t>
            </w:r>
            <w:r>
              <w:rPr>
                <w:rFonts w:hint="default" w:ascii="宋体" w:hAnsi="宋体"/>
                <w:color w:val="auto"/>
                <w:kern w:val="2"/>
                <w:highlight w:val="none"/>
              </w:rPr>
              <w:t>分。</w:t>
            </w:r>
          </w:p>
        </w:tc>
        <w:tc>
          <w:tcPr>
            <w:tcW w:w="676" w:type="dxa"/>
            <w:tcBorders>
              <w:top w:val="single" w:color="auto" w:sz="6" w:space="0"/>
              <w:left w:val="nil"/>
              <w:bottom w:val="single" w:color="auto" w:sz="6" w:space="0"/>
              <w:right w:val="double" w:color="auto" w:sz="2" w:space="0"/>
            </w:tcBorders>
            <w:noWrap w:val="0"/>
            <w:vAlign w:val="center"/>
          </w:tcPr>
          <w:p w14:paraId="10F97B4D">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p>
        </w:tc>
      </w:tr>
      <w:tr w14:paraId="16998BF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974" w:hRule="atLeast"/>
          <w:jc w:val="center"/>
        </w:trPr>
        <w:tc>
          <w:tcPr>
            <w:tcW w:w="543" w:type="dxa"/>
            <w:tcBorders>
              <w:top w:val="nil"/>
              <w:left w:val="double" w:color="auto" w:sz="2" w:space="0"/>
              <w:bottom w:val="single" w:color="auto" w:sz="6" w:space="0"/>
              <w:right w:val="single" w:color="auto" w:sz="6" w:space="0"/>
            </w:tcBorders>
            <w:noWrap w:val="0"/>
            <w:vAlign w:val="center"/>
          </w:tcPr>
          <w:p w14:paraId="2F348E26">
            <w:pPr>
              <w:keepNext w:val="0"/>
              <w:keepLines w:val="0"/>
              <w:widowControl/>
              <w:suppressLineNumbers w:val="0"/>
              <w:autoSpaceDE w:val="0"/>
              <w:autoSpaceDN w:val="0"/>
              <w:adjustRightInd w:val="0"/>
              <w:spacing w:before="100" w:beforeAutospacing="1" w:after="0" w:afterAutospacing="0" w:line="273" w:lineRule="auto"/>
              <w:ind w:left="0" w:right="0"/>
              <w:jc w:val="center"/>
              <w:rPr>
                <w:rFonts w:hint="default" w:ascii="宋体" w:hAnsi="宋体"/>
                <w:color w:val="auto"/>
                <w:kern w:val="2"/>
                <w:highlight w:val="none"/>
              </w:rPr>
            </w:pPr>
            <w:r>
              <w:rPr>
                <w:rFonts w:hint="eastAsia" w:ascii="宋体" w:hAnsi="宋体"/>
                <w:color w:val="auto"/>
                <w:kern w:val="2"/>
                <w:highlight w:val="none"/>
              </w:rPr>
              <w:t>四</w:t>
            </w:r>
          </w:p>
        </w:tc>
        <w:tc>
          <w:tcPr>
            <w:tcW w:w="1140" w:type="dxa"/>
            <w:tcBorders>
              <w:top w:val="single" w:color="auto" w:sz="6" w:space="0"/>
              <w:left w:val="nil"/>
              <w:bottom w:val="single" w:color="auto" w:sz="6" w:space="0"/>
              <w:right w:val="single" w:color="auto" w:sz="4" w:space="0"/>
            </w:tcBorders>
            <w:noWrap w:val="0"/>
            <w:vAlign w:val="center"/>
          </w:tcPr>
          <w:p w14:paraId="0A091CAF">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进度计划保障措施</w:t>
            </w:r>
          </w:p>
        </w:tc>
        <w:tc>
          <w:tcPr>
            <w:tcW w:w="1858" w:type="dxa"/>
            <w:tcBorders>
              <w:top w:val="single" w:color="auto" w:sz="6" w:space="0"/>
              <w:left w:val="single" w:color="auto" w:sz="6" w:space="0"/>
              <w:bottom w:val="single" w:color="auto" w:sz="6" w:space="0"/>
              <w:right w:val="single" w:color="auto" w:sz="6" w:space="0"/>
            </w:tcBorders>
            <w:noWrap w:val="0"/>
            <w:vAlign w:val="center"/>
          </w:tcPr>
          <w:p w14:paraId="35EF86E2">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highlight w:val="none"/>
              </w:rPr>
              <w:t>（12分）</w:t>
            </w:r>
          </w:p>
        </w:tc>
        <w:tc>
          <w:tcPr>
            <w:tcW w:w="10045" w:type="dxa"/>
            <w:tcBorders>
              <w:top w:val="single" w:color="auto" w:sz="4" w:space="0"/>
              <w:left w:val="nil"/>
              <w:bottom w:val="single" w:color="auto" w:sz="6" w:space="0"/>
              <w:right w:val="single" w:color="auto" w:sz="6" w:space="0"/>
            </w:tcBorders>
            <w:noWrap w:val="0"/>
            <w:vAlign w:val="center"/>
          </w:tcPr>
          <w:p w14:paraId="02F34786">
            <w:pPr>
              <w:keepNext w:val="0"/>
              <w:keepLines w:val="0"/>
              <w:widowControl/>
              <w:suppressLineNumbers w:val="0"/>
              <w:tabs>
                <w:tab w:val="left" w:pos="704"/>
              </w:tabs>
              <w:snapToGrid w:val="0"/>
              <w:spacing w:before="0" w:beforeAutospacing="0" w:after="0" w:afterAutospacing="0" w:line="360" w:lineRule="auto"/>
              <w:ind w:left="0" w:right="0"/>
              <w:rPr>
                <w:rFonts w:hint="default" w:ascii="宋体" w:hAnsi="宋体"/>
                <w:color w:val="auto"/>
                <w:kern w:val="2"/>
                <w:highlight w:val="none"/>
              </w:rPr>
            </w:pPr>
            <w:r>
              <w:rPr>
                <w:rFonts w:hint="eastAsia" w:ascii="宋体" w:hAnsi="宋体" w:cs="宋体"/>
                <w:color w:val="auto"/>
                <w:kern w:val="2"/>
                <w:szCs w:val="21"/>
                <w:highlight w:val="none"/>
              </w:rPr>
              <w:t>1、进度计划保障措施，</w:t>
            </w:r>
            <w:r>
              <w:rPr>
                <w:rFonts w:hint="eastAsia" w:ascii="宋体" w:hAnsi="宋体"/>
                <w:color w:val="auto"/>
                <w:kern w:val="2"/>
                <w:highlight w:val="none"/>
              </w:rPr>
              <w:t>有得6分，无得0分。</w:t>
            </w:r>
          </w:p>
          <w:p w14:paraId="3E24939D">
            <w:pPr>
              <w:keepNext w:val="0"/>
              <w:keepLines w:val="0"/>
              <w:widowControl/>
              <w:suppressLineNumbers w:val="0"/>
              <w:tabs>
                <w:tab w:val="left" w:pos="704"/>
              </w:tabs>
              <w:snapToGrid w:val="0"/>
              <w:spacing w:before="0" w:beforeAutospacing="0" w:after="0" w:afterAutospacing="0" w:line="360" w:lineRule="auto"/>
              <w:ind w:left="0" w:right="0"/>
              <w:jc w:val="left"/>
              <w:rPr>
                <w:rFonts w:hint="default" w:ascii="宋体" w:hAnsi="宋体" w:cs="宋体"/>
                <w:color w:val="auto"/>
                <w:kern w:val="2"/>
                <w:szCs w:val="21"/>
                <w:highlight w:val="none"/>
              </w:rPr>
            </w:pPr>
            <w:r>
              <w:rPr>
                <w:rFonts w:hint="eastAsia" w:ascii="宋体" w:hAnsi="宋体" w:cs="宋体"/>
                <w:color w:val="auto"/>
                <w:kern w:val="2"/>
                <w:szCs w:val="21"/>
                <w:highlight w:val="none"/>
              </w:rPr>
              <w:t>2、设计进度安排满足工期要求。保障措施得力，有针对性。</w:t>
            </w:r>
            <w:r>
              <w:rPr>
                <w:rFonts w:hint="default" w:ascii="宋体" w:hAnsi="宋体"/>
                <w:color w:val="auto"/>
                <w:kern w:val="2"/>
                <w:highlight w:val="none"/>
              </w:rPr>
              <w:t>优得</w:t>
            </w:r>
            <w:r>
              <w:rPr>
                <w:rFonts w:hint="eastAsia" w:ascii="宋体" w:hAnsi="宋体"/>
                <w:color w:val="auto"/>
                <w:kern w:val="2"/>
                <w:highlight w:val="none"/>
              </w:rPr>
              <w:t>6</w:t>
            </w:r>
            <w:r>
              <w:rPr>
                <w:rFonts w:hint="default" w:ascii="宋体" w:hAnsi="宋体"/>
                <w:color w:val="auto"/>
                <w:kern w:val="2"/>
                <w:highlight w:val="none"/>
              </w:rPr>
              <w:t>分，良得</w:t>
            </w:r>
            <w:r>
              <w:rPr>
                <w:rFonts w:hint="eastAsia" w:ascii="宋体" w:hAnsi="宋体"/>
                <w:color w:val="auto"/>
                <w:kern w:val="2"/>
                <w:highlight w:val="none"/>
              </w:rPr>
              <w:t>4</w:t>
            </w:r>
            <w:r>
              <w:rPr>
                <w:rFonts w:hint="default" w:ascii="宋体" w:hAnsi="宋体"/>
                <w:color w:val="auto"/>
                <w:kern w:val="2"/>
                <w:highlight w:val="none"/>
              </w:rPr>
              <w:t>分，</w:t>
            </w:r>
            <w:r>
              <w:rPr>
                <w:rFonts w:hint="eastAsia" w:ascii="宋体" w:hAnsi="宋体"/>
                <w:color w:val="auto"/>
                <w:kern w:val="2"/>
                <w:highlight w:val="none"/>
              </w:rPr>
              <w:t>一般</w:t>
            </w:r>
            <w:r>
              <w:rPr>
                <w:rFonts w:hint="default" w:ascii="宋体" w:hAnsi="宋体"/>
                <w:color w:val="auto"/>
                <w:kern w:val="2"/>
                <w:highlight w:val="none"/>
              </w:rPr>
              <w:t>得</w:t>
            </w:r>
            <w:r>
              <w:rPr>
                <w:rFonts w:hint="eastAsia" w:ascii="宋体" w:hAnsi="宋体"/>
                <w:color w:val="auto"/>
                <w:kern w:val="2"/>
                <w:highlight w:val="none"/>
              </w:rPr>
              <w:t>2</w:t>
            </w:r>
            <w:r>
              <w:rPr>
                <w:rFonts w:hint="default" w:ascii="宋体" w:hAnsi="宋体"/>
                <w:color w:val="auto"/>
                <w:kern w:val="2"/>
                <w:highlight w:val="none"/>
              </w:rPr>
              <w:t>分。</w:t>
            </w:r>
          </w:p>
        </w:tc>
        <w:tc>
          <w:tcPr>
            <w:tcW w:w="676" w:type="dxa"/>
            <w:tcBorders>
              <w:top w:val="single" w:color="auto" w:sz="6" w:space="0"/>
              <w:left w:val="nil"/>
              <w:bottom w:val="single" w:color="auto" w:sz="6" w:space="0"/>
              <w:right w:val="double" w:color="auto" w:sz="2" w:space="0"/>
            </w:tcBorders>
            <w:noWrap w:val="0"/>
            <w:vAlign w:val="center"/>
          </w:tcPr>
          <w:p w14:paraId="1EA340CC">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p>
        </w:tc>
      </w:tr>
      <w:tr w14:paraId="60F310D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962" w:hRule="atLeast"/>
          <w:jc w:val="center"/>
        </w:trPr>
        <w:tc>
          <w:tcPr>
            <w:tcW w:w="543" w:type="dxa"/>
            <w:tcBorders>
              <w:top w:val="nil"/>
              <w:left w:val="double" w:color="auto" w:sz="2" w:space="0"/>
              <w:bottom w:val="single" w:color="auto" w:sz="6" w:space="0"/>
              <w:right w:val="single" w:color="auto" w:sz="6" w:space="0"/>
            </w:tcBorders>
            <w:noWrap w:val="0"/>
            <w:vAlign w:val="center"/>
          </w:tcPr>
          <w:p w14:paraId="0C10DB6E">
            <w:pPr>
              <w:keepNext w:val="0"/>
              <w:keepLines w:val="0"/>
              <w:widowControl/>
              <w:suppressLineNumbers w:val="0"/>
              <w:autoSpaceDE w:val="0"/>
              <w:autoSpaceDN w:val="0"/>
              <w:adjustRightInd w:val="0"/>
              <w:spacing w:before="100" w:beforeAutospacing="1" w:after="0" w:afterAutospacing="0" w:line="273" w:lineRule="auto"/>
              <w:ind w:left="0" w:right="0"/>
              <w:jc w:val="center"/>
              <w:rPr>
                <w:rFonts w:hint="default" w:ascii="宋体" w:hAnsi="宋体"/>
                <w:color w:val="auto"/>
                <w:kern w:val="2"/>
                <w:highlight w:val="none"/>
              </w:rPr>
            </w:pPr>
            <w:r>
              <w:rPr>
                <w:rFonts w:hint="eastAsia" w:ascii="宋体" w:hAnsi="宋体"/>
                <w:color w:val="auto"/>
                <w:kern w:val="2"/>
                <w:highlight w:val="none"/>
              </w:rPr>
              <w:t>五</w:t>
            </w:r>
          </w:p>
        </w:tc>
        <w:tc>
          <w:tcPr>
            <w:tcW w:w="1140" w:type="dxa"/>
            <w:tcBorders>
              <w:top w:val="single" w:color="auto" w:sz="6" w:space="0"/>
              <w:left w:val="nil"/>
              <w:bottom w:val="single" w:color="auto" w:sz="6" w:space="0"/>
              <w:right w:val="single" w:color="auto" w:sz="4" w:space="0"/>
            </w:tcBorders>
            <w:noWrap w:val="0"/>
            <w:vAlign w:val="center"/>
          </w:tcPr>
          <w:p w14:paraId="1786099D">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s="宋体"/>
                <w:color w:val="auto"/>
                <w:kern w:val="2"/>
                <w:szCs w:val="21"/>
                <w:highlight w:val="none"/>
              </w:rPr>
              <w:t>质量保证措施</w:t>
            </w:r>
          </w:p>
        </w:tc>
        <w:tc>
          <w:tcPr>
            <w:tcW w:w="1858" w:type="dxa"/>
            <w:tcBorders>
              <w:top w:val="single" w:color="auto" w:sz="4" w:space="0"/>
              <w:left w:val="nil"/>
              <w:bottom w:val="single" w:color="auto" w:sz="4" w:space="0"/>
              <w:right w:val="single" w:color="auto" w:sz="6" w:space="0"/>
            </w:tcBorders>
            <w:noWrap w:val="0"/>
            <w:vAlign w:val="center"/>
          </w:tcPr>
          <w:p w14:paraId="1DB53597">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highlight w:val="none"/>
              </w:rPr>
              <w:t>（12分）</w:t>
            </w:r>
          </w:p>
        </w:tc>
        <w:tc>
          <w:tcPr>
            <w:tcW w:w="10045" w:type="dxa"/>
            <w:tcBorders>
              <w:top w:val="single" w:color="auto" w:sz="4" w:space="0"/>
              <w:left w:val="nil"/>
              <w:bottom w:val="single" w:color="auto" w:sz="4" w:space="0"/>
              <w:right w:val="single" w:color="auto" w:sz="6" w:space="0"/>
            </w:tcBorders>
            <w:noWrap w:val="0"/>
            <w:vAlign w:val="center"/>
          </w:tcPr>
          <w:p w14:paraId="5D563CA0">
            <w:pPr>
              <w:pStyle w:val="2"/>
              <w:keepNext w:val="0"/>
              <w:keepLines w:val="0"/>
              <w:suppressLineNumbers w:val="0"/>
              <w:spacing w:before="0" w:beforeAutospacing="0" w:after="0" w:afterAutospacing="0"/>
              <w:ind w:left="0" w:right="0"/>
              <w:rPr>
                <w:rFonts w:hint="default"/>
                <w:color w:val="auto"/>
                <w:kern w:val="2"/>
                <w:highlight w:val="none"/>
                <w:lang w:val="en-US"/>
              </w:rPr>
            </w:pPr>
            <w:r>
              <w:rPr>
                <w:rFonts w:hint="eastAsia" w:cs="Calibri"/>
                <w:color w:val="auto"/>
                <w:kern w:val="2"/>
                <w:sz w:val="21"/>
                <w:szCs w:val="22"/>
                <w:highlight w:val="none"/>
                <w:lang w:val="en-US"/>
              </w:rPr>
              <w:t>1、</w:t>
            </w:r>
            <w:r>
              <w:rPr>
                <w:rFonts w:hint="eastAsia" w:cs="宋体"/>
                <w:color w:val="auto"/>
                <w:kern w:val="2"/>
                <w:szCs w:val="21"/>
                <w:highlight w:val="none"/>
              </w:rPr>
              <w:t>质量保证措施，</w:t>
            </w:r>
            <w:r>
              <w:rPr>
                <w:rFonts w:hint="eastAsia"/>
                <w:color w:val="auto"/>
                <w:kern w:val="2"/>
                <w:highlight w:val="none"/>
                <w:lang w:val="en-US"/>
              </w:rPr>
              <w:t>有得6分，无得0分。</w:t>
            </w:r>
          </w:p>
          <w:p w14:paraId="372C4669">
            <w:pPr>
              <w:pStyle w:val="2"/>
              <w:keepNext w:val="0"/>
              <w:keepLines w:val="0"/>
              <w:suppressLineNumbers w:val="0"/>
              <w:spacing w:before="0" w:beforeAutospacing="0" w:after="0" w:afterAutospacing="0"/>
              <w:ind w:left="0" w:right="0"/>
              <w:rPr>
                <w:rFonts w:hint="default" w:cs="宋体"/>
                <w:color w:val="auto"/>
                <w:kern w:val="2"/>
                <w:szCs w:val="21"/>
                <w:highlight w:val="none"/>
              </w:rPr>
            </w:pPr>
            <w:r>
              <w:rPr>
                <w:rFonts w:hint="eastAsia"/>
                <w:color w:val="auto"/>
                <w:kern w:val="2"/>
                <w:highlight w:val="none"/>
                <w:lang w:val="en-US"/>
              </w:rPr>
              <w:t>2、</w:t>
            </w:r>
            <w:r>
              <w:rPr>
                <w:rFonts w:hint="eastAsia" w:cs="宋体"/>
                <w:color w:val="auto"/>
                <w:kern w:val="2"/>
                <w:szCs w:val="21"/>
                <w:highlight w:val="none"/>
              </w:rPr>
              <w:t>详细描述项目实施质量控制和保证措施，可操作性强。</w:t>
            </w:r>
            <w:r>
              <w:rPr>
                <w:rFonts w:hint="default"/>
                <w:color w:val="auto"/>
                <w:kern w:val="2"/>
                <w:highlight w:val="none"/>
              </w:rPr>
              <w:t>优得</w:t>
            </w:r>
            <w:r>
              <w:rPr>
                <w:rFonts w:hint="eastAsia"/>
                <w:color w:val="auto"/>
                <w:kern w:val="2"/>
                <w:highlight w:val="none"/>
                <w:lang w:val="en-US"/>
              </w:rPr>
              <w:t>6</w:t>
            </w:r>
            <w:r>
              <w:rPr>
                <w:rFonts w:hint="default"/>
                <w:color w:val="auto"/>
                <w:kern w:val="2"/>
                <w:highlight w:val="none"/>
              </w:rPr>
              <w:t>分，良得</w:t>
            </w:r>
            <w:r>
              <w:rPr>
                <w:rFonts w:hint="eastAsia"/>
                <w:color w:val="auto"/>
                <w:kern w:val="2"/>
                <w:highlight w:val="none"/>
                <w:lang w:val="en-US"/>
              </w:rPr>
              <w:t>4</w:t>
            </w:r>
            <w:r>
              <w:rPr>
                <w:rFonts w:hint="default"/>
                <w:color w:val="auto"/>
                <w:kern w:val="2"/>
                <w:highlight w:val="none"/>
              </w:rPr>
              <w:t>分，</w:t>
            </w:r>
            <w:r>
              <w:rPr>
                <w:rFonts w:hint="eastAsia"/>
                <w:color w:val="auto"/>
                <w:kern w:val="2"/>
                <w:highlight w:val="none"/>
              </w:rPr>
              <w:t>一般</w:t>
            </w:r>
            <w:r>
              <w:rPr>
                <w:rFonts w:hint="default"/>
                <w:color w:val="auto"/>
                <w:kern w:val="2"/>
                <w:highlight w:val="none"/>
              </w:rPr>
              <w:t>得</w:t>
            </w:r>
            <w:r>
              <w:rPr>
                <w:rFonts w:hint="eastAsia"/>
                <w:color w:val="auto"/>
                <w:kern w:val="2"/>
                <w:highlight w:val="none"/>
                <w:lang w:val="en-US"/>
              </w:rPr>
              <w:t>2</w:t>
            </w:r>
            <w:r>
              <w:rPr>
                <w:rFonts w:hint="default"/>
                <w:color w:val="auto"/>
                <w:kern w:val="2"/>
                <w:highlight w:val="none"/>
              </w:rPr>
              <w:t>分。</w:t>
            </w:r>
          </w:p>
        </w:tc>
        <w:tc>
          <w:tcPr>
            <w:tcW w:w="676" w:type="dxa"/>
            <w:tcBorders>
              <w:top w:val="single" w:color="auto" w:sz="6" w:space="0"/>
              <w:left w:val="nil"/>
              <w:bottom w:val="single" w:color="auto" w:sz="6" w:space="0"/>
              <w:right w:val="double" w:color="auto" w:sz="2" w:space="0"/>
            </w:tcBorders>
            <w:noWrap w:val="0"/>
            <w:vAlign w:val="center"/>
          </w:tcPr>
          <w:p w14:paraId="51357EF9">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p>
        </w:tc>
      </w:tr>
      <w:tr w14:paraId="22D79DC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126" w:hRule="atLeast"/>
          <w:jc w:val="center"/>
        </w:trPr>
        <w:tc>
          <w:tcPr>
            <w:tcW w:w="543" w:type="dxa"/>
            <w:tcBorders>
              <w:top w:val="nil"/>
              <w:left w:val="double" w:color="auto" w:sz="2" w:space="0"/>
              <w:bottom w:val="single" w:color="auto" w:sz="6" w:space="0"/>
              <w:right w:val="single" w:color="auto" w:sz="6" w:space="0"/>
            </w:tcBorders>
            <w:noWrap w:val="0"/>
            <w:vAlign w:val="center"/>
          </w:tcPr>
          <w:p w14:paraId="36F888E6">
            <w:pPr>
              <w:keepNext w:val="0"/>
              <w:keepLines w:val="0"/>
              <w:widowControl/>
              <w:suppressLineNumbers w:val="0"/>
              <w:autoSpaceDE w:val="0"/>
              <w:autoSpaceDN w:val="0"/>
              <w:adjustRightInd w:val="0"/>
              <w:spacing w:before="100" w:beforeAutospacing="1" w:after="0" w:afterAutospacing="0" w:line="273" w:lineRule="auto"/>
              <w:ind w:left="0" w:right="0"/>
              <w:jc w:val="center"/>
              <w:rPr>
                <w:rFonts w:hint="default" w:ascii="宋体" w:hAnsi="宋体"/>
                <w:color w:val="auto"/>
                <w:kern w:val="2"/>
                <w:highlight w:val="none"/>
              </w:rPr>
            </w:pPr>
            <w:r>
              <w:rPr>
                <w:rFonts w:hint="eastAsia" w:ascii="宋体" w:hAnsi="宋体"/>
                <w:color w:val="auto"/>
                <w:kern w:val="2"/>
                <w:highlight w:val="none"/>
              </w:rPr>
              <w:t>六</w:t>
            </w:r>
          </w:p>
        </w:tc>
        <w:tc>
          <w:tcPr>
            <w:tcW w:w="1140" w:type="dxa"/>
            <w:tcBorders>
              <w:top w:val="single" w:color="auto" w:sz="6" w:space="0"/>
              <w:left w:val="nil"/>
              <w:bottom w:val="single" w:color="auto" w:sz="6" w:space="0"/>
              <w:right w:val="single" w:color="auto" w:sz="4" w:space="0"/>
            </w:tcBorders>
            <w:noWrap w:val="0"/>
            <w:vAlign w:val="center"/>
          </w:tcPr>
          <w:p w14:paraId="0B0F5D9E">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highlight w:val="none"/>
              </w:rPr>
              <w:t>结构合理性</w:t>
            </w:r>
          </w:p>
        </w:tc>
        <w:tc>
          <w:tcPr>
            <w:tcW w:w="1858" w:type="dxa"/>
            <w:tcBorders>
              <w:top w:val="single" w:color="auto" w:sz="4" w:space="0"/>
              <w:left w:val="nil"/>
              <w:bottom w:val="single" w:color="auto" w:sz="4" w:space="0"/>
              <w:right w:val="single" w:color="auto" w:sz="6" w:space="0"/>
            </w:tcBorders>
            <w:noWrap w:val="0"/>
            <w:vAlign w:val="center"/>
          </w:tcPr>
          <w:p w14:paraId="2BED8192">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highlight w:val="none"/>
              </w:rPr>
              <w:t>（12分）</w:t>
            </w:r>
          </w:p>
        </w:tc>
        <w:tc>
          <w:tcPr>
            <w:tcW w:w="10045" w:type="dxa"/>
            <w:tcBorders>
              <w:top w:val="single" w:color="auto" w:sz="4" w:space="0"/>
              <w:left w:val="nil"/>
              <w:bottom w:val="single" w:color="auto" w:sz="4" w:space="0"/>
              <w:right w:val="single" w:color="auto" w:sz="6" w:space="0"/>
            </w:tcBorders>
            <w:noWrap w:val="0"/>
            <w:vAlign w:val="center"/>
          </w:tcPr>
          <w:p w14:paraId="37FAF147">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1、结构设计方案，有得6分，无得0分。</w:t>
            </w:r>
          </w:p>
          <w:p w14:paraId="786E043A">
            <w:pPr>
              <w:keepNext w:val="0"/>
              <w:keepLines w:val="0"/>
              <w:suppressLineNumbers w:val="0"/>
              <w:spacing w:before="0" w:beforeAutospacing="0" w:after="0" w:afterAutospacing="0" w:line="240" w:lineRule="auto"/>
              <w:ind w:left="0" w:right="0"/>
              <w:rPr>
                <w:rFonts w:hint="default" w:ascii="宋体" w:hAnsi="宋体" w:cs="宋体"/>
                <w:color w:val="auto"/>
                <w:kern w:val="2"/>
                <w:szCs w:val="21"/>
                <w:highlight w:val="none"/>
              </w:rPr>
            </w:pPr>
            <w:r>
              <w:rPr>
                <w:rFonts w:hint="eastAsia" w:ascii="宋体" w:hAnsi="宋体"/>
                <w:color w:val="auto"/>
                <w:kern w:val="2"/>
                <w:highlight w:val="none"/>
              </w:rPr>
              <w:t>2、设计方案中的结构设计安全性和合理性满足招标文件和规范要求，综合考虑轨道交通沿线建筑物安全性、合理性、可行性，且针对性强。</w:t>
            </w:r>
            <w:r>
              <w:rPr>
                <w:rFonts w:hint="default" w:ascii="宋体" w:hAnsi="宋体"/>
                <w:color w:val="auto"/>
                <w:kern w:val="2"/>
                <w:highlight w:val="none"/>
              </w:rPr>
              <w:t>优得</w:t>
            </w:r>
            <w:r>
              <w:rPr>
                <w:rFonts w:hint="eastAsia" w:ascii="宋体" w:hAnsi="宋体"/>
                <w:color w:val="auto"/>
                <w:kern w:val="2"/>
                <w:highlight w:val="none"/>
              </w:rPr>
              <w:t>6</w:t>
            </w:r>
            <w:r>
              <w:rPr>
                <w:rFonts w:hint="default" w:ascii="宋体" w:hAnsi="宋体"/>
                <w:color w:val="auto"/>
                <w:kern w:val="2"/>
                <w:highlight w:val="none"/>
              </w:rPr>
              <w:t>分，良得</w:t>
            </w:r>
            <w:r>
              <w:rPr>
                <w:rFonts w:hint="eastAsia" w:ascii="宋体" w:hAnsi="宋体"/>
                <w:color w:val="auto"/>
                <w:kern w:val="2"/>
                <w:highlight w:val="none"/>
              </w:rPr>
              <w:t>4</w:t>
            </w:r>
            <w:r>
              <w:rPr>
                <w:rFonts w:hint="default" w:ascii="宋体" w:hAnsi="宋体"/>
                <w:color w:val="auto"/>
                <w:kern w:val="2"/>
                <w:highlight w:val="none"/>
              </w:rPr>
              <w:t>分，</w:t>
            </w:r>
            <w:r>
              <w:rPr>
                <w:rFonts w:hint="eastAsia" w:ascii="宋体" w:hAnsi="宋体"/>
                <w:color w:val="auto"/>
                <w:kern w:val="2"/>
                <w:highlight w:val="none"/>
              </w:rPr>
              <w:t>一般</w:t>
            </w:r>
            <w:r>
              <w:rPr>
                <w:rFonts w:hint="default" w:ascii="宋体" w:hAnsi="宋体"/>
                <w:color w:val="auto"/>
                <w:kern w:val="2"/>
                <w:highlight w:val="none"/>
              </w:rPr>
              <w:t>得</w:t>
            </w:r>
            <w:r>
              <w:rPr>
                <w:rFonts w:hint="eastAsia" w:ascii="宋体" w:hAnsi="宋体"/>
                <w:color w:val="auto"/>
                <w:kern w:val="2"/>
                <w:highlight w:val="none"/>
              </w:rPr>
              <w:t>2</w:t>
            </w:r>
            <w:r>
              <w:rPr>
                <w:rFonts w:hint="default" w:ascii="宋体" w:hAnsi="宋体"/>
                <w:color w:val="auto"/>
                <w:kern w:val="2"/>
                <w:highlight w:val="none"/>
              </w:rPr>
              <w:t>分。</w:t>
            </w:r>
          </w:p>
        </w:tc>
        <w:tc>
          <w:tcPr>
            <w:tcW w:w="676" w:type="dxa"/>
            <w:tcBorders>
              <w:top w:val="single" w:color="auto" w:sz="6" w:space="0"/>
              <w:left w:val="nil"/>
              <w:bottom w:val="single" w:color="auto" w:sz="6" w:space="0"/>
              <w:right w:val="double" w:color="auto" w:sz="2" w:space="0"/>
            </w:tcBorders>
            <w:noWrap w:val="0"/>
            <w:vAlign w:val="center"/>
          </w:tcPr>
          <w:p w14:paraId="27457AEA">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p>
        </w:tc>
      </w:tr>
      <w:tr w14:paraId="6B2FD68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669" w:hRule="atLeast"/>
          <w:jc w:val="center"/>
        </w:trPr>
        <w:tc>
          <w:tcPr>
            <w:tcW w:w="543" w:type="dxa"/>
            <w:tcBorders>
              <w:top w:val="single" w:color="auto" w:sz="6" w:space="0"/>
              <w:left w:val="double" w:color="auto" w:sz="2" w:space="0"/>
              <w:bottom w:val="single" w:color="auto" w:sz="6" w:space="0"/>
              <w:right w:val="single" w:color="auto" w:sz="6" w:space="0"/>
            </w:tcBorders>
            <w:noWrap w:val="0"/>
            <w:vAlign w:val="center"/>
          </w:tcPr>
          <w:p w14:paraId="79EEF3FD">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olor w:val="auto"/>
                <w:kern w:val="2"/>
                <w:highlight w:val="none"/>
              </w:rPr>
            </w:pPr>
            <w:r>
              <w:rPr>
                <w:rFonts w:hint="eastAsia" w:ascii="宋体" w:hAnsi="宋体"/>
                <w:color w:val="auto"/>
                <w:kern w:val="2"/>
                <w:highlight w:val="none"/>
              </w:rPr>
              <w:t>七</w:t>
            </w:r>
          </w:p>
        </w:tc>
        <w:tc>
          <w:tcPr>
            <w:tcW w:w="1140" w:type="dxa"/>
            <w:tcBorders>
              <w:top w:val="single" w:color="auto" w:sz="6" w:space="0"/>
              <w:left w:val="nil"/>
              <w:bottom w:val="single" w:color="auto" w:sz="6" w:space="0"/>
              <w:right w:val="single" w:color="auto" w:sz="6" w:space="0"/>
            </w:tcBorders>
            <w:noWrap w:val="0"/>
            <w:vAlign w:val="center"/>
          </w:tcPr>
          <w:p w14:paraId="100DDFCC">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highlight w:val="none"/>
              </w:rPr>
              <w:t>投资控制</w:t>
            </w:r>
          </w:p>
        </w:tc>
        <w:tc>
          <w:tcPr>
            <w:tcW w:w="1858" w:type="dxa"/>
            <w:tcBorders>
              <w:top w:val="single" w:color="auto" w:sz="6" w:space="0"/>
              <w:left w:val="nil"/>
              <w:bottom w:val="single" w:color="auto" w:sz="6" w:space="0"/>
              <w:right w:val="single" w:color="auto" w:sz="6" w:space="0"/>
            </w:tcBorders>
            <w:noWrap w:val="0"/>
            <w:vAlign w:val="center"/>
          </w:tcPr>
          <w:p w14:paraId="2411D19C">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highlight w:val="none"/>
              </w:rPr>
              <w:t>（20</w:t>
            </w:r>
            <w:r>
              <w:rPr>
                <w:rFonts w:hint="eastAsia" w:ascii="宋体" w:hAnsi="宋体"/>
                <w:color w:val="auto"/>
                <w:kern w:val="2"/>
                <w:highlight w:val="none"/>
                <w:lang w:val="en-US" w:eastAsia="zh-CN"/>
              </w:rPr>
              <w:t>分</w:t>
            </w:r>
            <w:r>
              <w:rPr>
                <w:rFonts w:hint="eastAsia" w:ascii="宋体" w:hAnsi="宋体"/>
                <w:color w:val="auto"/>
                <w:kern w:val="2"/>
                <w:highlight w:val="none"/>
              </w:rPr>
              <w:t>）</w:t>
            </w:r>
          </w:p>
        </w:tc>
        <w:tc>
          <w:tcPr>
            <w:tcW w:w="10045" w:type="dxa"/>
            <w:tcBorders>
              <w:top w:val="single" w:color="auto" w:sz="6" w:space="0"/>
              <w:left w:val="nil"/>
              <w:bottom w:val="single" w:color="auto" w:sz="6" w:space="0"/>
              <w:right w:val="single" w:color="auto" w:sz="6" w:space="0"/>
            </w:tcBorders>
            <w:noWrap w:val="0"/>
            <w:vAlign w:val="center"/>
          </w:tcPr>
          <w:p w14:paraId="6691D3F0">
            <w:pPr>
              <w:keepNext w:val="0"/>
              <w:keepLines w:val="0"/>
              <w:widowControl/>
              <w:suppressLineNumbers w:val="0"/>
              <w:tabs>
                <w:tab w:val="left" w:pos="704"/>
              </w:tabs>
              <w:snapToGrid w:val="0"/>
              <w:spacing w:before="0" w:beforeAutospacing="0" w:after="0" w:afterAutospacing="0" w:line="360" w:lineRule="auto"/>
              <w:ind w:left="0" w:right="0"/>
              <w:rPr>
                <w:rFonts w:hint="default" w:ascii="宋体" w:hAnsi="宋体"/>
                <w:color w:val="auto"/>
                <w:kern w:val="2"/>
                <w:highlight w:val="none"/>
              </w:rPr>
            </w:pPr>
            <w:r>
              <w:rPr>
                <w:rFonts w:hint="eastAsia" w:ascii="宋体" w:hAnsi="宋体"/>
                <w:color w:val="auto"/>
                <w:kern w:val="2"/>
                <w:highlight w:val="none"/>
              </w:rPr>
              <w:t>1、投资控制</w:t>
            </w:r>
            <w:r>
              <w:rPr>
                <w:rFonts w:hint="eastAsia" w:ascii="宋体" w:hAnsi="宋体" w:cs="宋体"/>
                <w:color w:val="auto"/>
                <w:kern w:val="2"/>
                <w:szCs w:val="21"/>
                <w:highlight w:val="none"/>
              </w:rPr>
              <w:t>技术措施，包括本工程造价控制的风险点及应对措施、设计变更管理措施、现场工代服务保证措施等，</w:t>
            </w:r>
            <w:r>
              <w:rPr>
                <w:rFonts w:hint="eastAsia" w:ascii="宋体" w:hAnsi="宋体"/>
                <w:color w:val="auto"/>
                <w:kern w:val="2"/>
                <w:highlight w:val="none"/>
              </w:rPr>
              <w:t>有得10分，无得0分。</w:t>
            </w:r>
          </w:p>
          <w:p w14:paraId="1F9E7281">
            <w:pPr>
              <w:keepNext w:val="0"/>
              <w:keepLines w:val="0"/>
              <w:widowControl/>
              <w:suppressLineNumbers w:val="0"/>
              <w:tabs>
                <w:tab w:val="left" w:pos="704"/>
              </w:tabs>
              <w:snapToGrid w:val="0"/>
              <w:spacing w:before="0" w:beforeAutospacing="0" w:after="0" w:afterAutospacing="0" w:line="360" w:lineRule="auto"/>
              <w:ind w:left="0" w:right="0"/>
              <w:rPr>
                <w:rFonts w:hint="default" w:ascii="宋体" w:hAnsi="宋体" w:cs="宋体"/>
                <w:color w:val="auto"/>
                <w:kern w:val="2"/>
                <w:szCs w:val="21"/>
                <w:highlight w:val="none"/>
              </w:rPr>
            </w:pPr>
            <w:r>
              <w:rPr>
                <w:rFonts w:hint="eastAsia"/>
                <w:color w:val="auto"/>
                <w:kern w:val="2"/>
                <w:highlight w:val="none"/>
              </w:rPr>
              <w:t>2、</w:t>
            </w:r>
            <w:r>
              <w:rPr>
                <w:rFonts w:hint="default" w:ascii="宋体" w:hAnsi="宋体" w:cs="宋体"/>
                <w:color w:val="auto"/>
                <w:kern w:val="2"/>
                <w:szCs w:val="21"/>
                <w:highlight w:val="none"/>
                <w:lang w:bidi="ar"/>
              </w:rPr>
              <w:t>满足项目投资的经济合理性</w:t>
            </w:r>
            <w:r>
              <w:rPr>
                <w:rFonts w:hint="eastAsia" w:ascii="宋体" w:hAnsi="宋体" w:cs="宋体"/>
                <w:color w:val="auto"/>
                <w:kern w:val="2"/>
                <w:szCs w:val="21"/>
                <w:highlight w:val="none"/>
                <w:lang w:bidi="ar"/>
              </w:rPr>
              <w:t>要求</w:t>
            </w:r>
            <w:r>
              <w:rPr>
                <w:rFonts w:hint="eastAsia" w:ascii="宋体" w:hAnsi="宋体"/>
                <w:color w:val="auto"/>
                <w:kern w:val="2"/>
                <w:highlight w:val="none"/>
              </w:rPr>
              <w:t>，相关措施合理、可行。</w:t>
            </w:r>
            <w:r>
              <w:rPr>
                <w:rFonts w:hint="default" w:ascii="宋体" w:hAnsi="宋体"/>
                <w:color w:val="auto"/>
                <w:kern w:val="2"/>
                <w:highlight w:val="none"/>
              </w:rPr>
              <w:t>优得</w:t>
            </w:r>
            <w:r>
              <w:rPr>
                <w:rFonts w:hint="eastAsia" w:ascii="宋体" w:hAnsi="宋体"/>
                <w:color w:val="auto"/>
                <w:kern w:val="2"/>
                <w:highlight w:val="none"/>
              </w:rPr>
              <w:t>10</w:t>
            </w:r>
            <w:r>
              <w:rPr>
                <w:rFonts w:hint="default" w:ascii="宋体" w:hAnsi="宋体"/>
                <w:color w:val="auto"/>
                <w:kern w:val="2"/>
                <w:highlight w:val="none"/>
              </w:rPr>
              <w:t>分，良得</w:t>
            </w:r>
            <w:r>
              <w:rPr>
                <w:rFonts w:hint="eastAsia" w:ascii="宋体" w:hAnsi="宋体"/>
                <w:color w:val="auto"/>
                <w:kern w:val="2"/>
                <w:highlight w:val="none"/>
              </w:rPr>
              <w:t>8</w:t>
            </w:r>
            <w:r>
              <w:rPr>
                <w:rFonts w:hint="default" w:ascii="宋体" w:hAnsi="宋体"/>
                <w:color w:val="auto"/>
                <w:kern w:val="2"/>
                <w:highlight w:val="none"/>
              </w:rPr>
              <w:t>分，</w:t>
            </w:r>
            <w:r>
              <w:rPr>
                <w:rFonts w:hint="eastAsia" w:ascii="宋体" w:hAnsi="宋体"/>
                <w:color w:val="auto"/>
                <w:kern w:val="2"/>
                <w:highlight w:val="none"/>
              </w:rPr>
              <w:t>一般</w:t>
            </w:r>
            <w:r>
              <w:rPr>
                <w:rFonts w:hint="default" w:ascii="宋体" w:hAnsi="宋体"/>
                <w:color w:val="auto"/>
                <w:kern w:val="2"/>
                <w:highlight w:val="none"/>
              </w:rPr>
              <w:t>得</w:t>
            </w:r>
            <w:r>
              <w:rPr>
                <w:rFonts w:hint="eastAsia" w:ascii="宋体" w:hAnsi="宋体"/>
                <w:color w:val="auto"/>
                <w:kern w:val="2"/>
                <w:highlight w:val="none"/>
              </w:rPr>
              <w:t>6</w:t>
            </w:r>
            <w:r>
              <w:rPr>
                <w:rFonts w:hint="default" w:ascii="宋体" w:hAnsi="宋体"/>
                <w:color w:val="auto"/>
                <w:kern w:val="2"/>
                <w:highlight w:val="none"/>
              </w:rPr>
              <w:t>分。</w:t>
            </w:r>
          </w:p>
        </w:tc>
        <w:tc>
          <w:tcPr>
            <w:tcW w:w="676" w:type="dxa"/>
            <w:tcBorders>
              <w:top w:val="single" w:color="auto" w:sz="6" w:space="0"/>
              <w:left w:val="nil"/>
              <w:bottom w:val="single" w:color="auto" w:sz="6" w:space="0"/>
              <w:right w:val="double" w:color="auto" w:sz="2" w:space="0"/>
            </w:tcBorders>
            <w:noWrap w:val="0"/>
            <w:vAlign w:val="center"/>
          </w:tcPr>
          <w:p w14:paraId="5B8666A7">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p>
        </w:tc>
      </w:tr>
      <w:tr w14:paraId="53974AEE">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501" w:hRule="atLeast"/>
          <w:jc w:val="center"/>
        </w:trPr>
        <w:tc>
          <w:tcPr>
            <w:tcW w:w="1683" w:type="dxa"/>
            <w:gridSpan w:val="2"/>
            <w:tcBorders>
              <w:top w:val="single" w:color="auto" w:sz="6" w:space="0"/>
              <w:left w:val="double" w:color="auto" w:sz="2" w:space="0"/>
              <w:bottom w:val="double" w:color="auto" w:sz="2" w:space="0"/>
              <w:right w:val="single" w:color="auto" w:sz="6" w:space="0"/>
            </w:tcBorders>
            <w:noWrap w:val="0"/>
            <w:vAlign w:val="center"/>
          </w:tcPr>
          <w:p w14:paraId="09074DEF">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highlight w:val="none"/>
              </w:rPr>
              <w:t>总计</w:t>
            </w:r>
          </w:p>
        </w:tc>
        <w:tc>
          <w:tcPr>
            <w:tcW w:w="1858" w:type="dxa"/>
            <w:tcBorders>
              <w:top w:val="single" w:color="auto" w:sz="6" w:space="0"/>
              <w:left w:val="nil"/>
              <w:bottom w:val="double" w:color="auto" w:sz="2" w:space="0"/>
              <w:right w:val="single" w:color="auto" w:sz="6" w:space="0"/>
            </w:tcBorders>
            <w:noWrap w:val="0"/>
            <w:vAlign w:val="center"/>
          </w:tcPr>
          <w:p w14:paraId="37E3B446">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r>
              <w:rPr>
                <w:rFonts w:hint="eastAsia" w:ascii="宋体" w:hAnsi="宋体"/>
                <w:color w:val="auto"/>
                <w:kern w:val="2"/>
                <w:highlight w:val="none"/>
              </w:rPr>
              <w:t>100</w:t>
            </w:r>
            <w:r>
              <w:rPr>
                <w:rFonts w:hint="eastAsia" w:ascii="宋体" w:hAnsi="宋体"/>
                <w:color w:val="auto"/>
                <w:kern w:val="2"/>
                <w:highlight w:val="none"/>
                <w:lang w:val="en-US" w:eastAsia="zh-CN"/>
              </w:rPr>
              <w:t>分</w:t>
            </w:r>
          </w:p>
        </w:tc>
        <w:tc>
          <w:tcPr>
            <w:tcW w:w="10045" w:type="dxa"/>
            <w:tcBorders>
              <w:top w:val="single" w:color="auto" w:sz="6" w:space="0"/>
              <w:left w:val="nil"/>
              <w:bottom w:val="double" w:color="auto" w:sz="2" w:space="0"/>
              <w:right w:val="single" w:color="auto" w:sz="6" w:space="0"/>
            </w:tcBorders>
            <w:noWrap w:val="0"/>
            <w:vAlign w:val="center"/>
          </w:tcPr>
          <w:p w14:paraId="0EBFF506">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p>
        </w:tc>
        <w:tc>
          <w:tcPr>
            <w:tcW w:w="676" w:type="dxa"/>
            <w:tcBorders>
              <w:top w:val="single" w:color="auto" w:sz="6" w:space="0"/>
              <w:left w:val="nil"/>
              <w:bottom w:val="double" w:color="auto" w:sz="2" w:space="0"/>
              <w:right w:val="double" w:color="auto" w:sz="2" w:space="0"/>
            </w:tcBorders>
            <w:noWrap w:val="0"/>
            <w:vAlign w:val="center"/>
          </w:tcPr>
          <w:p w14:paraId="3C62E3BF">
            <w:pPr>
              <w:keepNext w:val="0"/>
              <w:keepLines w:val="0"/>
              <w:suppressLineNumbers w:val="0"/>
              <w:autoSpaceDE w:val="0"/>
              <w:autoSpaceDN w:val="0"/>
              <w:adjustRightInd w:val="0"/>
              <w:spacing w:before="100" w:beforeAutospacing="1" w:after="0" w:afterAutospacing="0" w:line="273" w:lineRule="auto"/>
              <w:ind w:left="0" w:right="0"/>
              <w:jc w:val="center"/>
              <w:rPr>
                <w:rFonts w:hint="default" w:ascii="宋体" w:hAnsi="宋体" w:cs="宋体"/>
                <w:color w:val="auto"/>
                <w:kern w:val="2"/>
                <w:szCs w:val="21"/>
                <w:highlight w:val="none"/>
              </w:rPr>
            </w:pPr>
          </w:p>
        </w:tc>
      </w:tr>
    </w:tbl>
    <w:p w14:paraId="73B24DA8">
      <w:pPr>
        <w:pStyle w:val="35"/>
        <w:ind w:left="420" w:firstLine="420"/>
        <w:rPr>
          <w:rFonts w:hint="eastAsia"/>
          <w:color w:val="auto"/>
          <w:highlight w:val="none"/>
          <w:lang w:eastAsia="zh-CN"/>
        </w:rPr>
      </w:pPr>
    </w:p>
    <w:p w14:paraId="7870C613">
      <w:pPr>
        <w:spacing w:line="360" w:lineRule="auto"/>
        <w:rPr>
          <w:rFonts w:ascii="宋体" w:hAnsi="宋体" w:cs="宋体"/>
          <w:b/>
          <w:color w:val="auto"/>
          <w:kern w:val="1"/>
          <w:sz w:val="24"/>
          <w:szCs w:val="24"/>
          <w:highlight w:val="none"/>
        </w:rPr>
      </w:pPr>
      <w:r>
        <w:rPr>
          <w:rFonts w:hint="eastAsia" w:ascii="宋体" w:hAnsi="宋体" w:cs="宋体"/>
          <w:color w:val="auto"/>
          <w:highlight w:val="none"/>
        </w:rPr>
        <w:t>注：</w:t>
      </w:r>
      <w:r>
        <w:rPr>
          <w:rFonts w:hint="eastAsia" w:ascii="宋体" w:hAnsi="宋体"/>
          <w:color w:val="auto"/>
          <w:highlight w:val="none"/>
        </w:rPr>
        <w:t>所有评委分数汇总后的算术平均值为投标人的最终得分。分数出现小数点，保留小数点后二位小数，第三位小数四舍五入。</w:t>
      </w:r>
      <w:bookmarkEnd w:id="381"/>
      <w:r>
        <w:rPr>
          <w:rFonts w:hint="eastAsia" w:ascii="宋体" w:hAnsi="宋体" w:cs="宋体"/>
          <w:b/>
          <w:color w:val="auto"/>
          <w:kern w:val="1"/>
          <w:sz w:val="24"/>
          <w:szCs w:val="24"/>
          <w:highlight w:val="none"/>
        </w:rPr>
        <w:br w:type="page"/>
      </w:r>
      <w:r>
        <w:rPr>
          <w:rFonts w:hint="eastAsia" w:ascii="宋体" w:hAnsi="宋体" w:cs="宋体"/>
          <w:b/>
          <w:color w:val="auto"/>
          <w:kern w:val="1"/>
          <w:sz w:val="24"/>
          <w:szCs w:val="24"/>
          <w:highlight w:val="none"/>
        </w:rPr>
        <w:t>附表6</w:t>
      </w:r>
    </w:p>
    <w:p w14:paraId="471C8499">
      <w:pPr>
        <w:spacing w:line="360" w:lineRule="auto"/>
        <w:jc w:val="center"/>
        <w:rPr>
          <w:rFonts w:hint="eastAsia" w:ascii="宋体" w:hAnsi="宋体" w:cs="宋体"/>
          <w:b/>
          <w:color w:val="auto"/>
          <w:kern w:val="2"/>
          <w:sz w:val="28"/>
          <w:szCs w:val="28"/>
          <w:highlight w:val="none"/>
        </w:rPr>
      </w:pPr>
      <w:r>
        <w:rPr>
          <w:rFonts w:hint="eastAsia" w:ascii="宋体" w:hAnsi="宋体" w:cs="宋体"/>
          <w:b/>
          <w:color w:val="auto"/>
          <w:kern w:val="2"/>
          <w:sz w:val="28"/>
          <w:szCs w:val="28"/>
          <w:highlight w:val="none"/>
        </w:rPr>
        <w:t>工程总承包实施方案技术部分评分表</w:t>
      </w:r>
    </w:p>
    <w:p w14:paraId="48E0A43C">
      <w:pPr>
        <w:rPr>
          <w:color w:val="auto"/>
          <w:highlight w:val="none"/>
        </w:rPr>
      </w:pPr>
      <w:r>
        <w:rPr>
          <w:rFonts w:hint="eastAsia" w:ascii="宋体" w:hAnsi="宋体"/>
          <w:bCs/>
          <w:color w:val="auto"/>
          <w:spacing w:val="-10"/>
          <w:highlight w:val="none"/>
        </w:rPr>
        <w:t>项目名称：</w:t>
      </w:r>
    </w:p>
    <w:tbl>
      <w:tblPr>
        <w:tblStyle w:val="36"/>
        <w:tblW w:w="1476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5"/>
        <w:gridCol w:w="773"/>
        <w:gridCol w:w="1333"/>
        <w:gridCol w:w="667"/>
        <w:gridCol w:w="9966"/>
        <w:gridCol w:w="634"/>
        <w:gridCol w:w="532"/>
      </w:tblGrid>
      <w:tr w14:paraId="2FB035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2" w:hRule="atLeast"/>
          <w:tblHeader/>
          <w:jc w:val="center"/>
        </w:trPr>
        <w:tc>
          <w:tcPr>
            <w:tcW w:w="855" w:type="dxa"/>
            <w:noWrap w:val="0"/>
            <w:vAlign w:val="center"/>
          </w:tcPr>
          <w:p w14:paraId="0519B59F">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default" w:ascii="宋体" w:hAnsi="宋体"/>
                <w:color w:val="auto"/>
                <w:kern w:val="2"/>
                <w:highlight w:val="none"/>
              </w:rPr>
              <w:t>分部</w:t>
            </w:r>
          </w:p>
        </w:tc>
        <w:tc>
          <w:tcPr>
            <w:tcW w:w="773" w:type="dxa"/>
            <w:noWrap w:val="0"/>
            <w:vAlign w:val="center"/>
          </w:tcPr>
          <w:p w14:paraId="700E65F7">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default" w:ascii="宋体" w:hAnsi="宋体"/>
                <w:color w:val="auto"/>
                <w:kern w:val="2"/>
                <w:highlight w:val="none"/>
              </w:rPr>
              <w:t>评分项目</w:t>
            </w:r>
          </w:p>
        </w:tc>
        <w:tc>
          <w:tcPr>
            <w:tcW w:w="1333" w:type="dxa"/>
            <w:noWrap w:val="0"/>
            <w:vAlign w:val="center"/>
          </w:tcPr>
          <w:p w14:paraId="10A37D84">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default" w:ascii="宋体" w:hAnsi="宋体"/>
                <w:color w:val="auto"/>
                <w:kern w:val="2"/>
                <w:highlight w:val="none"/>
              </w:rPr>
              <w:t>评分内容</w:t>
            </w:r>
          </w:p>
        </w:tc>
        <w:tc>
          <w:tcPr>
            <w:tcW w:w="667" w:type="dxa"/>
            <w:noWrap w:val="0"/>
            <w:vAlign w:val="center"/>
          </w:tcPr>
          <w:p w14:paraId="20992B6D">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default" w:ascii="宋体" w:hAnsi="宋体"/>
                <w:color w:val="auto"/>
                <w:kern w:val="2"/>
                <w:highlight w:val="none"/>
              </w:rPr>
              <w:t>分值</w:t>
            </w:r>
          </w:p>
        </w:tc>
        <w:tc>
          <w:tcPr>
            <w:tcW w:w="9966" w:type="dxa"/>
            <w:noWrap w:val="0"/>
            <w:vAlign w:val="center"/>
          </w:tcPr>
          <w:p w14:paraId="096F7F01">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default" w:ascii="宋体" w:hAnsi="宋体"/>
                <w:color w:val="auto"/>
                <w:kern w:val="2"/>
                <w:highlight w:val="none"/>
              </w:rPr>
              <w:t>评审标准</w:t>
            </w:r>
          </w:p>
        </w:tc>
        <w:tc>
          <w:tcPr>
            <w:tcW w:w="634" w:type="dxa"/>
            <w:noWrap w:val="0"/>
            <w:vAlign w:val="center"/>
          </w:tcPr>
          <w:p w14:paraId="2C0F5009">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default" w:ascii="宋体" w:hAnsi="宋体"/>
                <w:color w:val="auto"/>
                <w:kern w:val="2"/>
                <w:highlight w:val="none"/>
              </w:rPr>
              <w:t>得分</w:t>
            </w:r>
          </w:p>
        </w:tc>
        <w:tc>
          <w:tcPr>
            <w:tcW w:w="532" w:type="dxa"/>
            <w:noWrap w:val="0"/>
            <w:vAlign w:val="center"/>
          </w:tcPr>
          <w:p w14:paraId="4C018B14">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default" w:ascii="宋体" w:hAnsi="宋体"/>
                <w:color w:val="auto"/>
                <w:kern w:val="2"/>
                <w:highlight w:val="none"/>
              </w:rPr>
              <w:t>备注</w:t>
            </w:r>
          </w:p>
        </w:tc>
      </w:tr>
      <w:tr w14:paraId="4D6139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855" w:type="dxa"/>
            <w:vMerge w:val="restart"/>
            <w:noWrap w:val="0"/>
            <w:vAlign w:val="center"/>
          </w:tcPr>
          <w:p w14:paraId="0737C4AE">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default" w:ascii="宋体" w:hAnsi="宋体"/>
                <w:color w:val="auto"/>
                <w:kern w:val="2"/>
                <w:highlight w:val="none"/>
              </w:rPr>
              <w:t>工程总承包实施方案技术部分</w:t>
            </w:r>
          </w:p>
        </w:tc>
        <w:tc>
          <w:tcPr>
            <w:tcW w:w="773" w:type="dxa"/>
            <w:vMerge w:val="restart"/>
            <w:noWrap w:val="0"/>
            <w:vAlign w:val="center"/>
          </w:tcPr>
          <w:p w14:paraId="7B2BBE84">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default" w:ascii="宋体" w:hAnsi="宋体"/>
                <w:color w:val="auto"/>
                <w:kern w:val="2"/>
                <w:highlight w:val="none"/>
              </w:rPr>
              <w:t>一、企业资信（36分）</w:t>
            </w:r>
          </w:p>
        </w:tc>
        <w:tc>
          <w:tcPr>
            <w:tcW w:w="1333" w:type="dxa"/>
            <w:vMerge w:val="restart"/>
            <w:noWrap w:val="0"/>
            <w:vAlign w:val="center"/>
          </w:tcPr>
          <w:p w14:paraId="261892AE">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default" w:ascii="宋体" w:hAnsi="宋体"/>
                <w:color w:val="auto"/>
                <w:kern w:val="2"/>
                <w:highlight w:val="none"/>
              </w:rPr>
              <w:t>类似项目业绩</w:t>
            </w:r>
          </w:p>
        </w:tc>
        <w:tc>
          <w:tcPr>
            <w:tcW w:w="667" w:type="dxa"/>
            <w:vMerge w:val="restart"/>
            <w:noWrap w:val="0"/>
            <w:vAlign w:val="center"/>
          </w:tcPr>
          <w:p w14:paraId="0CFCE3A0">
            <w:pPr>
              <w:keepNext w:val="0"/>
              <w:keepLines w:val="0"/>
              <w:suppressLineNumbers w:val="0"/>
              <w:spacing w:before="0" w:beforeAutospacing="0" w:after="0" w:afterAutospacing="0"/>
              <w:ind w:left="0" w:right="0"/>
              <w:jc w:val="center"/>
              <w:rPr>
                <w:rFonts w:hint="default" w:ascii="宋体" w:hAnsi="宋体"/>
                <w:color w:val="auto"/>
                <w:kern w:val="2"/>
                <w:highlight w:val="none"/>
              </w:rPr>
            </w:pPr>
            <w:r>
              <w:rPr>
                <w:rFonts w:hint="eastAsia" w:ascii="宋体" w:hAnsi="宋体"/>
                <w:color w:val="auto"/>
                <w:kern w:val="2"/>
                <w:highlight w:val="none"/>
              </w:rPr>
              <w:t>8分</w:t>
            </w:r>
          </w:p>
        </w:tc>
        <w:tc>
          <w:tcPr>
            <w:tcW w:w="9966" w:type="dxa"/>
            <w:noWrap w:val="0"/>
            <w:vAlign w:val="center"/>
          </w:tcPr>
          <w:p w14:paraId="5205716E">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自20</w:t>
            </w:r>
            <w:r>
              <w:rPr>
                <w:rFonts w:hint="default" w:ascii="宋体" w:hAnsi="宋体"/>
                <w:color w:val="auto"/>
                <w:kern w:val="2"/>
                <w:highlight w:val="none"/>
              </w:rPr>
              <w:t>2</w:t>
            </w:r>
            <w:r>
              <w:rPr>
                <w:rFonts w:hint="eastAsia" w:ascii="宋体" w:hAnsi="宋体"/>
                <w:color w:val="auto"/>
                <w:kern w:val="2"/>
                <w:highlight w:val="none"/>
              </w:rPr>
              <w:t>0年1月1日至投标截止时间止，投标人（若为联合体，指联合体主办方）完成过质量合格的类似工程施工业绩，每项得0.5分，本项最多得4分。</w:t>
            </w:r>
          </w:p>
        </w:tc>
        <w:tc>
          <w:tcPr>
            <w:tcW w:w="634" w:type="dxa"/>
            <w:noWrap w:val="0"/>
            <w:vAlign w:val="top"/>
          </w:tcPr>
          <w:p w14:paraId="0C0BE545">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532" w:type="dxa"/>
            <w:noWrap w:val="0"/>
            <w:vAlign w:val="top"/>
          </w:tcPr>
          <w:p w14:paraId="2DE55933">
            <w:pPr>
              <w:keepNext w:val="0"/>
              <w:keepLines w:val="0"/>
              <w:suppressLineNumbers w:val="0"/>
              <w:spacing w:before="0" w:beforeAutospacing="0" w:after="0" w:afterAutospacing="0"/>
              <w:ind w:left="0" w:right="0"/>
              <w:rPr>
                <w:rFonts w:hint="default" w:ascii="宋体" w:hAnsi="宋体"/>
                <w:color w:val="auto"/>
                <w:kern w:val="2"/>
                <w:highlight w:val="none"/>
              </w:rPr>
            </w:pPr>
          </w:p>
        </w:tc>
      </w:tr>
      <w:tr w14:paraId="7384EE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855" w:type="dxa"/>
            <w:vMerge w:val="continue"/>
            <w:noWrap w:val="0"/>
            <w:vAlign w:val="center"/>
          </w:tcPr>
          <w:p w14:paraId="13B06634">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773" w:type="dxa"/>
            <w:vMerge w:val="continue"/>
            <w:noWrap w:val="0"/>
            <w:vAlign w:val="center"/>
          </w:tcPr>
          <w:p w14:paraId="4E20AB3E">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1333" w:type="dxa"/>
            <w:vMerge w:val="continue"/>
            <w:noWrap w:val="0"/>
            <w:vAlign w:val="center"/>
          </w:tcPr>
          <w:p w14:paraId="2DF12F23">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667" w:type="dxa"/>
            <w:vMerge w:val="continue"/>
            <w:noWrap w:val="0"/>
            <w:vAlign w:val="center"/>
          </w:tcPr>
          <w:p w14:paraId="4F8DCD61">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9966" w:type="dxa"/>
            <w:noWrap w:val="0"/>
            <w:vAlign w:val="center"/>
          </w:tcPr>
          <w:p w14:paraId="29592124">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自2020年1月1日至投标截止时间止，投标人（若为联合体，指联合体中承担设计任务的单位）完成过质量合格的类似建筑工程设计业绩，每项得1分，本项最多得4分。</w:t>
            </w:r>
          </w:p>
        </w:tc>
        <w:tc>
          <w:tcPr>
            <w:tcW w:w="634" w:type="dxa"/>
            <w:noWrap w:val="0"/>
            <w:vAlign w:val="top"/>
          </w:tcPr>
          <w:p w14:paraId="3A673DEB">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532" w:type="dxa"/>
            <w:noWrap w:val="0"/>
            <w:vAlign w:val="top"/>
          </w:tcPr>
          <w:p w14:paraId="60950A50">
            <w:pPr>
              <w:keepNext w:val="0"/>
              <w:keepLines w:val="0"/>
              <w:suppressLineNumbers w:val="0"/>
              <w:spacing w:before="0" w:beforeAutospacing="0" w:after="0" w:afterAutospacing="0"/>
              <w:ind w:left="0" w:right="0"/>
              <w:rPr>
                <w:rFonts w:hint="default" w:ascii="宋体" w:hAnsi="宋体"/>
                <w:color w:val="auto"/>
                <w:kern w:val="2"/>
                <w:highlight w:val="none"/>
              </w:rPr>
            </w:pPr>
          </w:p>
        </w:tc>
      </w:tr>
      <w:tr w14:paraId="7A6204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855" w:type="dxa"/>
            <w:vMerge w:val="continue"/>
            <w:noWrap w:val="0"/>
            <w:vAlign w:val="center"/>
          </w:tcPr>
          <w:p w14:paraId="5532F3B6">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773" w:type="dxa"/>
            <w:vMerge w:val="continue"/>
            <w:noWrap w:val="0"/>
            <w:vAlign w:val="center"/>
          </w:tcPr>
          <w:p w14:paraId="11F90573">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1333" w:type="dxa"/>
            <w:vMerge w:val="restart"/>
            <w:noWrap w:val="0"/>
            <w:vAlign w:val="center"/>
          </w:tcPr>
          <w:p w14:paraId="5C4418DF">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default" w:ascii="宋体" w:hAnsi="宋体"/>
                <w:color w:val="auto"/>
                <w:kern w:val="2"/>
                <w:highlight w:val="none"/>
              </w:rPr>
              <w:t>工程获奖</w:t>
            </w:r>
          </w:p>
        </w:tc>
        <w:tc>
          <w:tcPr>
            <w:tcW w:w="667" w:type="dxa"/>
            <w:vMerge w:val="restart"/>
            <w:noWrap w:val="0"/>
            <w:vAlign w:val="center"/>
          </w:tcPr>
          <w:p w14:paraId="657173FE">
            <w:pPr>
              <w:keepNext w:val="0"/>
              <w:keepLines w:val="0"/>
              <w:suppressLineNumbers w:val="0"/>
              <w:spacing w:before="0" w:beforeAutospacing="0" w:after="0" w:afterAutospacing="0"/>
              <w:ind w:left="0" w:right="0"/>
              <w:jc w:val="center"/>
              <w:rPr>
                <w:rFonts w:hint="default" w:ascii="宋体" w:hAnsi="宋体"/>
                <w:color w:val="auto"/>
                <w:kern w:val="2"/>
                <w:highlight w:val="none"/>
              </w:rPr>
            </w:pPr>
            <w:r>
              <w:rPr>
                <w:rFonts w:hint="default" w:ascii="宋体" w:hAnsi="宋体"/>
                <w:color w:val="auto"/>
                <w:kern w:val="2"/>
                <w:highlight w:val="none"/>
              </w:rPr>
              <w:t>1</w:t>
            </w:r>
            <w:r>
              <w:rPr>
                <w:rFonts w:hint="eastAsia" w:ascii="宋体" w:hAnsi="宋体"/>
                <w:color w:val="auto"/>
                <w:kern w:val="2"/>
                <w:highlight w:val="none"/>
              </w:rPr>
              <w:t>4分</w:t>
            </w:r>
          </w:p>
        </w:tc>
        <w:tc>
          <w:tcPr>
            <w:tcW w:w="9966" w:type="dxa"/>
            <w:noWrap w:val="0"/>
            <w:vAlign w:val="center"/>
          </w:tcPr>
          <w:p w14:paraId="5CB5CBDD">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自20</w:t>
            </w:r>
            <w:r>
              <w:rPr>
                <w:rFonts w:hint="default" w:ascii="宋体" w:hAnsi="宋体"/>
                <w:color w:val="auto"/>
                <w:kern w:val="2"/>
                <w:highlight w:val="none"/>
              </w:rPr>
              <w:t>2</w:t>
            </w:r>
            <w:r>
              <w:rPr>
                <w:rFonts w:hint="eastAsia" w:ascii="宋体" w:hAnsi="宋体"/>
                <w:color w:val="auto"/>
                <w:kern w:val="2"/>
                <w:highlight w:val="none"/>
              </w:rPr>
              <w:t>0年1月1日至投标截止时间止，投标人（若为联合体，指联合体主办方）承接过的房屋建筑工程施工总承包或工程总承包业绩获得过市级（或以上）工程质量奖项，每项得0</w:t>
            </w:r>
            <w:r>
              <w:rPr>
                <w:rFonts w:hint="default" w:ascii="宋体" w:hAnsi="宋体"/>
                <w:color w:val="auto"/>
                <w:kern w:val="2"/>
                <w:highlight w:val="none"/>
              </w:rPr>
              <w:t>.</w:t>
            </w:r>
            <w:r>
              <w:rPr>
                <w:rFonts w:hint="eastAsia" w:ascii="宋体" w:hAnsi="宋体"/>
                <w:color w:val="auto"/>
                <w:kern w:val="2"/>
                <w:highlight w:val="none"/>
              </w:rPr>
              <w:t>2分，本项最多得4分。</w:t>
            </w:r>
          </w:p>
        </w:tc>
        <w:tc>
          <w:tcPr>
            <w:tcW w:w="634" w:type="dxa"/>
            <w:noWrap w:val="0"/>
            <w:vAlign w:val="top"/>
          </w:tcPr>
          <w:p w14:paraId="175E4FB6">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532" w:type="dxa"/>
            <w:noWrap w:val="0"/>
            <w:vAlign w:val="top"/>
          </w:tcPr>
          <w:p w14:paraId="6A2758DC">
            <w:pPr>
              <w:keepNext w:val="0"/>
              <w:keepLines w:val="0"/>
              <w:suppressLineNumbers w:val="0"/>
              <w:spacing w:before="0" w:beforeAutospacing="0" w:after="0" w:afterAutospacing="0"/>
              <w:ind w:left="0" w:right="0"/>
              <w:rPr>
                <w:rFonts w:hint="default" w:ascii="宋体" w:hAnsi="宋体"/>
                <w:color w:val="auto"/>
                <w:kern w:val="2"/>
                <w:highlight w:val="none"/>
              </w:rPr>
            </w:pPr>
          </w:p>
        </w:tc>
      </w:tr>
      <w:tr w14:paraId="5360B2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855" w:type="dxa"/>
            <w:vMerge w:val="continue"/>
            <w:noWrap w:val="0"/>
            <w:vAlign w:val="center"/>
          </w:tcPr>
          <w:p w14:paraId="5B8B1820">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773" w:type="dxa"/>
            <w:vMerge w:val="continue"/>
            <w:noWrap w:val="0"/>
            <w:vAlign w:val="center"/>
          </w:tcPr>
          <w:p w14:paraId="7F06307A">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1333" w:type="dxa"/>
            <w:vMerge w:val="continue"/>
            <w:noWrap w:val="0"/>
            <w:vAlign w:val="center"/>
          </w:tcPr>
          <w:p w14:paraId="183BF7F4">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667" w:type="dxa"/>
            <w:vMerge w:val="continue"/>
            <w:noWrap w:val="0"/>
            <w:vAlign w:val="center"/>
          </w:tcPr>
          <w:p w14:paraId="0AD7CD65">
            <w:pPr>
              <w:keepNext w:val="0"/>
              <w:keepLines w:val="0"/>
              <w:suppressLineNumbers w:val="0"/>
              <w:spacing w:before="0" w:beforeAutospacing="0" w:after="0" w:afterAutospacing="0"/>
              <w:ind w:left="0" w:right="0"/>
              <w:jc w:val="center"/>
              <w:rPr>
                <w:rFonts w:hint="default" w:ascii="宋体" w:hAnsi="宋体"/>
                <w:color w:val="auto"/>
                <w:kern w:val="2"/>
                <w:highlight w:val="none"/>
              </w:rPr>
            </w:pPr>
          </w:p>
        </w:tc>
        <w:tc>
          <w:tcPr>
            <w:tcW w:w="9966" w:type="dxa"/>
            <w:noWrap w:val="0"/>
            <w:vAlign w:val="center"/>
          </w:tcPr>
          <w:p w14:paraId="5E6BC463">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设计：自2020年1月1日至投标截止时间止，投标人（若为联合体，指联合体中承担设计任务的单位）完成过的建筑工程设计业绩获奖情况：</w:t>
            </w:r>
          </w:p>
          <w:p w14:paraId="3F218F10">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1）获得国家级设计奖项的，每项得1分；</w:t>
            </w:r>
          </w:p>
          <w:p w14:paraId="59F07E49">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2）获得省级设计奖项的，每项得0.5分；</w:t>
            </w:r>
          </w:p>
          <w:p w14:paraId="7E40EF33">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2）获得市级设计奖项的，每项得0.25分。</w:t>
            </w:r>
          </w:p>
          <w:p w14:paraId="09E278A4">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本项最多得10分。</w:t>
            </w:r>
          </w:p>
        </w:tc>
        <w:tc>
          <w:tcPr>
            <w:tcW w:w="634" w:type="dxa"/>
            <w:noWrap w:val="0"/>
            <w:vAlign w:val="top"/>
          </w:tcPr>
          <w:p w14:paraId="0420E2F1">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532" w:type="dxa"/>
            <w:noWrap w:val="0"/>
            <w:vAlign w:val="top"/>
          </w:tcPr>
          <w:p w14:paraId="6D13223D">
            <w:pPr>
              <w:keepNext w:val="0"/>
              <w:keepLines w:val="0"/>
              <w:suppressLineNumbers w:val="0"/>
              <w:spacing w:before="0" w:beforeAutospacing="0" w:after="0" w:afterAutospacing="0"/>
              <w:ind w:left="0" w:right="0"/>
              <w:rPr>
                <w:rFonts w:hint="default" w:ascii="宋体" w:hAnsi="宋体"/>
                <w:color w:val="auto"/>
                <w:kern w:val="2"/>
                <w:highlight w:val="none"/>
              </w:rPr>
            </w:pPr>
          </w:p>
        </w:tc>
      </w:tr>
      <w:tr w14:paraId="07A023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78" w:hRule="atLeast"/>
          <w:jc w:val="center"/>
        </w:trPr>
        <w:tc>
          <w:tcPr>
            <w:tcW w:w="855" w:type="dxa"/>
            <w:vMerge w:val="continue"/>
            <w:noWrap w:val="0"/>
            <w:vAlign w:val="center"/>
          </w:tcPr>
          <w:p w14:paraId="7B8D89EC">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773" w:type="dxa"/>
            <w:vMerge w:val="continue"/>
            <w:noWrap w:val="0"/>
            <w:vAlign w:val="center"/>
          </w:tcPr>
          <w:p w14:paraId="6CCCF25B">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1333" w:type="dxa"/>
            <w:vMerge w:val="restart"/>
            <w:noWrap w:val="0"/>
            <w:vAlign w:val="center"/>
          </w:tcPr>
          <w:p w14:paraId="75F54E4E">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default" w:ascii="宋体" w:hAnsi="宋体"/>
                <w:color w:val="auto"/>
                <w:kern w:val="2"/>
                <w:highlight w:val="none"/>
              </w:rPr>
              <w:t>工程研发能力</w:t>
            </w:r>
          </w:p>
        </w:tc>
        <w:tc>
          <w:tcPr>
            <w:tcW w:w="667" w:type="dxa"/>
            <w:vMerge w:val="restart"/>
            <w:noWrap w:val="0"/>
            <w:vAlign w:val="center"/>
          </w:tcPr>
          <w:p w14:paraId="5856821E">
            <w:pPr>
              <w:keepNext w:val="0"/>
              <w:keepLines w:val="0"/>
              <w:suppressLineNumbers w:val="0"/>
              <w:spacing w:before="0" w:beforeAutospacing="0" w:after="0" w:afterAutospacing="0"/>
              <w:ind w:left="0" w:right="0"/>
              <w:jc w:val="center"/>
              <w:rPr>
                <w:rFonts w:hint="default" w:ascii="宋体" w:hAnsi="宋体"/>
                <w:color w:val="auto"/>
                <w:kern w:val="2"/>
                <w:highlight w:val="none"/>
              </w:rPr>
            </w:pPr>
            <w:r>
              <w:rPr>
                <w:rFonts w:hint="eastAsia" w:ascii="宋体" w:hAnsi="宋体"/>
                <w:color w:val="auto"/>
                <w:kern w:val="2"/>
                <w:highlight w:val="none"/>
              </w:rPr>
              <w:t>7分</w:t>
            </w:r>
          </w:p>
        </w:tc>
        <w:tc>
          <w:tcPr>
            <w:tcW w:w="9966" w:type="dxa"/>
            <w:tcBorders>
              <w:bottom w:val="single" w:color="auto" w:sz="4" w:space="0"/>
            </w:tcBorders>
            <w:noWrap w:val="0"/>
            <w:vAlign w:val="center"/>
          </w:tcPr>
          <w:p w14:paraId="12036E16">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自20</w:t>
            </w:r>
            <w:r>
              <w:rPr>
                <w:rFonts w:hint="default" w:ascii="宋体" w:hAnsi="宋体"/>
                <w:color w:val="auto"/>
                <w:kern w:val="2"/>
                <w:highlight w:val="none"/>
              </w:rPr>
              <w:t>2</w:t>
            </w:r>
            <w:r>
              <w:rPr>
                <w:rFonts w:hint="eastAsia" w:ascii="宋体" w:hAnsi="宋体"/>
                <w:color w:val="auto"/>
                <w:kern w:val="2"/>
                <w:highlight w:val="none"/>
              </w:rPr>
              <w:t>0年1月1日至投标截止时间止，投标人（若为联合体，指联合体主办方）获得</w:t>
            </w:r>
            <w:r>
              <w:rPr>
                <w:rFonts w:hint="eastAsia" w:ascii="宋体" w:hAnsi="宋体" w:cs="宋体"/>
                <w:color w:val="auto"/>
                <w:kern w:val="2"/>
                <w:szCs w:val="21"/>
                <w:highlight w:val="none"/>
                <w:shd w:val="clear" w:color="auto" w:fill="FFFFFF"/>
                <w:lang w:bidi="ar"/>
              </w:rPr>
              <w:t>省级或以上</w:t>
            </w:r>
            <w:r>
              <w:rPr>
                <w:rFonts w:hint="eastAsia" w:ascii="宋体" w:hAnsi="宋体"/>
                <w:color w:val="auto"/>
                <w:kern w:val="2"/>
                <w:highlight w:val="none"/>
              </w:rPr>
              <w:t>建筑工程类</w:t>
            </w:r>
            <w:r>
              <w:rPr>
                <w:rFonts w:hint="eastAsia"/>
                <w:color w:val="auto"/>
                <w:kern w:val="2"/>
                <w:highlight w:val="none"/>
              </w:rPr>
              <w:t>科学技术类奖项</w:t>
            </w:r>
            <w:r>
              <w:rPr>
                <w:rFonts w:hint="eastAsia" w:ascii="宋体" w:hAnsi="宋体"/>
                <w:color w:val="auto"/>
                <w:kern w:val="2"/>
                <w:highlight w:val="none"/>
              </w:rPr>
              <w:t>:</w:t>
            </w:r>
          </w:p>
          <w:p w14:paraId="0E30FF9F">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（1）≥10个，得</w:t>
            </w:r>
            <w:r>
              <w:rPr>
                <w:rFonts w:hint="default" w:ascii="宋体" w:hAnsi="宋体"/>
                <w:color w:val="auto"/>
                <w:kern w:val="2"/>
                <w:highlight w:val="none"/>
              </w:rPr>
              <w:t>4</w:t>
            </w:r>
            <w:r>
              <w:rPr>
                <w:rFonts w:hint="eastAsia" w:ascii="宋体" w:hAnsi="宋体"/>
                <w:color w:val="auto"/>
                <w:kern w:val="2"/>
                <w:highlight w:val="none"/>
              </w:rPr>
              <w:t>分；</w:t>
            </w:r>
          </w:p>
          <w:p w14:paraId="3133F642">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（2）6</w:t>
            </w:r>
            <w:r>
              <w:rPr>
                <w:rFonts w:hint="default" w:ascii="宋体" w:hAnsi="宋体"/>
                <w:color w:val="auto"/>
                <w:kern w:val="2"/>
                <w:highlight w:val="none"/>
              </w:rPr>
              <w:t>-</w:t>
            </w:r>
            <w:r>
              <w:rPr>
                <w:rFonts w:hint="eastAsia" w:ascii="宋体" w:hAnsi="宋体"/>
                <w:color w:val="auto"/>
                <w:kern w:val="2"/>
                <w:highlight w:val="none"/>
              </w:rPr>
              <w:t>9个，得</w:t>
            </w:r>
            <w:r>
              <w:rPr>
                <w:rFonts w:hint="default" w:ascii="宋体" w:hAnsi="宋体"/>
                <w:color w:val="auto"/>
                <w:kern w:val="2"/>
                <w:highlight w:val="none"/>
              </w:rPr>
              <w:t>2</w:t>
            </w:r>
            <w:r>
              <w:rPr>
                <w:rFonts w:hint="eastAsia" w:ascii="宋体" w:hAnsi="宋体"/>
                <w:color w:val="auto"/>
                <w:kern w:val="2"/>
                <w:highlight w:val="none"/>
              </w:rPr>
              <w:t>分；</w:t>
            </w:r>
          </w:p>
          <w:p w14:paraId="380075BD">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（3）1</w:t>
            </w:r>
            <w:r>
              <w:rPr>
                <w:rFonts w:hint="default" w:ascii="宋体" w:hAnsi="宋体"/>
                <w:color w:val="auto"/>
                <w:kern w:val="2"/>
                <w:highlight w:val="none"/>
              </w:rPr>
              <w:t>-</w:t>
            </w:r>
            <w:r>
              <w:rPr>
                <w:rFonts w:hint="eastAsia" w:ascii="宋体" w:hAnsi="宋体"/>
                <w:color w:val="auto"/>
                <w:kern w:val="2"/>
                <w:highlight w:val="none"/>
              </w:rPr>
              <w:t>5个，得</w:t>
            </w:r>
            <w:r>
              <w:rPr>
                <w:rFonts w:hint="default" w:ascii="宋体" w:hAnsi="宋体"/>
                <w:color w:val="auto"/>
                <w:kern w:val="2"/>
                <w:highlight w:val="none"/>
              </w:rPr>
              <w:t>1</w:t>
            </w:r>
            <w:r>
              <w:rPr>
                <w:rFonts w:hint="eastAsia" w:ascii="宋体" w:hAnsi="宋体"/>
                <w:color w:val="auto"/>
                <w:kern w:val="2"/>
                <w:highlight w:val="none"/>
              </w:rPr>
              <w:t>分；</w:t>
            </w:r>
          </w:p>
          <w:p w14:paraId="41C3FDCE">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本项最多得</w:t>
            </w:r>
            <w:r>
              <w:rPr>
                <w:rFonts w:hint="default" w:ascii="宋体" w:hAnsi="宋体"/>
                <w:color w:val="auto"/>
                <w:kern w:val="2"/>
                <w:highlight w:val="none"/>
              </w:rPr>
              <w:t>4</w:t>
            </w:r>
            <w:r>
              <w:rPr>
                <w:rFonts w:hint="eastAsia" w:ascii="宋体" w:hAnsi="宋体"/>
                <w:color w:val="auto"/>
                <w:kern w:val="2"/>
                <w:highlight w:val="none"/>
              </w:rPr>
              <w:t>分。</w:t>
            </w:r>
          </w:p>
        </w:tc>
        <w:tc>
          <w:tcPr>
            <w:tcW w:w="634" w:type="dxa"/>
            <w:vMerge w:val="restart"/>
            <w:noWrap w:val="0"/>
            <w:vAlign w:val="top"/>
          </w:tcPr>
          <w:p w14:paraId="06B64217">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532" w:type="dxa"/>
            <w:vMerge w:val="restart"/>
            <w:noWrap w:val="0"/>
            <w:vAlign w:val="top"/>
          </w:tcPr>
          <w:p w14:paraId="53ACB24A">
            <w:pPr>
              <w:keepNext w:val="0"/>
              <w:keepLines w:val="0"/>
              <w:suppressLineNumbers w:val="0"/>
              <w:spacing w:before="0" w:beforeAutospacing="0" w:after="0" w:afterAutospacing="0"/>
              <w:ind w:left="0" w:right="0"/>
              <w:rPr>
                <w:rFonts w:hint="default" w:ascii="宋体" w:hAnsi="宋体"/>
                <w:color w:val="auto"/>
                <w:kern w:val="2"/>
                <w:highlight w:val="none"/>
              </w:rPr>
            </w:pPr>
          </w:p>
        </w:tc>
      </w:tr>
      <w:tr w14:paraId="1A15C7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82" w:hRule="atLeast"/>
          <w:jc w:val="center"/>
        </w:trPr>
        <w:tc>
          <w:tcPr>
            <w:tcW w:w="855" w:type="dxa"/>
            <w:vMerge w:val="continue"/>
            <w:noWrap w:val="0"/>
            <w:vAlign w:val="center"/>
          </w:tcPr>
          <w:p w14:paraId="26DCA097">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773" w:type="dxa"/>
            <w:vMerge w:val="continue"/>
            <w:noWrap w:val="0"/>
            <w:vAlign w:val="center"/>
          </w:tcPr>
          <w:p w14:paraId="4B9B18E9">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1333" w:type="dxa"/>
            <w:vMerge w:val="continue"/>
            <w:noWrap w:val="0"/>
            <w:vAlign w:val="center"/>
          </w:tcPr>
          <w:p w14:paraId="6905E1D6">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667" w:type="dxa"/>
            <w:vMerge w:val="continue"/>
            <w:noWrap w:val="0"/>
            <w:vAlign w:val="center"/>
          </w:tcPr>
          <w:p w14:paraId="19AE27DD">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9966" w:type="dxa"/>
            <w:tcBorders>
              <w:top w:val="single" w:color="auto" w:sz="4" w:space="0"/>
            </w:tcBorders>
            <w:noWrap w:val="0"/>
            <w:vAlign w:val="center"/>
          </w:tcPr>
          <w:p w14:paraId="01BF5BE8">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自20</w:t>
            </w:r>
            <w:r>
              <w:rPr>
                <w:rFonts w:hint="default" w:ascii="宋体" w:hAnsi="宋体"/>
                <w:color w:val="auto"/>
                <w:kern w:val="2"/>
                <w:highlight w:val="none"/>
              </w:rPr>
              <w:t>2</w:t>
            </w:r>
            <w:r>
              <w:rPr>
                <w:rFonts w:hint="eastAsia" w:ascii="宋体" w:hAnsi="宋体"/>
                <w:color w:val="auto"/>
                <w:kern w:val="2"/>
                <w:highlight w:val="none"/>
              </w:rPr>
              <w:t>0年1月1日至投标截止时间止，投标人（若为联合体，指联合体主办方）曾参与编制过建筑工程类行业技术标准的：</w:t>
            </w:r>
          </w:p>
          <w:p w14:paraId="3A815287">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（1）国家行业技术标准的，得</w:t>
            </w:r>
            <w:r>
              <w:rPr>
                <w:rFonts w:hint="default" w:ascii="宋体" w:hAnsi="宋体"/>
                <w:color w:val="auto"/>
                <w:kern w:val="2"/>
                <w:highlight w:val="none"/>
              </w:rPr>
              <w:t>3</w:t>
            </w:r>
            <w:r>
              <w:rPr>
                <w:rFonts w:hint="eastAsia" w:ascii="宋体" w:hAnsi="宋体"/>
                <w:color w:val="auto"/>
                <w:kern w:val="2"/>
                <w:highlight w:val="none"/>
              </w:rPr>
              <w:t>分；</w:t>
            </w:r>
          </w:p>
          <w:p w14:paraId="5F4BF600">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（2）省级行业技术标准的，得1分；</w:t>
            </w:r>
          </w:p>
          <w:p w14:paraId="7380AA58">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（3）市级行业技术标准的，得0.5分；</w:t>
            </w:r>
          </w:p>
          <w:p w14:paraId="1330A10E">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本项最多得</w:t>
            </w:r>
            <w:r>
              <w:rPr>
                <w:rFonts w:hint="default" w:ascii="宋体" w:hAnsi="宋体"/>
                <w:color w:val="auto"/>
                <w:kern w:val="2"/>
                <w:highlight w:val="none"/>
              </w:rPr>
              <w:t>3</w:t>
            </w:r>
            <w:r>
              <w:rPr>
                <w:rFonts w:hint="eastAsia" w:ascii="宋体" w:hAnsi="宋体"/>
                <w:color w:val="auto"/>
                <w:kern w:val="2"/>
                <w:highlight w:val="none"/>
              </w:rPr>
              <w:t>分。</w:t>
            </w:r>
          </w:p>
        </w:tc>
        <w:tc>
          <w:tcPr>
            <w:tcW w:w="634" w:type="dxa"/>
            <w:vMerge w:val="continue"/>
            <w:noWrap w:val="0"/>
            <w:vAlign w:val="top"/>
          </w:tcPr>
          <w:p w14:paraId="4F006A53">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532" w:type="dxa"/>
            <w:vMerge w:val="continue"/>
            <w:noWrap w:val="0"/>
            <w:vAlign w:val="top"/>
          </w:tcPr>
          <w:p w14:paraId="150EF089">
            <w:pPr>
              <w:keepNext w:val="0"/>
              <w:keepLines w:val="0"/>
              <w:suppressLineNumbers w:val="0"/>
              <w:spacing w:before="0" w:beforeAutospacing="0" w:after="0" w:afterAutospacing="0"/>
              <w:ind w:left="0" w:right="0"/>
              <w:rPr>
                <w:rFonts w:hint="default" w:ascii="宋体" w:hAnsi="宋体"/>
                <w:color w:val="auto"/>
                <w:kern w:val="2"/>
                <w:highlight w:val="none"/>
              </w:rPr>
            </w:pPr>
          </w:p>
        </w:tc>
      </w:tr>
      <w:tr w14:paraId="4C66A8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855" w:type="dxa"/>
            <w:vMerge w:val="continue"/>
            <w:noWrap w:val="0"/>
            <w:vAlign w:val="center"/>
          </w:tcPr>
          <w:p w14:paraId="0D17CE20">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773" w:type="dxa"/>
            <w:vMerge w:val="continue"/>
            <w:noWrap w:val="0"/>
            <w:vAlign w:val="center"/>
          </w:tcPr>
          <w:p w14:paraId="753E1140">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1333" w:type="dxa"/>
            <w:vMerge w:val="restart"/>
            <w:noWrap w:val="0"/>
            <w:vAlign w:val="center"/>
          </w:tcPr>
          <w:p w14:paraId="29C1A8BF">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default" w:ascii="宋体" w:hAnsi="宋体"/>
                <w:color w:val="auto"/>
                <w:kern w:val="2"/>
                <w:highlight w:val="none"/>
              </w:rPr>
              <w:t>第三方评价</w:t>
            </w:r>
          </w:p>
        </w:tc>
        <w:tc>
          <w:tcPr>
            <w:tcW w:w="667" w:type="dxa"/>
            <w:vMerge w:val="restart"/>
            <w:noWrap w:val="0"/>
            <w:vAlign w:val="center"/>
          </w:tcPr>
          <w:p w14:paraId="7F12B1CC">
            <w:pPr>
              <w:keepNext w:val="0"/>
              <w:keepLines w:val="0"/>
              <w:suppressLineNumbers w:val="0"/>
              <w:spacing w:before="0" w:beforeAutospacing="0" w:after="0" w:afterAutospacing="0"/>
              <w:ind w:left="0" w:right="0"/>
              <w:jc w:val="center"/>
              <w:rPr>
                <w:rFonts w:hint="default" w:ascii="宋体" w:hAnsi="宋体"/>
                <w:color w:val="auto"/>
                <w:kern w:val="2"/>
                <w:highlight w:val="none"/>
              </w:rPr>
            </w:pPr>
            <w:r>
              <w:rPr>
                <w:rFonts w:hint="eastAsia" w:ascii="宋体" w:hAnsi="宋体"/>
                <w:color w:val="auto"/>
                <w:kern w:val="2"/>
                <w:highlight w:val="none"/>
              </w:rPr>
              <w:t>7分</w:t>
            </w:r>
          </w:p>
        </w:tc>
        <w:tc>
          <w:tcPr>
            <w:tcW w:w="9966" w:type="dxa"/>
            <w:noWrap w:val="0"/>
            <w:vAlign w:val="center"/>
          </w:tcPr>
          <w:p w14:paraId="5363A4A9">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自20</w:t>
            </w:r>
            <w:r>
              <w:rPr>
                <w:rFonts w:hint="default" w:ascii="宋体" w:hAnsi="宋体"/>
                <w:color w:val="auto"/>
                <w:kern w:val="2"/>
                <w:highlight w:val="none"/>
              </w:rPr>
              <w:t>2</w:t>
            </w:r>
            <w:r>
              <w:rPr>
                <w:rFonts w:hint="eastAsia" w:ascii="宋体" w:hAnsi="宋体"/>
                <w:color w:val="auto"/>
                <w:kern w:val="2"/>
                <w:highlight w:val="none"/>
              </w:rPr>
              <w:t>0年1月1日至投标截止时间止，投标人（若为联合体，指联合体主办方）</w:t>
            </w:r>
            <w:r>
              <w:rPr>
                <w:rFonts w:hint="default" w:ascii="宋体" w:hAnsi="宋体"/>
                <w:color w:val="auto"/>
                <w:kern w:val="2"/>
                <w:highlight w:val="none"/>
              </w:rPr>
              <w:t>获得最高等级企业信用证书：</w:t>
            </w:r>
          </w:p>
          <w:p w14:paraId="01E150BF">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（1）连续</w:t>
            </w:r>
            <w:r>
              <w:rPr>
                <w:rFonts w:hint="default" w:ascii="宋体" w:hAnsi="宋体"/>
                <w:color w:val="auto"/>
                <w:kern w:val="2"/>
                <w:highlight w:val="none"/>
              </w:rPr>
              <w:t>3</w:t>
            </w:r>
            <w:r>
              <w:rPr>
                <w:rFonts w:hint="eastAsia" w:ascii="宋体" w:hAnsi="宋体"/>
                <w:color w:val="auto"/>
                <w:kern w:val="2"/>
                <w:highlight w:val="none"/>
              </w:rPr>
              <w:t>个年度</w:t>
            </w:r>
            <w:r>
              <w:rPr>
                <w:rFonts w:hint="default" w:ascii="宋体" w:hAnsi="宋体"/>
                <w:color w:val="auto"/>
                <w:kern w:val="2"/>
                <w:highlight w:val="none"/>
              </w:rPr>
              <w:t>（或以上）的，得</w:t>
            </w:r>
            <w:r>
              <w:rPr>
                <w:rFonts w:hint="eastAsia" w:ascii="宋体" w:hAnsi="宋体"/>
                <w:color w:val="auto"/>
                <w:kern w:val="2"/>
                <w:highlight w:val="none"/>
              </w:rPr>
              <w:t>4</w:t>
            </w:r>
            <w:r>
              <w:rPr>
                <w:rFonts w:hint="default" w:ascii="宋体" w:hAnsi="宋体"/>
                <w:color w:val="auto"/>
                <w:kern w:val="2"/>
                <w:highlight w:val="none"/>
              </w:rPr>
              <w:t>分；</w:t>
            </w:r>
          </w:p>
          <w:p w14:paraId="02A4C35B">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（2）连续</w:t>
            </w:r>
            <w:r>
              <w:rPr>
                <w:rFonts w:hint="default" w:ascii="宋体" w:hAnsi="宋体"/>
                <w:color w:val="auto"/>
                <w:kern w:val="2"/>
                <w:highlight w:val="none"/>
              </w:rPr>
              <w:t>2</w:t>
            </w:r>
            <w:r>
              <w:rPr>
                <w:rFonts w:hint="eastAsia" w:ascii="宋体" w:hAnsi="宋体"/>
                <w:color w:val="auto"/>
                <w:kern w:val="2"/>
                <w:highlight w:val="none"/>
              </w:rPr>
              <w:t>个年度</w:t>
            </w:r>
            <w:r>
              <w:rPr>
                <w:rFonts w:hint="default" w:ascii="宋体" w:hAnsi="宋体"/>
                <w:color w:val="auto"/>
                <w:kern w:val="2"/>
                <w:highlight w:val="none"/>
              </w:rPr>
              <w:t>的，得</w:t>
            </w:r>
            <w:r>
              <w:rPr>
                <w:rFonts w:hint="eastAsia" w:ascii="宋体" w:hAnsi="宋体"/>
                <w:color w:val="auto"/>
                <w:kern w:val="2"/>
                <w:highlight w:val="none"/>
              </w:rPr>
              <w:t>2</w:t>
            </w:r>
            <w:r>
              <w:rPr>
                <w:rFonts w:hint="default" w:ascii="宋体" w:hAnsi="宋体"/>
                <w:color w:val="auto"/>
                <w:kern w:val="2"/>
                <w:highlight w:val="none"/>
              </w:rPr>
              <w:t>分；</w:t>
            </w:r>
          </w:p>
          <w:p w14:paraId="284ABE97">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（3）</w:t>
            </w:r>
            <w:r>
              <w:rPr>
                <w:rFonts w:hint="default" w:ascii="宋体" w:hAnsi="宋体"/>
                <w:color w:val="auto"/>
                <w:kern w:val="2"/>
                <w:highlight w:val="none"/>
              </w:rPr>
              <w:t>1</w:t>
            </w:r>
            <w:r>
              <w:rPr>
                <w:rFonts w:hint="eastAsia" w:ascii="宋体" w:hAnsi="宋体"/>
                <w:color w:val="auto"/>
                <w:kern w:val="2"/>
                <w:highlight w:val="none"/>
              </w:rPr>
              <w:t>个年度</w:t>
            </w:r>
            <w:r>
              <w:rPr>
                <w:rFonts w:hint="default" w:ascii="宋体" w:hAnsi="宋体"/>
                <w:color w:val="auto"/>
                <w:kern w:val="2"/>
                <w:highlight w:val="none"/>
              </w:rPr>
              <w:t>的，得</w:t>
            </w:r>
            <w:r>
              <w:rPr>
                <w:rFonts w:hint="eastAsia" w:ascii="宋体" w:hAnsi="宋体"/>
                <w:color w:val="auto"/>
                <w:kern w:val="2"/>
                <w:highlight w:val="none"/>
              </w:rPr>
              <w:t>0.5</w:t>
            </w:r>
            <w:r>
              <w:rPr>
                <w:rFonts w:hint="default" w:ascii="宋体" w:hAnsi="宋体"/>
                <w:color w:val="auto"/>
                <w:kern w:val="2"/>
                <w:highlight w:val="none"/>
              </w:rPr>
              <w:t>分；</w:t>
            </w:r>
          </w:p>
          <w:p w14:paraId="4C2CF270">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color w:val="auto"/>
                <w:kern w:val="2"/>
                <w:highlight w:val="none"/>
              </w:rPr>
              <w:t>本项最高得4分。</w:t>
            </w:r>
          </w:p>
        </w:tc>
        <w:tc>
          <w:tcPr>
            <w:tcW w:w="634" w:type="dxa"/>
            <w:noWrap w:val="0"/>
            <w:vAlign w:val="top"/>
          </w:tcPr>
          <w:p w14:paraId="3FC7F2EC">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532" w:type="dxa"/>
            <w:noWrap w:val="0"/>
            <w:vAlign w:val="top"/>
          </w:tcPr>
          <w:p w14:paraId="60ABD91D">
            <w:pPr>
              <w:keepNext w:val="0"/>
              <w:keepLines w:val="0"/>
              <w:suppressLineNumbers w:val="0"/>
              <w:spacing w:before="0" w:beforeAutospacing="0" w:after="0" w:afterAutospacing="0"/>
              <w:ind w:left="0" w:right="0"/>
              <w:rPr>
                <w:rFonts w:hint="default" w:ascii="宋体" w:hAnsi="宋体"/>
                <w:color w:val="auto"/>
                <w:kern w:val="2"/>
                <w:highlight w:val="none"/>
              </w:rPr>
            </w:pPr>
          </w:p>
        </w:tc>
      </w:tr>
      <w:tr w14:paraId="5714AC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855" w:type="dxa"/>
            <w:vMerge w:val="continue"/>
            <w:noWrap w:val="0"/>
            <w:vAlign w:val="center"/>
          </w:tcPr>
          <w:p w14:paraId="34A1BE29">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773" w:type="dxa"/>
            <w:vMerge w:val="continue"/>
            <w:noWrap w:val="0"/>
            <w:vAlign w:val="center"/>
          </w:tcPr>
          <w:p w14:paraId="3F00E184">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1333" w:type="dxa"/>
            <w:vMerge w:val="continue"/>
            <w:noWrap w:val="0"/>
            <w:vAlign w:val="center"/>
          </w:tcPr>
          <w:p w14:paraId="4E5C3815">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667" w:type="dxa"/>
            <w:vMerge w:val="continue"/>
            <w:noWrap w:val="0"/>
            <w:vAlign w:val="center"/>
          </w:tcPr>
          <w:p w14:paraId="056FD736">
            <w:pPr>
              <w:keepNext w:val="0"/>
              <w:keepLines w:val="0"/>
              <w:suppressLineNumbers w:val="0"/>
              <w:spacing w:before="0" w:beforeAutospacing="0" w:after="0" w:afterAutospacing="0"/>
              <w:ind w:left="0" w:right="0"/>
              <w:jc w:val="center"/>
              <w:rPr>
                <w:rFonts w:hint="default" w:ascii="宋体" w:hAnsi="宋体"/>
                <w:color w:val="auto"/>
                <w:kern w:val="2"/>
                <w:highlight w:val="none"/>
              </w:rPr>
            </w:pPr>
          </w:p>
        </w:tc>
        <w:tc>
          <w:tcPr>
            <w:tcW w:w="9966" w:type="dxa"/>
            <w:noWrap w:val="0"/>
            <w:vAlign w:val="center"/>
          </w:tcPr>
          <w:p w14:paraId="784465D7">
            <w:pPr>
              <w:keepNext w:val="0"/>
              <w:keepLines w:val="0"/>
              <w:suppressLineNumbers w:val="0"/>
              <w:spacing w:before="0" w:beforeAutospacing="0" w:after="0" w:afterAutospacing="0"/>
              <w:ind w:left="0" w:right="0"/>
              <w:rPr>
                <w:rFonts w:hint="default" w:ascii="宋体" w:hAnsi="宋体" w:cs="宋体"/>
                <w:color w:val="auto"/>
                <w:kern w:val="2"/>
                <w:szCs w:val="21"/>
                <w:highlight w:val="none"/>
                <w:lang w:bidi="ar"/>
              </w:rPr>
            </w:pPr>
            <w:r>
              <w:rPr>
                <w:rFonts w:hint="eastAsia" w:ascii="宋体" w:hAnsi="宋体"/>
                <w:color w:val="auto"/>
                <w:kern w:val="2"/>
                <w:highlight w:val="none"/>
              </w:rPr>
              <w:t>自20</w:t>
            </w:r>
            <w:r>
              <w:rPr>
                <w:rFonts w:hint="default" w:ascii="宋体" w:hAnsi="宋体"/>
                <w:color w:val="auto"/>
                <w:kern w:val="2"/>
                <w:highlight w:val="none"/>
              </w:rPr>
              <w:t>2</w:t>
            </w:r>
            <w:r>
              <w:rPr>
                <w:rFonts w:hint="eastAsia" w:ascii="宋体" w:hAnsi="宋体"/>
                <w:color w:val="auto"/>
                <w:kern w:val="2"/>
                <w:highlight w:val="none"/>
              </w:rPr>
              <w:t>0年1月1日至投标截止时间止，投标人（若为联合体，指联合体主办方）</w:t>
            </w:r>
            <w:r>
              <w:rPr>
                <w:rFonts w:hint="eastAsia" w:ascii="宋体" w:hAnsi="宋体" w:cs="宋体"/>
                <w:color w:val="auto"/>
                <w:kern w:val="2"/>
                <w:szCs w:val="21"/>
                <w:highlight w:val="none"/>
                <w:lang w:bidi="ar"/>
              </w:rPr>
              <w:t>，曾获得过省级或以上建筑工程类科技创新企业类证书：</w:t>
            </w:r>
          </w:p>
          <w:p w14:paraId="08379F5E">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（1）连续</w:t>
            </w:r>
            <w:r>
              <w:rPr>
                <w:rFonts w:hint="default" w:ascii="宋体" w:hAnsi="宋体"/>
                <w:color w:val="auto"/>
                <w:kern w:val="2"/>
                <w:highlight w:val="none"/>
              </w:rPr>
              <w:t>3</w:t>
            </w:r>
            <w:r>
              <w:rPr>
                <w:rFonts w:hint="eastAsia" w:ascii="宋体" w:hAnsi="宋体"/>
                <w:color w:val="auto"/>
                <w:kern w:val="2"/>
                <w:highlight w:val="none"/>
              </w:rPr>
              <w:t>个年度</w:t>
            </w:r>
            <w:r>
              <w:rPr>
                <w:rFonts w:hint="default" w:ascii="宋体" w:hAnsi="宋体"/>
                <w:color w:val="auto"/>
                <w:kern w:val="2"/>
                <w:highlight w:val="none"/>
              </w:rPr>
              <w:t>（或以上）的，得</w:t>
            </w:r>
            <w:r>
              <w:rPr>
                <w:rFonts w:hint="eastAsia" w:ascii="宋体" w:hAnsi="宋体"/>
                <w:color w:val="auto"/>
                <w:kern w:val="2"/>
                <w:highlight w:val="none"/>
              </w:rPr>
              <w:t>3</w:t>
            </w:r>
            <w:r>
              <w:rPr>
                <w:rFonts w:hint="default" w:ascii="宋体" w:hAnsi="宋体"/>
                <w:color w:val="auto"/>
                <w:kern w:val="2"/>
                <w:highlight w:val="none"/>
              </w:rPr>
              <w:t>分；</w:t>
            </w:r>
          </w:p>
          <w:p w14:paraId="21E8A2C4">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（2）连续</w:t>
            </w:r>
            <w:r>
              <w:rPr>
                <w:rFonts w:hint="default" w:ascii="宋体" w:hAnsi="宋体"/>
                <w:color w:val="auto"/>
                <w:kern w:val="2"/>
                <w:highlight w:val="none"/>
              </w:rPr>
              <w:t>2</w:t>
            </w:r>
            <w:r>
              <w:rPr>
                <w:rFonts w:hint="eastAsia" w:ascii="宋体" w:hAnsi="宋体"/>
                <w:color w:val="auto"/>
                <w:kern w:val="2"/>
                <w:highlight w:val="none"/>
              </w:rPr>
              <w:t>个年度</w:t>
            </w:r>
            <w:r>
              <w:rPr>
                <w:rFonts w:hint="default" w:ascii="宋体" w:hAnsi="宋体"/>
                <w:color w:val="auto"/>
                <w:kern w:val="2"/>
                <w:highlight w:val="none"/>
              </w:rPr>
              <w:t>的，得</w:t>
            </w:r>
            <w:r>
              <w:rPr>
                <w:rFonts w:hint="eastAsia" w:ascii="宋体" w:hAnsi="宋体"/>
                <w:color w:val="auto"/>
                <w:kern w:val="2"/>
                <w:highlight w:val="none"/>
              </w:rPr>
              <w:t>1</w:t>
            </w:r>
            <w:r>
              <w:rPr>
                <w:rFonts w:hint="default" w:ascii="宋体" w:hAnsi="宋体"/>
                <w:color w:val="auto"/>
                <w:kern w:val="2"/>
                <w:highlight w:val="none"/>
              </w:rPr>
              <w:t>分；</w:t>
            </w:r>
          </w:p>
          <w:p w14:paraId="112489AE">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（3）</w:t>
            </w:r>
            <w:r>
              <w:rPr>
                <w:rFonts w:hint="default" w:ascii="宋体" w:hAnsi="宋体"/>
                <w:color w:val="auto"/>
                <w:kern w:val="2"/>
                <w:highlight w:val="none"/>
              </w:rPr>
              <w:t>1</w:t>
            </w:r>
            <w:r>
              <w:rPr>
                <w:rFonts w:hint="eastAsia" w:ascii="宋体" w:hAnsi="宋体"/>
                <w:color w:val="auto"/>
                <w:kern w:val="2"/>
                <w:highlight w:val="none"/>
              </w:rPr>
              <w:t>个年度</w:t>
            </w:r>
            <w:r>
              <w:rPr>
                <w:rFonts w:hint="default" w:ascii="宋体" w:hAnsi="宋体"/>
                <w:color w:val="auto"/>
                <w:kern w:val="2"/>
                <w:highlight w:val="none"/>
              </w:rPr>
              <w:t>的，得</w:t>
            </w:r>
            <w:r>
              <w:rPr>
                <w:rFonts w:hint="eastAsia" w:ascii="宋体" w:hAnsi="宋体"/>
                <w:color w:val="auto"/>
                <w:kern w:val="2"/>
                <w:highlight w:val="none"/>
              </w:rPr>
              <w:t>0.5</w:t>
            </w:r>
            <w:r>
              <w:rPr>
                <w:rFonts w:hint="default" w:ascii="宋体" w:hAnsi="宋体"/>
                <w:color w:val="auto"/>
                <w:kern w:val="2"/>
                <w:highlight w:val="none"/>
              </w:rPr>
              <w:t>分；</w:t>
            </w:r>
          </w:p>
          <w:p w14:paraId="44A6D74D">
            <w:pPr>
              <w:keepNext w:val="0"/>
              <w:keepLines w:val="0"/>
              <w:suppressLineNumbers w:val="0"/>
              <w:spacing w:before="0" w:beforeAutospacing="0" w:after="0" w:afterAutospacing="0"/>
              <w:ind w:left="0" w:right="0"/>
              <w:rPr>
                <w:rFonts w:hint="default"/>
                <w:color w:val="auto"/>
                <w:kern w:val="2"/>
                <w:highlight w:val="none"/>
              </w:rPr>
            </w:pPr>
            <w:r>
              <w:rPr>
                <w:rFonts w:hint="eastAsia"/>
                <w:color w:val="auto"/>
                <w:kern w:val="2"/>
                <w:highlight w:val="none"/>
              </w:rPr>
              <w:t>本项最高得3分。</w:t>
            </w:r>
          </w:p>
        </w:tc>
        <w:tc>
          <w:tcPr>
            <w:tcW w:w="634" w:type="dxa"/>
            <w:noWrap w:val="0"/>
            <w:vAlign w:val="top"/>
          </w:tcPr>
          <w:p w14:paraId="26B3F33B">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532" w:type="dxa"/>
            <w:noWrap w:val="0"/>
            <w:vAlign w:val="top"/>
          </w:tcPr>
          <w:p w14:paraId="33805CF2">
            <w:pPr>
              <w:keepNext w:val="0"/>
              <w:keepLines w:val="0"/>
              <w:suppressLineNumbers w:val="0"/>
              <w:spacing w:before="0" w:beforeAutospacing="0" w:after="0" w:afterAutospacing="0"/>
              <w:ind w:left="0" w:right="0"/>
              <w:rPr>
                <w:rFonts w:hint="default" w:ascii="宋体" w:hAnsi="宋体"/>
                <w:color w:val="auto"/>
                <w:kern w:val="2"/>
                <w:highlight w:val="none"/>
              </w:rPr>
            </w:pPr>
          </w:p>
        </w:tc>
      </w:tr>
      <w:tr w14:paraId="4A7AD2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92" w:hRule="atLeast"/>
          <w:jc w:val="center"/>
        </w:trPr>
        <w:tc>
          <w:tcPr>
            <w:tcW w:w="855" w:type="dxa"/>
            <w:vMerge w:val="continue"/>
            <w:noWrap w:val="0"/>
            <w:vAlign w:val="center"/>
          </w:tcPr>
          <w:p w14:paraId="4CFA897C">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773" w:type="dxa"/>
            <w:vMerge w:val="restart"/>
            <w:noWrap w:val="0"/>
            <w:vAlign w:val="center"/>
          </w:tcPr>
          <w:p w14:paraId="4DA1A65F">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二、</w:t>
            </w:r>
            <w:r>
              <w:rPr>
                <w:rFonts w:hint="default" w:ascii="宋体" w:hAnsi="宋体"/>
                <w:color w:val="auto"/>
                <w:kern w:val="2"/>
                <w:highlight w:val="none"/>
              </w:rPr>
              <w:t>施工组织设计（64分）</w:t>
            </w:r>
          </w:p>
        </w:tc>
        <w:tc>
          <w:tcPr>
            <w:tcW w:w="1333" w:type="dxa"/>
            <w:vMerge w:val="restart"/>
            <w:noWrap w:val="0"/>
            <w:vAlign w:val="center"/>
          </w:tcPr>
          <w:p w14:paraId="689359B6">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default" w:ascii="宋体" w:hAnsi="宋体"/>
                <w:color w:val="auto"/>
                <w:kern w:val="2"/>
                <w:highlight w:val="none"/>
              </w:rPr>
              <w:t>设计和施工的融合措施</w:t>
            </w:r>
          </w:p>
        </w:tc>
        <w:tc>
          <w:tcPr>
            <w:tcW w:w="667" w:type="dxa"/>
            <w:vMerge w:val="restart"/>
            <w:noWrap w:val="0"/>
            <w:vAlign w:val="center"/>
          </w:tcPr>
          <w:p w14:paraId="5E392BA5">
            <w:pPr>
              <w:keepNext w:val="0"/>
              <w:keepLines w:val="0"/>
              <w:suppressLineNumbers w:val="0"/>
              <w:spacing w:before="0" w:beforeAutospacing="0" w:after="0" w:afterAutospacing="0"/>
              <w:ind w:left="0" w:right="0"/>
              <w:jc w:val="center"/>
              <w:rPr>
                <w:rFonts w:hint="default" w:ascii="宋体" w:hAnsi="宋体"/>
                <w:color w:val="auto"/>
                <w:kern w:val="2"/>
                <w:highlight w:val="none"/>
              </w:rPr>
            </w:pPr>
            <w:r>
              <w:rPr>
                <w:rFonts w:hint="eastAsia" w:ascii="宋体" w:hAnsi="宋体"/>
                <w:color w:val="auto"/>
                <w:kern w:val="2"/>
                <w:highlight w:val="none"/>
              </w:rPr>
              <w:t>16分</w:t>
            </w:r>
          </w:p>
        </w:tc>
        <w:tc>
          <w:tcPr>
            <w:tcW w:w="9966" w:type="dxa"/>
            <w:noWrap w:val="0"/>
            <w:vAlign w:val="center"/>
          </w:tcPr>
          <w:p w14:paraId="003E2418">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1</w:t>
            </w:r>
            <w:r>
              <w:rPr>
                <w:rFonts w:hint="default" w:ascii="宋体" w:hAnsi="宋体"/>
                <w:color w:val="auto"/>
                <w:kern w:val="2"/>
                <w:highlight w:val="none"/>
              </w:rPr>
              <w:t>、项目管理机构的施工人员配备情况（若为联合体，指联合体</w:t>
            </w:r>
            <w:r>
              <w:rPr>
                <w:rFonts w:hint="eastAsia" w:ascii="宋体" w:hAnsi="宋体"/>
                <w:color w:val="auto"/>
                <w:kern w:val="2"/>
                <w:highlight w:val="none"/>
              </w:rPr>
              <w:t>主办</w:t>
            </w:r>
            <w:r>
              <w:rPr>
                <w:rFonts w:hint="default" w:ascii="宋体" w:hAnsi="宋体"/>
                <w:color w:val="auto"/>
                <w:kern w:val="2"/>
                <w:highlight w:val="none"/>
              </w:rPr>
              <w:t>方）：</w:t>
            </w:r>
            <w:r>
              <w:rPr>
                <w:rFonts w:hint="eastAsia" w:ascii="宋体" w:hAnsi="宋体"/>
                <w:b/>
                <w:bCs/>
                <w:color w:val="auto"/>
                <w:kern w:val="2"/>
                <w:highlight w:val="none"/>
              </w:rPr>
              <w:t>5分</w:t>
            </w:r>
          </w:p>
          <w:p w14:paraId="4C210FC0">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eastAsia" w:ascii="宋体" w:hAnsi="宋体"/>
                <w:color w:val="auto"/>
                <w:kern w:val="2"/>
                <w:highlight w:val="none"/>
              </w:rPr>
              <w:t>①</w:t>
            </w:r>
            <w:r>
              <w:rPr>
                <w:rFonts w:hint="default" w:ascii="宋体" w:hAnsi="宋体"/>
                <w:color w:val="auto"/>
                <w:kern w:val="2"/>
                <w:highlight w:val="none"/>
              </w:rPr>
              <w:t>技术负责人</w:t>
            </w:r>
            <w:r>
              <w:rPr>
                <w:rFonts w:hint="eastAsia" w:ascii="宋体" w:hAnsi="宋体"/>
                <w:b/>
                <w:color w:val="auto"/>
                <w:kern w:val="2"/>
                <w:highlight w:val="none"/>
              </w:rPr>
              <w:t>（</w:t>
            </w:r>
            <w:r>
              <w:rPr>
                <w:rFonts w:hint="default" w:ascii="宋体" w:hAnsi="宋体"/>
                <w:b/>
                <w:color w:val="auto"/>
                <w:kern w:val="2"/>
                <w:highlight w:val="none"/>
              </w:rPr>
              <w:t>1</w:t>
            </w:r>
            <w:r>
              <w:rPr>
                <w:rFonts w:hint="eastAsia" w:ascii="宋体" w:hAnsi="宋体"/>
                <w:b/>
                <w:color w:val="auto"/>
                <w:kern w:val="2"/>
                <w:highlight w:val="none"/>
              </w:rPr>
              <w:t>分）</w:t>
            </w:r>
            <w:r>
              <w:rPr>
                <w:rFonts w:hint="eastAsia" w:ascii="宋体" w:hAnsi="宋体"/>
                <w:color w:val="auto"/>
                <w:kern w:val="2"/>
                <w:highlight w:val="none"/>
              </w:rPr>
              <w:t>：</w:t>
            </w:r>
          </w:p>
          <w:p w14:paraId="1CFEE07D">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default" w:ascii="宋体" w:hAnsi="宋体"/>
                <w:color w:val="auto"/>
                <w:kern w:val="2"/>
                <w:highlight w:val="none"/>
              </w:rPr>
              <w:t>具有建筑工程专业一级注册建造师的，得1分。</w:t>
            </w:r>
          </w:p>
          <w:p w14:paraId="18F32060">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default" w:ascii="宋体" w:hAnsi="宋体"/>
                <w:color w:val="auto"/>
                <w:kern w:val="2"/>
                <w:highlight w:val="none"/>
              </w:rPr>
              <w:t>②造价负责人</w:t>
            </w:r>
            <w:r>
              <w:rPr>
                <w:rFonts w:hint="eastAsia" w:ascii="宋体" w:hAnsi="宋体"/>
                <w:b/>
                <w:color w:val="auto"/>
                <w:kern w:val="2"/>
                <w:highlight w:val="none"/>
              </w:rPr>
              <w:t>（</w:t>
            </w:r>
            <w:r>
              <w:rPr>
                <w:rFonts w:hint="default" w:ascii="宋体" w:hAnsi="宋体"/>
                <w:b/>
                <w:color w:val="auto"/>
                <w:kern w:val="2"/>
                <w:highlight w:val="none"/>
              </w:rPr>
              <w:t>1.5</w:t>
            </w:r>
            <w:r>
              <w:rPr>
                <w:rFonts w:hint="eastAsia" w:ascii="宋体" w:hAnsi="宋体"/>
                <w:b/>
                <w:color w:val="auto"/>
                <w:kern w:val="2"/>
                <w:highlight w:val="none"/>
              </w:rPr>
              <w:t>分）</w:t>
            </w:r>
            <w:r>
              <w:rPr>
                <w:rFonts w:hint="eastAsia" w:ascii="宋体" w:hAnsi="宋体"/>
                <w:color w:val="auto"/>
                <w:kern w:val="2"/>
                <w:highlight w:val="none"/>
              </w:rPr>
              <w:t>：</w:t>
            </w:r>
          </w:p>
          <w:p w14:paraId="5BB99E91">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default" w:ascii="宋体" w:hAnsi="宋体"/>
                <w:color w:val="auto"/>
                <w:kern w:val="2"/>
                <w:highlight w:val="none"/>
              </w:rPr>
              <w:t>具有一级注册造价工程师证书，得0.5分</w:t>
            </w:r>
            <w:r>
              <w:rPr>
                <w:rFonts w:hint="eastAsia" w:ascii="宋体" w:hAnsi="宋体"/>
                <w:color w:val="auto"/>
                <w:kern w:val="2"/>
                <w:highlight w:val="none"/>
              </w:rPr>
              <w:t>；</w:t>
            </w:r>
          </w:p>
          <w:p w14:paraId="7A1D9637">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eastAsia" w:ascii="宋体" w:hAnsi="宋体"/>
                <w:color w:val="auto"/>
                <w:kern w:val="2"/>
                <w:highlight w:val="none"/>
              </w:rPr>
              <w:t>具有建筑工程相关专业高级（或以上）工程师技术职称的，得</w:t>
            </w:r>
            <w:r>
              <w:rPr>
                <w:rFonts w:hint="default" w:ascii="宋体" w:hAnsi="宋体"/>
                <w:color w:val="auto"/>
                <w:kern w:val="2"/>
                <w:highlight w:val="none"/>
              </w:rPr>
              <w:t>1</w:t>
            </w:r>
            <w:r>
              <w:rPr>
                <w:rFonts w:hint="eastAsia" w:ascii="宋体" w:hAnsi="宋体"/>
                <w:color w:val="auto"/>
                <w:kern w:val="2"/>
                <w:highlight w:val="none"/>
              </w:rPr>
              <w:t>分；具有建筑工程相关专业中级工程师技术职称的，得0.5分。</w:t>
            </w:r>
          </w:p>
          <w:p w14:paraId="044A5FA6">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default" w:ascii="宋体" w:hAnsi="宋体"/>
                <w:color w:val="auto"/>
                <w:kern w:val="2"/>
                <w:highlight w:val="none"/>
              </w:rPr>
              <w:t>③质量负责人</w:t>
            </w:r>
            <w:r>
              <w:rPr>
                <w:rFonts w:hint="eastAsia" w:ascii="宋体" w:hAnsi="宋体"/>
                <w:b/>
                <w:color w:val="auto"/>
                <w:kern w:val="2"/>
                <w:highlight w:val="none"/>
              </w:rPr>
              <w:t>（</w:t>
            </w:r>
            <w:r>
              <w:rPr>
                <w:rFonts w:hint="default" w:ascii="宋体" w:hAnsi="宋体"/>
                <w:b/>
                <w:color w:val="auto"/>
                <w:kern w:val="2"/>
                <w:highlight w:val="none"/>
              </w:rPr>
              <w:t>1</w:t>
            </w:r>
            <w:r>
              <w:rPr>
                <w:rFonts w:hint="eastAsia" w:ascii="宋体" w:hAnsi="宋体"/>
                <w:b/>
                <w:color w:val="auto"/>
                <w:kern w:val="2"/>
                <w:highlight w:val="none"/>
              </w:rPr>
              <w:t>分）</w:t>
            </w:r>
            <w:r>
              <w:rPr>
                <w:rFonts w:hint="eastAsia" w:ascii="宋体" w:hAnsi="宋体"/>
                <w:color w:val="auto"/>
                <w:kern w:val="2"/>
                <w:highlight w:val="none"/>
              </w:rPr>
              <w:t>：</w:t>
            </w:r>
          </w:p>
          <w:p w14:paraId="30820A29">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default" w:ascii="宋体" w:hAnsi="宋体"/>
                <w:color w:val="auto"/>
                <w:kern w:val="2"/>
                <w:highlight w:val="none"/>
              </w:rPr>
              <w:t>具有建筑工程相关专业高级（或以上）工程师技术职称的，得1分；具有建筑工程相关专业中级工程师技术职称的，得0.5分。</w:t>
            </w:r>
          </w:p>
          <w:p w14:paraId="4715FF77">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default" w:ascii="宋体" w:hAnsi="宋体"/>
                <w:color w:val="auto"/>
                <w:kern w:val="2"/>
                <w:highlight w:val="none"/>
              </w:rPr>
              <w:t>④安全负责人</w:t>
            </w:r>
            <w:r>
              <w:rPr>
                <w:rFonts w:hint="eastAsia" w:ascii="宋体" w:hAnsi="宋体"/>
                <w:b/>
                <w:color w:val="auto"/>
                <w:kern w:val="2"/>
                <w:highlight w:val="none"/>
              </w:rPr>
              <w:t>（</w:t>
            </w:r>
            <w:r>
              <w:rPr>
                <w:rFonts w:hint="default" w:ascii="宋体" w:hAnsi="宋体"/>
                <w:b/>
                <w:color w:val="auto"/>
                <w:kern w:val="2"/>
                <w:highlight w:val="none"/>
              </w:rPr>
              <w:t>1.5</w:t>
            </w:r>
            <w:r>
              <w:rPr>
                <w:rFonts w:hint="eastAsia" w:ascii="宋体" w:hAnsi="宋体"/>
                <w:b/>
                <w:color w:val="auto"/>
                <w:kern w:val="2"/>
                <w:highlight w:val="none"/>
              </w:rPr>
              <w:t>分）</w:t>
            </w:r>
            <w:r>
              <w:rPr>
                <w:rFonts w:hint="default" w:ascii="宋体" w:hAnsi="宋体"/>
                <w:color w:val="auto"/>
                <w:kern w:val="2"/>
                <w:highlight w:val="none"/>
              </w:rPr>
              <w:t>：</w:t>
            </w:r>
          </w:p>
          <w:p w14:paraId="7513BA98">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default" w:ascii="宋体" w:hAnsi="宋体"/>
                <w:color w:val="auto"/>
                <w:kern w:val="2"/>
                <w:highlight w:val="none"/>
              </w:rPr>
              <w:t>具有“建筑施工安全”类别注册安全工程师执业证书的，得</w:t>
            </w:r>
            <w:r>
              <w:rPr>
                <w:rFonts w:hint="eastAsia" w:ascii="宋体" w:hAnsi="宋体"/>
                <w:color w:val="auto"/>
                <w:kern w:val="2"/>
                <w:highlight w:val="none"/>
              </w:rPr>
              <w:t>0.5</w:t>
            </w:r>
            <w:r>
              <w:rPr>
                <w:rFonts w:hint="default" w:ascii="宋体" w:hAnsi="宋体"/>
                <w:color w:val="auto"/>
                <w:kern w:val="2"/>
                <w:highlight w:val="none"/>
              </w:rPr>
              <w:t>分</w:t>
            </w:r>
            <w:r>
              <w:rPr>
                <w:rFonts w:hint="eastAsia" w:ascii="宋体" w:hAnsi="宋体"/>
                <w:color w:val="auto"/>
                <w:kern w:val="2"/>
                <w:highlight w:val="none"/>
              </w:rPr>
              <w:t>；</w:t>
            </w:r>
          </w:p>
          <w:p w14:paraId="5350CDA9">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eastAsia" w:ascii="宋体" w:hAnsi="宋体"/>
                <w:color w:val="auto"/>
                <w:kern w:val="2"/>
                <w:highlight w:val="none"/>
              </w:rPr>
              <w:t>具有</w:t>
            </w:r>
            <w:r>
              <w:rPr>
                <w:rFonts w:hint="default" w:ascii="宋体" w:hAnsi="宋体"/>
                <w:color w:val="auto"/>
                <w:kern w:val="2"/>
                <w:highlight w:val="none"/>
              </w:rPr>
              <w:t>建筑工程</w:t>
            </w:r>
            <w:r>
              <w:rPr>
                <w:rFonts w:hint="eastAsia" w:ascii="宋体" w:hAnsi="宋体"/>
                <w:color w:val="auto"/>
                <w:kern w:val="2"/>
                <w:highlight w:val="none"/>
              </w:rPr>
              <w:t>相关专业高级（或以上）工程师技术职称的，得</w:t>
            </w:r>
            <w:r>
              <w:rPr>
                <w:rFonts w:hint="default" w:ascii="宋体" w:hAnsi="宋体"/>
                <w:color w:val="auto"/>
                <w:kern w:val="2"/>
                <w:highlight w:val="none"/>
              </w:rPr>
              <w:t>1</w:t>
            </w:r>
            <w:r>
              <w:rPr>
                <w:rFonts w:hint="eastAsia" w:ascii="宋体" w:hAnsi="宋体"/>
                <w:color w:val="auto"/>
                <w:kern w:val="2"/>
                <w:highlight w:val="none"/>
              </w:rPr>
              <w:t>分</w:t>
            </w:r>
            <w:r>
              <w:rPr>
                <w:rFonts w:hint="default" w:ascii="宋体" w:hAnsi="宋体"/>
                <w:color w:val="auto"/>
                <w:kern w:val="2"/>
                <w:highlight w:val="none"/>
              </w:rPr>
              <w:t>；具有建筑工程相关专业中级工程师技术职称的，得0.5分。</w:t>
            </w:r>
          </w:p>
          <w:p w14:paraId="342CADDB">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2、</w:t>
            </w:r>
            <w:r>
              <w:rPr>
                <w:rFonts w:hint="default" w:ascii="宋体" w:hAnsi="宋体"/>
                <w:color w:val="auto"/>
                <w:kern w:val="2"/>
                <w:highlight w:val="none"/>
              </w:rPr>
              <w:t>项目管理机构的</w:t>
            </w:r>
            <w:r>
              <w:rPr>
                <w:rFonts w:hint="eastAsia" w:ascii="宋体" w:hAnsi="宋体"/>
                <w:color w:val="auto"/>
                <w:kern w:val="2"/>
                <w:highlight w:val="none"/>
              </w:rPr>
              <w:t>设计</w:t>
            </w:r>
            <w:r>
              <w:rPr>
                <w:rFonts w:hint="default" w:ascii="宋体" w:hAnsi="宋体"/>
                <w:color w:val="auto"/>
                <w:kern w:val="2"/>
                <w:highlight w:val="none"/>
              </w:rPr>
              <w:t>人员配备情况</w:t>
            </w:r>
            <w:r>
              <w:rPr>
                <w:rFonts w:hint="eastAsia" w:ascii="宋体" w:hAnsi="宋体"/>
                <w:color w:val="auto"/>
                <w:kern w:val="2"/>
                <w:highlight w:val="none"/>
              </w:rPr>
              <w:t>（若为联合体，指联合体中承担设计任务的单位）：</w:t>
            </w:r>
            <w:r>
              <w:rPr>
                <w:rFonts w:hint="eastAsia" w:ascii="宋体" w:hAnsi="宋体"/>
                <w:b/>
                <w:bCs/>
                <w:color w:val="auto"/>
                <w:kern w:val="2"/>
                <w:highlight w:val="none"/>
              </w:rPr>
              <w:t>8分</w:t>
            </w:r>
          </w:p>
          <w:p w14:paraId="1EA98AB2">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eastAsia" w:ascii="宋体" w:hAnsi="宋体"/>
                <w:color w:val="auto"/>
                <w:kern w:val="2"/>
                <w:highlight w:val="none"/>
              </w:rPr>
              <w:t>（1）设计负责人</w:t>
            </w:r>
            <w:r>
              <w:rPr>
                <w:rFonts w:hint="eastAsia" w:ascii="宋体" w:hAnsi="宋体"/>
                <w:b/>
                <w:bCs/>
                <w:color w:val="auto"/>
                <w:kern w:val="2"/>
                <w:highlight w:val="none"/>
              </w:rPr>
              <w:t>（2分）</w:t>
            </w:r>
            <w:r>
              <w:rPr>
                <w:rFonts w:hint="eastAsia" w:ascii="宋体" w:hAnsi="宋体"/>
                <w:color w:val="auto"/>
                <w:kern w:val="2"/>
                <w:highlight w:val="none"/>
              </w:rPr>
              <w:t>：</w:t>
            </w:r>
          </w:p>
          <w:p w14:paraId="2FED22A7">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eastAsia" w:ascii="宋体" w:hAnsi="宋体"/>
                <w:color w:val="auto"/>
                <w:kern w:val="2"/>
                <w:highlight w:val="none"/>
              </w:rPr>
              <w:t>具有建筑设计类专业高级工程师或以上职称的得2分，具有建筑设计类专业中级工程师职称的得1分，本小项最多得2分。</w:t>
            </w:r>
          </w:p>
          <w:p w14:paraId="0EBCE881">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eastAsia" w:ascii="宋体" w:hAnsi="宋体"/>
                <w:color w:val="auto"/>
                <w:kern w:val="2"/>
                <w:highlight w:val="none"/>
              </w:rPr>
              <w:t>（2）其他专业【建筑、结构、给排水、电气、暖通、概预算】负责人设计经历及业务能力</w:t>
            </w:r>
            <w:r>
              <w:rPr>
                <w:rFonts w:hint="eastAsia" w:ascii="宋体" w:hAnsi="宋体"/>
                <w:b/>
                <w:bCs/>
                <w:color w:val="auto"/>
                <w:kern w:val="2"/>
                <w:highlight w:val="none"/>
              </w:rPr>
              <w:t>（6分）</w:t>
            </w:r>
            <w:r>
              <w:rPr>
                <w:rFonts w:hint="eastAsia" w:ascii="宋体" w:hAnsi="宋体"/>
                <w:color w:val="auto"/>
                <w:kern w:val="2"/>
                <w:highlight w:val="none"/>
              </w:rPr>
              <w:t>：</w:t>
            </w:r>
          </w:p>
          <w:p w14:paraId="7379053C">
            <w:pPr>
              <w:keepNext w:val="0"/>
              <w:keepLines w:val="0"/>
              <w:suppressLineNumbers w:val="0"/>
              <w:spacing w:before="0" w:beforeAutospacing="0" w:after="0" w:afterAutospacing="0"/>
              <w:ind w:left="0" w:right="0" w:firstLine="210" w:firstLineChars="100"/>
              <w:rPr>
                <w:rFonts w:hint="default" w:ascii="宋体" w:hAnsi="宋体"/>
                <w:b/>
                <w:bCs/>
                <w:color w:val="auto"/>
                <w:kern w:val="2"/>
                <w:highlight w:val="none"/>
              </w:rPr>
            </w:pPr>
            <w:r>
              <w:rPr>
                <w:rFonts w:hint="eastAsia" w:ascii="宋体" w:hAnsi="宋体"/>
                <w:color w:val="auto"/>
                <w:kern w:val="2"/>
                <w:highlight w:val="none"/>
              </w:rPr>
              <w:t>①建筑专业负责人</w:t>
            </w:r>
            <w:r>
              <w:rPr>
                <w:rFonts w:hint="eastAsia" w:ascii="宋体" w:hAnsi="宋体"/>
                <w:b/>
                <w:bCs/>
                <w:color w:val="auto"/>
                <w:kern w:val="2"/>
                <w:highlight w:val="none"/>
              </w:rPr>
              <w:t>（1分）</w:t>
            </w:r>
          </w:p>
          <w:p w14:paraId="54875E7D">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eastAsia" w:ascii="宋体" w:hAnsi="宋体"/>
                <w:color w:val="auto"/>
                <w:kern w:val="2"/>
                <w:highlight w:val="none"/>
              </w:rPr>
              <w:t>1）具有一级注册建筑师，得0.5分；未提供不得分。</w:t>
            </w:r>
          </w:p>
          <w:p w14:paraId="4D8A10B2">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eastAsia" w:ascii="宋体" w:hAnsi="宋体"/>
                <w:color w:val="auto"/>
                <w:kern w:val="2"/>
                <w:highlight w:val="none"/>
              </w:rPr>
              <w:t>2）具备建筑类专业高级工程师或以上职称的，得0.5分；具备建筑类专业中级工程师，得0.25分；未提供不得分。</w:t>
            </w:r>
          </w:p>
          <w:p w14:paraId="017B26F5">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eastAsia" w:ascii="宋体" w:hAnsi="宋体"/>
                <w:color w:val="auto"/>
                <w:kern w:val="2"/>
                <w:highlight w:val="none"/>
              </w:rPr>
              <w:t>②结构专业负责人</w:t>
            </w:r>
            <w:r>
              <w:rPr>
                <w:rFonts w:hint="eastAsia" w:ascii="宋体" w:hAnsi="宋体"/>
                <w:b/>
                <w:bCs/>
                <w:color w:val="auto"/>
                <w:kern w:val="2"/>
                <w:highlight w:val="none"/>
              </w:rPr>
              <w:t>（1分）</w:t>
            </w:r>
          </w:p>
          <w:p w14:paraId="7A283336">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eastAsia" w:ascii="宋体" w:hAnsi="宋体"/>
                <w:color w:val="auto"/>
                <w:kern w:val="2"/>
                <w:highlight w:val="none"/>
              </w:rPr>
              <w:t>1）具有一级注册结构工程师，得0.5分；未提供不得分。</w:t>
            </w:r>
          </w:p>
          <w:p w14:paraId="6355BD80">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eastAsia" w:ascii="宋体" w:hAnsi="宋体"/>
                <w:color w:val="auto"/>
                <w:kern w:val="2"/>
                <w:highlight w:val="none"/>
              </w:rPr>
              <w:t>2）具备结构类专业高级工程师或以上职称的，得0.5分；具备结构类专业中级工程师，得0.25分；未提供不得分。</w:t>
            </w:r>
          </w:p>
          <w:p w14:paraId="4DCA4AE9">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eastAsia" w:ascii="宋体" w:hAnsi="宋体"/>
                <w:color w:val="auto"/>
                <w:kern w:val="2"/>
                <w:highlight w:val="none"/>
              </w:rPr>
              <w:t>③给排水专业负责人</w:t>
            </w:r>
            <w:r>
              <w:rPr>
                <w:rFonts w:hint="eastAsia" w:ascii="宋体" w:hAnsi="宋体"/>
                <w:b/>
                <w:bCs/>
                <w:color w:val="auto"/>
                <w:kern w:val="2"/>
                <w:highlight w:val="none"/>
              </w:rPr>
              <w:t>（1分）</w:t>
            </w:r>
          </w:p>
          <w:p w14:paraId="3B5C26F4">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eastAsia" w:ascii="宋体" w:hAnsi="宋体"/>
                <w:color w:val="auto"/>
                <w:kern w:val="2"/>
                <w:highlight w:val="none"/>
              </w:rPr>
              <w:t>1）具有注册公用设备工程师（给水排水）资格，得0.5分；未提供不得分。</w:t>
            </w:r>
          </w:p>
          <w:p w14:paraId="068AF4B0">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eastAsia" w:ascii="宋体" w:hAnsi="宋体"/>
                <w:color w:val="auto"/>
                <w:kern w:val="2"/>
                <w:highlight w:val="none"/>
              </w:rPr>
              <w:t>2）具备给排水类专业高级工程师或以上职称的，得0.5分；具备给排水类专业中级工程师，得0.25分；未提供不得分。</w:t>
            </w:r>
          </w:p>
          <w:p w14:paraId="6213212D">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eastAsia" w:ascii="宋体" w:hAnsi="宋体"/>
                <w:color w:val="auto"/>
                <w:kern w:val="2"/>
                <w:highlight w:val="none"/>
              </w:rPr>
              <w:t>④电气专业负责人</w:t>
            </w:r>
            <w:r>
              <w:rPr>
                <w:rFonts w:hint="eastAsia" w:ascii="宋体" w:hAnsi="宋体"/>
                <w:b/>
                <w:bCs/>
                <w:color w:val="auto"/>
                <w:kern w:val="2"/>
                <w:highlight w:val="none"/>
              </w:rPr>
              <w:t>（1分）</w:t>
            </w:r>
          </w:p>
          <w:p w14:paraId="06922666">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eastAsia" w:ascii="宋体" w:hAnsi="宋体"/>
                <w:color w:val="auto"/>
                <w:kern w:val="2"/>
                <w:highlight w:val="none"/>
              </w:rPr>
              <w:t>1）具有注册公用设备工程师资格，得0.5分；未提供不得分。</w:t>
            </w:r>
          </w:p>
          <w:p w14:paraId="41FDEF16">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eastAsia" w:ascii="宋体" w:hAnsi="宋体"/>
                <w:color w:val="auto"/>
                <w:kern w:val="2"/>
                <w:highlight w:val="none"/>
              </w:rPr>
              <w:t>2）具备电气类专业高级工程师或以上职称的，得0.5分；具备电气类专业中级工程师，得0.25分；未提供不得分。</w:t>
            </w:r>
          </w:p>
          <w:p w14:paraId="4046822E">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eastAsia" w:ascii="宋体" w:hAnsi="宋体"/>
                <w:color w:val="auto"/>
                <w:kern w:val="2"/>
                <w:highlight w:val="none"/>
              </w:rPr>
              <w:t>⑤暖通专业负责人</w:t>
            </w:r>
            <w:r>
              <w:rPr>
                <w:rFonts w:hint="eastAsia" w:ascii="宋体" w:hAnsi="宋体"/>
                <w:b/>
                <w:bCs/>
                <w:color w:val="auto"/>
                <w:kern w:val="2"/>
                <w:highlight w:val="none"/>
              </w:rPr>
              <w:t>（1分）</w:t>
            </w:r>
          </w:p>
          <w:p w14:paraId="7B2A31A4">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eastAsia" w:ascii="宋体" w:hAnsi="宋体"/>
                <w:color w:val="auto"/>
                <w:kern w:val="2"/>
                <w:highlight w:val="none"/>
              </w:rPr>
              <w:t>1）具有注册公用设备工程师资格，得0.5分；未提供不得分。</w:t>
            </w:r>
          </w:p>
          <w:p w14:paraId="42CAC95C">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eastAsia" w:ascii="宋体" w:hAnsi="宋体"/>
                <w:color w:val="auto"/>
                <w:kern w:val="2"/>
                <w:highlight w:val="none"/>
              </w:rPr>
              <w:t>2）具备暖通类专业高级工程师或以上职称的，得0.5分；具备暖通类专业中级工程师，得0.25分；未提供不得分。</w:t>
            </w:r>
          </w:p>
          <w:p w14:paraId="244BB8E4">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eastAsia" w:ascii="宋体" w:hAnsi="宋体"/>
                <w:color w:val="auto"/>
                <w:kern w:val="2"/>
                <w:highlight w:val="none"/>
              </w:rPr>
              <w:t>⑥概预算专业负责人</w:t>
            </w:r>
            <w:r>
              <w:rPr>
                <w:rFonts w:hint="eastAsia" w:ascii="宋体" w:hAnsi="宋体"/>
                <w:b/>
                <w:bCs/>
                <w:color w:val="auto"/>
                <w:kern w:val="2"/>
                <w:highlight w:val="none"/>
              </w:rPr>
              <w:t>（1分）</w:t>
            </w:r>
          </w:p>
          <w:p w14:paraId="169F4F8C">
            <w:pPr>
              <w:keepNext w:val="0"/>
              <w:keepLines w:val="0"/>
              <w:suppressLineNumbers w:val="0"/>
              <w:spacing w:before="0" w:beforeAutospacing="0" w:after="0" w:afterAutospacing="0"/>
              <w:ind w:left="0" w:right="0" w:firstLine="210" w:firstLineChars="100"/>
              <w:rPr>
                <w:rFonts w:hint="default" w:ascii="宋体" w:hAnsi="宋体"/>
                <w:color w:val="auto"/>
                <w:kern w:val="2"/>
                <w:highlight w:val="none"/>
              </w:rPr>
            </w:pPr>
            <w:r>
              <w:rPr>
                <w:rFonts w:hint="eastAsia" w:ascii="宋体" w:hAnsi="宋体"/>
                <w:color w:val="auto"/>
                <w:kern w:val="2"/>
                <w:highlight w:val="none"/>
              </w:rPr>
              <w:t>具有一级注册造价师证书，得1分，未提供不得分。</w:t>
            </w:r>
          </w:p>
        </w:tc>
        <w:tc>
          <w:tcPr>
            <w:tcW w:w="634" w:type="dxa"/>
            <w:vMerge w:val="restart"/>
            <w:noWrap w:val="0"/>
            <w:vAlign w:val="top"/>
          </w:tcPr>
          <w:p w14:paraId="60842121">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532" w:type="dxa"/>
            <w:vMerge w:val="restart"/>
            <w:noWrap w:val="0"/>
            <w:vAlign w:val="top"/>
          </w:tcPr>
          <w:p w14:paraId="79798B87">
            <w:pPr>
              <w:keepNext w:val="0"/>
              <w:keepLines w:val="0"/>
              <w:suppressLineNumbers w:val="0"/>
              <w:spacing w:before="0" w:beforeAutospacing="0" w:after="0" w:afterAutospacing="0"/>
              <w:ind w:left="0" w:right="0"/>
              <w:rPr>
                <w:rFonts w:hint="default" w:ascii="宋体" w:hAnsi="宋体"/>
                <w:color w:val="auto"/>
                <w:kern w:val="2"/>
                <w:highlight w:val="none"/>
              </w:rPr>
            </w:pPr>
          </w:p>
        </w:tc>
      </w:tr>
      <w:tr w14:paraId="62FD0D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855" w:type="dxa"/>
            <w:vMerge w:val="continue"/>
            <w:noWrap w:val="0"/>
            <w:vAlign w:val="center"/>
          </w:tcPr>
          <w:p w14:paraId="2737FB06">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773" w:type="dxa"/>
            <w:vMerge w:val="continue"/>
            <w:noWrap w:val="0"/>
            <w:vAlign w:val="center"/>
          </w:tcPr>
          <w:p w14:paraId="7F4F695A">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1333" w:type="dxa"/>
            <w:vMerge w:val="continue"/>
            <w:noWrap w:val="0"/>
            <w:vAlign w:val="center"/>
          </w:tcPr>
          <w:p w14:paraId="3F9F6BFD">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667" w:type="dxa"/>
            <w:vMerge w:val="continue"/>
            <w:noWrap w:val="0"/>
            <w:vAlign w:val="center"/>
          </w:tcPr>
          <w:p w14:paraId="3FB248F4">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9966" w:type="dxa"/>
            <w:tcBorders>
              <w:top w:val="single" w:color="auto" w:sz="4" w:space="0"/>
            </w:tcBorders>
            <w:noWrap w:val="0"/>
            <w:vAlign w:val="center"/>
          </w:tcPr>
          <w:p w14:paraId="386E269B">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设计和施工的融合措施方案</w:t>
            </w:r>
          </w:p>
          <w:p w14:paraId="56DD6C53">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default" w:ascii="宋体" w:hAnsi="宋体"/>
                <w:color w:val="auto"/>
                <w:kern w:val="2"/>
                <w:highlight w:val="none"/>
              </w:rPr>
              <w:t>1、针对本项目编制了设计和施工融合措施的，得1</w:t>
            </w:r>
            <w:r>
              <w:rPr>
                <w:rFonts w:hint="eastAsia" w:ascii="宋体" w:hAnsi="宋体"/>
                <w:color w:val="auto"/>
                <w:kern w:val="2"/>
                <w:highlight w:val="none"/>
              </w:rPr>
              <w:t>.5</w:t>
            </w:r>
            <w:r>
              <w:rPr>
                <w:rFonts w:hint="default" w:ascii="宋体" w:hAnsi="宋体"/>
                <w:color w:val="auto"/>
                <w:kern w:val="2"/>
                <w:highlight w:val="none"/>
              </w:rPr>
              <w:t>分；</w:t>
            </w:r>
          </w:p>
          <w:p w14:paraId="6007A6E5">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eastAsia" w:ascii="宋体" w:hAnsi="宋体"/>
                <w:color w:val="auto"/>
                <w:kern w:val="2"/>
                <w:highlight w:val="none"/>
              </w:rPr>
              <w:t>2、</w:t>
            </w:r>
            <w:r>
              <w:rPr>
                <w:rFonts w:hint="default" w:ascii="宋体" w:hAnsi="宋体"/>
                <w:color w:val="auto"/>
                <w:kern w:val="2"/>
                <w:highlight w:val="none"/>
              </w:rPr>
              <w:t>有设计施工全寿命周期等协同工作的措施，得1</w:t>
            </w:r>
            <w:r>
              <w:rPr>
                <w:rFonts w:hint="eastAsia" w:ascii="宋体" w:hAnsi="宋体"/>
                <w:color w:val="auto"/>
                <w:kern w:val="2"/>
                <w:highlight w:val="none"/>
              </w:rPr>
              <w:t>.5</w:t>
            </w:r>
            <w:r>
              <w:rPr>
                <w:rFonts w:hint="default" w:ascii="宋体" w:hAnsi="宋体"/>
                <w:color w:val="auto"/>
                <w:kern w:val="2"/>
                <w:highlight w:val="none"/>
              </w:rPr>
              <w:t>分；</w:t>
            </w:r>
          </w:p>
          <w:p w14:paraId="05D5E2FF">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default" w:ascii="宋体" w:hAnsi="宋体"/>
                <w:color w:val="auto"/>
                <w:kern w:val="2"/>
                <w:highlight w:val="none"/>
              </w:rPr>
              <w:t>注：本小项最高得3分。</w:t>
            </w:r>
          </w:p>
        </w:tc>
        <w:tc>
          <w:tcPr>
            <w:tcW w:w="634" w:type="dxa"/>
            <w:vMerge w:val="continue"/>
            <w:noWrap w:val="0"/>
            <w:vAlign w:val="top"/>
          </w:tcPr>
          <w:p w14:paraId="3B44EBAF">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532" w:type="dxa"/>
            <w:vMerge w:val="continue"/>
            <w:noWrap w:val="0"/>
            <w:vAlign w:val="top"/>
          </w:tcPr>
          <w:p w14:paraId="4D252C3A">
            <w:pPr>
              <w:keepNext w:val="0"/>
              <w:keepLines w:val="0"/>
              <w:suppressLineNumbers w:val="0"/>
              <w:spacing w:before="0" w:beforeAutospacing="0" w:after="0" w:afterAutospacing="0"/>
              <w:ind w:left="0" w:right="0"/>
              <w:rPr>
                <w:rFonts w:hint="default" w:ascii="宋体" w:hAnsi="宋体"/>
                <w:color w:val="auto"/>
                <w:kern w:val="2"/>
                <w:highlight w:val="none"/>
              </w:rPr>
            </w:pPr>
          </w:p>
        </w:tc>
      </w:tr>
      <w:tr w14:paraId="6D5CD7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855" w:type="dxa"/>
            <w:vMerge w:val="continue"/>
            <w:noWrap w:val="0"/>
            <w:vAlign w:val="center"/>
          </w:tcPr>
          <w:p w14:paraId="48199686">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773" w:type="dxa"/>
            <w:vMerge w:val="continue"/>
            <w:noWrap w:val="0"/>
            <w:vAlign w:val="center"/>
          </w:tcPr>
          <w:p w14:paraId="316242C5">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1333" w:type="dxa"/>
            <w:vMerge w:val="restart"/>
            <w:noWrap w:val="0"/>
            <w:vAlign w:val="center"/>
          </w:tcPr>
          <w:p w14:paraId="2B1AB7C1">
            <w:pPr>
              <w:keepNext w:val="0"/>
              <w:keepLines w:val="0"/>
              <w:suppressLineNumbers w:val="0"/>
              <w:spacing w:before="0" w:beforeAutospacing="0" w:after="0" w:afterAutospacing="0"/>
              <w:ind w:left="0" w:right="0"/>
              <w:jc w:val="center"/>
              <w:rPr>
                <w:rFonts w:hint="default" w:ascii="宋体" w:hAnsi="宋体"/>
                <w:color w:val="auto"/>
                <w:kern w:val="2"/>
                <w:highlight w:val="none"/>
              </w:rPr>
            </w:pPr>
            <w:r>
              <w:rPr>
                <w:rFonts w:hint="default" w:ascii="宋体" w:hAnsi="宋体"/>
                <w:color w:val="auto"/>
                <w:kern w:val="2"/>
                <w:highlight w:val="none"/>
              </w:rPr>
              <w:t>绿色节能控制措施</w:t>
            </w:r>
          </w:p>
        </w:tc>
        <w:tc>
          <w:tcPr>
            <w:tcW w:w="667" w:type="dxa"/>
            <w:vMerge w:val="restart"/>
            <w:noWrap w:val="0"/>
            <w:vAlign w:val="center"/>
          </w:tcPr>
          <w:p w14:paraId="7A8812E7">
            <w:pPr>
              <w:keepNext w:val="0"/>
              <w:keepLines w:val="0"/>
              <w:suppressLineNumbers w:val="0"/>
              <w:spacing w:before="0" w:beforeAutospacing="0" w:after="0" w:afterAutospacing="0"/>
              <w:ind w:left="0" w:right="0"/>
              <w:jc w:val="center"/>
              <w:rPr>
                <w:rFonts w:hint="default" w:ascii="宋体" w:hAnsi="宋体"/>
                <w:color w:val="auto"/>
                <w:kern w:val="2"/>
                <w:highlight w:val="none"/>
              </w:rPr>
            </w:pPr>
            <w:r>
              <w:rPr>
                <w:rFonts w:hint="eastAsia" w:ascii="宋体" w:hAnsi="宋体"/>
                <w:color w:val="auto"/>
                <w:kern w:val="2"/>
                <w:highlight w:val="none"/>
              </w:rPr>
              <w:t>6分</w:t>
            </w:r>
          </w:p>
        </w:tc>
        <w:tc>
          <w:tcPr>
            <w:tcW w:w="9966" w:type="dxa"/>
            <w:noWrap w:val="0"/>
            <w:vAlign w:val="center"/>
          </w:tcPr>
          <w:p w14:paraId="0ECE85F8">
            <w:pPr>
              <w:keepNext w:val="0"/>
              <w:keepLines w:val="0"/>
              <w:suppressLineNumbers w:val="0"/>
              <w:spacing w:before="0" w:beforeAutospacing="0" w:after="0" w:afterAutospacing="0"/>
              <w:ind w:left="0" w:right="0"/>
              <w:jc w:val="left"/>
              <w:rPr>
                <w:rFonts w:hint="default" w:ascii="宋体" w:hAnsi="宋体"/>
                <w:color w:val="auto"/>
                <w:kern w:val="2"/>
                <w:highlight w:val="none"/>
              </w:rPr>
            </w:pPr>
            <w:r>
              <w:rPr>
                <w:rFonts w:hint="default" w:ascii="宋体" w:hAnsi="宋体"/>
                <w:color w:val="auto"/>
                <w:kern w:val="2"/>
                <w:highlight w:val="none"/>
              </w:rPr>
              <w:t xml:space="preserve">1、建立了完善的绿色施工管理体系，有得 </w:t>
            </w:r>
            <w:r>
              <w:rPr>
                <w:rFonts w:hint="eastAsia" w:ascii="宋体" w:hAnsi="宋体"/>
                <w:color w:val="auto"/>
                <w:kern w:val="2"/>
                <w:highlight w:val="none"/>
              </w:rPr>
              <w:t>2</w:t>
            </w:r>
            <w:r>
              <w:rPr>
                <w:rFonts w:hint="default" w:ascii="宋体" w:hAnsi="宋体"/>
                <w:color w:val="auto"/>
                <w:kern w:val="2"/>
                <w:highlight w:val="none"/>
              </w:rPr>
              <w:t xml:space="preserve"> 分，无得 0 分；</w:t>
            </w:r>
          </w:p>
          <w:p w14:paraId="4B8B8DC9">
            <w:pPr>
              <w:keepNext w:val="0"/>
              <w:keepLines w:val="0"/>
              <w:suppressLineNumbers w:val="0"/>
              <w:spacing w:before="0" w:beforeAutospacing="0" w:after="0" w:afterAutospacing="0"/>
              <w:ind w:left="0" w:right="0"/>
              <w:jc w:val="left"/>
              <w:rPr>
                <w:rFonts w:hint="default" w:ascii="宋体" w:hAnsi="宋体"/>
                <w:color w:val="auto"/>
                <w:kern w:val="2"/>
                <w:highlight w:val="none"/>
              </w:rPr>
            </w:pPr>
            <w:r>
              <w:rPr>
                <w:rFonts w:hint="default" w:ascii="宋体" w:hAnsi="宋体"/>
                <w:color w:val="auto"/>
                <w:kern w:val="2"/>
                <w:highlight w:val="none"/>
              </w:rPr>
              <w:t>2、根据本工程的特点，提出详细的绿色节能控制措施</w:t>
            </w:r>
            <w:r>
              <w:rPr>
                <w:rFonts w:hint="eastAsia" w:ascii="宋体" w:hAnsi="宋体"/>
                <w:color w:val="auto"/>
                <w:kern w:val="2"/>
                <w:highlight w:val="none"/>
              </w:rPr>
              <w:t>、新能源工程车投入应用措施</w:t>
            </w:r>
            <w:r>
              <w:rPr>
                <w:rFonts w:hint="default" w:ascii="宋体" w:hAnsi="宋体"/>
                <w:color w:val="auto"/>
                <w:kern w:val="2"/>
                <w:highlight w:val="none"/>
              </w:rPr>
              <w:t xml:space="preserve">。优得 </w:t>
            </w:r>
            <w:r>
              <w:rPr>
                <w:rFonts w:hint="eastAsia" w:ascii="宋体" w:hAnsi="宋体"/>
                <w:color w:val="auto"/>
                <w:kern w:val="2"/>
                <w:highlight w:val="none"/>
              </w:rPr>
              <w:t>1</w:t>
            </w:r>
            <w:r>
              <w:rPr>
                <w:rFonts w:hint="default" w:ascii="宋体" w:hAnsi="宋体"/>
                <w:color w:val="auto"/>
                <w:kern w:val="2"/>
                <w:highlight w:val="none"/>
              </w:rPr>
              <w:t xml:space="preserve"> 分，良得 </w:t>
            </w:r>
            <w:r>
              <w:rPr>
                <w:rFonts w:hint="eastAsia" w:ascii="宋体" w:hAnsi="宋体"/>
                <w:color w:val="auto"/>
                <w:kern w:val="2"/>
                <w:highlight w:val="none"/>
              </w:rPr>
              <w:t>0</w:t>
            </w:r>
            <w:r>
              <w:rPr>
                <w:rFonts w:hint="default" w:ascii="宋体" w:hAnsi="宋体"/>
                <w:color w:val="auto"/>
                <w:kern w:val="2"/>
                <w:highlight w:val="none"/>
              </w:rPr>
              <w:t xml:space="preserve">.8 分，一般得 </w:t>
            </w:r>
            <w:r>
              <w:rPr>
                <w:rFonts w:hint="eastAsia" w:ascii="宋体" w:hAnsi="宋体"/>
                <w:color w:val="auto"/>
                <w:kern w:val="2"/>
                <w:highlight w:val="none"/>
              </w:rPr>
              <w:t>0</w:t>
            </w:r>
            <w:r>
              <w:rPr>
                <w:rFonts w:hint="default" w:ascii="宋体" w:hAnsi="宋体"/>
                <w:color w:val="auto"/>
                <w:kern w:val="2"/>
                <w:highlight w:val="none"/>
              </w:rPr>
              <w:t>.6 分。</w:t>
            </w:r>
          </w:p>
        </w:tc>
        <w:tc>
          <w:tcPr>
            <w:tcW w:w="634" w:type="dxa"/>
            <w:noWrap w:val="0"/>
            <w:vAlign w:val="top"/>
          </w:tcPr>
          <w:p w14:paraId="02B50A98">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532" w:type="dxa"/>
            <w:noWrap w:val="0"/>
            <w:vAlign w:val="top"/>
          </w:tcPr>
          <w:p w14:paraId="0C688147">
            <w:pPr>
              <w:keepNext w:val="0"/>
              <w:keepLines w:val="0"/>
              <w:suppressLineNumbers w:val="0"/>
              <w:spacing w:before="0" w:beforeAutospacing="0" w:after="0" w:afterAutospacing="0"/>
              <w:ind w:left="0" w:right="0"/>
              <w:rPr>
                <w:rFonts w:hint="default" w:ascii="宋体" w:hAnsi="宋体"/>
                <w:color w:val="auto"/>
                <w:kern w:val="2"/>
                <w:highlight w:val="none"/>
              </w:rPr>
            </w:pPr>
          </w:p>
        </w:tc>
      </w:tr>
      <w:tr w14:paraId="055C97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855" w:type="dxa"/>
            <w:vMerge w:val="continue"/>
            <w:noWrap w:val="0"/>
            <w:vAlign w:val="center"/>
          </w:tcPr>
          <w:p w14:paraId="25B70431">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773" w:type="dxa"/>
            <w:vMerge w:val="continue"/>
            <w:noWrap w:val="0"/>
            <w:vAlign w:val="center"/>
          </w:tcPr>
          <w:p w14:paraId="1DA193C9">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1333" w:type="dxa"/>
            <w:vMerge w:val="continue"/>
            <w:noWrap w:val="0"/>
            <w:vAlign w:val="center"/>
          </w:tcPr>
          <w:p w14:paraId="319175D8">
            <w:pPr>
              <w:keepNext w:val="0"/>
              <w:keepLines w:val="0"/>
              <w:suppressLineNumbers w:val="0"/>
              <w:spacing w:before="0" w:beforeAutospacing="0" w:after="0" w:afterAutospacing="0"/>
              <w:ind w:left="0" w:right="0"/>
              <w:jc w:val="center"/>
              <w:rPr>
                <w:rFonts w:hint="default" w:ascii="宋体" w:hAnsi="宋体"/>
                <w:color w:val="auto"/>
                <w:kern w:val="2"/>
                <w:highlight w:val="none"/>
              </w:rPr>
            </w:pPr>
          </w:p>
        </w:tc>
        <w:tc>
          <w:tcPr>
            <w:tcW w:w="667" w:type="dxa"/>
            <w:vMerge w:val="continue"/>
            <w:noWrap w:val="0"/>
            <w:vAlign w:val="center"/>
          </w:tcPr>
          <w:p w14:paraId="1B2D0ABA">
            <w:pPr>
              <w:keepNext w:val="0"/>
              <w:keepLines w:val="0"/>
              <w:suppressLineNumbers w:val="0"/>
              <w:spacing w:before="0" w:beforeAutospacing="0" w:after="0" w:afterAutospacing="0"/>
              <w:ind w:left="0" w:right="0"/>
              <w:jc w:val="center"/>
              <w:rPr>
                <w:rFonts w:hint="default" w:ascii="宋体" w:hAnsi="宋体"/>
                <w:color w:val="auto"/>
                <w:kern w:val="2"/>
                <w:highlight w:val="none"/>
              </w:rPr>
            </w:pPr>
          </w:p>
        </w:tc>
        <w:tc>
          <w:tcPr>
            <w:tcW w:w="9966" w:type="dxa"/>
            <w:noWrap w:val="0"/>
            <w:vAlign w:val="center"/>
          </w:tcPr>
          <w:p w14:paraId="64A210B0">
            <w:pPr>
              <w:keepNext w:val="0"/>
              <w:keepLines w:val="0"/>
              <w:suppressLineNumbers w:val="0"/>
              <w:spacing w:before="0" w:beforeAutospacing="0" w:after="0" w:afterAutospacing="0"/>
              <w:ind w:left="0" w:right="0"/>
              <w:jc w:val="left"/>
              <w:rPr>
                <w:rFonts w:hint="default" w:ascii="宋体" w:hAnsi="宋体"/>
                <w:color w:val="auto"/>
                <w:kern w:val="2"/>
                <w:highlight w:val="none"/>
              </w:rPr>
            </w:pPr>
            <w:r>
              <w:rPr>
                <w:rFonts w:hint="eastAsia" w:ascii="宋体" w:hAnsi="宋体" w:cs="Courier New"/>
                <w:color w:val="auto"/>
                <w:kern w:val="2"/>
                <w:szCs w:val="21"/>
                <w:highlight w:val="none"/>
              </w:rPr>
              <w:t>投标人</w:t>
            </w:r>
            <w:r>
              <w:rPr>
                <w:rFonts w:hint="eastAsia" w:ascii="宋体" w:hAnsi="宋体" w:cs="宋体"/>
                <w:color w:val="auto"/>
                <w:kern w:val="2"/>
                <w:szCs w:val="21"/>
                <w:highlight w:val="none"/>
              </w:rPr>
              <w:t>承诺氢燃料电池汽车作为混凝土搅拌车和建筑废弃物运输车在本项目的投入使用，投入比例≥30%(即:投入的氢燃料电池汽车/投入的总车辆数</w:t>
            </w:r>
            <w:r>
              <w:rPr>
                <w:rFonts w:hint="eastAsia" w:ascii="宋体" w:hAnsi="宋体" w:cs="Courier New"/>
                <w:color w:val="auto"/>
                <w:kern w:val="2"/>
                <w:szCs w:val="21"/>
                <w:highlight w:val="none"/>
              </w:rPr>
              <w:t>≥30%</w:t>
            </w:r>
            <w:r>
              <w:rPr>
                <w:rFonts w:hint="eastAsia" w:ascii="宋体" w:hAnsi="宋体" w:cs="宋体"/>
                <w:color w:val="auto"/>
                <w:kern w:val="2"/>
                <w:szCs w:val="21"/>
                <w:highlight w:val="none"/>
              </w:rPr>
              <w:t>)的，并提供相关的应用方案，得3分。</w:t>
            </w:r>
          </w:p>
        </w:tc>
        <w:tc>
          <w:tcPr>
            <w:tcW w:w="634" w:type="dxa"/>
            <w:noWrap w:val="0"/>
            <w:vAlign w:val="top"/>
          </w:tcPr>
          <w:p w14:paraId="401BDC9F">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532" w:type="dxa"/>
            <w:noWrap w:val="0"/>
            <w:vAlign w:val="top"/>
          </w:tcPr>
          <w:p w14:paraId="5D4151B9">
            <w:pPr>
              <w:keepNext w:val="0"/>
              <w:keepLines w:val="0"/>
              <w:suppressLineNumbers w:val="0"/>
              <w:spacing w:before="0" w:beforeAutospacing="0" w:after="0" w:afterAutospacing="0"/>
              <w:ind w:left="0" w:right="0"/>
              <w:rPr>
                <w:rFonts w:hint="default" w:ascii="宋体" w:hAnsi="宋体"/>
                <w:color w:val="auto"/>
                <w:kern w:val="2"/>
                <w:highlight w:val="none"/>
              </w:rPr>
            </w:pPr>
          </w:p>
        </w:tc>
      </w:tr>
      <w:tr w14:paraId="7E1B85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855" w:type="dxa"/>
            <w:vMerge w:val="continue"/>
            <w:noWrap w:val="0"/>
            <w:vAlign w:val="center"/>
          </w:tcPr>
          <w:p w14:paraId="6BA58FF3">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773" w:type="dxa"/>
            <w:vMerge w:val="continue"/>
            <w:noWrap w:val="0"/>
            <w:vAlign w:val="center"/>
          </w:tcPr>
          <w:p w14:paraId="7BB3170A">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1333" w:type="dxa"/>
            <w:noWrap w:val="0"/>
            <w:vAlign w:val="center"/>
          </w:tcPr>
          <w:p w14:paraId="1079A160">
            <w:pPr>
              <w:keepNext w:val="0"/>
              <w:keepLines w:val="0"/>
              <w:suppressLineNumbers w:val="0"/>
              <w:spacing w:before="0" w:beforeAutospacing="0" w:after="0" w:afterAutospacing="0"/>
              <w:ind w:left="0" w:right="0"/>
              <w:jc w:val="center"/>
              <w:rPr>
                <w:rFonts w:hint="default" w:ascii="宋体" w:hAnsi="宋体"/>
                <w:color w:val="auto"/>
                <w:kern w:val="2"/>
                <w:highlight w:val="none"/>
              </w:rPr>
            </w:pPr>
            <w:r>
              <w:rPr>
                <w:rFonts w:hint="default" w:ascii="宋体" w:hAnsi="宋体"/>
                <w:color w:val="auto"/>
                <w:kern w:val="2"/>
                <w:highlight w:val="none"/>
              </w:rPr>
              <w:t>安全控制措施</w:t>
            </w:r>
          </w:p>
        </w:tc>
        <w:tc>
          <w:tcPr>
            <w:tcW w:w="667" w:type="dxa"/>
            <w:noWrap w:val="0"/>
            <w:vAlign w:val="center"/>
          </w:tcPr>
          <w:p w14:paraId="0223A880">
            <w:pPr>
              <w:keepNext w:val="0"/>
              <w:keepLines w:val="0"/>
              <w:suppressLineNumbers w:val="0"/>
              <w:spacing w:before="0" w:beforeAutospacing="0" w:after="0" w:afterAutospacing="0"/>
              <w:ind w:left="0" w:right="0"/>
              <w:jc w:val="center"/>
              <w:rPr>
                <w:rFonts w:hint="default" w:ascii="宋体" w:hAnsi="宋体"/>
                <w:color w:val="auto"/>
                <w:kern w:val="2"/>
                <w:highlight w:val="none"/>
              </w:rPr>
            </w:pPr>
            <w:r>
              <w:rPr>
                <w:rFonts w:hint="eastAsia" w:ascii="宋体" w:hAnsi="宋体"/>
                <w:color w:val="auto"/>
                <w:kern w:val="2"/>
                <w:highlight w:val="none"/>
              </w:rPr>
              <w:t>7分</w:t>
            </w:r>
          </w:p>
        </w:tc>
        <w:tc>
          <w:tcPr>
            <w:tcW w:w="9966" w:type="dxa"/>
            <w:noWrap w:val="0"/>
            <w:vAlign w:val="center"/>
          </w:tcPr>
          <w:p w14:paraId="64494702">
            <w:pPr>
              <w:keepNext w:val="0"/>
              <w:keepLines w:val="0"/>
              <w:suppressLineNumbers w:val="0"/>
              <w:spacing w:before="0" w:beforeAutospacing="0" w:after="0" w:afterAutospacing="0"/>
              <w:ind w:left="0" w:right="0"/>
              <w:jc w:val="left"/>
              <w:rPr>
                <w:rFonts w:hint="default" w:ascii="宋体" w:hAnsi="宋体"/>
                <w:color w:val="auto"/>
                <w:kern w:val="2"/>
                <w:highlight w:val="none"/>
              </w:rPr>
            </w:pPr>
            <w:r>
              <w:rPr>
                <w:rFonts w:hint="default" w:ascii="宋体" w:hAnsi="宋体"/>
                <w:color w:val="auto"/>
                <w:kern w:val="2"/>
                <w:highlight w:val="none"/>
              </w:rPr>
              <w:t xml:space="preserve">1、安全生产及文明施工保证措施，有得 </w:t>
            </w:r>
            <w:r>
              <w:rPr>
                <w:rFonts w:hint="eastAsia" w:ascii="宋体" w:hAnsi="宋体"/>
                <w:color w:val="auto"/>
                <w:kern w:val="2"/>
                <w:highlight w:val="none"/>
              </w:rPr>
              <w:t>5</w:t>
            </w:r>
            <w:r>
              <w:rPr>
                <w:rFonts w:hint="default" w:ascii="宋体" w:hAnsi="宋体"/>
                <w:color w:val="auto"/>
                <w:kern w:val="2"/>
                <w:highlight w:val="none"/>
              </w:rPr>
              <w:t xml:space="preserve"> 分，无得 0 分；</w:t>
            </w:r>
          </w:p>
          <w:p w14:paraId="44B58ADA">
            <w:pPr>
              <w:keepNext w:val="0"/>
              <w:keepLines w:val="0"/>
              <w:suppressLineNumbers w:val="0"/>
              <w:spacing w:before="0" w:beforeAutospacing="0" w:after="0" w:afterAutospacing="0"/>
              <w:ind w:left="0" w:right="0"/>
              <w:jc w:val="left"/>
              <w:rPr>
                <w:rFonts w:hint="default" w:ascii="宋体" w:hAnsi="宋体"/>
                <w:color w:val="auto"/>
                <w:kern w:val="2"/>
                <w:highlight w:val="none"/>
              </w:rPr>
            </w:pPr>
            <w:r>
              <w:rPr>
                <w:rFonts w:hint="default" w:ascii="宋体" w:hAnsi="宋体"/>
                <w:color w:val="auto"/>
                <w:kern w:val="2"/>
                <w:highlight w:val="none"/>
              </w:rPr>
              <w:t>2、根据本工程的安全文明施工目标，针对项目的特点，从安全文明施工管理体系、应急预案等方面提出详细的安全生产及文明施工保证措施。优得 2 分，良得 1.8分，</w:t>
            </w:r>
            <w:r>
              <w:rPr>
                <w:rFonts w:hint="eastAsia" w:ascii="宋体" w:hAnsi="宋体"/>
                <w:color w:val="auto"/>
                <w:kern w:val="2"/>
                <w:highlight w:val="none"/>
              </w:rPr>
              <w:t>一般</w:t>
            </w:r>
            <w:r>
              <w:rPr>
                <w:rFonts w:hint="default" w:ascii="宋体" w:hAnsi="宋体"/>
                <w:color w:val="auto"/>
                <w:kern w:val="2"/>
                <w:highlight w:val="none"/>
              </w:rPr>
              <w:t>得 1.6 分。</w:t>
            </w:r>
          </w:p>
        </w:tc>
        <w:tc>
          <w:tcPr>
            <w:tcW w:w="634" w:type="dxa"/>
            <w:noWrap w:val="0"/>
            <w:vAlign w:val="top"/>
          </w:tcPr>
          <w:p w14:paraId="493A73CD">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532" w:type="dxa"/>
            <w:noWrap w:val="0"/>
            <w:vAlign w:val="top"/>
          </w:tcPr>
          <w:p w14:paraId="0CD976A5">
            <w:pPr>
              <w:keepNext w:val="0"/>
              <w:keepLines w:val="0"/>
              <w:suppressLineNumbers w:val="0"/>
              <w:spacing w:before="0" w:beforeAutospacing="0" w:after="0" w:afterAutospacing="0"/>
              <w:ind w:left="0" w:right="0"/>
              <w:rPr>
                <w:rFonts w:hint="default" w:ascii="宋体" w:hAnsi="宋体"/>
                <w:color w:val="auto"/>
                <w:kern w:val="2"/>
                <w:highlight w:val="none"/>
              </w:rPr>
            </w:pPr>
          </w:p>
        </w:tc>
      </w:tr>
      <w:tr w14:paraId="5C350D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855" w:type="dxa"/>
            <w:vMerge w:val="continue"/>
            <w:noWrap w:val="0"/>
            <w:vAlign w:val="center"/>
          </w:tcPr>
          <w:p w14:paraId="27C6EF5B">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773" w:type="dxa"/>
            <w:vMerge w:val="continue"/>
            <w:noWrap w:val="0"/>
            <w:vAlign w:val="center"/>
          </w:tcPr>
          <w:p w14:paraId="0FE9F25B">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1333" w:type="dxa"/>
            <w:noWrap w:val="0"/>
            <w:vAlign w:val="center"/>
          </w:tcPr>
          <w:p w14:paraId="785A3068">
            <w:pPr>
              <w:keepNext w:val="0"/>
              <w:keepLines w:val="0"/>
              <w:suppressLineNumbers w:val="0"/>
              <w:spacing w:before="0" w:beforeAutospacing="0" w:after="0" w:afterAutospacing="0"/>
              <w:ind w:left="0" w:right="0"/>
              <w:jc w:val="center"/>
              <w:rPr>
                <w:rFonts w:hint="default" w:ascii="宋体" w:hAnsi="宋体"/>
                <w:color w:val="auto"/>
                <w:kern w:val="2"/>
                <w:highlight w:val="none"/>
              </w:rPr>
            </w:pPr>
            <w:r>
              <w:rPr>
                <w:rFonts w:hint="default" w:ascii="宋体" w:hAnsi="宋体"/>
                <w:color w:val="auto"/>
                <w:kern w:val="2"/>
                <w:highlight w:val="none"/>
              </w:rPr>
              <w:t>质量控制措施</w:t>
            </w:r>
          </w:p>
        </w:tc>
        <w:tc>
          <w:tcPr>
            <w:tcW w:w="667" w:type="dxa"/>
            <w:noWrap w:val="0"/>
            <w:vAlign w:val="center"/>
          </w:tcPr>
          <w:p w14:paraId="1FCA0464">
            <w:pPr>
              <w:keepNext w:val="0"/>
              <w:keepLines w:val="0"/>
              <w:suppressLineNumbers w:val="0"/>
              <w:spacing w:before="0" w:beforeAutospacing="0" w:after="0" w:afterAutospacing="0"/>
              <w:ind w:left="0" w:right="0"/>
              <w:jc w:val="center"/>
              <w:rPr>
                <w:rFonts w:hint="default" w:ascii="宋体" w:hAnsi="宋体"/>
                <w:color w:val="auto"/>
                <w:kern w:val="2"/>
                <w:highlight w:val="none"/>
              </w:rPr>
            </w:pPr>
            <w:r>
              <w:rPr>
                <w:rFonts w:hint="eastAsia" w:ascii="宋体" w:hAnsi="宋体"/>
                <w:color w:val="auto"/>
                <w:kern w:val="2"/>
                <w:highlight w:val="none"/>
              </w:rPr>
              <w:t>7分</w:t>
            </w:r>
          </w:p>
        </w:tc>
        <w:tc>
          <w:tcPr>
            <w:tcW w:w="9966" w:type="dxa"/>
            <w:noWrap w:val="0"/>
            <w:vAlign w:val="center"/>
          </w:tcPr>
          <w:p w14:paraId="61DFBB7C">
            <w:pPr>
              <w:keepNext w:val="0"/>
              <w:keepLines w:val="0"/>
              <w:suppressLineNumbers w:val="0"/>
              <w:spacing w:before="0" w:beforeAutospacing="0" w:after="0" w:afterAutospacing="0"/>
              <w:ind w:left="0" w:right="0"/>
              <w:jc w:val="left"/>
              <w:rPr>
                <w:rFonts w:hint="default" w:ascii="宋体" w:hAnsi="宋体"/>
                <w:color w:val="auto"/>
                <w:kern w:val="2"/>
                <w:highlight w:val="none"/>
              </w:rPr>
            </w:pPr>
            <w:r>
              <w:rPr>
                <w:rFonts w:hint="default" w:ascii="宋体" w:hAnsi="宋体"/>
                <w:color w:val="auto"/>
                <w:kern w:val="2"/>
                <w:highlight w:val="none"/>
              </w:rPr>
              <w:t xml:space="preserve">1、质量管理水平及保证措施，有得 </w:t>
            </w:r>
            <w:r>
              <w:rPr>
                <w:rFonts w:hint="eastAsia" w:ascii="宋体" w:hAnsi="宋体"/>
                <w:color w:val="auto"/>
                <w:kern w:val="2"/>
                <w:highlight w:val="none"/>
              </w:rPr>
              <w:t>5</w:t>
            </w:r>
            <w:r>
              <w:rPr>
                <w:rFonts w:hint="default" w:ascii="宋体" w:hAnsi="宋体"/>
                <w:color w:val="auto"/>
                <w:kern w:val="2"/>
                <w:highlight w:val="none"/>
              </w:rPr>
              <w:t xml:space="preserve"> 分，无得 0 分；</w:t>
            </w:r>
          </w:p>
          <w:p w14:paraId="58D1E9D9">
            <w:pPr>
              <w:keepNext w:val="0"/>
              <w:keepLines w:val="0"/>
              <w:suppressLineNumbers w:val="0"/>
              <w:spacing w:before="0" w:beforeAutospacing="0" w:after="0" w:afterAutospacing="0"/>
              <w:ind w:left="0" w:right="0"/>
              <w:jc w:val="left"/>
              <w:rPr>
                <w:rFonts w:hint="default" w:ascii="宋体" w:hAnsi="宋体"/>
                <w:color w:val="auto"/>
                <w:kern w:val="2"/>
                <w:highlight w:val="none"/>
              </w:rPr>
            </w:pPr>
            <w:r>
              <w:rPr>
                <w:rFonts w:hint="default" w:ascii="宋体" w:hAnsi="宋体"/>
                <w:color w:val="auto"/>
                <w:kern w:val="2"/>
                <w:highlight w:val="none"/>
              </w:rPr>
              <w:t>2、根据本工程的质量目标，针对项目的特点，从质量保证体系、材料的检测、质量通病的防治等方面提出详细的质量保证措施。优得 2 分，良得 1.8 分，</w:t>
            </w:r>
            <w:r>
              <w:rPr>
                <w:rFonts w:hint="eastAsia" w:ascii="宋体" w:hAnsi="宋体"/>
                <w:color w:val="auto"/>
                <w:kern w:val="2"/>
                <w:highlight w:val="none"/>
              </w:rPr>
              <w:t>一般</w:t>
            </w:r>
            <w:r>
              <w:rPr>
                <w:rFonts w:hint="default" w:ascii="宋体" w:hAnsi="宋体"/>
                <w:color w:val="auto"/>
                <w:kern w:val="2"/>
                <w:highlight w:val="none"/>
              </w:rPr>
              <w:t>得 1.6 分。</w:t>
            </w:r>
          </w:p>
        </w:tc>
        <w:tc>
          <w:tcPr>
            <w:tcW w:w="634" w:type="dxa"/>
            <w:noWrap w:val="0"/>
            <w:vAlign w:val="top"/>
          </w:tcPr>
          <w:p w14:paraId="5BDE1362">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532" w:type="dxa"/>
            <w:noWrap w:val="0"/>
            <w:vAlign w:val="top"/>
          </w:tcPr>
          <w:p w14:paraId="79290A20">
            <w:pPr>
              <w:keepNext w:val="0"/>
              <w:keepLines w:val="0"/>
              <w:suppressLineNumbers w:val="0"/>
              <w:spacing w:before="0" w:beforeAutospacing="0" w:after="0" w:afterAutospacing="0"/>
              <w:ind w:left="0" w:right="0"/>
              <w:rPr>
                <w:rFonts w:hint="default" w:ascii="宋体" w:hAnsi="宋体"/>
                <w:color w:val="auto"/>
                <w:kern w:val="2"/>
                <w:highlight w:val="none"/>
              </w:rPr>
            </w:pPr>
          </w:p>
        </w:tc>
      </w:tr>
      <w:tr w14:paraId="4EF044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9" w:hRule="atLeast"/>
          <w:jc w:val="center"/>
        </w:trPr>
        <w:tc>
          <w:tcPr>
            <w:tcW w:w="855" w:type="dxa"/>
            <w:vMerge w:val="continue"/>
            <w:noWrap w:val="0"/>
            <w:vAlign w:val="center"/>
          </w:tcPr>
          <w:p w14:paraId="576D1EBC">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773" w:type="dxa"/>
            <w:vMerge w:val="continue"/>
            <w:noWrap w:val="0"/>
            <w:vAlign w:val="center"/>
          </w:tcPr>
          <w:p w14:paraId="2C59014D">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1333" w:type="dxa"/>
            <w:noWrap w:val="0"/>
            <w:vAlign w:val="center"/>
          </w:tcPr>
          <w:p w14:paraId="4753E14A">
            <w:pPr>
              <w:keepNext w:val="0"/>
              <w:keepLines w:val="0"/>
              <w:suppressLineNumbers w:val="0"/>
              <w:spacing w:before="0" w:beforeAutospacing="0" w:after="0" w:afterAutospacing="0"/>
              <w:ind w:left="0" w:right="0"/>
              <w:jc w:val="center"/>
              <w:rPr>
                <w:rFonts w:hint="default" w:ascii="宋体" w:hAnsi="宋体"/>
                <w:color w:val="auto"/>
                <w:kern w:val="2"/>
                <w:highlight w:val="none"/>
              </w:rPr>
            </w:pPr>
            <w:r>
              <w:rPr>
                <w:rFonts w:hint="default" w:ascii="宋体" w:hAnsi="宋体"/>
                <w:color w:val="auto"/>
                <w:kern w:val="2"/>
                <w:highlight w:val="none"/>
              </w:rPr>
              <w:t>进度控制措施</w:t>
            </w:r>
          </w:p>
        </w:tc>
        <w:tc>
          <w:tcPr>
            <w:tcW w:w="667" w:type="dxa"/>
            <w:noWrap w:val="0"/>
            <w:vAlign w:val="center"/>
          </w:tcPr>
          <w:p w14:paraId="3AF8D98F">
            <w:pPr>
              <w:keepNext w:val="0"/>
              <w:keepLines w:val="0"/>
              <w:suppressLineNumbers w:val="0"/>
              <w:spacing w:before="0" w:beforeAutospacing="0" w:after="0" w:afterAutospacing="0"/>
              <w:ind w:left="0" w:right="0"/>
              <w:jc w:val="center"/>
              <w:rPr>
                <w:rFonts w:hint="default" w:ascii="宋体" w:hAnsi="宋体"/>
                <w:color w:val="auto"/>
                <w:kern w:val="2"/>
                <w:highlight w:val="none"/>
              </w:rPr>
            </w:pPr>
            <w:r>
              <w:rPr>
                <w:rFonts w:hint="default" w:ascii="宋体" w:hAnsi="宋体"/>
                <w:color w:val="auto"/>
                <w:kern w:val="2"/>
                <w:highlight w:val="none"/>
              </w:rPr>
              <w:t>7</w:t>
            </w:r>
            <w:r>
              <w:rPr>
                <w:rFonts w:hint="eastAsia" w:ascii="宋体" w:hAnsi="宋体"/>
                <w:color w:val="auto"/>
                <w:kern w:val="2"/>
                <w:highlight w:val="none"/>
              </w:rPr>
              <w:t>分</w:t>
            </w:r>
          </w:p>
        </w:tc>
        <w:tc>
          <w:tcPr>
            <w:tcW w:w="9966" w:type="dxa"/>
            <w:noWrap w:val="0"/>
            <w:vAlign w:val="center"/>
          </w:tcPr>
          <w:p w14:paraId="662173A3">
            <w:pPr>
              <w:keepNext w:val="0"/>
              <w:keepLines w:val="0"/>
              <w:suppressLineNumbers w:val="0"/>
              <w:spacing w:before="0" w:beforeAutospacing="0" w:after="0" w:afterAutospacing="0"/>
              <w:ind w:left="0" w:right="0"/>
              <w:jc w:val="left"/>
              <w:rPr>
                <w:rFonts w:hint="default" w:ascii="宋体" w:hAnsi="宋体"/>
                <w:color w:val="auto"/>
                <w:kern w:val="2"/>
                <w:highlight w:val="none"/>
              </w:rPr>
            </w:pPr>
            <w:r>
              <w:rPr>
                <w:rFonts w:hint="default" w:ascii="宋体" w:hAnsi="宋体"/>
                <w:color w:val="auto"/>
                <w:kern w:val="2"/>
                <w:highlight w:val="none"/>
              </w:rPr>
              <w:t>1、工期及确保工期措施，有得 5 分，无得 0 分；</w:t>
            </w:r>
          </w:p>
          <w:p w14:paraId="45DD9B4C">
            <w:pPr>
              <w:keepNext w:val="0"/>
              <w:keepLines w:val="0"/>
              <w:suppressLineNumbers w:val="0"/>
              <w:spacing w:before="0" w:beforeAutospacing="0" w:after="0" w:afterAutospacing="0"/>
              <w:ind w:left="0" w:right="0"/>
              <w:jc w:val="left"/>
              <w:rPr>
                <w:rFonts w:hint="default" w:ascii="宋体" w:hAnsi="宋体"/>
                <w:color w:val="auto"/>
                <w:kern w:val="2"/>
                <w:highlight w:val="none"/>
              </w:rPr>
            </w:pPr>
            <w:r>
              <w:rPr>
                <w:rFonts w:hint="default" w:ascii="宋体" w:hAnsi="宋体"/>
                <w:color w:val="auto"/>
                <w:kern w:val="2"/>
                <w:highlight w:val="none"/>
              </w:rPr>
              <w:t>2、分析准确、措施得当。针对项目特点编制施工总进度计划及工期保证措施，确保实现工程进度目标。优得 2 分，良得 1.8 分，</w:t>
            </w:r>
            <w:r>
              <w:rPr>
                <w:rFonts w:hint="eastAsia" w:ascii="宋体" w:hAnsi="宋体"/>
                <w:color w:val="auto"/>
                <w:kern w:val="2"/>
                <w:highlight w:val="none"/>
              </w:rPr>
              <w:t>一般</w:t>
            </w:r>
            <w:r>
              <w:rPr>
                <w:rFonts w:hint="default" w:ascii="宋体" w:hAnsi="宋体"/>
                <w:color w:val="auto"/>
                <w:kern w:val="2"/>
                <w:highlight w:val="none"/>
              </w:rPr>
              <w:t>得 1.6 分。</w:t>
            </w:r>
          </w:p>
        </w:tc>
        <w:tc>
          <w:tcPr>
            <w:tcW w:w="634" w:type="dxa"/>
            <w:noWrap w:val="0"/>
            <w:vAlign w:val="top"/>
          </w:tcPr>
          <w:p w14:paraId="68BA4FA8">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532" w:type="dxa"/>
            <w:noWrap w:val="0"/>
            <w:vAlign w:val="top"/>
          </w:tcPr>
          <w:p w14:paraId="5619286E">
            <w:pPr>
              <w:keepNext w:val="0"/>
              <w:keepLines w:val="0"/>
              <w:suppressLineNumbers w:val="0"/>
              <w:spacing w:before="0" w:beforeAutospacing="0" w:after="0" w:afterAutospacing="0"/>
              <w:ind w:left="0" w:right="0"/>
              <w:rPr>
                <w:rFonts w:hint="default" w:ascii="宋体" w:hAnsi="宋体"/>
                <w:color w:val="auto"/>
                <w:kern w:val="2"/>
                <w:highlight w:val="none"/>
              </w:rPr>
            </w:pPr>
          </w:p>
        </w:tc>
      </w:tr>
      <w:tr w14:paraId="75D9CC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855" w:type="dxa"/>
            <w:vMerge w:val="continue"/>
            <w:noWrap w:val="0"/>
            <w:vAlign w:val="center"/>
          </w:tcPr>
          <w:p w14:paraId="2195050F">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773" w:type="dxa"/>
            <w:vMerge w:val="continue"/>
            <w:noWrap w:val="0"/>
            <w:vAlign w:val="center"/>
          </w:tcPr>
          <w:p w14:paraId="23EA074E">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1333" w:type="dxa"/>
            <w:noWrap w:val="0"/>
            <w:vAlign w:val="center"/>
          </w:tcPr>
          <w:p w14:paraId="35F2D109">
            <w:pPr>
              <w:keepNext w:val="0"/>
              <w:keepLines w:val="0"/>
              <w:suppressLineNumbers w:val="0"/>
              <w:spacing w:before="0" w:beforeAutospacing="0" w:after="0" w:afterAutospacing="0"/>
              <w:ind w:left="0" w:right="0"/>
              <w:jc w:val="center"/>
              <w:rPr>
                <w:rFonts w:hint="default" w:ascii="宋体" w:hAnsi="宋体"/>
                <w:color w:val="auto"/>
                <w:kern w:val="2"/>
                <w:highlight w:val="none"/>
              </w:rPr>
            </w:pPr>
            <w:r>
              <w:rPr>
                <w:rFonts w:hint="default" w:ascii="宋体" w:hAnsi="宋体"/>
                <w:color w:val="auto"/>
                <w:kern w:val="2"/>
                <w:highlight w:val="none"/>
              </w:rPr>
              <w:t>科技创新及保证措施</w:t>
            </w:r>
          </w:p>
        </w:tc>
        <w:tc>
          <w:tcPr>
            <w:tcW w:w="667" w:type="dxa"/>
            <w:noWrap w:val="0"/>
            <w:vAlign w:val="center"/>
          </w:tcPr>
          <w:p w14:paraId="2B0D038E">
            <w:pPr>
              <w:keepNext w:val="0"/>
              <w:keepLines w:val="0"/>
              <w:suppressLineNumbers w:val="0"/>
              <w:spacing w:before="0" w:beforeAutospacing="0" w:after="0" w:afterAutospacing="0"/>
              <w:ind w:left="0" w:right="0"/>
              <w:jc w:val="center"/>
              <w:rPr>
                <w:rFonts w:hint="default" w:ascii="宋体" w:hAnsi="宋体"/>
                <w:color w:val="auto"/>
                <w:kern w:val="2"/>
                <w:highlight w:val="none"/>
              </w:rPr>
            </w:pPr>
            <w:r>
              <w:rPr>
                <w:rFonts w:hint="default" w:ascii="宋体" w:hAnsi="宋体"/>
                <w:color w:val="auto"/>
                <w:kern w:val="2"/>
                <w:highlight w:val="none"/>
              </w:rPr>
              <w:t>7</w:t>
            </w:r>
            <w:r>
              <w:rPr>
                <w:rFonts w:hint="eastAsia" w:ascii="宋体" w:hAnsi="宋体"/>
                <w:color w:val="auto"/>
                <w:kern w:val="2"/>
                <w:highlight w:val="none"/>
              </w:rPr>
              <w:t>分</w:t>
            </w:r>
          </w:p>
        </w:tc>
        <w:tc>
          <w:tcPr>
            <w:tcW w:w="9966" w:type="dxa"/>
            <w:noWrap w:val="0"/>
            <w:vAlign w:val="center"/>
          </w:tcPr>
          <w:p w14:paraId="787DCA2A">
            <w:pPr>
              <w:keepNext w:val="0"/>
              <w:keepLines w:val="0"/>
              <w:suppressLineNumbers w:val="0"/>
              <w:spacing w:before="0" w:beforeAutospacing="0" w:after="0" w:afterAutospacing="0"/>
              <w:ind w:left="0" w:right="0"/>
              <w:jc w:val="left"/>
              <w:rPr>
                <w:rFonts w:hint="default" w:ascii="宋体" w:hAnsi="宋体"/>
                <w:color w:val="auto"/>
                <w:kern w:val="2"/>
                <w:highlight w:val="none"/>
              </w:rPr>
            </w:pPr>
            <w:r>
              <w:rPr>
                <w:rFonts w:hint="default" w:ascii="宋体" w:hAnsi="宋体"/>
                <w:color w:val="auto"/>
                <w:kern w:val="2"/>
                <w:highlight w:val="none"/>
              </w:rPr>
              <w:t>1、科技创新及保证措施，有得 5 分，无得 0 分；</w:t>
            </w:r>
          </w:p>
          <w:p w14:paraId="02B1CD87">
            <w:pPr>
              <w:keepNext w:val="0"/>
              <w:keepLines w:val="0"/>
              <w:suppressLineNumbers w:val="0"/>
              <w:spacing w:before="0" w:beforeAutospacing="0" w:after="0" w:afterAutospacing="0"/>
              <w:ind w:left="0" w:right="0"/>
              <w:jc w:val="left"/>
              <w:rPr>
                <w:rFonts w:hint="default" w:ascii="宋体" w:hAnsi="宋体"/>
                <w:color w:val="auto"/>
                <w:kern w:val="2"/>
                <w:highlight w:val="none"/>
              </w:rPr>
            </w:pPr>
            <w:r>
              <w:rPr>
                <w:rFonts w:hint="default" w:ascii="宋体" w:hAnsi="宋体"/>
                <w:color w:val="auto"/>
                <w:kern w:val="2"/>
                <w:highlight w:val="none"/>
              </w:rPr>
              <w:t>2、根据本项目的情况，采用新技术的具体措施及应急预案，提出针对性的技术创新措施及采用新技术可能产生的风险预见充分。优得 2 分，良得 1.8 分，</w:t>
            </w:r>
            <w:r>
              <w:rPr>
                <w:rFonts w:hint="eastAsia" w:ascii="宋体" w:hAnsi="宋体"/>
                <w:color w:val="auto"/>
                <w:kern w:val="2"/>
                <w:highlight w:val="none"/>
              </w:rPr>
              <w:t>一般</w:t>
            </w:r>
            <w:r>
              <w:rPr>
                <w:rFonts w:hint="default" w:ascii="宋体" w:hAnsi="宋体"/>
                <w:color w:val="auto"/>
                <w:kern w:val="2"/>
                <w:highlight w:val="none"/>
              </w:rPr>
              <w:t>得 1.6 分。</w:t>
            </w:r>
          </w:p>
        </w:tc>
        <w:tc>
          <w:tcPr>
            <w:tcW w:w="634" w:type="dxa"/>
            <w:noWrap w:val="0"/>
            <w:vAlign w:val="top"/>
          </w:tcPr>
          <w:p w14:paraId="36D151FD">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532" w:type="dxa"/>
            <w:noWrap w:val="0"/>
            <w:vAlign w:val="top"/>
          </w:tcPr>
          <w:p w14:paraId="74B72BA5">
            <w:pPr>
              <w:keepNext w:val="0"/>
              <w:keepLines w:val="0"/>
              <w:suppressLineNumbers w:val="0"/>
              <w:spacing w:before="0" w:beforeAutospacing="0" w:after="0" w:afterAutospacing="0"/>
              <w:ind w:left="0" w:right="0"/>
              <w:rPr>
                <w:rFonts w:hint="default" w:ascii="宋体" w:hAnsi="宋体"/>
                <w:color w:val="auto"/>
                <w:kern w:val="2"/>
                <w:highlight w:val="none"/>
              </w:rPr>
            </w:pPr>
          </w:p>
        </w:tc>
      </w:tr>
      <w:tr w14:paraId="1980A2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855" w:type="dxa"/>
            <w:vMerge w:val="continue"/>
            <w:noWrap w:val="0"/>
            <w:vAlign w:val="center"/>
          </w:tcPr>
          <w:p w14:paraId="7F1C916D">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773" w:type="dxa"/>
            <w:vMerge w:val="continue"/>
            <w:noWrap w:val="0"/>
            <w:vAlign w:val="center"/>
          </w:tcPr>
          <w:p w14:paraId="040031FF">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1333" w:type="dxa"/>
            <w:noWrap w:val="0"/>
            <w:vAlign w:val="center"/>
          </w:tcPr>
          <w:p w14:paraId="5A9AE402">
            <w:pPr>
              <w:keepNext w:val="0"/>
              <w:keepLines w:val="0"/>
              <w:suppressLineNumbers w:val="0"/>
              <w:spacing w:before="0" w:beforeAutospacing="0" w:after="0" w:afterAutospacing="0"/>
              <w:ind w:left="0" w:right="0"/>
              <w:jc w:val="center"/>
              <w:rPr>
                <w:rFonts w:hint="default" w:ascii="宋体" w:hAnsi="宋体"/>
                <w:color w:val="auto"/>
                <w:kern w:val="2"/>
                <w:highlight w:val="none"/>
              </w:rPr>
            </w:pPr>
            <w:r>
              <w:rPr>
                <w:rFonts w:hint="default" w:ascii="宋体" w:hAnsi="宋体"/>
                <w:color w:val="auto"/>
                <w:kern w:val="2"/>
                <w:highlight w:val="none"/>
              </w:rPr>
              <w:t>投资控制</w:t>
            </w:r>
          </w:p>
        </w:tc>
        <w:tc>
          <w:tcPr>
            <w:tcW w:w="667" w:type="dxa"/>
            <w:noWrap w:val="0"/>
            <w:vAlign w:val="center"/>
          </w:tcPr>
          <w:p w14:paraId="225740E5">
            <w:pPr>
              <w:keepNext w:val="0"/>
              <w:keepLines w:val="0"/>
              <w:suppressLineNumbers w:val="0"/>
              <w:spacing w:before="0" w:beforeAutospacing="0" w:after="0" w:afterAutospacing="0"/>
              <w:ind w:left="0" w:right="0"/>
              <w:jc w:val="center"/>
              <w:rPr>
                <w:rFonts w:hint="default" w:ascii="宋体" w:hAnsi="宋体"/>
                <w:color w:val="auto"/>
                <w:kern w:val="2"/>
                <w:highlight w:val="none"/>
              </w:rPr>
            </w:pPr>
            <w:r>
              <w:rPr>
                <w:rFonts w:hint="default" w:ascii="宋体" w:hAnsi="宋体"/>
                <w:color w:val="auto"/>
                <w:kern w:val="2"/>
                <w:highlight w:val="none"/>
              </w:rPr>
              <w:t>7</w:t>
            </w:r>
            <w:r>
              <w:rPr>
                <w:rFonts w:hint="eastAsia" w:ascii="宋体" w:hAnsi="宋体"/>
                <w:color w:val="auto"/>
                <w:kern w:val="2"/>
                <w:highlight w:val="none"/>
              </w:rPr>
              <w:t>分</w:t>
            </w:r>
          </w:p>
        </w:tc>
        <w:tc>
          <w:tcPr>
            <w:tcW w:w="9966" w:type="dxa"/>
            <w:noWrap w:val="0"/>
            <w:vAlign w:val="center"/>
          </w:tcPr>
          <w:p w14:paraId="08D87898">
            <w:pPr>
              <w:keepNext w:val="0"/>
              <w:keepLines w:val="0"/>
              <w:suppressLineNumbers w:val="0"/>
              <w:spacing w:before="0" w:beforeAutospacing="0" w:after="0" w:afterAutospacing="0"/>
              <w:ind w:left="0" w:right="0"/>
              <w:jc w:val="left"/>
              <w:rPr>
                <w:rFonts w:hint="default" w:ascii="宋体" w:hAnsi="宋体"/>
                <w:color w:val="auto"/>
                <w:kern w:val="2"/>
                <w:highlight w:val="none"/>
              </w:rPr>
            </w:pPr>
            <w:r>
              <w:rPr>
                <w:rFonts w:hint="default" w:ascii="宋体" w:hAnsi="宋体"/>
                <w:color w:val="auto"/>
                <w:kern w:val="2"/>
                <w:highlight w:val="none"/>
              </w:rPr>
              <w:t>1、投资控制措施，有得5分，无得 0 分；</w:t>
            </w:r>
          </w:p>
          <w:p w14:paraId="29B003A0">
            <w:pPr>
              <w:keepNext w:val="0"/>
              <w:keepLines w:val="0"/>
              <w:suppressLineNumbers w:val="0"/>
              <w:spacing w:before="0" w:beforeAutospacing="0" w:after="0" w:afterAutospacing="0"/>
              <w:ind w:left="0" w:right="0"/>
              <w:jc w:val="left"/>
              <w:rPr>
                <w:rFonts w:hint="default" w:ascii="宋体" w:hAnsi="宋体"/>
                <w:color w:val="auto"/>
                <w:kern w:val="2"/>
                <w:highlight w:val="none"/>
              </w:rPr>
            </w:pPr>
            <w:r>
              <w:rPr>
                <w:rFonts w:hint="default" w:ascii="宋体" w:hAnsi="宋体"/>
                <w:color w:val="auto"/>
                <w:kern w:val="2"/>
                <w:highlight w:val="none"/>
              </w:rPr>
              <w:t>2、建设过程中，能有效保证业主利益，有效降低业主风险所采取的措施。</w:t>
            </w:r>
            <w:bookmarkStart w:id="382" w:name="OLE_LINK1"/>
            <w:r>
              <w:rPr>
                <w:rFonts w:hint="default" w:ascii="宋体" w:hAnsi="宋体"/>
                <w:color w:val="auto"/>
                <w:kern w:val="2"/>
                <w:highlight w:val="none"/>
              </w:rPr>
              <w:t>优得 2 分，良得 1.8 分，</w:t>
            </w:r>
            <w:r>
              <w:rPr>
                <w:rFonts w:hint="eastAsia" w:ascii="宋体" w:hAnsi="宋体"/>
                <w:color w:val="auto"/>
                <w:kern w:val="2"/>
                <w:highlight w:val="none"/>
              </w:rPr>
              <w:t>一般</w:t>
            </w:r>
            <w:r>
              <w:rPr>
                <w:rFonts w:hint="default" w:ascii="宋体" w:hAnsi="宋体"/>
                <w:color w:val="auto"/>
                <w:kern w:val="2"/>
                <w:highlight w:val="none"/>
              </w:rPr>
              <w:t>得 1.6 分。</w:t>
            </w:r>
            <w:bookmarkEnd w:id="382"/>
          </w:p>
        </w:tc>
        <w:tc>
          <w:tcPr>
            <w:tcW w:w="634" w:type="dxa"/>
            <w:noWrap w:val="0"/>
            <w:vAlign w:val="top"/>
          </w:tcPr>
          <w:p w14:paraId="590B39EC">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532" w:type="dxa"/>
            <w:noWrap w:val="0"/>
            <w:vAlign w:val="top"/>
          </w:tcPr>
          <w:p w14:paraId="5867FC24">
            <w:pPr>
              <w:keepNext w:val="0"/>
              <w:keepLines w:val="0"/>
              <w:suppressLineNumbers w:val="0"/>
              <w:spacing w:before="0" w:beforeAutospacing="0" w:after="0" w:afterAutospacing="0"/>
              <w:ind w:left="0" w:right="0"/>
              <w:rPr>
                <w:rFonts w:hint="default" w:ascii="宋体" w:hAnsi="宋体"/>
                <w:color w:val="auto"/>
                <w:kern w:val="2"/>
                <w:highlight w:val="none"/>
              </w:rPr>
            </w:pPr>
          </w:p>
        </w:tc>
      </w:tr>
      <w:tr w14:paraId="222C77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855" w:type="dxa"/>
            <w:vMerge w:val="continue"/>
            <w:noWrap w:val="0"/>
            <w:vAlign w:val="center"/>
          </w:tcPr>
          <w:p w14:paraId="2D537FE1">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773" w:type="dxa"/>
            <w:vMerge w:val="continue"/>
            <w:noWrap w:val="0"/>
            <w:vAlign w:val="center"/>
          </w:tcPr>
          <w:p w14:paraId="3DD32D72">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1333" w:type="dxa"/>
            <w:noWrap w:val="0"/>
            <w:vAlign w:val="center"/>
          </w:tcPr>
          <w:p w14:paraId="1AE0D234">
            <w:pPr>
              <w:keepNext w:val="0"/>
              <w:keepLines w:val="0"/>
              <w:suppressLineNumbers w:val="0"/>
              <w:spacing w:before="0" w:beforeAutospacing="0" w:after="0" w:afterAutospacing="0"/>
              <w:ind w:left="0" w:right="0"/>
              <w:jc w:val="center"/>
              <w:rPr>
                <w:rFonts w:hint="default" w:ascii="宋体" w:hAnsi="宋体"/>
                <w:color w:val="auto"/>
                <w:kern w:val="2"/>
                <w:highlight w:val="none"/>
              </w:rPr>
            </w:pPr>
            <w:r>
              <w:rPr>
                <w:rFonts w:hint="eastAsia"/>
                <w:color w:val="auto"/>
                <w:kern w:val="2"/>
                <w:highlight w:val="none"/>
              </w:rPr>
              <w:t>BIM信息化技术应用</w:t>
            </w:r>
          </w:p>
        </w:tc>
        <w:tc>
          <w:tcPr>
            <w:tcW w:w="667" w:type="dxa"/>
            <w:noWrap w:val="0"/>
            <w:vAlign w:val="center"/>
          </w:tcPr>
          <w:p w14:paraId="7BEA9E7E">
            <w:pPr>
              <w:keepNext w:val="0"/>
              <w:keepLines w:val="0"/>
              <w:suppressLineNumbers w:val="0"/>
              <w:spacing w:before="0" w:beforeAutospacing="0" w:after="0" w:afterAutospacing="0"/>
              <w:ind w:left="0" w:right="0"/>
              <w:jc w:val="center"/>
              <w:rPr>
                <w:rFonts w:hint="default" w:ascii="宋体" w:hAnsi="宋体"/>
                <w:color w:val="auto"/>
                <w:kern w:val="2"/>
                <w:highlight w:val="none"/>
              </w:rPr>
            </w:pPr>
            <w:r>
              <w:rPr>
                <w:rFonts w:hint="eastAsia" w:ascii="宋体" w:hAnsi="宋体"/>
                <w:color w:val="auto"/>
                <w:kern w:val="2"/>
                <w:highlight w:val="none"/>
              </w:rPr>
              <w:t>7分</w:t>
            </w:r>
          </w:p>
        </w:tc>
        <w:tc>
          <w:tcPr>
            <w:tcW w:w="9966" w:type="dxa"/>
            <w:noWrap w:val="0"/>
            <w:vAlign w:val="center"/>
          </w:tcPr>
          <w:p w14:paraId="0DA20C58">
            <w:pPr>
              <w:keepNext w:val="0"/>
              <w:keepLines w:val="0"/>
              <w:suppressLineNumbers w:val="0"/>
              <w:spacing w:before="0" w:beforeAutospacing="0" w:after="0" w:afterAutospacing="0"/>
              <w:ind w:left="0" w:right="0"/>
              <w:rPr>
                <w:rFonts w:hint="default"/>
                <w:color w:val="auto"/>
                <w:kern w:val="2"/>
                <w:highlight w:val="none"/>
              </w:rPr>
            </w:pPr>
            <w:r>
              <w:rPr>
                <w:rFonts w:hint="eastAsia"/>
                <w:color w:val="auto"/>
                <w:kern w:val="2"/>
                <w:highlight w:val="none"/>
              </w:rPr>
              <w:t>1、BIM全过程技术应用方案，</w:t>
            </w:r>
            <w:r>
              <w:rPr>
                <w:rFonts w:hint="default" w:ascii="宋体" w:hAnsi="宋体"/>
                <w:color w:val="auto"/>
                <w:kern w:val="2"/>
                <w:highlight w:val="none"/>
              </w:rPr>
              <w:t>有得5分，无得 0 分；</w:t>
            </w:r>
          </w:p>
          <w:p w14:paraId="5F2C4DAB">
            <w:pPr>
              <w:keepNext w:val="0"/>
              <w:keepLines w:val="0"/>
              <w:suppressLineNumbers w:val="0"/>
              <w:spacing w:before="0" w:beforeAutospacing="0" w:after="0" w:afterAutospacing="0"/>
              <w:ind w:left="0" w:right="0"/>
              <w:jc w:val="left"/>
              <w:rPr>
                <w:rFonts w:hint="default" w:ascii="宋体" w:hAnsi="宋体"/>
                <w:color w:val="auto"/>
                <w:kern w:val="2"/>
                <w:highlight w:val="none"/>
              </w:rPr>
            </w:pPr>
            <w:r>
              <w:rPr>
                <w:rFonts w:hint="eastAsia"/>
                <w:color w:val="auto"/>
                <w:kern w:val="2"/>
                <w:highlight w:val="none"/>
              </w:rPr>
              <w:t>2、根据项目特点，清晰论述BIM服务内容与措施，辅助业主实现设计、施工全过程的项目精细化管理。</w:t>
            </w:r>
            <w:r>
              <w:rPr>
                <w:rFonts w:hint="default" w:ascii="宋体" w:hAnsi="宋体"/>
                <w:color w:val="auto"/>
                <w:kern w:val="2"/>
                <w:highlight w:val="none"/>
              </w:rPr>
              <w:t>优得 2 分，良得 1.8 分，</w:t>
            </w:r>
            <w:r>
              <w:rPr>
                <w:rFonts w:hint="eastAsia" w:ascii="宋体" w:hAnsi="宋体"/>
                <w:color w:val="auto"/>
                <w:kern w:val="2"/>
                <w:highlight w:val="none"/>
              </w:rPr>
              <w:t>一般</w:t>
            </w:r>
            <w:r>
              <w:rPr>
                <w:rFonts w:hint="default" w:ascii="宋体" w:hAnsi="宋体"/>
                <w:color w:val="auto"/>
                <w:kern w:val="2"/>
                <w:highlight w:val="none"/>
              </w:rPr>
              <w:t>得 1.6 分。</w:t>
            </w:r>
          </w:p>
        </w:tc>
        <w:tc>
          <w:tcPr>
            <w:tcW w:w="634" w:type="dxa"/>
            <w:noWrap w:val="0"/>
            <w:vAlign w:val="top"/>
          </w:tcPr>
          <w:p w14:paraId="338F4AA9">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532" w:type="dxa"/>
            <w:noWrap w:val="0"/>
            <w:vAlign w:val="top"/>
          </w:tcPr>
          <w:p w14:paraId="4C685C89">
            <w:pPr>
              <w:keepNext w:val="0"/>
              <w:keepLines w:val="0"/>
              <w:suppressLineNumbers w:val="0"/>
              <w:spacing w:before="0" w:beforeAutospacing="0" w:after="0" w:afterAutospacing="0"/>
              <w:ind w:left="0" w:right="0"/>
              <w:rPr>
                <w:rFonts w:hint="default" w:ascii="宋体" w:hAnsi="宋体"/>
                <w:color w:val="auto"/>
                <w:kern w:val="2"/>
                <w:highlight w:val="none"/>
              </w:rPr>
            </w:pPr>
          </w:p>
        </w:tc>
      </w:tr>
      <w:tr w14:paraId="3ED3A7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2961" w:type="dxa"/>
            <w:gridSpan w:val="3"/>
            <w:noWrap w:val="0"/>
            <w:vAlign w:val="center"/>
          </w:tcPr>
          <w:p w14:paraId="5F8EEDFA">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default" w:ascii="宋体" w:hAnsi="宋体"/>
                <w:color w:val="auto"/>
                <w:kern w:val="2"/>
                <w:highlight w:val="none"/>
              </w:rPr>
              <w:t>总计</w:t>
            </w:r>
          </w:p>
        </w:tc>
        <w:tc>
          <w:tcPr>
            <w:tcW w:w="667" w:type="dxa"/>
            <w:noWrap w:val="0"/>
            <w:vAlign w:val="center"/>
          </w:tcPr>
          <w:p w14:paraId="424AECC6">
            <w:pPr>
              <w:keepNext w:val="0"/>
              <w:keepLines w:val="0"/>
              <w:suppressLineNumbers w:val="0"/>
              <w:spacing w:before="0" w:beforeAutospacing="0" w:after="0" w:afterAutospacing="0"/>
              <w:ind w:left="0" w:right="0"/>
              <w:rPr>
                <w:rFonts w:hint="default" w:ascii="宋体" w:hAnsi="宋体"/>
                <w:color w:val="auto"/>
                <w:kern w:val="2"/>
                <w:highlight w:val="none"/>
              </w:rPr>
            </w:pPr>
            <w:r>
              <w:rPr>
                <w:rFonts w:hint="default" w:ascii="宋体" w:hAnsi="宋体"/>
                <w:color w:val="auto"/>
                <w:kern w:val="2"/>
                <w:highlight w:val="none"/>
              </w:rPr>
              <w:t>100</w:t>
            </w:r>
            <w:r>
              <w:rPr>
                <w:rFonts w:hint="eastAsia" w:ascii="宋体" w:hAnsi="宋体"/>
                <w:color w:val="auto"/>
                <w:kern w:val="2"/>
                <w:highlight w:val="none"/>
              </w:rPr>
              <w:t>分</w:t>
            </w:r>
          </w:p>
        </w:tc>
        <w:tc>
          <w:tcPr>
            <w:tcW w:w="9966" w:type="dxa"/>
            <w:noWrap w:val="0"/>
            <w:vAlign w:val="center"/>
          </w:tcPr>
          <w:p w14:paraId="1BFC4CE1">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634" w:type="dxa"/>
            <w:noWrap w:val="0"/>
            <w:vAlign w:val="top"/>
          </w:tcPr>
          <w:p w14:paraId="0297C25E">
            <w:pPr>
              <w:keepNext w:val="0"/>
              <w:keepLines w:val="0"/>
              <w:suppressLineNumbers w:val="0"/>
              <w:spacing w:before="0" w:beforeAutospacing="0" w:after="0" w:afterAutospacing="0"/>
              <w:ind w:left="0" w:right="0"/>
              <w:rPr>
                <w:rFonts w:hint="default" w:ascii="宋体" w:hAnsi="宋体"/>
                <w:color w:val="auto"/>
                <w:kern w:val="2"/>
                <w:highlight w:val="none"/>
              </w:rPr>
            </w:pPr>
          </w:p>
        </w:tc>
        <w:tc>
          <w:tcPr>
            <w:tcW w:w="532" w:type="dxa"/>
            <w:noWrap w:val="0"/>
            <w:vAlign w:val="top"/>
          </w:tcPr>
          <w:p w14:paraId="0480E136">
            <w:pPr>
              <w:keepNext w:val="0"/>
              <w:keepLines w:val="0"/>
              <w:suppressLineNumbers w:val="0"/>
              <w:spacing w:before="0" w:beforeAutospacing="0" w:after="0" w:afterAutospacing="0"/>
              <w:ind w:left="0" w:right="0"/>
              <w:rPr>
                <w:rFonts w:hint="default" w:ascii="宋体" w:hAnsi="宋体"/>
                <w:color w:val="auto"/>
                <w:kern w:val="2"/>
                <w:highlight w:val="none"/>
              </w:rPr>
            </w:pPr>
          </w:p>
        </w:tc>
      </w:tr>
    </w:tbl>
    <w:p w14:paraId="1B6FD97C">
      <w:pPr>
        <w:rPr>
          <w:rFonts w:ascii="宋体" w:hAnsi="宋体"/>
          <w:color w:val="auto"/>
          <w:highlight w:val="none"/>
        </w:rPr>
      </w:pPr>
      <w:r>
        <w:rPr>
          <w:rFonts w:hint="eastAsia" w:ascii="宋体" w:hAnsi="宋体"/>
          <w:color w:val="auto"/>
          <w:highlight w:val="none"/>
        </w:rPr>
        <w:t>注：</w:t>
      </w:r>
    </w:p>
    <w:p w14:paraId="337C78D3">
      <w:pPr>
        <w:rPr>
          <w:rFonts w:ascii="宋体" w:hAnsi="宋体"/>
          <w:b/>
          <w:bCs/>
          <w:color w:val="auto"/>
          <w:highlight w:val="none"/>
        </w:rPr>
      </w:pPr>
      <w:r>
        <w:rPr>
          <w:rFonts w:hint="eastAsia" w:ascii="宋体" w:hAnsi="宋体"/>
          <w:b/>
          <w:bCs/>
          <w:color w:val="auto"/>
          <w:highlight w:val="none"/>
        </w:rPr>
        <w:t>1、类似项目业绩：</w:t>
      </w:r>
    </w:p>
    <w:p w14:paraId="7564CB3C">
      <w:pPr>
        <w:rPr>
          <w:rFonts w:ascii="宋体" w:hAnsi="宋体"/>
          <w:color w:val="auto"/>
          <w:highlight w:val="none"/>
        </w:rPr>
      </w:pPr>
      <w:r>
        <w:rPr>
          <w:rFonts w:ascii="宋体" w:hAnsi="宋体"/>
          <w:color w:val="auto"/>
          <w:highlight w:val="none"/>
        </w:rPr>
        <w:t>1</w:t>
      </w:r>
      <w:r>
        <w:rPr>
          <w:rFonts w:hint="eastAsia" w:ascii="宋体" w:hAnsi="宋体"/>
          <w:color w:val="auto"/>
          <w:highlight w:val="none"/>
        </w:rPr>
        <w:t>.1施工企业业绩：</w:t>
      </w:r>
    </w:p>
    <w:p w14:paraId="04597250">
      <w:pPr>
        <w:rPr>
          <w:rFonts w:ascii="宋体" w:hAnsi="宋体"/>
          <w:color w:val="auto"/>
          <w:highlight w:val="none"/>
        </w:rPr>
      </w:pPr>
      <w:r>
        <w:rPr>
          <w:rFonts w:hint="eastAsia" w:ascii="宋体" w:hAnsi="宋体"/>
          <w:color w:val="auto"/>
          <w:highlight w:val="none"/>
        </w:rPr>
        <w:t>（1）类似工程施工业绩指</w:t>
      </w:r>
      <w:r>
        <w:rPr>
          <w:rFonts w:ascii="宋体" w:hAnsi="宋体"/>
          <w:color w:val="auto"/>
          <w:highlight w:val="none"/>
        </w:rPr>
        <w:t>工程造价</w:t>
      </w:r>
      <w:r>
        <w:rPr>
          <w:rFonts w:hint="eastAsia" w:ascii="宋体" w:hAnsi="宋体"/>
          <w:color w:val="auto"/>
          <w:highlight w:val="none"/>
        </w:rPr>
        <w:t>金额大于或等于20000万元的房屋建筑工程施工总承包或工程总承包的施工部分（包括设计施工总承包或设计采购施工总承包或勘察设计施工总承包或勘察设计采购施工总承包）。</w:t>
      </w:r>
    </w:p>
    <w:p w14:paraId="5D4EE70B">
      <w:pPr>
        <w:rPr>
          <w:rFonts w:ascii="宋体" w:hAnsi="宋体"/>
          <w:color w:val="auto"/>
          <w:highlight w:val="none"/>
        </w:rPr>
      </w:pPr>
      <w:r>
        <w:rPr>
          <w:rFonts w:hint="eastAsia" w:ascii="宋体" w:hAnsi="宋体"/>
          <w:color w:val="auto"/>
          <w:highlight w:val="none"/>
        </w:rPr>
        <w:t>（2）业绩取自广州市住建行业信用管理平台。投标人须提供类似工程业绩的项目名称及业绩在广州市住建行业信用管理平台中项目编号、相应业绩在广州市住建行业信用管理平台的网页信息截图（网页信息截图须能清晰显示带有“住建行业信用管理平台”名称，并至少包含“项目基本信息”等信息，投标文件中可不需重复提交相关业绩上传件）。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14:paraId="194FA38A">
      <w:pPr>
        <w:rPr>
          <w:rFonts w:ascii="宋体" w:hAnsi="宋体"/>
          <w:color w:val="auto"/>
          <w:highlight w:val="none"/>
        </w:rPr>
      </w:pPr>
      <w:r>
        <w:rPr>
          <w:rFonts w:hint="eastAsia" w:ascii="宋体" w:hAnsi="宋体"/>
          <w:color w:val="auto"/>
          <w:highlight w:val="none"/>
        </w:rPr>
        <w:t>（3）金额以中标通知书为准，中标通知书上没有金额或免招标的，以签订的合同（不含补充合同）中的金额为准；若为工程总承包项目，金额以合同中相对应的建安工程费为准。</w:t>
      </w:r>
    </w:p>
    <w:p w14:paraId="2F72ACD3">
      <w:pPr>
        <w:rPr>
          <w:rFonts w:ascii="宋体" w:hAnsi="宋体"/>
          <w:color w:val="auto"/>
          <w:highlight w:val="none"/>
        </w:rPr>
      </w:pPr>
      <w:r>
        <w:rPr>
          <w:rFonts w:hint="eastAsia" w:ascii="宋体" w:hAnsi="宋体"/>
          <w:color w:val="auto"/>
          <w:highlight w:val="none"/>
        </w:rPr>
        <w:t>（4）完成时间以竣工验收文件为准。验收文件至少具有建设单位、设计、施工和监理单位盖章。</w:t>
      </w:r>
    </w:p>
    <w:p w14:paraId="2E5B42D4">
      <w:pPr>
        <w:rPr>
          <w:rFonts w:ascii="宋体" w:hAnsi="宋体"/>
          <w:color w:val="auto"/>
          <w:highlight w:val="none"/>
        </w:rPr>
      </w:pPr>
      <w:r>
        <w:rPr>
          <w:rFonts w:hint="eastAsia" w:ascii="宋体" w:hAnsi="宋体"/>
          <w:color w:val="auto"/>
          <w:highlight w:val="none"/>
        </w:rPr>
        <w:t>（5）平台内业绩上传件不符合上述要求的或登记的工程资质内容与施工合同等业绩证明资料不相符的，该项业绩不予认定。</w:t>
      </w:r>
    </w:p>
    <w:p w14:paraId="6BFC49A8">
      <w:pPr>
        <w:rPr>
          <w:rFonts w:ascii="宋体" w:hAnsi="宋体"/>
          <w:color w:val="auto"/>
          <w:highlight w:val="none"/>
        </w:rPr>
      </w:pPr>
      <w:r>
        <w:rPr>
          <w:rFonts w:ascii="宋体" w:hAnsi="宋体"/>
          <w:color w:val="auto"/>
          <w:highlight w:val="none"/>
        </w:rPr>
        <w:t>1</w:t>
      </w:r>
      <w:r>
        <w:rPr>
          <w:rFonts w:hint="eastAsia" w:ascii="宋体" w:hAnsi="宋体"/>
          <w:color w:val="auto"/>
          <w:highlight w:val="none"/>
        </w:rPr>
        <w:t>.2设计企业业绩：</w:t>
      </w:r>
    </w:p>
    <w:p w14:paraId="086CCBC9">
      <w:pPr>
        <w:rPr>
          <w:rFonts w:hint="eastAsia" w:ascii="宋体" w:hAnsi="宋体"/>
          <w:color w:val="auto"/>
          <w:highlight w:val="none"/>
        </w:rPr>
      </w:pPr>
      <w:r>
        <w:rPr>
          <w:rFonts w:hint="eastAsia" w:ascii="宋体" w:hAnsi="宋体"/>
          <w:color w:val="auto"/>
          <w:highlight w:val="none"/>
        </w:rPr>
        <w:t>（1）类似建筑工程设计业绩指建筑面积≥4.2万平方米的建筑工程设计或勘察设计或工程总承包的设计部分（包括设计施工总承包或设计采购施工总承包或勘察设计施工总承包或勘察设计采购施工总承包）。</w:t>
      </w:r>
    </w:p>
    <w:p w14:paraId="5A1CCEB6">
      <w:pPr>
        <w:rPr>
          <w:rFonts w:hint="eastAsia" w:ascii="宋体" w:hAnsi="宋体"/>
          <w:color w:val="auto"/>
          <w:highlight w:val="none"/>
        </w:rPr>
      </w:pPr>
      <w:r>
        <w:rPr>
          <w:rFonts w:hint="eastAsia" w:ascii="宋体" w:hAnsi="宋体"/>
          <w:color w:val="auto"/>
          <w:highlight w:val="none"/>
        </w:rPr>
        <w:t>（2）若为联合体业绩，则投标人所承担的设计部分建筑面积应≥4.2万平方米。</w:t>
      </w:r>
    </w:p>
    <w:p w14:paraId="37DE251C">
      <w:pPr>
        <w:rPr>
          <w:rFonts w:ascii="宋体" w:hAnsi="宋体"/>
          <w:b/>
          <w:bCs/>
          <w:color w:val="auto"/>
          <w:highlight w:val="none"/>
        </w:rPr>
      </w:pPr>
      <w:r>
        <w:rPr>
          <w:rFonts w:hint="eastAsia" w:ascii="宋体" w:hAnsi="宋体"/>
          <w:color w:val="auto"/>
          <w:highlight w:val="none"/>
        </w:rPr>
        <w:t>（3）</w:t>
      </w:r>
      <w:r>
        <w:rPr>
          <w:rFonts w:hint="eastAsia" w:ascii="宋体" w:hAnsi="宋体" w:cs="Times New Roman"/>
          <w:color w:val="auto"/>
          <w:highlight w:val="none"/>
        </w:rPr>
        <w:t>须同时提供中标通知书或免招标证明、设计合同、施工图审查报告或施工图审查备案证明文件的原件扫描件，若为联合体业绩，还需提供联合体分工责任书。时间以合同签订时间为准，建筑面积以合同信息为准，设计内容需含有方案设计和施工图设计。</w:t>
      </w:r>
    </w:p>
    <w:p w14:paraId="12B6274F">
      <w:pPr>
        <w:rPr>
          <w:rFonts w:ascii="宋体" w:hAnsi="宋体"/>
          <w:b/>
          <w:bCs/>
          <w:color w:val="auto"/>
          <w:highlight w:val="none"/>
        </w:rPr>
      </w:pPr>
      <w:r>
        <w:rPr>
          <w:rFonts w:hint="eastAsia" w:ascii="宋体" w:hAnsi="宋体"/>
          <w:b/>
          <w:bCs/>
          <w:color w:val="auto"/>
          <w:highlight w:val="none"/>
        </w:rPr>
        <w:t>2、工程获奖</w:t>
      </w:r>
    </w:p>
    <w:p w14:paraId="1CB7D24E">
      <w:pPr>
        <w:rPr>
          <w:rFonts w:ascii="宋体" w:hAnsi="宋体"/>
          <w:color w:val="auto"/>
          <w:highlight w:val="none"/>
        </w:rPr>
      </w:pPr>
      <w:r>
        <w:rPr>
          <w:rFonts w:hint="eastAsia" w:ascii="宋体" w:hAnsi="宋体"/>
          <w:color w:val="auto"/>
          <w:highlight w:val="none"/>
        </w:rPr>
        <w:t>2</w:t>
      </w:r>
      <w:r>
        <w:rPr>
          <w:rFonts w:ascii="宋体" w:hAnsi="宋体"/>
          <w:color w:val="auto"/>
          <w:highlight w:val="none"/>
        </w:rPr>
        <w:t>.1</w:t>
      </w:r>
      <w:r>
        <w:rPr>
          <w:rFonts w:hint="eastAsia" w:ascii="宋体" w:hAnsi="宋体"/>
          <w:color w:val="auto"/>
          <w:highlight w:val="none"/>
        </w:rPr>
        <w:t>施工获奖</w:t>
      </w:r>
    </w:p>
    <w:p w14:paraId="7D0C3954">
      <w:pPr>
        <w:widowControl/>
        <w:shd w:val="clear" w:color="auto" w:fill="FFFFFF"/>
        <w:spacing w:after="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1）工程获奖可取自广州市住建行业信用管理平台或提供获奖证书扫描件。①国家级工程质量奖项指的是中国建设工程鲁班奖、国家优质工程金奖、国家优质工程奖、中国土木工程詹天佑奖；省或市级奖项包括：由省、市级建设行政主管部门或行业协会（行业协会须在民政部门取得成立登记批准）颁发的质量类工程奖项，其它如安全文明、绿色施工、技术创新、QC成果、装修、钢结构、机电安装、科技进步及技术应用类奖项不参与计分；②只计算房建类工程质量奖项，其他非房建项目，如：路桥、铁路、水利、电力、化工、冶金、市政等获奖不参与计分。同一项目获得多个奖项的，该项目获奖只按其中一个奖项所在最高级别计算一次分数，不得重复计算。</w:t>
      </w:r>
    </w:p>
    <w:p w14:paraId="3360CCD2">
      <w:pPr>
        <w:widowControl/>
        <w:shd w:val="clear" w:color="auto" w:fill="FFFFFF"/>
        <w:spacing w:after="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2）投标人须提交获奖证书扫描件或广州市住建行业信用管理平台的网页信息截图（网页信息截图须能清晰显示带有“住建行业信用管理平台”名称，并至少包含“项目基本信息”、“奖项信息”等信息），时间以获奖证书颁发时间为准，并加盖投标人电子印章，不符合上述条件不予评审。</w:t>
      </w:r>
    </w:p>
    <w:p w14:paraId="46D101C0">
      <w:pPr>
        <w:widowControl/>
        <w:jc w:val="left"/>
        <w:rPr>
          <w:color w:val="auto"/>
          <w:highlight w:val="none"/>
        </w:rPr>
      </w:pPr>
      <w:r>
        <w:rPr>
          <w:rFonts w:hint="eastAsia" w:ascii="宋体" w:hAnsi="宋体" w:cs="宋体"/>
          <w:color w:val="auto"/>
          <w:kern w:val="2"/>
          <w:szCs w:val="21"/>
          <w:highlight w:val="none"/>
          <w:shd w:val="clear" w:color="auto" w:fill="FFFFFF"/>
          <w:lang w:bidi="ar"/>
        </w:rPr>
        <w:t>（3）投标人须为该获奖项目的施工总承包单位，须提供相关证明材料（如施工合同、业主证明、评审申请材料、批复文件、竣工验收文件等）体现其为施工总承包单位身份，否则不予计分。</w:t>
      </w:r>
    </w:p>
    <w:p w14:paraId="1E7EF656">
      <w:pPr>
        <w:rPr>
          <w:rFonts w:ascii="宋体" w:hAnsi="宋体"/>
          <w:color w:val="auto"/>
          <w:highlight w:val="none"/>
        </w:rPr>
      </w:pPr>
      <w:r>
        <w:rPr>
          <w:rFonts w:hint="eastAsia" w:ascii="宋体" w:hAnsi="宋体"/>
          <w:color w:val="auto"/>
          <w:highlight w:val="none"/>
        </w:rPr>
        <w:t>2</w:t>
      </w:r>
      <w:r>
        <w:rPr>
          <w:rFonts w:ascii="宋体" w:hAnsi="宋体"/>
          <w:color w:val="auto"/>
          <w:highlight w:val="none"/>
        </w:rPr>
        <w:t>.2</w:t>
      </w:r>
      <w:r>
        <w:rPr>
          <w:rFonts w:hint="eastAsia" w:ascii="宋体" w:hAnsi="宋体"/>
          <w:color w:val="auto"/>
          <w:highlight w:val="none"/>
        </w:rPr>
        <w:t>设计获奖</w:t>
      </w:r>
    </w:p>
    <w:p w14:paraId="338C187B">
      <w:pPr>
        <w:spacing w:after="0"/>
        <w:rPr>
          <w:rFonts w:hint="eastAsia" w:ascii="宋体" w:hAnsi="宋体"/>
          <w:strike/>
          <w:color w:val="auto"/>
          <w:highlight w:val="none"/>
        </w:rPr>
      </w:pPr>
      <w:r>
        <w:rPr>
          <w:rFonts w:hint="eastAsia" w:ascii="宋体" w:hAnsi="宋体"/>
          <w:strike/>
          <w:color w:val="auto"/>
          <w:highlight w:val="none"/>
        </w:rPr>
        <w:t>（1）本项最多计算12个奖项。</w:t>
      </w:r>
    </w:p>
    <w:p w14:paraId="505C5737">
      <w:pPr>
        <w:spacing w:after="0"/>
        <w:rPr>
          <w:rFonts w:hint="eastAsia" w:ascii="宋体" w:hAnsi="宋体" w:cs="Times New Roman"/>
          <w:color w:val="auto"/>
          <w:highlight w:val="none"/>
        </w:rPr>
      </w:pPr>
      <w:r>
        <w:rPr>
          <w:rFonts w:hint="eastAsia" w:ascii="宋体" w:hAnsi="宋体"/>
          <w:color w:val="auto"/>
          <w:highlight w:val="none"/>
        </w:rPr>
        <w:t>（2）①</w:t>
      </w:r>
      <w:r>
        <w:rPr>
          <w:rFonts w:hint="eastAsia" w:ascii="宋体" w:hAnsi="宋体" w:cs="Times New Roman"/>
          <w:color w:val="auto"/>
          <w:highlight w:val="none"/>
        </w:rPr>
        <w:t>国家级奖项：由国务院颁发的国家科学技术奖、由住建部颁发的全国优秀工程勘察设计奖、住建部的华夏建设科学技术奖励委员会颁发的华夏建设科学技术奖、中国勘察设计协会颁发的全国优秀工程勘察设计行业奖；②省级奖项：省级（或直辖市）人民政府颁发的省（或直辖市）科学技术奖、省级（或直辖市）建设行政主管部门及省级（或直辖市）工程勘察设计行业协会颁发的省级（或直辖市）优秀勘察设计奖；③市级奖项：市级(含副省级)建设行政主管部门或市级(含副省级)工程勘察设计行业协会颁发的“优秀工程勘察设计奖”、市级(含副省级)人民政府颁发的“市(含副省级)科学技术奖”。</w:t>
      </w:r>
    </w:p>
    <w:p w14:paraId="7A5DB900">
      <w:pPr>
        <w:spacing w:after="0"/>
        <w:rPr>
          <w:rFonts w:hint="eastAsia" w:ascii="宋体" w:hAnsi="宋体" w:cs="Times New Roman"/>
          <w:color w:val="auto"/>
          <w:highlight w:val="none"/>
        </w:rPr>
      </w:pPr>
      <w:r>
        <w:rPr>
          <w:rFonts w:hint="eastAsia" w:ascii="宋体" w:hAnsi="宋体" w:cs="Times New Roman"/>
          <w:color w:val="auto"/>
          <w:highlight w:val="none"/>
        </w:rPr>
        <w:t>（3）需提供获奖证书原件扫描件及该获奖工程在“全国建筑市场监管公共服务平台”的网页信息截图。不符合上述条件或上述资料相关信息不一致或提供的资料不齐全的获奖不予评审。评标委员会对获奖业绩的评审以投标人提供的完整的证明资料为依据。</w:t>
      </w:r>
    </w:p>
    <w:p w14:paraId="06356EEC">
      <w:pPr>
        <w:rPr>
          <w:rFonts w:ascii="宋体" w:hAnsi="宋体"/>
          <w:color w:val="auto"/>
          <w:highlight w:val="none"/>
        </w:rPr>
      </w:pPr>
      <w:r>
        <w:rPr>
          <w:rFonts w:hint="eastAsia" w:ascii="宋体" w:hAnsi="宋体" w:cs="Times New Roman"/>
          <w:color w:val="auto"/>
          <w:highlight w:val="none"/>
        </w:rPr>
        <w:t>（4）同一项目获多个奖项的，按最高级别只计一次得分，时间以获奖证书落款时间为准。</w:t>
      </w:r>
    </w:p>
    <w:p w14:paraId="468F9612">
      <w:pPr>
        <w:rPr>
          <w:rFonts w:ascii="宋体" w:hAnsi="宋体"/>
          <w:b/>
          <w:bCs/>
          <w:color w:val="auto"/>
          <w:highlight w:val="none"/>
        </w:rPr>
      </w:pPr>
      <w:r>
        <w:rPr>
          <w:rFonts w:hint="eastAsia" w:ascii="宋体" w:hAnsi="宋体"/>
          <w:b/>
          <w:bCs/>
          <w:color w:val="auto"/>
          <w:highlight w:val="none"/>
        </w:rPr>
        <w:t>3、</w:t>
      </w:r>
      <w:r>
        <w:rPr>
          <w:rFonts w:ascii="宋体" w:hAnsi="宋体"/>
          <w:b/>
          <w:bCs/>
          <w:color w:val="auto"/>
          <w:highlight w:val="none"/>
        </w:rPr>
        <w:t>工程研发能力</w:t>
      </w:r>
    </w:p>
    <w:p w14:paraId="684C81F3">
      <w:pPr>
        <w:rPr>
          <w:rFonts w:ascii="宋体" w:hAnsi="宋体"/>
          <w:color w:val="auto"/>
          <w:highlight w:val="none"/>
        </w:rPr>
      </w:pPr>
      <w:r>
        <w:rPr>
          <w:rFonts w:hint="eastAsia" w:ascii="宋体" w:hAnsi="宋体"/>
          <w:color w:val="auto"/>
          <w:highlight w:val="none"/>
        </w:rPr>
        <w:t>3</w:t>
      </w:r>
      <w:r>
        <w:rPr>
          <w:rFonts w:ascii="宋体" w:hAnsi="宋体"/>
          <w:color w:val="auto"/>
          <w:highlight w:val="none"/>
        </w:rPr>
        <w:t>.1</w:t>
      </w:r>
      <w:r>
        <w:rPr>
          <w:rFonts w:hint="eastAsia"/>
          <w:color w:val="auto"/>
          <w:highlight w:val="none"/>
        </w:rPr>
        <w:t>科学技术类奖项</w:t>
      </w:r>
      <w:r>
        <w:rPr>
          <w:rFonts w:hint="eastAsia" w:ascii="宋体" w:hAnsi="宋体"/>
          <w:color w:val="auto"/>
          <w:highlight w:val="none"/>
        </w:rPr>
        <w:t>：包括国家级证书须为中华人民共和国国务院颁发或国家级行业协会（或学会）颁发的科学技术进步奖或科技进步奖或科学技术奖项，省级或市级证书须为省级或市级人民政府颁发或省级或市级行业协会颁发的科学技术进步奖或科技进步奖或科学技术奖项；须提供获奖证书扫描件，</w:t>
      </w:r>
      <w:r>
        <w:rPr>
          <w:rFonts w:hint="eastAsia" w:ascii="宋体" w:hAnsi="宋体" w:cs="宋体"/>
          <w:color w:val="auto"/>
          <w:szCs w:val="21"/>
          <w:highlight w:val="none"/>
          <w:shd w:val="clear" w:color="auto" w:fill="FFFFFF"/>
          <w:lang w:bidi="ar"/>
        </w:rPr>
        <w:t>并同时提供获奖证书对应的科学技术成果鉴定证书等能证明其科技成果应用于投标人房建项目的证明材料扫描件；</w:t>
      </w:r>
      <w:r>
        <w:rPr>
          <w:rFonts w:hint="eastAsia" w:ascii="宋体" w:hAnsi="宋体"/>
          <w:color w:val="auto"/>
          <w:highlight w:val="none"/>
        </w:rPr>
        <w:t>同一项目获不同奖仅计最高获奖得分，时间以获奖证书落款日期为准。</w:t>
      </w:r>
    </w:p>
    <w:p w14:paraId="7864B0F1">
      <w:pPr>
        <w:rPr>
          <w:rFonts w:ascii="宋体" w:hAnsi="宋体"/>
          <w:color w:val="auto"/>
          <w:highlight w:val="none"/>
        </w:rPr>
      </w:pPr>
      <w:r>
        <w:rPr>
          <w:rFonts w:hint="eastAsia" w:ascii="宋体" w:hAnsi="宋体"/>
          <w:color w:val="auto"/>
          <w:highlight w:val="none"/>
        </w:rPr>
        <w:t>3.2建筑工程类国家行业技术标准以中华人民共和国住房和城乡建设部发布的技术标准为准，省级行业技术标准以省级住建部门发布的技术标准为准，市级行业技术标准以市级住建部门发布的技术标准为准；时间以标准实施日期为准。需提供包括标准名称、编号、实施时间、发布机构、目录及体现投标人作为参与编制单位等内容的关键页扫描件，否则不得分。投标人参编多个技术标准的，本项只按技术标准的发布单位最高级别计算一次分数，不得重复计算。</w:t>
      </w:r>
    </w:p>
    <w:p w14:paraId="3C366060">
      <w:pPr>
        <w:rPr>
          <w:rFonts w:ascii="宋体" w:hAnsi="宋体"/>
          <w:b/>
          <w:bCs/>
          <w:color w:val="auto"/>
          <w:highlight w:val="none"/>
        </w:rPr>
      </w:pPr>
      <w:r>
        <w:rPr>
          <w:rFonts w:hint="eastAsia" w:ascii="宋体" w:hAnsi="宋体"/>
          <w:b/>
          <w:bCs/>
          <w:color w:val="auto"/>
          <w:highlight w:val="none"/>
        </w:rPr>
        <w:t>4、</w:t>
      </w:r>
      <w:r>
        <w:rPr>
          <w:rFonts w:ascii="宋体" w:hAnsi="宋体"/>
          <w:b/>
          <w:bCs/>
          <w:color w:val="auto"/>
          <w:highlight w:val="none"/>
        </w:rPr>
        <w:t>第三方评价</w:t>
      </w:r>
      <w:r>
        <w:rPr>
          <w:rFonts w:hint="eastAsia" w:ascii="宋体" w:hAnsi="宋体"/>
          <w:b/>
          <w:bCs/>
          <w:color w:val="auto"/>
          <w:highlight w:val="none"/>
        </w:rPr>
        <w:t>：</w:t>
      </w:r>
    </w:p>
    <w:p w14:paraId="65FC465E">
      <w:pPr>
        <w:rPr>
          <w:rFonts w:hint="eastAsia" w:ascii="宋体" w:hAnsi="宋体"/>
          <w:color w:val="auto"/>
          <w:highlight w:val="none"/>
        </w:rPr>
      </w:pPr>
      <w:r>
        <w:rPr>
          <w:rFonts w:hint="eastAsia" w:ascii="宋体" w:hAnsi="宋体"/>
          <w:color w:val="auto"/>
          <w:highlight w:val="none"/>
        </w:rPr>
        <w:t>4.1最高等级企业信用等级评价：①以工程施工相关的国家级行业协会颁发的企业信用等级证书为准，且证书在有效期内；同一年度获得一个或多个企业信用等级证书只计算一个年度获奖，时间以证书的发证时间为准（如投标截止前证书复评通过但未发证，可以公示文件时间计算年度时间，但不含初评通过的）。企业获评等级级别判定以评价证书颁发协会相关评价办法为准，需提供评价证书颁发协会官方网站发布评价办法的网页链接或评价办法官方红头文件扫描件。否则不予计分。</w:t>
      </w:r>
    </w:p>
    <w:p w14:paraId="136E53F6">
      <w:pPr>
        <w:rPr>
          <w:rFonts w:hint="eastAsia"/>
          <w:color w:val="auto"/>
          <w:highlight w:val="none"/>
        </w:rPr>
      </w:pPr>
      <w:r>
        <w:rPr>
          <w:rFonts w:hint="eastAsia"/>
          <w:color w:val="auto"/>
          <w:highlight w:val="none"/>
        </w:rPr>
        <w:t>②投标人须提供证书扫描件及颁发协会网站查询结果截图及网址</w:t>
      </w:r>
      <w:r>
        <w:rPr>
          <w:rFonts w:hint="eastAsia" w:ascii="宋体" w:hAnsi="宋体"/>
          <w:color w:val="auto"/>
          <w:highlight w:val="none"/>
        </w:rPr>
        <w:t>（如投标截止前证书复评通过但未发证，可提供公示文件及其网址）</w:t>
      </w:r>
      <w:r>
        <w:rPr>
          <w:rFonts w:hint="eastAsia"/>
          <w:color w:val="auto"/>
          <w:highlight w:val="none"/>
        </w:rPr>
        <w:t>，上述资料显示的企业全称须与投标人单位全称一致。</w:t>
      </w:r>
    </w:p>
    <w:p w14:paraId="1A03C3C2">
      <w:pPr>
        <w:pStyle w:val="2"/>
        <w:rPr>
          <w:color w:val="auto"/>
          <w:highlight w:val="none"/>
          <w:lang w:val="en-US"/>
        </w:rPr>
      </w:pPr>
      <w:r>
        <w:rPr>
          <w:rFonts w:hint="eastAsia"/>
          <w:color w:val="auto"/>
          <w:highlight w:val="none"/>
          <w:lang w:val="en-US"/>
        </w:rPr>
        <w:t>4.2</w:t>
      </w:r>
      <w:r>
        <w:rPr>
          <w:rFonts w:hint="eastAsia" w:cs="宋体"/>
          <w:bCs/>
          <w:color w:val="auto"/>
          <w:kern w:val="2"/>
          <w:sz w:val="21"/>
          <w:szCs w:val="21"/>
          <w:highlight w:val="none"/>
          <w:shd w:val="clear" w:color="auto" w:fill="FFFFFF"/>
          <w:lang w:val="en-US" w:bidi="ar"/>
        </w:rPr>
        <w:t>科技创新企业类证书须提供网上查询获奖名单公示或公布截图（须由建设行政主管部门或行业协会或学会颁发）以及获奖证书的扫描件（证书获奖单位必须与投标单位名称一致，不包含上级公司、子分公司及区域公司），同一年度获得一个或多个科技创新企业类证书只计算一个年度获奖</w:t>
      </w:r>
      <w:r>
        <w:rPr>
          <w:rFonts w:hint="eastAsia"/>
          <w:color w:val="auto"/>
          <w:highlight w:val="none"/>
        </w:rPr>
        <w:t>，</w:t>
      </w:r>
      <w:r>
        <w:rPr>
          <w:rFonts w:hint="eastAsia" w:cs="宋体"/>
          <w:bCs/>
          <w:color w:val="auto"/>
          <w:kern w:val="2"/>
          <w:sz w:val="21"/>
          <w:szCs w:val="21"/>
          <w:highlight w:val="none"/>
          <w:shd w:val="clear" w:color="auto" w:fill="FFFFFF"/>
          <w:lang w:val="en-US" w:bidi="ar"/>
        </w:rPr>
        <w:t>时间以网上查询结果截图或证书载明的年度为准。</w:t>
      </w:r>
    </w:p>
    <w:p w14:paraId="5141E8AC">
      <w:pPr>
        <w:rPr>
          <w:rFonts w:ascii="宋体" w:hAnsi="宋体"/>
          <w:color w:val="auto"/>
          <w:highlight w:val="none"/>
        </w:rPr>
      </w:pPr>
      <w:r>
        <w:rPr>
          <w:rFonts w:hint="eastAsia" w:ascii="宋体" w:hAnsi="宋体"/>
          <w:b/>
          <w:bCs/>
          <w:color w:val="auto"/>
          <w:highlight w:val="none"/>
        </w:rPr>
        <w:t>5 项目管理机构能力</w:t>
      </w:r>
      <w:r>
        <w:rPr>
          <w:rFonts w:hint="eastAsia" w:ascii="宋体" w:hAnsi="宋体"/>
          <w:color w:val="auto"/>
          <w:highlight w:val="none"/>
        </w:rPr>
        <w:t>：</w:t>
      </w:r>
    </w:p>
    <w:p w14:paraId="5F1EC29A">
      <w:pPr>
        <w:rPr>
          <w:rFonts w:ascii="宋体" w:hAnsi="宋体"/>
          <w:color w:val="auto"/>
          <w:highlight w:val="none"/>
        </w:rPr>
      </w:pPr>
      <w:r>
        <w:rPr>
          <w:rFonts w:hint="eastAsia" w:ascii="宋体" w:hAnsi="宋体"/>
          <w:color w:val="auto"/>
          <w:highlight w:val="none"/>
        </w:rPr>
        <w:t>5.1项目管理机构人员仅指注册在本公司人员，不含子公司人员，如投标申请人为集团公司，则不含其集团下属的子公司人员。项目管理机构人员不能兼任，不重复计算得分。</w:t>
      </w:r>
    </w:p>
    <w:p w14:paraId="19D7B10E">
      <w:pPr>
        <w:rPr>
          <w:rFonts w:hint="eastAsia" w:ascii="宋体" w:hAnsi="宋体"/>
          <w:color w:val="auto"/>
          <w:highlight w:val="none"/>
        </w:rPr>
      </w:pPr>
      <w:r>
        <w:rPr>
          <w:rFonts w:hint="eastAsia" w:ascii="宋体" w:hAnsi="宋体"/>
          <w:color w:val="auto"/>
          <w:highlight w:val="none"/>
        </w:rPr>
        <w:t>5.2项目管理机构人员须提供相对应的职称证（如有）、资格证（如有）、注册证（如有）等证书。原注册造价工程师自动划分为一级注册造价工程师，详见住房和城乡建设部关于修改《工程造价咨询企业管理办法》《注册造价工程师管理办法》的决定（中华人民共和国住房和城乡建设部令第50号）。</w:t>
      </w:r>
    </w:p>
    <w:p w14:paraId="23E17B50">
      <w:pPr>
        <w:rPr>
          <w:rFonts w:hint="eastAsia" w:ascii="宋体" w:hAnsi="宋体"/>
          <w:color w:val="auto"/>
          <w:highlight w:val="none"/>
        </w:rPr>
      </w:pPr>
      <w:r>
        <w:rPr>
          <w:rFonts w:hint="eastAsia" w:ascii="宋体" w:hAnsi="宋体"/>
          <w:color w:val="auto"/>
          <w:highlight w:val="none"/>
        </w:rPr>
        <w:t>5.3所有人员应提供近1个月（202</w:t>
      </w:r>
      <w:r>
        <w:rPr>
          <w:rFonts w:hint="eastAsia" w:ascii="宋体" w:hAnsi="宋体"/>
          <w:color w:val="auto"/>
          <w:highlight w:val="none"/>
          <w:lang w:eastAsia="zh-CN"/>
        </w:rPr>
        <w:t>5</w:t>
      </w:r>
      <w:r>
        <w:rPr>
          <w:rFonts w:hint="eastAsia" w:ascii="宋体" w:hAnsi="宋体"/>
          <w:color w:val="auto"/>
          <w:highlight w:val="none"/>
        </w:rPr>
        <w:t>年</w:t>
      </w:r>
      <w:r>
        <w:rPr>
          <w:rFonts w:hint="eastAsia" w:ascii="宋体" w:hAnsi="宋体"/>
          <w:color w:val="auto"/>
          <w:highlight w:val="none"/>
          <w:lang w:eastAsia="zh-CN"/>
        </w:rPr>
        <w:t>2</w:t>
      </w:r>
      <w:r>
        <w:rPr>
          <w:rFonts w:hint="eastAsia" w:ascii="宋体" w:hAnsi="宋体"/>
          <w:color w:val="auto"/>
          <w:highlight w:val="none"/>
        </w:rPr>
        <w:t>月），由社保行政主管部门出具的社保证明资料原件扫描件。</w:t>
      </w:r>
    </w:p>
    <w:p w14:paraId="5FC99045">
      <w:pPr>
        <w:pStyle w:val="2"/>
        <w:rPr>
          <w:b/>
          <w:bCs/>
          <w:color w:val="auto"/>
          <w:sz w:val="21"/>
          <w:szCs w:val="21"/>
          <w:highlight w:val="none"/>
          <w:lang w:val="en-US"/>
        </w:rPr>
      </w:pPr>
      <w:r>
        <w:rPr>
          <w:rFonts w:hint="eastAsia"/>
          <w:b/>
          <w:bCs/>
          <w:color w:val="auto"/>
          <w:sz w:val="21"/>
          <w:szCs w:val="21"/>
          <w:highlight w:val="none"/>
          <w:lang w:val="en-US"/>
        </w:rPr>
        <w:t>6.</w:t>
      </w:r>
      <w:r>
        <w:rPr>
          <w:rFonts w:hint="eastAsia"/>
          <w:b/>
          <w:bCs/>
          <w:color w:val="auto"/>
          <w:sz w:val="21"/>
          <w:szCs w:val="21"/>
          <w:highlight w:val="none"/>
        </w:rPr>
        <w:t>行业</w:t>
      </w:r>
      <w:r>
        <w:rPr>
          <w:rFonts w:hint="eastAsia"/>
          <w:b/>
          <w:bCs/>
          <w:color w:val="auto"/>
          <w:sz w:val="21"/>
          <w:szCs w:val="21"/>
          <w:highlight w:val="none"/>
          <w:lang w:val="en-US"/>
        </w:rPr>
        <w:t>（</w:t>
      </w:r>
      <w:r>
        <w:rPr>
          <w:rFonts w:hint="eastAsia"/>
          <w:b/>
          <w:bCs/>
          <w:color w:val="auto"/>
          <w:sz w:val="21"/>
          <w:szCs w:val="21"/>
          <w:highlight w:val="none"/>
        </w:rPr>
        <w:t>或学会</w:t>
      </w:r>
      <w:r>
        <w:rPr>
          <w:rFonts w:hint="eastAsia"/>
          <w:b/>
          <w:bCs/>
          <w:color w:val="auto"/>
          <w:sz w:val="21"/>
          <w:szCs w:val="21"/>
          <w:highlight w:val="none"/>
          <w:lang w:val="en-US"/>
        </w:rPr>
        <w:t>）</w:t>
      </w:r>
      <w:r>
        <w:rPr>
          <w:rFonts w:hint="eastAsia"/>
          <w:b/>
          <w:bCs/>
          <w:color w:val="auto"/>
          <w:sz w:val="21"/>
          <w:szCs w:val="21"/>
          <w:highlight w:val="none"/>
        </w:rPr>
        <w:t>协会须经民政部门备案</w:t>
      </w:r>
      <w:r>
        <w:rPr>
          <w:rFonts w:hint="eastAsia"/>
          <w:b/>
          <w:bCs/>
          <w:color w:val="auto"/>
          <w:sz w:val="21"/>
          <w:szCs w:val="21"/>
          <w:highlight w:val="none"/>
          <w:lang w:val="en-US"/>
        </w:rPr>
        <w:t>，</w:t>
      </w:r>
      <w:r>
        <w:rPr>
          <w:rFonts w:hint="eastAsia"/>
          <w:b/>
          <w:bCs/>
          <w:color w:val="auto"/>
          <w:sz w:val="21"/>
          <w:szCs w:val="21"/>
          <w:highlight w:val="none"/>
        </w:rPr>
        <w:t>应同时提供其在</w:t>
      </w:r>
      <w:r>
        <w:rPr>
          <w:rFonts w:hint="eastAsia"/>
          <w:b/>
          <w:bCs/>
          <w:color w:val="auto"/>
          <w:sz w:val="21"/>
          <w:szCs w:val="21"/>
          <w:highlight w:val="none"/>
          <w:lang w:val="en-US"/>
        </w:rPr>
        <w:t>“</w:t>
      </w:r>
      <w:r>
        <w:rPr>
          <w:rFonts w:hint="eastAsia"/>
          <w:b/>
          <w:bCs/>
          <w:color w:val="auto"/>
          <w:sz w:val="21"/>
          <w:szCs w:val="21"/>
          <w:highlight w:val="none"/>
        </w:rPr>
        <w:t>中国社会组织政务服务平台</w:t>
      </w:r>
      <w:r>
        <w:rPr>
          <w:rFonts w:hint="eastAsia"/>
          <w:b/>
          <w:bCs/>
          <w:color w:val="auto"/>
          <w:sz w:val="21"/>
          <w:szCs w:val="21"/>
          <w:highlight w:val="none"/>
          <w:lang w:val="en-US"/>
        </w:rPr>
        <w:t>”</w:t>
      </w:r>
      <w:r>
        <w:rPr>
          <w:rFonts w:hint="eastAsia"/>
          <w:b/>
          <w:bCs/>
          <w:color w:val="auto"/>
          <w:sz w:val="21"/>
          <w:szCs w:val="21"/>
          <w:highlight w:val="none"/>
        </w:rPr>
        <w:t>网站</w:t>
      </w:r>
      <w:r>
        <w:rPr>
          <w:rFonts w:hint="eastAsia"/>
          <w:b/>
          <w:bCs/>
          <w:color w:val="auto"/>
          <w:sz w:val="21"/>
          <w:szCs w:val="21"/>
          <w:highlight w:val="none"/>
          <w:lang w:val="en-US"/>
        </w:rPr>
        <w:t>https://chinanpo.mca.gov.cn/)</w:t>
      </w:r>
      <w:r>
        <w:rPr>
          <w:rFonts w:hint="eastAsia"/>
          <w:b/>
          <w:bCs/>
          <w:color w:val="auto"/>
          <w:sz w:val="21"/>
          <w:szCs w:val="21"/>
          <w:highlight w:val="none"/>
        </w:rPr>
        <w:t>查询结果的网页信息截图</w:t>
      </w:r>
      <w:r>
        <w:rPr>
          <w:rFonts w:hint="eastAsia"/>
          <w:b/>
          <w:bCs/>
          <w:color w:val="auto"/>
          <w:sz w:val="21"/>
          <w:szCs w:val="21"/>
          <w:highlight w:val="none"/>
          <w:lang w:val="en-US"/>
        </w:rPr>
        <w:t>，</w:t>
      </w:r>
      <w:r>
        <w:rPr>
          <w:rFonts w:hint="eastAsia"/>
          <w:b/>
          <w:bCs/>
          <w:color w:val="auto"/>
          <w:sz w:val="21"/>
          <w:szCs w:val="21"/>
          <w:highlight w:val="none"/>
        </w:rPr>
        <w:t>只计算投标人自身</w:t>
      </w:r>
      <w:r>
        <w:rPr>
          <w:rFonts w:hint="eastAsia"/>
          <w:b/>
          <w:bCs/>
          <w:color w:val="auto"/>
          <w:sz w:val="21"/>
          <w:szCs w:val="21"/>
          <w:highlight w:val="none"/>
          <w:lang w:val="en-US"/>
        </w:rPr>
        <w:t>，</w:t>
      </w:r>
      <w:r>
        <w:rPr>
          <w:rFonts w:hint="eastAsia"/>
          <w:b/>
          <w:bCs/>
          <w:color w:val="auto"/>
          <w:sz w:val="21"/>
          <w:szCs w:val="21"/>
          <w:highlight w:val="none"/>
        </w:rPr>
        <w:t>不计算投标人的子公司、分公司及分支机构。否则该项不得分。</w:t>
      </w:r>
    </w:p>
    <w:p w14:paraId="68F48577">
      <w:pPr>
        <w:rPr>
          <w:rFonts w:ascii="宋体" w:hAnsi="宋体"/>
          <w:color w:val="auto"/>
          <w:highlight w:val="none"/>
        </w:rPr>
      </w:pPr>
      <w:r>
        <w:rPr>
          <w:rFonts w:hint="eastAsia" w:ascii="宋体" w:hAnsi="宋体"/>
          <w:color w:val="auto"/>
          <w:highlight w:val="none"/>
        </w:rPr>
        <w:t>7.</w:t>
      </w:r>
      <w:r>
        <w:rPr>
          <w:rFonts w:hint="eastAsia" w:ascii="宋体" w:hAnsi="宋体"/>
          <w:color w:val="auto"/>
          <w:highlight w:val="none"/>
          <w:lang w:val="zh-CN"/>
        </w:rPr>
        <w:t>本评分表中所需要的证明材料可为原件扫描件（或复印件）、网页截图（或</w:t>
      </w:r>
      <w:r>
        <w:rPr>
          <w:rFonts w:hint="eastAsia" w:ascii="宋体" w:hAnsi="宋体"/>
          <w:color w:val="auto"/>
          <w:highlight w:val="none"/>
        </w:rPr>
        <w:t>查询页面</w:t>
      </w:r>
      <w:r>
        <w:rPr>
          <w:rFonts w:hint="eastAsia" w:ascii="宋体" w:hAnsi="宋体"/>
          <w:color w:val="auto"/>
          <w:highlight w:val="none"/>
          <w:lang w:val="zh-CN"/>
        </w:rPr>
        <w:t>）打印件、电子版证书文件等投标人认为应提供的资料，投标人提供的证明材料必须加盖投标人（</w:t>
      </w:r>
      <w:r>
        <w:rPr>
          <w:rFonts w:hint="eastAsia" w:ascii="宋体" w:hAnsi="宋体"/>
          <w:color w:val="auto"/>
          <w:highlight w:val="none"/>
        </w:rPr>
        <w:t>若为联合体投标，指联合体主办方</w:t>
      </w:r>
      <w:r>
        <w:rPr>
          <w:rFonts w:hint="eastAsia" w:ascii="宋体" w:hAnsi="宋体"/>
          <w:color w:val="auto"/>
          <w:highlight w:val="none"/>
          <w:lang w:val="zh-CN"/>
        </w:rPr>
        <w:t>）电子印章且内容必须清晰可辨，如因提供证明资料内容模糊或不全导致评标时无法判断或辨认的，视为证明资料不提供或提供不完整或提供不符合要求，该评分项不得分。</w:t>
      </w:r>
    </w:p>
    <w:p w14:paraId="27947A65">
      <w:pPr>
        <w:rPr>
          <w:rFonts w:ascii="宋体" w:hAnsi="宋体"/>
          <w:color w:val="auto"/>
          <w:highlight w:val="none"/>
          <w:lang w:val="zh-CN"/>
        </w:rPr>
      </w:pPr>
      <w:r>
        <w:rPr>
          <w:rFonts w:hint="eastAsia" w:ascii="宋体" w:hAnsi="宋体"/>
          <w:color w:val="auto"/>
          <w:highlight w:val="none"/>
        </w:rPr>
        <w:t>8.中标单位需准备投标文件涉及的所有原件待查，如原件不齐或与原件不符的，招标人有权认为其中标无效并将相关情况上报给有关行政监督部门，由有关行政监督部门按照情节严重程度予以相应处罚。</w:t>
      </w:r>
    </w:p>
    <w:p w14:paraId="21EAA705">
      <w:pPr>
        <w:pStyle w:val="35"/>
        <w:ind w:left="0" w:leftChars="0" w:firstLine="0" w:firstLineChars="0"/>
        <w:rPr>
          <w:color w:val="auto"/>
          <w:highlight w:val="none"/>
          <w:lang w:eastAsia="zh-CN"/>
        </w:rPr>
      </w:pPr>
      <w:r>
        <w:rPr>
          <w:rFonts w:hint="eastAsia" w:ascii="宋体" w:hAnsi="宋体"/>
          <w:color w:val="auto"/>
          <w:highlight w:val="none"/>
          <w:lang w:eastAsia="zh-CN"/>
        </w:rPr>
        <w:t>9.所有评委分数汇总后的算术平均值为投标人的最终得分。分数出现小数点，保留小数点后二位小数，第三位小数四舍五入。</w:t>
      </w:r>
    </w:p>
    <w:p w14:paraId="39A1D5BD">
      <w:pPr>
        <w:ind w:firstLine="480" w:firstLineChars="200"/>
        <w:rPr>
          <w:rFonts w:ascii="宋体" w:hAnsi="宋体"/>
          <w:color w:val="auto"/>
          <w:highlight w:val="none"/>
        </w:rPr>
      </w:pPr>
      <w:r>
        <w:rPr>
          <w:rFonts w:hint="eastAsia" w:ascii="宋体" w:hAnsi="宋体" w:cs="宋体"/>
          <w:color w:val="auto"/>
          <w:sz w:val="24"/>
          <w:highlight w:val="none"/>
        </w:rPr>
        <w:t>评委签名：                                                 日期：       年    月   日</w:t>
      </w:r>
    </w:p>
    <w:p w14:paraId="7AE1FF90">
      <w:pPr>
        <w:rPr>
          <w:rFonts w:ascii="宋体" w:hAnsi="宋体"/>
          <w:color w:val="auto"/>
          <w:highlight w:val="none"/>
        </w:rPr>
        <w:sectPr>
          <w:headerReference r:id="rId16" w:type="default"/>
          <w:footerReference r:id="rId17" w:type="default"/>
          <w:pgSz w:w="16840" w:h="11907" w:orient="landscape"/>
          <w:pgMar w:top="1134" w:right="1134" w:bottom="1134" w:left="1134" w:header="851" w:footer="720" w:gutter="0"/>
          <w:cols w:space="720" w:num="1"/>
        </w:sectPr>
      </w:pPr>
    </w:p>
    <w:p w14:paraId="621C4EE1">
      <w:pPr>
        <w:spacing w:line="360" w:lineRule="auto"/>
        <w:rPr>
          <w:rFonts w:ascii="宋体" w:hAnsi="宋体" w:cs="宋体"/>
          <w:b/>
          <w:color w:val="auto"/>
          <w:kern w:val="1"/>
          <w:sz w:val="24"/>
          <w:highlight w:val="none"/>
        </w:rPr>
      </w:pPr>
      <w:r>
        <w:rPr>
          <w:rFonts w:hint="eastAsia" w:ascii="宋体" w:hAnsi="宋体" w:cs="宋体"/>
          <w:b/>
          <w:color w:val="auto"/>
          <w:kern w:val="1"/>
          <w:sz w:val="24"/>
          <w:highlight w:val="none"/>
        </w:rPr>
        <w:t>附表7</w:t>
      </w:r>
    </w:p>
    <w:p w14:paraId="1DB0758F">
      <w:pPr>
        <w:spacing w:before="120" w:line="360" w:lineRule="auto"/>
        <w:jc w:val="center"/>
        <w:rPr>
          <w:rFonts w:ascii="宋体" w:hAnsi="宋体" w:cs="宋体"/>
          <w:b/>
          <w:color w:val="auto"/>
          <w:kern w:val="1"/>
          <w:sz w:val="28"/>
          <w:szCs w:val="28"/>
          <w:highlight w:val="none"/>
        </w:rPr>
      </w:pPr>
      <w:bookmarkStart w:id="383" w:name="_Hlk69827077"/>
      <w:r>
        <w:rPr>
          <w:rFonts w:hint="eastAsia" w:ascii="宋体" w:hAnsi="宋体" w:cs="宋体"/>
          <w:b/>
          <w:color w:val="auto"/>
          <w:kern w:val="1"/>
          <w:sz w:val="28"/>
          <w:szCs w:val="28"/>
          <w:highlight w:val="none"/>
        </w:rPr>
        <w:t>建安工程费</w:t>
      </w:r>
      <w:bookmarkEnd w:id="383"/>
      <w:r>
        <w:rPr>
          <w:rFonts w:hint="eastAsia" w:ascii="宋体" w:hAnsi="宋体" w:cs="宋体"/>
          <w:b/>
          <w:color w:val="auto"/>
          <w:kern w:val="1"/>
          <w:sz w:val="28"/>
          <w:szCs w:val="28"/>
          <w:highlight w:val="none"/>
        </w:rPr>
        <w:t>投标报价综合评分表</w:t>
      </w:r>
    </w:p>
    <w:p w14:paraId="47C3DB22">
      <w:pPr>
        <w:spacing w:line="360" w:lineRule="auto"/>
        <w:jc w:val="left"/>
        <w:rPr>
          <w:rFonts w:ascii="宋体" w:hAnsi="宋体" w:cs="宋体"/>
          <w:color w:val="auto"/>
          <w:kern w:val="1"/>
          <w:highlight w:val="none"/>
        </w:rPr>
      </w:pPr>
      <w:r>
        <w:rPr>
          <w:rFonts w:hint="eastAsia" w:ascii="宋体" w:hAnsi="宋体" w:cs="宋体"/>
          <w:color w:val="auto"/>
          <w:kern w:val="1"/>
          <w:highlight w:val="none"/>
        </w:rPr>
        <w:t>工程名称：</w:t>
      </w:r>
    </w:p>
    <w:tbl>
      <w:tblPr>
        <w:tblStyle w:val="36"/>
        <w:tblW w:w="9370" w:type="dxa"/>
        <w:tblInd w:w="0" w:type="dxa"/>
        <w:tblLayout w:type="fixed"/>
        <w:tblCellMar>
          <w:top w:w="0" w:type="dxa"/>
          <w:left w:w="108" w:type="dxa"/>
          <w:bottom w:w="0" w:type="dxa"/>
          <w:right w:w="108" w:type="dxa"/>
        </w:tblCellMar>
      </w:tblPr>
      <w:tblGrid>
        <w:gridCol w:w="3205"/>
        <w:gridCol w:w="1233"/>
        <w:gridCol w:w="1233"/>
        <w:gridCol w:w="1233"/>
        <w:gridCol w:w="1233"/>
        <w:gridCol w:w="1233"/>
      </w:tblGrid>
      <w:tr w14:paraId="345ED0A4">
        <w:tblPrEx>
          <w:tblCellMar>
            <w:top w:w="0" w:type="dxa"/>
            <w:left w:w="108" w:type="dxa"/>
            <w:bottom w:w="0" w:type="dxa"/>
            <w:right w:w="108" w:type="dxa"/>
          </w:tblCellMar>
        </w:tblPrEx>
        <w:trPr>
          <w:trHeight w:val="1158" w:hRule="atLeast"/>
        </w:trPr>
        <w:tc>
          <w:tcPr>
            <w:tcW w:w="3205" w:type="dxa"/>
            <w:tcBorders>
              <w:top w:val="single" w:color="000000" w:sz="4" w:space="0"/>
              <w:left w:val="single" w:color="000000" w:sz="4" w:space="0"/>
              <w:bottom w:val="single" w:color="000000" w:sz="4" w:space="0"/>
              <w:right w:val="single" w:color="000000" w:sz="4" w:space="0"/>
            </w:tcBorders>
            <w:noWrap w:val="0"/>
            <w:vAlign w:val="center"/>
          </w:tcPr>
          <w:p w14:paraId="6FE2AB17">
            <w:pPr>
              <w:keepNext w:val="0"/>
              <w:keepLines w:val="0"/>
              <w:suppressLineNumbers w:val="0"/>
              <w:tabs>
                <w:tab w:val="left" w:pos="0"/>
              </w:tabs>
              <w:spacing w:before="0" w:beforeAutospacing="0" w:after="0" w:afterAutospacing="0" w:line="360" w:lineRule="auto"/>
              <w:ind w:left="0" w:right="0"/>
              <w:jc w:val="center"/>
              <w:rPr>
                <w:rFonts w:hint="default" w:ascii="宋体" w:hAnsi="宋体" w:cs="宋体"/>
                <w:color w:val="auto"/>
                <w:kern w:val="2"/>
                <w:sz w:val="24"/>
                <w:highlight w:val="none"/>
              </w:rPr>
            </w:pPr>
            <w:r>
              <w:rPr>
                <w:rFonts w:hint="eastAsia" w:ascii="宋体" w:hAnsi="宋体" w:cs="宋体"/>
                <w:color w:val="auto"/>
                <w:kern w:val="1"/>
                <w:sz w:val="24"/>
                <w:highlight w:val="none"/>
              </w:rPr>
              <w:t>投标人名称</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05C1DF61">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414529EF">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0FDBC78F">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07E26FAC">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4525053F">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r>
      <w:tr w14:paraId="52B766E8">
        <w:tblPrEx>
          <w:tblCellMar>
            <w:top w:w="0" w:type="dxa"/>
            <w:left w:w="108" w:type="dxa"/>
            <w:bottom w:w="0" w:type="dxa"/>
            <w:right w:w="108" w:type="dxa"/>
          </w:tblCellMar>
        </w:tblPrEx>
        <w:trPr>
          <w:trHeight w:val="749" w:hRule="atLeast"/>
        </w:trPr>
        <w:tc>
          <w:tcPr>
            <w:tcW w:w="3205" w:type="dxa"/>
            <w:tcBorders>
              <w:top w:val="single" w:color="000000" w:sz="4" w:space="0"/>
              <w:left w:val="single" w:color="000000" w:sz="4" w:space="0"/>
              <w:bottom w:val="single" w:color="000000" w:sz="4" w:space="0"/>
              <w:right w:val="single" w:color="000000" w:sz="4" w:space="0"/>
            </w:tcBorders>
            <w:noWrap w:val="0"/>
            <w:vAlign w:val="center"/>
          </w:tcPr>
          <w:p w14:paraId="0219CE67">
            <w:pPr>
              <w:keepNext w:val="0"/>
              <w:keepLines w:val="0"/>
              <w:suppressLineNumbers w:val="0"/>
              <w:tabs>
                <w:tab w:val="left" w:pos="0"/>
              </w:tabs>
              <w:spacing w:before="0" w:beforeAutospacing="0" w:after="0" w:afterAutospacing="0" w:line="360" w:lineRule="auto"/>
              <w:ind w:left="0" w:right="0"/>
              <w:rPr>
                <w:rFonts w:hint="default" w:ascii="宋体" w:hAnsi="宋体" w:cs="宋体"/>
                <w:color w:val="auto"/>
                <w:kern w:val="2"/>
                <w:sz w:val="24"/>
                <w:highlight w:val="none"/>
              </w:rPr>
            </w:pPr>
            <w:r>
              <w:rPr>
                <w:rFonts w:hint="eastAsia" w:ascii="宋体" w:hAnsi="宋体" w:cs="宋体"/>
                <w:color w:val="auto"/>
                <w:kern w:val="1"/>
                <w:sz w:val="24"/>
                <w:highlight w:val="none"/>
              </w:rPr>
              <w:t>建安工程费投标报价PT（万元）</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0CD22221">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4D381E86">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0F135FFB">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7648E555">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76F8D50D">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r>
      <w:tr w14:paraId="3B6E3A06">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noWrap w:val="0"/>
            <w:vAlign w:val="center"/>
          </w:tcPr>
          <w:p w14:paraId="494519DA">
            <w:pPr>
              <w:keepNext w:val="0"/>
              <w:keepLines w:val="0"/>
              <w:suppressLineNumbers w:val="0"/>
              <w:tabs>
                <w:tab w:val="left" w:pos="0"/>
              </w:tabs>
              <w:spacing w:before="0" w:beforeAutospacing="0" w:after="0" w:afterAutospacing="0" w:line="360" w:lineRule="auto"/>
              <w:ind w:left="0" w:right="0"/>
              <w:rPr>
                <w:rFonts w:hint="default" w:ascii="宋体" w:hAnsi="宋体" w:cs="宋体"/>
                <w:color w:val="auto"/>
                <w:kern w:val="2"/>
                <w:sz w:val="24"/>
                <w:highlight w:val="none"/>
              </w:rPr>
            </w:pPr>
            <w:r>
              <w:rPr>
                <w:rFonts w:hint="eastAsia" w:ascii="宋体" w:hAnsi="宋体" w:cs="宋体"/>
                <w:color w:val="auto"/>
                <w:kern w:val="1"/>
                <w:sz w:val="24"/>
                <w:highlight w:val="none"/>
              </w:rPr>
              <w:t>计算参考数据</w:t>
            </w:r>
          </w:p>
        </w:tc>
        <w:tc>
          <w:tcPr>
            <w:tcW w:w="6165" w:type="dxa"/>
            <w:gridSpan w:val="5"/>
            <w:tcBorders>
              <w:top w:val="single" w:color="000000" w:sz="4" w:space="0"/>
              <w:left w:val="single" w:color="000000" w:sz="4" w:space="0"/>
              <w:bottom w:val="single" w:color="000000" w:sz="4" w:space="0"/>
              <w:right w:val="single" w:color="000000" w:sz="4" w:space="0"/>
            </w:tcBorders>
            <w:noWrap w:val="0"/>
            <w:vAlign w:val="center"/>
          </w:tcPr>
          <w:p w14:paraId="1DEEB4BC">
            <w:pPr>
              <w:keepNext w:val="0"/>
              <w:keepLines w:val="0"/>
              <w:suppressLineNumbers w:val="0"/>
              <w:tabs>
                <w:tab w:val="left" w:pos="0"/>
              </w:tabs>
              <w:spacing w:before="0" w:beforeAutospacing="0" w:after="0" w:afterAutospacing="0" w:line="360" w:lineRule="auto"/>
              <w:ind w:left="0" w:right="0"/>
              <w:jc w:val="left"/>
              <w:rPr>
                <w:rFonts w:hint="default" w:ascii="宋体" w:hAnsi="宋体" w:cs="宋体"/>
                <w:color w:val="auto"/>
                <w:kern w:val="2"/>
                <w:sz w:val="24"/>
                <w:highlight w:val="none"/>
              </w:rPr>
            </w:pPr>
            <w:r>
              <w:rPr>
                <w:rFonts w:hint="eastAsia" w:ascii="宋体" w:hAnsi="宋体" w:cs="宋体"/>
                <w:color w:val="auto"/>
                <w:kern w:val="1"/>
                <w:sz w:val="24"/>
                <w:highlight w:val="none"/>
              </w:rPr>
              <w:t>评标基准价（PC）：</w:t>
            </w:r>
          </w:p>
        </w:tc>
      </w:tr>
      <w:tr w14:paraId="7D8E9B82">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noWrap w:val="0"/>
            <w:vAlign w:val="center"/>
          </w:tcPr>
          <w:p w14:paraId="121FAD61">
            <w:pPr>
              <w:keepNext w:val="0"/>
              <w:keepLines w:val="0"/>
              <w:suppressLineNumbers w:val="0"/>
              <w:tabs>
                <w:tab w:val="left" w:pos="0"/>
              </w:tabs>
              <w:spacing w:before="0" w:beforeAutospacing="0" w:after="0" w:afterAutospacing="0" w:line="360" w:lineRule="auto"/>
              <w:ind w:left="0" w:right="0"/>
              <w:rPr>
                <w:rFonts w:hint="default" w:ascii="宋体" w:hAnsi="宋体" w:cs="宋体"/>
                <w:color w:val="auto"/>
                <w:spacing w:val="-10"/>
                <w:kern w:val="2"/>
                <w:sz w:val="24"/>
                <w:highlight w:val="none"/>
              </w:rPr>
            </w:pPr>
            <w:r>
              <w:rPr>
                <w:rFonts w:hint="eastAsia" w:ascii="宋体" w:hAnsi="宋体" w:cs="宋体"/>
                <w:color w:val="auto"/>
                <w:spacing w:val="-10"/>
                <w:kern w:val="1"/>
                <w:sz w:val="24"/>
                <w:highlight w:val="none"/>
              </w:rPr>
              <w:t>偏差（（PT-PC）/PC）（%）</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7115D820">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3FAD1D88">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324CCEFA">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3D1745A2">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78F0839F">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r>
      <w:tr w14:paraId="740E77A3">
        <w:tblPrEx>
          <w:tblCellMar>
            <w:top w:w="0" w:type="dxa"/>
            <w:left w:w="108" w:type="dxa"/>
            <w:bottom w:w="0" w:type="dxa"/>
            <w:right w:w="108" w:type="dxa"/>
          </w:tblCellMar>
        </w:tblPrEx>
        <w:trPr>
          <w:trHeight w:val="749" w:hRule="atLeast"/>
        </w:trPr>
        <w:tc>
          <w:tcPr>
            <w:tcW w:w="3205" w:type="dxa"/>
            <w:tcBorders>
              <w:top w:val="single" w:color="000000" w:sz="4" w:space="0"/>
              <w:left w:val="single" w:color="000000" w:sz="4" w:space="0"/>
              <w:bottom w:val="single" w:color="000000" w:sz="4" w:space="0"/>
              <w:right w:val="single" w:color="000000" w:sz="4" w:space="0"/>
            </w:tcBorders>
            <w:noWrap w:val="0"/>
            <w:vAlign w:val="center"/>
          </w:tcPr>
          <w:p w14:paraId="1BB83B18">
            <w:pPr>
              <w:keepNext w:val="0"/>
              <w:keepLines w:val="0"/>
              <w:suppressLineNumbers w:val="0"/>
              <w:tabs>
                <w:tab w:val="left" w:pos="0"/>
              </w:tabs>
              <w:spacing w:before="0" w:beforeAutospacing="0" w:after="0" w:afterAutospacing="0" w:line="360" w:lineRule="auto"/>
              <w:ind w:left="0" w:right="0"/>
              <w:rPr>
                <w:rFonts w:hint="default" w:ascii="宋体" w:hAnsi="宋体" w:cs="宋体"/>
                <w:color w:val="auto"/>
                <w:kern w:val="2"/>
                <w:sz w:val="24"/>
                <w:highlight w:val="none"/>
              </w:rPr>
            </w:pPr>
            <w:r>
              <w:rPr>
                <w:rFonts w:hint="eastAsia" w:ascii="宋体" w:hAnsi="宋体" w:cs="宋体"/>
                <w:color w:val="auto"/>
                <w:kern w:val="1"/>
                <w:sz w:val="24"/>
                <w:highlight w:val="none"/>
              </w:rPr>
              <w:t>减分（A）</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7F5F803D">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646BA898">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1AA86A81">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19EBF6F1">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2CF73BA1">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r>
      <w:tr w14:paraId="2DF3F933">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noWrap w:val="0"/>
            <w:vAlign w:val="center"/>
          </w:tcPr>
          <w:p w14:paraId="52625D3C">
            <w:pPr>
              <w:keepNext w:val="0"/>
              <w:keepLines w:val="0"/>
              <w:suppressLineNumbers w:val="0"/>
              <w:tabs>
                <w:tab w:val="left" w:pos="0"/>
              </w:tabs>
              <w:spacing w:before="0" w:beforeAutospacing="0" w:after="0" w:afterAutospacing="0" w:line="360" w:lineRule="auto"/>
              <w:ind w:left="0" w:right="0"/>
              <w:rPr>
                <w:rFonts w:hint="default" w:ascii="宋体" w:hAnsi="宋体" w:cs="宋体"/>
                <w:color w:val="auto"/>
                <w:kern w:val="2"/>
                <w:sz w:val="24"/>
                <w:highlight w:val="none"/>
              </w:rPr>
            </w:pPr>
            <w:r>
              <w:rPr>
                <w:rFonts w:hint="eastAsia" w:ascii="宋体" w:hAnsi="宋体" w:cs="宋体"/>
                <w:color w:val="auto"/>
                <w:kern w:val="1"/>
                <w:sz w:val="24"/>
                <w:highlight w:val="none"/>
              </w:rPr>
              <w:t>经济得分(I=100-A)</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1295F9DA">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6F0E0350">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0132941B">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1667568F">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669F219E">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r>
      <w:tr w14:paraId="20BB899D">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noWrap w:val="0"/>
            <w:vAlign w:val="center"/>
          </w:tcPr>
          <w:p w14:paraId="61CCAB5E">
            <w:pPr>
              <w:keepNext w:val="0"/>
              <w:keepLines w:val="0"/>
              <w:suppressLineNumbers w:val="0"/>
              <w:tabs>
                <w:tab w:val="left" w:pos="0"/>
              </w:tabs>
              <w:spacing w:before="0" w:beforeAutospacing="0" w:after="0" w:afterAutospacing="0" w:line="360" w:lineRule="auto"/>
              <w:ind w:left="0" w:right="0"/>
              <w:rPr>
                <w:rFonts w:hint="default" w:ascii="宋体" w:hAnsi="宋体" w:cs="宋体"/>
                <w:color w:val="auto"/>
                <w:kern w:val="2"/>
                <w:sz w:val="24"/>
                <w:highlight w:val="none"/>
              </w:rPr>
            </w:pPr>
            <w:r>
              <w:rPr>
                <w:rFonts w:hint="eastAsia" w:ascii="宋体" w:hAnsi="宋体" w:cs="宋体"/>
                <w:color w:val="auto"/>
                <w:kern w:val="1"/>
                <w:sz w:val="24"/>
                <w:highlight w:val="none"/>
              </w:rPr>
              <w:t>最终经济得分</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2D7DCA11">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1170FF98">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2153BF91">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5F77E174">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5B80651D">
            <w:pPr>
              <w:keepNext w:val="0"/>
              <w:keepLines w:val="0"/>
              <w:suppressLineNumbers w:val="0"/>
              <w:tabs>
                <w:tab w:val="left" w:pos="0"/>
              </w:tabs>
              <w:spacing w:before="0" w:beforeAutospacing="0" w:after="0" w:afterAutospacing="0" w:line="360" w:lineRule="auto"/>
              <w:ind w:left="563" w:right="0" w:hanging="84"/>
              <w:rPr>
                <w:rFonts w:hint="default" w:ascii="宋体" w:hAnsi="宋体" w:cs="宋体"/>
                <w:color w:val="auto"/>
                <w:kern w:val="2"/>
                <w:sz w:val="24"/>
                <w:highlight w:val="none"/>
              </w:rPr>
            </w:pPr>
          </w:p>
        </w:tc>
      </w:tr>
    </w:tbl>
    <w:p w14:paraId="5FB32F70">
      <w:pPr>
        <w:spacing w:line="360" w:lineRule="auto"/>
        <w:rPr>
          <w:rFonts w:ascii="宋体" w:hAnsi="宋体" w:cs="宋体"/>
          <w:color w:val="auto"/>
          <w:kern w:val="1"/>
          <w:szCs w:val="21"/>
          <w:highlight w:val="none"/>
        </w:rPr>
        <w:sectPr>
          <w:headerReference r:id="rId18" w:type="default"/>
          <w:footerReference r:id="rId19" w:type="default"/>
          <w:pgSz w:w="11907" w:h="16840"/>
          <w:pgMar w:top="1134" w:right="1134" w:bottom="1134" w:left="1134" w:header="851" w:footer="720" w:gutter="0"/>
          <w:cols w:space="720" w:num="1"/>
        </w:sectPr>
      </w:pPr>
      <w:r>
        <w:rPr>
          <w:rFonts w:hint="eastAsia" w:ascii="宋体" w:hAnsi="宋体" w:cs="宋体"/>
          <w:color w:val="auto"/>
          <w:kern w:val="1"/>
          <w:szCs w:val="21"/>
          <w:highlight w:val="none"/>
        </w:rPr>
        <w:t>评委签名：                  日期：</w:t>
      </w:r>
    </w:p>
    <w:p w14:paraId="0CFEEC14">
      <w:pPr>
        <w:pStyle w:val="3"/>
        <w:spacing w:line="360" w:lineRule="auto"/>
        <w:jc w:val="center"/>
        <w:rPr>
          <w:rFonts w:ascii="宋体" w:hAnsi="宋体" w:cs="宋体"/>
          <w:color w:val="auto"/>
          <w:kern w:val="1"/>
          <w:highlight w:val="none"/>
        </w:rPr>
      </w:pPr>
      <w:bookmarkStart w:id="384" w:name="_Toc25769"/>
      <w:bookmarkEnd w:id="384"/>
      <w:bookmarkStart w:id="385" w:name="_Toc5620359"/>
      <w:bookmarkStart w:id="386" w:name="_Toc169076296"/>
      <w:bookmarkStart w:id="387" w:name="_Toc16039"/>
      <w:r>
        <w:rPr>
          <w:rFonts w:hint="eastAsia" w:ascii="宋体" w:hAnsi="宋体" w:cs="宋体"/>
          <w:color w:val="auto"/>
          <w:kern w:val="1"/>
          <w:highlight w:val="none"/>
        </w:rPr>
        <w:t>第四章 合同条款及格式</w:t>
      </w:r>
      <w:bookmarkEnd w:id="385"/>
      <w:bookmarkEnd w:id="386"/>
      <w:bookmarkEnd w:id="387"/>
    </w:p>
    <w:p w14:paraId="6DF2F78C">
      <w:pP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 xml:space="preserve">      (另册)</w:t>
      </w:r>
    </w:p>
    <w:p w14:paraId="465AB9C8">
      <w:pPr>
        <w:pStyle w:val="2"/>
        <w:spacing w:line="360" w:lineRule="auto"/>
        <w:rPr>
          <w:rFonts w:cs="宋体"/>
          <w:b/>
          <w:color w:val="auto"/>
          <w:kern w:val="1"/>
          <w:sz w:val="28"/>
          <w:szCs w:val="28"/>
          <w:highlight w:val="none"/>
        </w:rPr>
      </w:pPr>
      <w:r>
        <w:rPr>
          <w:rFonts w:cs="宋体"/>
          <w:b/>
          <w:color w:val="auto"/>
          <w:kern w:val="1"/>
          <w:sz w:val="28"/>
          <w:szCs w:val="28"/>
          <w:highlight w:val="none"/>
        </w:rPr>
        <w:br w:type="page"/>
      </w:r>
    </w:p>
    <w:p w14:paraId="2B9F155B">
      <w:pPr>
        <w:pStyle w:val="3"/>
        <w:spacing w:line="360" w:lineRule="auto"/>
        <w:jc w:val="center"/>
        <w:rPr>
          <w:rFonts w:ascii="宋体" w:hAnsi="宋体"/>
          <w:color w:val="auto"/>
          <w:highlight w:val="none"/>
        </w:rPr>
      </w:pPr>
      <w:bookmarkStart w:id="388" w:name="_Toc16641"/>
      <w:bookmarkStart w:id="389" w:name="_Toc169076297"/>
      <w:r>
        <w:rPr>
          <w:rFonts w:hint="eastAsia" w:ascii="宋体" w:hAnsi="宋体"/>
          <w:color w:val="auto"/>
          <w:highlight w:val="none"/>
        </w:rPr>
        <w:t>第五章 招标人要求</w:t>
      </w:r>
      <w:bookmarkEnd w:id="388"/>
      <w:bookmarkEnd w:id="389"/>
    </w:p>
    <w:p w14:paraId="0D696410">
      <w:pPr>
        <w:tabs>
          <w:tab w:val="left" w:pos="573"/>
        </w:tabs>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勘察设计任务书（另册）</w:t>
      </w:r>
    </w:p>
    <w:p w14:paraId="0CD405A5">
      <w:pPr>
        <w:pStyle w:val="2"/>
        <w:spacing w:line="360" w:lineRule="auto"/>
        <w:rPr>
          <w:color w:val="auto"/>
          <w:highlight w:val="none"/>
        </w:rPr>
      </w:pPr>
    </w:p>
    <w:p w14:paraId="27F7E3CF">
      <w:pPr>
        <w:pStyle w:val="2"/>
        <w:spacing w:line="360" w:lineRule="auto"/>
        <w:jc w:val="center"/>
        <w:rPr>
          <w:b/>
          <w:bCs/>
          <w:color w:val="auto"/>
          <w:sz w:val="44"/>
          <w:szCs w:val="44"/>
          <w:highlight w:val="none"/>
        </w:rPr>
        <w:sectPr>
          <w:headerReference r:id="rId20" w:type="default"/>
          <w:footerReference r:id="rId21" w:type="default"/>
          <w:pgSz w:w="11907" w:h="16840"/>
          <w:pgMar w:top="1134" w:right="1134" w:bottom="1134" w:left="1134" w:header="851" w:footer="992" w:gutter="0"/>
          <w:cols w:space="720" w:num="1"/>
          <w:docGrid w:linePitch="312" w:charSpace="0"/>
        </w:sectPr>
      </w:pPr>
    </w:p>
    <w:p w14:paraId="4EB9B10D">
      <w:pPr>
        <w:pStyle w:val="3"/>
        <w:spacing w:line="360" w:lineRule="auto"/>
        <w:jc w:val="center"/>
        <w:rPr>
          <w:rFonts w:ascii="宋体" w:hAnsi="宋体"/>
          <w:color w:val="auto"/>
          <w:highlight w:val="none"/>
        </w:rPr>
      </w:pPr>
      <w:bookmarkStart w:id="390" w:name="_Toc169076298"/>
      <w:bookmarkStart w:id="391" w:name="_Toc5620360"/>
      <w:bookmarkStart w:id="392" w:name="_Toc3467"/>
      <w:r>
        <w:rPr>
          <w:rFonts w:hint="eastAsia" w:ascii="宋体" w:hAnsi="宋体"/>
          <w:color w:val="auto"/>
          <w:highlight w:val="none"/>
        </w:rPr>
        <w:t>第六章 招标人提供的资料</w:t>
      </w:r>
      <w:bookmarkEnd w:id="390"/>
      <w:bookmarkEnd w:id="391"/>
      <w:bookmarkEnd w:id="392"/>
    </w:p>
    <w:p w14:paraId="7BF1877C">
      <w:pPr>
        <w:tabs>
          <w:tab w:val="left" w:pos="573"/>
        </w:tabs>
        <w:spacing w:line="360" w:lineRule="auto"/>
        <w:jc w:val="center"/>
        <w:rPr>
          <w:rFonts w:ascii="宋体" w:hAnsi="宋体"/>
          <w:b/>
          <w:bCs/>
          <w:color w:val="auto"/>
          <w:sz w:val="36"/>
          <w:szCs w:val="36"/>
          <w:highlight w:val="none"/>
        </w:rPr>
      </w:pPr>
      <w:bookmarkStart w:id="393" w:name="_Toc436834201"/>
      <w:bookmarkEnd w:id="393"/>
      <w:bookmarkStart w:id="394" w:name="_Toc439246070"/>
      <w:bookmarkEnd w:id="394"/>
      <w:bookmarkStart w:id="395" w:name="_Toc439240671"/>
      <w:bookmarkEnd w:id="395"/>
      <w:bookmarkStart w:id="396" w:name="_Toc436834794"/>
      <w:bookmarkEnd w:id="396"/>
      <w:r>
        <w:rPr>
          <w:rFonts w:hint="eastAsia" w:ascii="宋体" w:hAnsi="宋体"/>
          <w:b/>
          <w:bCs/>
          <w:color w:val="auto"/>
          <w:sz w:val="36"/>
          <w:szCs w:val="36"/>
          <w:highlight w:val="none"/>
        </w:rPr>
        <w:t>红线图（另册）</w:t>
      </w:r>
    </w:p>
    <w:p w14:paraId="71512616">
      <w:pPr>
        <w:spacing w:line="360" w:lineRule="auto"/>
        <w:jc w:val="center"/>
        <w:rPr>
          <w:rFonts w:ascii="宋体" w:hAnsi="宋体" w:cs="宋体"/>
          <w:color w:val="auto"/>
          <w:kern w:val="1"/>
          <w:sz w:val="24"/>
          <w:szCs w:val="28"/>
          <w:highlight w:val="none"/>
        </w:rPr>
      </w:pPr>
      <w:r>
        <w:rPr>
          <w:rFonts w:ascii="宋体" w:hAnsi="宋体" w:cs="宋体"/>
          <w:color w:val="auto"/>
          <w:kern w:val="1"/>
          <w:sz w:val="36"/>
          <w:szCs w:val="36"/>
          <w:highlight w:val="none"/>
        </w:rPr>
        <w:br w:type="page"/>
      </w:r>
    </w:p>
    <w:p w14:paraId="0A44F6DC">
      <w:pPr>
        <w:pStyle w:val="3"/>
        <w:spacing w:line="360" w:lineRule="auto"/>
        <w:jc w:val="center"/>
        <w:rPr>
          <w:rFonts w:ascii="宋体" w:hAnsi="宋体"/>
          <w:color w:val="auto"/>
          <w:highlight w:val="none"/>
        </w:rPr>
      </w:pPr>
      <w:bookmarkStart w:id="397" w:name="_Toc16136"/>
      <w:bookmarkEnd w:id="397"/>
      <w:bookmarkStart w:id="398" w:name="_Toc5620362"/>
      <w:bookmarkStart w:id="399" w:name="_Toc169076299"/>
      <w:bookmarkStart w:id="400" w:name="_Toc18390"/>
      <w:r>
        <w:rPr>
          <w:rFonts w:hint="eastAsia" w:ascii="宋体" w:hAnsi="宋体"/>
          <w:color w:val="auto"/>
          <w:highlight w:val="none"/>
        </w:rPr>
        <w:t>第七章 投标文件格式</w:t>
      </w:r>
      <w:bookmarkEnd w:id="398"/>
      <w:bookmarkEnd w:id="399"/>
      <w:bookmarkEnd w:id="400"/>
    </w:p>
    <w:p w14:paraId="50F3A0B4">
      <w:pPr>
        <w:widowControl/>
        <w:adjustRightInd w:val="0"/>
        <w:snapToGrid w:val="0"/>
        <w:spacing w:line="360" w:lineRule="auto"/>
        <w:ind w:right="102"/>
        <w:jc w:val="center"/>
        <w:rPr>
          <w:rFonts w:ascii="宋体" w:hAnsi="宋体"/>
          <w:color w:val="auto"/>
          <w:highlight w:val="none"/>
        </w:rPr>
      </w:pPr>
      <w:r>
        <w:rPr>
          <w:rFonts w:ascii="宋体" w:hAnsi="宋体" w:cs="宋体"/>
          <w:color w:val="auto"/>
          <w:kern w:val="1"/>
          <w:sz w:val="20"/>
          <w:szCs w:val="20"/>
          <w:highlight w:val="none"/>
          <w:lang w:val="zh-CN"/>
        </w:rPr>
        <w:br w:type="page"/>
      </w:r>
      <w:r>
        <w:rPr>
          <w:rFonts w:ascii="宋体" w:hAnsi="宋体"/>
          <w:color w:val="auto"/>
          <w:highlight w:val="none"/>
        </w:rPr>
        <w:t xml:space="preserve"> </w:t>
      </w:r>
    </w:p>
    <w:p w14:paraId="60637352">
      <w:pPr>
        <w:pStyle w:val="2"/>
        <w:spacing w:line="360" w:lineRule="auto"/>
        <w:rPr>
          <w:color w:val="auto"/>
          <w:highlight w:val="none"/>
        </w:rPr>
      </w:pPr>
    </w:p>
    <w:p w14:paraId="5FC6089E">
      <w:pPr>
        <w:spacing w:line="360" w:lineRule="auto"/>
        <w:jc w:val="center"/>
        <w:rPr>
          <w:rFonts w:ascii="宋体" w:hAnsi="宋体" w:cs="宋体"/>
          <w:b/>
          <w:color w:val="auto"/>
          <w:kern w:val="1"/>
          <w:sz w:val="30"/>
          <w:szCs w:val="30"/>
          <w:highlight w:val="none"/>
        </w:rPr>
      </w:pPr>
    </w:p>
    <w:p w14:paraId="7880988F">
      <w:pPr>
        <w:spacing w:line="360" w:lineRule="auto"/>
        <w:jc w:val="center"/>
        <w:rPr>
          <w:rFonts w:ascii="宋体" w:hAnsi="宋体" w:cs="宋体"/>
          <w:b/>
          <w:color w:val="auto"/>
          <w:kern w:val="1"/>
          <w:sz w:val="30"/>
          <w:szCs w:val="30"/>
          <w:highlight w:val="none"/>
        </w:rPr>
      </w:pPr>
    </w:p>
    <w:p w14:paraId="21FE8061">
      <w:pPr>
        <w:spacing w:line="360" w:lineRule="auto"/>
        <w:jc w:val="center"/>
        <w:rPr>
          <w:rFonts w:ascii="宋体" w:hAnsi="宋体" w:cs="宋体"/>
          <w:b/>
          <w:color w:val="auto"/>
          <w:kern w:val="1"/>
          <w:sz w:val="30"/>
          <w:szCs w:val="30"/>
          <w:highlight w:val="none"/>
        </w:rPr>
      </w:pPr>
    </w:p>
    <w:p w14:paraId="35F8ACA1">
      <w:pPr>
        <w:spacing w:line="360" w:lineRule="auto"/>
        <w:jc w:val="center"/>
        <w:rPr>
          <w:rFonts w:ascii="宋体" w:hAnsi="宋体" w:cs="宋体"/>
          <w:b/>
          <w:color w:val="auto"/>
          <w:kern w:val="1"/>
          <w:sz w:val="36"/>
          <w:szCs w:val="36"/>
          <w:highlight w:val="none"/>
        </w:rPr>
      </w:pPr>
      <w:r>
        <w:rPr>
          <w:rFonts w:hint="eastAsia" w:ascii="宋体" w:hAnsi="宋体" w:cs="宋体"/>
          <w:b/>
          <w:color w:val="auto"/>
          <w:kern w:val="1"/>
          <w:sz w:val="36"/>
          <w:szCs w:val="36"/>
          <w:highlight w:val="none"/>
        </w:rPr>
        <w:t>第一部分  工程总承包实施方案技术投标文件格式</w:t>
      </w:r>
    </w:p>
    <w:p w14:paraId="16CCFB07">
      <w:pPr>
        <w:spacing w:line="360" w:lineRule="auto"/>
        <w:jc w:val="center"/>
        <w:rPr>
          <w:rFonts w:ascii="宋体" w:hAnsi="宋体" w:cs="宋体"/>
          <w:b/>
          <w:color w:val="auto"/>
          <w:kern w:val="1"/>
          <w:sz w:val="30"/>
          <w:szCs w:val="30"/>
          <w:highlight w:val="none"/>
        </w:rPr>
      </w:pPr>
    </w:p>
    <w:p w14:paraId="4E9610EF">
      <w:pPr>
        <w:spacing w:line="360" w:lineRule="auto"/>
        <w:jc w:val="center"/>
        <w:rPr>
          <w:rFonts w:ascii="宋体" w:hAnsi="宋体" w:cs="宋体"/>
          <w:b/>
          <w:color w:val="auto"/>
          <w:kern w:val="1"/>
          <w:sz w:val="30"/>
          <w:szCs w:val="30"/>
          <w:highlight w:val="none"/>
        </w:rPr>
      </w:pPr>
    </w:p>
    <w:p w14:paraId="20BACD8C">
      <w:pPr>
        <w:spacing w:line="360" w:lineRule="auto"/>
        <w:jc w:val="center"/>
        <w:rPr>
          <w:rFonts w:ascii="宋体" w:hAnsi="宋体" w:cs="宋体"/>
          <w:b/>
          <w:color w:val="auto"/>
          <w:kern w:val="1"/>
          <w:sz w:val="30"/>
          <w:szCs w:val="30"/>
          <w:highlight w:val="none"/>
        </w:rPr>
        <w:sectPr>
          <w:headerReference r:id="rId22" w:type="default"/>
          <w:footerReference r:id="rId23" w:type="default"/>
          <w:pgSz w:w="11907" w:h="16840"/>
          <w:pgMar w:top="1134" w:right="1134" w:bottom="1134" w:left="1134" w:header="851" w:footer="720" w:gutter="0"/>
          <w:cols w:space="720" w:num="1"/>
        </w:sectPr>
      </w:pPr>
    </w:p>
    <w:p w14:paraId="6FDEFC9B">
      <w:pPr>
        <w:widowControl/>
        <w:adjustRightInd w:val="0"/>
        <w:snapToGrid w:val="0"/>
        <w:spacing w:line="360" w:lineRule="auto"/>
        <w:ind w:right="102"/>
        <w:jc w:val="left"/>
        <w:rPr>
          <w:rFonts w:ascii="宋体" w:hAnsi="宋体" w:cs="宋体"/>
          <w:b/>
          <w:bCs/>
          <w:color w:val="auto"/>
          <w:kern w:val="1"/>
          <w:sz w:val="44"/>
          <w:szCs w:val="44"/>
          <w:highlight w:val="none"/>
          <w:lang w:val="zh-CN"/>
        </w:rPr>
      </w:pPr>
      <w:r>
        <w:rPr>
          <w:rFonts w:hint="eastAsia" w:ascii="宋体" w:hAnsi="宋体" w:cs="宋体"/>
          <w:b/>
          <w:color w:val="auto"/>
          <w:kern w:val="1"/>
          <w:sz w:val="24"/>
          <w:highlight w:val="none"/>
        </w:rPr>
        <w:t>格式1：</w:t>
      </w:r>
    </w:p>
    <w:p w14:paraId="426B90A6">
      <w:pPr>
        <w:widowControl/>
        <w:adjustRightInd w:val="0"/>
        <w:snapToGrid w:val="0"/>
        <w:spacing w:line="360" w:lineRule="auto"/>
        <w:ind w:right="102"/>
        <w:jc w:val="center"/>
        <w:rPr>
          <w:rFonts w:ascii="宋体" w:hAnsi="宋体" w:cs="宋体"/>
          <w:b/>
          <w:bCs/>
          <w:color w:val="auto"/>
          <w:kern w:val="1"/>
          <w:sz w:val="36"/>
          <w:szCs w:val="36"/>
          <w:highlight w:val="none"/>
          <w:lang w:val="zh-CN"/>
        </w:rPr>
      </w:pPr>
      <w:r>
        <w:rPr>
          <w:rFonts w:hint="eastAsia" w:ascii="宋体" w:hAnsi="宋体" w:cs="宋体"/>
          <w:b/>
          <w:bCs/>
          <w:color w:val="auto"/>
          <w:kern w:val="1"/>
          <w:sz w:val="36"/>
          <w:szCs w:val="36"/>
          <w:highlight w:val="none"/>
          <w:lang w:val="zh-CN"/>
        </w:rPr>
        <w:t>投标函</w:t>
      </w:r>
    </w:p>
    <w:p w14:paraId="1B417323">
      <w:pPr>
        <w:widowControl/>
        <w:adjustRightInd w:val="0"/>
        <w:snapToGrid w:val="0"/>
        <w:spacing w:after="0" w:line="360" w:lineRule="auto"/>
        <w:ind w:right="102"/>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致:</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p>
    <w:p w14:paraId="5A79598C">
      <w:pPr>
        <w:pStyle w:val="2"/>
        <w:adjustRightInd w:val="0"/>
        <w:snapToGrid w:val="0"/>
        <w:spacing w:after="0" w:line="360" w:lineRule="auto"/>
        <w:ind w:firstLine="420"/>
        <w:rPr>
          <w:rFonts w:cs="宋体"/>
          <w:color w:val="auto"/>
          <w:sz w:val="21"/>
          <w:szCs w:val="21"/>
          <w:highlight w:val="none"/>
        </w:rPr>
      </w:pPr>
      <w:r>
        <w:rPr>
          <w:rFonts w:hint="eastAsia" w:cs="宋体"/>
          <w:color w:val="auto"/>
          <w:sz w:val="21"/>
          <w:szCs w:val="21"/>
          <w:highlight w:val="none"/>
        </w:rPr>
        <w:t>我方确认收到贵方提供的</w:t>
      </w:r>
      <w:r>
        <w:rPr>
          <w:rFonts w:hint="eastAsia" w:cs="宋体"/>
          <w:color w:val="auto"/>
          <w:sz w:val="21"/>
          <w:szCs w:val="21"/>
          <w:highlight w:val="none"/>
          <w:u w:val="single"/>
        </w:rPr>
        <w:t xml:space="preserve"> </w:t>
      </w:r>
      <w:r>
        <w:rPr>
          <w:rFonts w:cs="宋体"/>
          <w:color w:val="auto"/>
          <w:sz w:val="21"/>
          <w:szCs w:val="21"/>
          <w:highlight w:val="none"/>
          <w:u w:val="single"/>
        </w:rPr>
        <w:t xml:space="preserve">     </w:t>
      </w:r>
      <w:r>
        <w:rPr>
          <w:rFonts w:hint="eastAsia" w:cs="宋体"/>
          <w:color w:val="auto"/>
          <w:sz w:val="21"/>
          <w:szCs w:val="21"/>
          <w:highlight w:val="none"/>
          <w:u w:val="single"/>
        </w:rPr>
        <w:t xml:space="preserve"> </w:t>
      </w:r>
      <w:r>
        <w:rPr>
          <w:rFonts w:cs="宋体"/>
          <w:color w:val="auto"/>
          <w:sz w:val="21"/>
          <w:szCs w:val="21"/>
          <w:highlight w:val="none"/>
          <w:u w:val="single"/>
        </w:rPr>
        <w:t xml:space="preserve">      </w:t>
      </w:r>
      <w:r>
        <w:rPr>
          <w:rFonts w:hint="eastAsia" w:cs="宋体"/>
          <w:color w:val="auto"/>
          <w:sz w:val="21"/>
          <w:szCs w:val="21"/>
          <w:highlight w:val="none"/>
        </w:rPr>
        <w:t>招标文件的全部内容，我方：</w:t>
      </w:r>
      <w:r>
        <w:rPr>
          <w:rFonts w:hint="eastAsia" w:cs="宋体"/>
          <w:color w:val="auto"/>
          <w:sz w:val="21"/>
          <w:szCs w:val="21"/>
          <w:highlight w:val="none"/>
          <w:u w:val="single"/>
        </w:rPr>
        <w:t xml:space="preserve">             （投标人名称）</w:t>
      </w:r>
      <w:r>
        <w:rPr>
          <w:rFonts w:hint="eastAsia" w:cs="宋体"/>
          <w:color w:val="auto"/>
          <w:sz w:val="21"/>
          <w:szCs w:val="21"/>
          <w:highlight w:val="none"/>
        </w:rPr>
        <w:t>已理解招标文件的全部内容，我方作为投标人正式授权</w:t>
      </w:r>
      <w:r>
        <w:rPr>
          <w:rFonts w:hint="eastAsia" w:cs="宋体"/>
          <w:color w:val="auto"/>
          <w:sz w:val="21"/>
          <w:szCs w:val="21"/>
          <w:highlight w:val="none"/>
          <w:u w:val="single"/>
          <w:lang w:val="en-US"/>
        </w:rPr>
        <w:t xml:space="preserve">        </w:t>
      </w:r>
      <w:r>
        <w:rPr>
          <w:rFonts w:hint="eastAsia" w:cs="宋体"/>
          <w:color w:val="auto"/>
          <w:sz w:val="21"/>
          <w:szCs w:val="21"/>
          <w:highlight w:val="none"/>
          <w:u w:val="single"/>
        </w:rPr>
        <w:t>（授权代表全名, 职务</w:t>
      </w:r>
      <w:r>
        <w:rPr>
          <w:rFonts w:hint="eastAsia" w:cs="宋体"/>
          <w:color w:val="auto"/>
          <w:sz w:val="21"/>
          <w:szCs w:val="21"/>
          <w:highlight w:val="none"/>
        </w:rPr>
        <w:t>）代表我方进行有关本投标活动的一切事宜，考虑本企业自身的实力及特点，做出如下承诺：</w:t>
      </w:r>
    </w:p>
    <w:p w14:paraId="6778D2D8">
      <w:pPr>
        <w:widowControl/>
        <w:adjustRightInd w:val="0"/>
        <w:snapToGrid w:val="0"/>
        <w:spacing w:after="0"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1、我方已详细研究了本项目招标文件的所有内容包括修正文（如果有）和所有已提供的参考资料以及合同条款和有关附件，并完全明白, 我方放弃在此方面提出含糊意见或误解的一切权力。</w:t>
      </w:r>
    </w:p>
    <w:p w14:paraId="48C7AAB6">
      <w:pPr>
        <w:widowControl/>
        <w:adjustRightInd w:val="0"/>
        <w:snapToGrid w:val="0"/>
        <w:spacing w:after="0"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2、我方承诺对我方提交的投标文件的真实性、可靠性和准确性负责，并承诺不存在侵权的行为，若因投标文件的真实性、可靠性、准确性以及侵权行为，造成的后果及法律责任，与招标代理机构和招标人无关，我方完全承担因此而造成的一切后果及法律责任。如我司成为本项目中标候选人，我司同意并授权招标人将我司投标文件商务部分的人员、业绩、奖项等资料进行公开。</w:t>
      </w:r>
    </w:p>
    <w:p w14:paraId="5E16BE13">
      <w:pPr>
        <w:widowControl/>
        <w:adjustRightInd w:val="0"/>
        <w:snapToGrid w:val="0"/>
        <w:spacing w:after="0"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3、我方同意按照贵方可能提出的要求，提供与我方投标有关的任何其它数据或信息。</w:t>
      </w:r>
    </w:p>
    <w:p w14:paraId="212830EC">
      <w:pPr>
        <w:widowControl/>
        <w:adjustRightInd w:val="0"/>
        <w:snapToGrid w:val="0"/>
        <w:spacing w:after="0"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4、本投标文件的有效期至投标截止日后</w:t>
      </w:r>
      <w:r>
        <w:rPr>
          <w:rFonts w:hint="eastAsia" w:ascii="宋体" w:hAnsi="宋体" w:cs="宋体"/>
          <w:color w:val="auto"/>
          <w:kern w:val="1"/>
          <w:szCs w:val="21"/>
          <w:highlight w:val="none"/>
          <w:u w:val="single"/>
          <w:lang w:val="zh-CN"/>
        </w:rPr>
        <w:t>120</w:t>
      </w:r>
      <w:r>
        <w:rPr>
          <w:rFonts w:hint="eastAsia" w:ascii="宋体" w:hAnsi="宋体" w:cs="宋体"/>
          <w:color w:val="auto"/>
          <w:kern w:val="1"/>
          <w:szCs w:val="21"/>
          <w:highlight w:val="none"/>
          <w:lang w:val="zh-CN"/>
        </w:rPr>
        <w:t>日历天内有效，如中标，有效期将自动延至勘察设计施工总承包合同终止日为止。</w:t>
      </w:r>
    </w:p>
    <w:p w14:paraId="4D1EBBC3">
      <w:pPr>
        <w:widowControl/>
        <w:adjustRightInd w:val="0"/>
        <w:snapToGrid w:val="0"/>
        <w:spacing w:after="0" w:line="360" w:lineRule="auto"/>
        <w:ind w:right="102" w:firstLine="420"/>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5、我方的</w:t>
      </w:r>
      <w:r>
        <w:rPr>
          <w:rFonts w:hint="eastAsia" w:ascii="宋体" w:hAnsi="宋体" w:cs="宋体"/>
          <w:b/>
          <w:color w:val="auto"/>
          <w:kern w:val="1"/>
          <w:szCs w:val="21"/>
          <w:highlight w:val="none"/>
        </w:rPr>
        <w:t>总报价为人民币</w:t>
      </w:r>
      <w:r>
        <w:rPr>
          <w:rFonts w:hint="eastAsia" w:ascii="宋体" w:hAnsi="宋体" w:cs="宋体"/>
          <w:b/>
          <w:color w:val="auto"/>
          <w:kern w:val="1"/>
          <w:szCs w:val="21"/>
          <w:highlight w:val="none"/>
          <w:u w:val="single"/>
          <w:lang w:bidi="ar"/>
        </w:rPr>
        <w:t xml:space="preserve">    万</w:t>
      </w:r>
      <w:r>
        <w:rPr>
          <w:rFonts w:hint="eastAsia" w:ascii="宋体" w:hAnsi="宋体" w:cs="宋体"/>
          <w:b/>
          <w:color w:val="auto"/>
          <w:kern w:val="1"/>
          <w:szCs w:val="21"/>
          <w:highlight w:val="none"/>
        </w:rPr>
        <w:t>元（大写</w:t>
      </w: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）【其中：勘察费为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lang w:bidi="ar"/>
        </w:rPr>
        <w:t>万</w:t>
      </w:r>
      <w:r>
        <w:rPr>
          <w:rFonts w:hint="eastAsia" w:ascii="宋体" w:hAnsi="宋体" w:cs="宋体"/>
          <w:b/>
          <w:color w:val="auto"/>
          <w:kern w:val="1"/>
          <w:szCs w:val="21"/>
          <w:highlight w:val="none"/>
        </w:rPr>
        <w:t>元，勘察费下浮率为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%，设计费为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lang w:bidi="ar"/>
        </w:rPr>
        <w:t>万</w:t>
      </w:r>
      <w:r>
        <w:rPr>
          <w:rFonts w:hint="eastAsia" w:ascii="宋体" w:hAnsi="宋体" w:cs="宋体"/>
          <w:b/>
          <w:color w:val="auto"/>
          <w:kern w:val="1"/>
          <w:szCs w:val="21"/>
          <w:highlight w:val="none"/>
        </w:rPr>
        <w:t>元，设计费下浮率为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%，建安工程</w:t>
      </w:r>
      <w:r>
        <w:rPr>
          <w:rFonts w:hint="eastAsia" w:ascii="宋体" w:hAnsi="宋体" w:cs="宋体"/>
          <w:b/>
          <w:bCs/>
          <w:color w:val="auto"/>
          <w:kern w:val="1"/>
          <w:szCs w:val="21"/>
          <w:highlight w:val="none"/>
        </w:rPr>
        <w:t>费</w:t>
      </w:r>
      <w:r>
        <w:rPr>
          <w:rFonts w:hint="eastAsia" w:ascii="宋体" w:hAnsi="宋体" w:cs="宋体"/>
          <w:b/>
          <w:color w:val="auto"/>
          <w:kern w:val="1"/>
          <w:szCs w:val="21"/>
          <w:highlight w:val="none"/>
        </w:rPr>
        <w:t>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lang w:bidi="ar"/>
        </w:rPr>
        <w:t>万</w:t>
      </w:r>
      <w:r>
        <w:rPr>
          <w:rFonts w:hint="eastAsia" w:ascii="宋体" w:hAnsi="宋体" w:cs="宋体"/>
          <w:b/>
          <w:color w:val="auto"/>
          <w:kern w:val="1"/>
          <w:szCs w:val="21"/>
          <w:highlight w:val="none"/>
        </w:rPr>
        <w:t>元，建安工程费下浮率为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w:t>
      </w:r>
      <w:r>
        <w:rPr>
          <w:rFonts w:hint="eastAsia" w:ascii="宋体" w:hAnsi="宋体" w:cs="宋体"/>
          <w:color w:val="auto"/>
          <w:kern w:val="1"/>
          <w:szCs w:val="21"/>
          <w:highlight w:val="none"/>
          <w:lang w:val="zh-CN"/>
        </w:rPr>
        <w:t>。</w:t>
      </w:r>
      <w:r>
        <w:rPr>
          <w:rFonts w:hint="eastAsia" w:ascii="宋体" w:hAnsi="宋体" w:cs="宋体"/>
          <w:color w:val="auto"/>
          <w:kern w:val="1"/>
          <w:szCs w:val="21"/>
          <w:highlight w:val="none"/>
          <w:u w:val="single"/>
          <w:lang w:val="zh-CN"/>
        </w:rPr>
        <w:t>我方承诺以上报价不低于我方成本价，</w:t>
      </w:r>
      <w:r>
        <w:rPr>
          <w:rFonts w:hint="eastAsia" w:ascii="宋体" w:hAnsi="宋体" w:cs="宋体"/>
          <w:color w:val="auto"/>
          <w:kern w:val="1"/>
          <w:szCs w:val="21"/>
          <w:highlight w:val="none"/>
          <w:lang w:val="zh-CN"/>
        </w:rPr>
        <w:t>并且已包括完成本项目招标内容和服务范围所包含全部工作的费用。（注：报价以万元为单位，精确到分位。报价下浮率以百分比计，小数点后保留二位小数，第三位小数四舍五入。）</w:t>
      </w:r>
    </w:p>
    <w:p w14:paraId="6C802656">
      <w:pPr>
        <w:widowControl/>
        <w:adjustRightInd w:val="0"/>
        <w:snapToGrid w:val="0"/>
        <w:spacing w:after="0"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6、我方如果中标，将按招标文件合同条款以及我方在投标文件中的承诺签订合同。</w:t>
      </w:r>
    </w:p>
    <w:p w14:paraId="092AF3D4">
      <w:pPr>
        <w:widowControl/>
        <w:adjustRightInd w:val="0"/>
        <w:snapToGrid w:val="0"/>
        <w:spacing w:after="0"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7、我方完全接受招标人对本项目功能需求和相关建设标准的要求。如果中标，我方保证本工程的投资、工期、质量、安全、绿色等级等控制目标按照招标文件要求完成。</w:t>
      </w:r>
    </w:p>
    <w:p w14:paraId="643B5B5C">
      <w:pPr>
        <w:widowControl/>
        <w:adjustRightInd w:val="0"/>
        <w:snapToGrid w:val="0"/>
        <w:spacing w:after="0"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8、我方拟委派</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）为项目负责人、</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）为设计负责人、</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）为项目技术负责人。我方承诺中标后上述人员及其他我方投标文件中提供的主要项目管理人员，未经招标人同意，不得更换。否则，我方愿意按招标文件合同条款中的有关规定给予违约赔偿。</w:t>
      </w:r>
    </w:p>
    <w:p w14:paraId="0730837F">
      <w:pPr>
        <w:widowControl/>
        <w:adjustRightInd w:val="0"/>
        <w:snapToGrid w:val="0"/>
        <w:spacing w:after="0"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9、我方如果中标，承诺在中标通知书发出后30个日历天内与贵方签署项目合同。</w:t>
      </w:r>
    </w:p>
    <w:p w14:paraId="255DFDB8">
      <w:pPr>
        <w:widowControl/>
        <w:adjustRightInd w:val="0"/>
        <w:snapToGrid w:val="0"/>
        <w:spacing w:after="0" w:line="360" w:lineRule="auto"/>
        <w:ind w:right="102" w:firstLine="420"/>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如我方违背上述承诺，我方愿意接受公开通报，放弃中标资格，承担由此带来的法律后果。</w:t>
      </w:r>
    </w:p>
    <w:p w14:paraId="1D3FFA40">
      <w:pPr>
        <w:wordWrap w:val="0"/>
        <w:spacing w:after="0" w:line="240" w:lineRule="auto"/>
        <w:contextualSpacing/>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投标人（盖章）：</w:t>
      </w:r>
      <w:r>
        <w:rPr>
          <w:rFonts w:hint="eastAsia" w:ascii="宋体" w:hAnsi="宋体" w:cs="宋体"/>
          <w:color w:val="auto"/>
          <w:kern w:val="1"/>
          <w:szCs w:val="21"/>
          <w:highlight w:val="none"/>
          <w:u w:val="single"/>
        </w:rPr>
        <w:t xml:space="preserve">                   </w:t>
      </w:r>
    </w:p>
    <w:p w14:paraId="54CC570A">
      <w:pPr>
        <w:wordWrap w:val="0"/>
        <w:spacing w:after="0" w:line="240" w:lineRule="auto"/>
        <w:contextualSpacing/>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法定代表人或授权代表（签字或盖章）：</w:t>
      </w:r>
      <w:r>
        <w:rPr>
          <w:rFonts w:hint="eastAsia" w:ascii="宋体" w:hAnsi="宋体" w:cs="宋体"/>
          <w:color w:val="auto"/>
          <w:kern w:val="1"/>
          <w:szCs w:val="21"/>
          <w:highlight w:val="none"/>
          <w:u w:val="single"/>
        </w:rPr>
        <w:t xml:space="preserve">                   </w:t>
      </w:r>
    </w:p>
    <w:p w14:paraId="5A4024C4">
      <w:pPr>
        <w:wordWrap w:val="0"/>
        <w:spacing w:after="0" w:line="240" w:lineRule="auto"/>
        <w:contextualSpacing/>
        <w:jc w:val="right"/>
        <w:rPr>
          <w:rFonts w:hint="eastAsia" w:ascii="宋体" w:hAnsi="宋体" w:cs="宋体"/>
          <w:color w:val="auto"/>
          <w:kern w:val="1"/>
          <w:szCs w:val="21"/>
          <w:highlight w:val="none"/>
          <w:u w:val="single"/>
        </w:rPr>
      </w:pPr>
      <w:r>
        <w:rPr>
          <w:rFonts w:hint="eastAsia" w:ascii="宋体" w:hAnsi="宋体" w:cs="宋体"/>
          <w:color w:val="auto"/>
          <w:kern w:val="1"/>
          <w:szCs w:val="21"/>
          <w:highlight w:val="none"/>
          <w:lang w:val="zh-CN"/>
        </w:rPr>
        <w:t>地址：</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49D388E2">
      <w:pPr>
        <w:wordWrap w:val="0"/>
        <w:spacing w:after="0" w:line="240" w:lineRule="auto"/>
        <w:contextualSpacing/>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邮政编码：</w:t>
      </w:r>
      <w:r>
        <w:rPr>
          <w:rFonts w:hint="eastAsia" w:ascii="宋体" w:hAnsi="宋体" w:cs="宋体"/>
          <w:color w:val="auto"/>
          <w:kern w:val="1"/>
          <w:szCs w:val="21"/>
          <w:highlight w:val="none"/>
          <w:u w:val="single"/>
        </w:rPr>
        <w:t xml:space="preserve">                </w:t>
      </w:r>
    </w:p>
    <w:p w14:paraId="0C97BA6D">
      <w:pPr>
        <w:wordWrap w:val="0"/>
        <w:spacing w:after="0" w:line="240" w:lineRule="auto"/>
        <w:contextualSpacing/>
        <w:jc w:val="right"/>
        <w:rPr>
          <w:rFonts w:hint="eastAsia" w:ascii="宋体" w:hAnsi="宋体" w:cs="宋体"/>
          <w:color w:val="auto"/>
          <w:kern w:val="1"/>
          <w:szCs w:val="21"/>
          <w:highlight w:val="none"/>
          <w:u w:val="single"/>
        </w:rPr>
      </w:pPr>
      <w:r>
        <w:rPr>
          <w:rFonts w:hint="eastAsia" w:ascii="宋体" w:hAnsi="宋体" w:cs="宋体"/>
          <w:color w:val="auto"/>
          <w:kern w:val="1"/>
          <w:szCs w:val="21"/>
          <w:highlight w:val="none"/>
          <w:lang w:val="zh-CN"/>
        </w:rPr>
        <w:t>电话：</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12A8988C">
      <w:pPr>
        <w:wordWrap w:val="0"/>
        <w:spacing w:after="0" w:line="240" w:lineRule="auto"/>
        <w:contextualSpacing/>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传真：</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46D968BB">
      <w:pPr>
        <w:wordWrap w:val="0"/>
        <w:spacing w:after="0" w:line="240" w:lineRule="auto"/>
        <w:contextualSpacing/>
        <w:jc w:val="right"/>
        <w:rPr>
          <w:rFonts w:ascii="宋体" w:hAnsi="宋体" w:cs="宋体"/>
          <w:b/>
          <w:color w:val="auto"/>
          <w:kern w:val="1"/>
          <w:sz w:val="24"/>
          <w:highlight w:val="none"/>
        </w:rPr>
      </w:pPr>
      <w:r>
        <w:rPr>
          <w:rFonts w:hint="eastAsia" w:ascii="宋体" w:hAnsi="宋体" w:cs="宋体"/>
          <w:color w:val="auto"/>
          <w:kern w:val="1"/>
          <w:szCs w:val="21"/>
          <w:highlight w:val="none"/>
          <w:lang w:val="zh-CN"/>
        </w:rPr>
        <w:t>日期：</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lang w:val="zh-CN"/>
        </w:rPr>
        <w:t>年</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lang w:val="zh-CN"/>
        </w:rPr>
        <w:t>月</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lang w:val="zh-CN"/>
        </w:rPr>
        <w:t>日</w:t>
      </w:r>
    </w:p>
    <w:p w14:paraId="5F08F8F7">
      <w:pPr>
        <w:spacing w:line="360" w:lineRule="auto"/>
        <w:rPr>
          <w:rFonts w:ascii="宋体" w:hAnsi="宋体" w:cs="宋体"/>
          <w:b/>
          <w:color w:val="auto"/>
          <w:kern w:val="1"/>
          <w:sz w:val="24"/>
          <w:highlight w:val="none"/>
        </w:rPr>
      </w:pPr>
      <w:r>
        <w:rPr>
          <w:rFonts w:ascii="宋体" w:hAnsi="宋体" w:cs="宋体"/>
          <w:b/>
          <w:color w:val="auto"/>
          <w:kern w:val="1"/>
          <w:sz w:val="24"/>
          <w:highlight w:val="none"/>
        </w:rPr>
        <w:br w:type="page"/>
      </w:r>
      <w:r>
        <w:rPr>
          <w:rFonts w:hint="eastAsia" w:ascii="宋体" w:hAnsi="宋体" w:cs="宋体"/>
          <w:b/>
          <w:color w:val="auto"/>
          <w:kern w:val="1"/>
          <w:sz w:val="24"/>
          <w:highlight w:val="none"/>
        </w:rPr>
        <w:t>格式</w:t>
      </w:r>
      <w:r>
        <w:rPr>
          <w:rFonts w:ascii="宋体" w:hAnsi="宋体" w:cs="宋体"/>
          <w:b/>
          <w:color w:val="auto"/>
          <w:kern w:val="1"/>
          <w:sz w:val="24"/>
          <w:highlight w:val="none"/>
        </w:rPr>
        <w:t>2</w:t>
      </w:r>
      <w:r>
        <w:rPr>
          <w:rFonts w:hint="eastAsia" w:ascii="宋体" w:hAnsi="宋体" w:cs="宋体"/>
          <w:b/>
          <w:color w:val="auto"/>
          <w:kern w:val="1"/>
          <w:sz w:val="24"/>
          <w:highlight w:val="none"/>
        </w:rPr>
        <w:t>：</w:t>
      </w:r>
    </w:p>
    <w:p w14:paraId="2BB135B1">
      <w:pPr>
        <w:spacing w:line="360" w:lineRule="auto"/>
        <w:jc w:val="center"/>
        <w:rPr>
          <w:rFonts w:ascii="宋体" w:hAnsi="宋体" w:cs="宋体"/>
          <w:b/>
          <w:color w:val="auto"/>
          <w:kern w:val="1"/>
          <w:sz w:val="28"/>
          <w:szCs w:val="28"/>
          <w:highlight w:val="none"/>
          <w:lang w:val="zh-CN"/>
        </w:rPr>
      </w:pPr>
      <w:r>
        <w:rPr>
          <w:rFonts w:hint="eastAsia" w:ascii="宋体" w:hAnsi="宋体" w:cs="宋体"/>
          <w:b/>
          <w:color w:val="auto"/>
          <w:kern w:val="1"/>
          <w:sz w:val="28"/>
          <w:szCs w:val="28"/>
          <w:highlight w:val="none"/>
          <w:lang w:val="zh-CN"/>
        </w:rPr>
        <w:t>勘察设计投标书</w:t>
      </w:r>
    </w:p>
    <w:p w14:paraId="0E90D44C">
      <w:pPr>
        <w:spacing w:line="360" w:lineRule="auto"/>
        <w:jc w:val="left"/>
        <w:rPr>
          <w:rFonts w:ascii="宋体" w:hAnsi="宋体" w:cs="宋体"/>
          <w:color w:val="auto"/>
          <w:kern w:val="1"/>
          <w:szCs w:val="20"/>
          <w:highlight w:val="none"/>
        </w:rPr>
      </w:pPr>
      <w:r>
        <w:rPr>
          <w:rFonts w:hint="eastAsia" w:ascii="宋体" w:hAnsi="宋体" w:cs="宋体"/>
          <w:color w:val="auto"/>
          <w:kern w:val="1"/>
          <w:szCs w:val="20"/>
          <w:highlight w:val="none"/>
        </w:rPr>
        <w:t>项目名称：</w:t>
      </w:r>
      <w:r>
        <w:rPr>
          <w:rFonts w:hint="eastAsia" w:ascii="宋体" w:hAnsi="宋体" w:cs="宋体"/>
          <w:color w:val="auto"/>
          <w:kern w:val="1"/>
          <w:szCs w:val="20"/>
          <w:highlight w:val="none"/>
          <w:u w:val="single"/>
        </w:rPr>
        <w:t xml:space="preserve">                                           </w:t>
      </w:r>
      <w:r>
        <w:rPr>
          <w:rFonts w:hint="eastAsia" w:ascii="宋体" w:hAnsi="宋体" w:cs="宋体"/>
          <w:color w:val="auto"/>
          <w:kern w:val="1"/>
          <w:szCs w:val="20"/>
          <w:highlight w:val="none"/>
        </w:rPr>
        <w:t>。</w:t>
      </w:r>
    </w:p>
    <w:p w14:paraId="7A2DCD8B">
      <w:pPr>
        <w:pStyle w:val="2"/>
        <w:spacing w:line="360" w:lineRule="auto"/>
        <w:rPr>
          <w:rFonts w:cs="宋体"/>
          <w:color w:val="auto"/>
          <w:sz w:val="21"/>
          <w:szCs w:val="21"/>
          <w:highlight w:val="none"/>
        </w:rPr>
      </w:pPr>
    </w:p>
    <w:p w14:paraId="37EE3F75">
      <w:pPr>
        <w:pStyle w:val="2"/>
        <w:spacing w:line="360" w:lineRule="auto"/>
        <w:rPr>
          <w:rFonts w:cs="宋体"/>
          <w:color w:val="auto"/>
          <w:sz w:val="21"/>
          <w:szCs w:val="21"/>
          <w:highlight w:val="none"/>
        </w:rPr>
      </w:pPr>
      <w:r>
        <w:rPr>
          <w:rFonts w:hint="eastAsia" w:cs="宋体"/>
          <w:color w:val="auto"/>
          <w:sz w:val="21"/>
          <w:szCs w:val="21"/>
          <w:highlight w:val="none"/>
        </w:rPr>
        <w:t>致：</w:t>
      </w:r>
      <w:r>
        <w:rPr>
          <w:rFonts w:hint="eastAsia" w:cs="宋体"/>
          <w:color w:val="auto"/>
          <w:sz w:val="21"/>
          <w:szCs w:val="21"/>
          <w:highlight w:val="none"/>
          <w:u w:val="single"/>
        </w:rPr>
        <w:t xml:space="preserve">                                    </w:t>
      </w:r>
      <w:r>
        <w:rPr>
          <w:rFonts w:hint="eastAsia" w:cs="宋体"/>
          <w:color w:val="auto"/>
          <w:sz w:val="21"/>
          <w:szCs w:val="21"/>
          <w:highlight w:val="none"/>
        </w:rPr>
        <w:t>（招标人名称）</w:t>
      </w:r>
    </w:p>
    <w:p w14:paraId="5F3CA335">
      <w:pPr>
        <w:spacing w:line="360" w:lineRule="auto"/>
        <w:jc w:val="left"/>
        <w:rPr>
          <w:rFonts w:ascii="宋体" w:hAnsi="宋体" w:cs="宋体"/>
          <w:color w:val="auto"/>
          <w:kern w:val="1"/>
          <w:szCs w:val="20"/>
          <w:highlight w:val="none"/>
        </w:rPr>
      </w:pPr>
    </w:p>
    <w:p w14:paraId="65AD657B">
      <w:pPr>
        <w:pStyle w:val="2"/>
        <w:spacing w:line="360" w:lineRule="auto"/>
        <w:ind w:firstLine="480"/>
        <w:rPr>
          <w:rFonts w:cs="宋体"/>
          <w:color w:val="auto"/>
          <w:sz w:val="21"/>
          <w:szCs w:val="21"/>
          <w:highlight w:val="none"/>
        </w:rPr>
      </w:pPr>
      <w:r>
        <w:rPr>
          <w:rFonts w:hint="eastAsia" w:cs="宋体"/>
          <w:color w:val="auto"/>
          <w:sz w:val="21"/>
          <w:szCs w:val="21"/>
          <w:highlight w:val="none"/>
        </w:rPr>
        <w:t>我方已收到并研究了上述项目的招标文件、合同条件、技术文件等文件。我方已检查和核对了这些文件，未发现他们有错误或其他缺陷。据此，我方愿按这些文件的规定，按照本投标书，包括一并提交的所有文件材料和所附建议书，承担上述项目并修补其中任何缺陷。</w:t>
      </w:r>
    </w:p>
    <w:p w14:paraId="4A62541E">
      <w:pPr>
        <w:pStyle w:val="2"/>
        <w:spacing w:line="360" w:lineRule="auto"/>
        <w:ind w:firstLine="480"/>
        <w:rPr>
          <w:rFonts w:cs="宋体"/>
          <w:color w:val="auto"/>
          <w:sz w:val="21"/>
          <w:szCs w:val="21"/>
          <w:highlight w:val="none"/>
        </w:rPr>
      </w:pPr>
      <w:r>
        <w:rPr>
          <w:rFonts w:hint="eastAsia" w:cs="宋体"/>
          <w:color w:val="auto"/>
          <w:sz w:val="21"/>
          <w:szCs w:val="21"/>
          <w:highlight w:val="none"/>
        </w:rPr>
        <w:t>我方遵守本投标书直至投标有效期满，在该日期前，本投标书对我方一直具有约束力，随时可接受中标。我方承认所附设计文件资料为本投标书的一部分。如果我方投标书含有不符合招标文件规定的内容，我方同意按招标文件规定予以修正。我方接受你方关于任命争端裁决委员会的建议。</w:t>
      </w:r>
    </w:p>
    <w:p w14:paraId="7AF1652F">
      <w:pPr>
        <w:pStyle w:val="2"/>
        <w:spacing w:line="360" w:lineRule="auto"/>
        <w:ind w:firstLine="480"/>
        <w:rPr>
          <w:rFonts w:cs="宋体"/>
          <w:color w:val="auto"/>
          <w:sz w:val="21"/>
          <w:szCs w:val="21"/>
          <w:highlight w:val="none"/>
        </w:rPr>
      </w:pPr>
      <w:r>
        <w:rPr>
          <w:rFonts w:hint="eastAsia" w:cs="宋体"/>
          <w:color w:val="auto"/>
          <w:sz w:val="21"/>
          <w:szCs w:val="21"/>
          <w:highlight w:val="none"/>
        </w:rPr>
        <w:t>我方认同招标文件规定的评审规则，遵守评标委员会的裁决结果，并且不会采取妨碍项目进展的行为。</w:t>
      </w:r>
    </w:p>
    <w:p w14:paraId="5435D65B">
      <w:pPr>
        <w:pStyle w:val="2"/>
        <w:spacing w:line="360" w:lineRule="auto"/>
        <w:ind w:firstLine="480"/>
        <w:rPr>
          <w:rFonts w:cs="宋体"/>
          <w:color w:val="auto"/>
          <w:sz w:val="21"/>
          <w:szCs w:val="21"/>
          <w:highlight w:val="none"/>
        </w:rPr>
      </w:pPr>
      <w:r>
        <w:rPr>
          <w:rFonts w:hint="eastAsia" w:cs="宋体"/>
          <w:color w:val="auto"/>
          <w:sz w:val="21"/>
          <w:szCs w:val="21"/>
          <w:highlight w:val="none"/>
        </w:rPr>
        <w:t>除非制订正式合同协议书并生效，本投标书以及你方中标通知书，应构成你我双方间具有约束力的合同。</w:t>
      </w:r>
    </w:p>
    <w:p w14:paraId="2E038AB7">
      <w:pPr>
        <w:spacing w:line="360" w:lineRule="auto"/>
        <w:ind w:firstLine="480"/>
        <w:rPr>
          <w:rFonts w:ascii="宋体" w:hAnsi="宋体" w:cs="宋体"/>
          <w:color w:val="auto"/>
          <w:kern w:val="1"/>
          <w:szCs w:val="20"/>
          <w:highlight w:val="none"/>
        </w:rPr>
      </w:pPr>
      <w:r>
        <w:rPr>
          <w:rFonts w:hint="eastAsia" w:ascii="宋体" w:hAnsi="宋体" w:cs="宋体"/>
          <w:color w:val="auto"/>
          <w:kern w:val="1"/>
          <w:szCs w:val="20"/>
          <w:highlight w:val="none"/>
        </w:rPr>
        <w:t>本投标书同时作为法人证明书或法人授权委托书。</w:t>
      </w:r>
    </w:p>
    <w:p w14:paraId="6324D337">
      <w:pPr>
        <w:spacing w:line="360" w:lineRule="auto"/>
        <w:rPr>
          <w:rFonts w:ascii="宋体" w:hAnsi="宋体" w:cs="宋体"/>
          <w:color w:val="auto"/>
          <w:kern w:val="1"/>
          <w:szCs w:val="21"/>
          <w:highlight w:val="none"/>
        </w:rPr>
      </w:pPr>
    </w:p>
    <w:p w14:paraId="3BE93170">
      <w:pP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rPr>
        <w:t>投标人：</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 xml:space="preserve"> （盖章）</w:t>
      </w:r>
    </w:p>
    <w:p w14:paraId="5199C3AA">
      <w:pP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lang w:val="zh-CN"/>
        </w:rPr>
        <w:t>法定代表人或授权代表（签字或盖章）：</w:t>
      </w:r>
      <w:r>
        <w:rPr>
          <w:rFonts w:hint="eastAsia" w:ascii="宋体" w:hAnsi="宋体" w:cs="宋体"/>
          <w:color w:val="auto"/>
          <w:kern w:val="1"/>
          <w:szCs w:val="21"/>
          <w:highlight w:val="none"/>
          <w:u w:val="single"/>
        </w:rPr>
        <w:t xml:space="preserve">     </w:t>
      </w:r>
    </w:p>
    <w:p w14:paraId="00FDCABE">
      <w:pP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rPr>
        <w:t>日期：    年    月    日</w:t>
      </w:r>
    </w:p>
    <w:p w14:paraId="036E1A44">
      <w:pPr>
        <w:spacing w:line="360" w:lineRule="auto"/>
        <w:rPr>
          <w:rFonts w:ascii="宋体" w:hAnsi="宋体" w:cs="宋体"/>
          <w:b/>
          <w:color w:val="auto"/>
          <w:kern w:val="1"/>
          <w:sz w:val="24"/>
          <w:highlight w:val="none"/>
          <w:lang w:val="zh-CN"/>
        </w:rPr>
      </w:pPr>
      <w:r>
        <w:rPr>
          <w:rFonts w:ascii="宋体" w:hAnsi="宋体" w:cs="宋体"/>
          <w:b/>
          <w:color w:val="auto"/>
          <w:kern w:val="1"/>
          <w:sz w:val="24"/>
          <w:szCs w:val="20"/>
          <w:highlight w:val="none"/>
          <w:lang w:val="zh-CN"/>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3</w:t>
      </w:r>
      <w:r>
        <w:rPr>
          <w:rFonts w:hint="eastAsia" w:ascii="宋体" w:hAnsi="宋体" w:cs="宋体"/>
          <w:b/>
          <w:color w:val="auto"/>
          <w:kern w:val="1"/>
          <w:sz w:val="24"/>
          <w:highlight w:val="none"/>
          <w:lang w:val="zh-CN"/>
        </w:rPr>
        <w:t>：</w:t>
      </w:r>
    </w:p>
    <w:p w14:paraId="565897F7">
      <w:pPr>
        <w:spacing w:line="360" w:lineRule="auto"/>
        <w:jc w:val="center"/>
        <w:rPr>
          <w:rFonts w:ascii="宋体" w:hAnsi="宋体" w:cs="宋体"/>
          <w:b/>
          <w:color w:val="auto"/>
          <w:kern w:val="1"/>
          <w:sz w:val="36"/>
          <w:szCs w:val="36"/>
          <w:highlight w:val="none"/>
          <w:lang w:val="zh-CN"/>
        </w:rPr>
      </w:pPr>
      <w:bookmarkStart w:id="401" w:name="_Hlk61429714"/>
      <w:r>
        <w:rPr>
          <w:rFonts w:hint="eastAsia" w:ascii="宋体" w:hAnsi="宋体" w:cs="宋体"/>
          <w:b/>
          <w:color w:val="auto"/>
          <w:kern w:val="1"/>
          <w:sz w:val="36"/>
          <w:szCs w:val="36"/>
          <w:highlight w:val="none"/>
          <w:lang w:val="zh-CN"/>
        </w:rPr>
        <w:t>技术</w:t>
      </w:r>
      <w:bookmarkEnd w:id="401"/>
      <w:r>
        <w:rPr>
          <w:rFonts w:hint="eastAsia" w:ascii="宋体" w:hAnsi="宋体" w:cs="宋体"/>
          <w:b/>
          <w:color w:val="auto"/>
          <w:kern w:val="1"/>
          <w:sz w:val="36"/>
          <w:szCs w:val="36"/>
          <w:highlight w:val="none"/>
          <w:lang w:val="zh-CN"/>
        </w:rPr>
        <w:t>投标书</w:t>
      </w:r>
    </w:p>
    <w:p w14:paraId="100394D6">
      <w:pPr>
        <w:spacing w:line="360" w:lineRule="auto"/>
        <w:jc w:val="center"/>
        <w:rPr>
          <w:rFonts w:ascii="宋体" w:hAnsi="宋体" w:cs="宋体"/>
          <w:b/>
          <w:color w:val="auto"/>
          <w:kern w:val="1"/>
          <w:sz w:val="32"/>
          <w:szCs w:val="32"/>
          <w:highlight w:val="none"/>
          <w:lang w:val="zh-CN"/>
        </w:rPr>
      </w:pPr>
    </w:p>
    <w:p w14:paraId="25CE942E">
      <w:pPr>
        <w:spacing w:line="360" w:lineRule="auto"/>
        <w:jc w:val="right"/>
        <w:rPr>
          <w:rFonts w:ascii="宋体" w:hAnsi="宋体" w:cs="宋体"/>
          <w:b/>
          <w:color w:val="auto"/>
          <w:kern w:val="1"/>
          <w:sz w:val="32"/>
          <w:szCs w:val="32"/>
          <w:highlight w:val="none"/>
          <w:lang w:val="zh-CN"/>
        </w:rPr>
      </w:pPr>
      <w:r>
        <w:rPr>
          <w:rFonts w:hint="eastAsia" w:ascii="宋体" w:hAnsi="宋体" w:cs="宋体"/>
          <w:b/>
          <w:color w:val="auto"/>
          <w:kern w:val="1"/>
          <w:sz w:val="24"/>
          <w:highlight w:val="none"/>
          <w:lang w:val="zh-CN"/>
        </w:rPr>
        <w:t>投标日期：   年  月  日</w:t>
      </w:r>
    </w:p>
    <w:tbl>
      <w:tblPr>
        <w:tblStyle w:val="36"/>
        <w:tblW w:w="9275" w:type="dxa"/>
        <w:jc w:val="center"/>
        <w:tblLayout w:type="fixed"/>
        <w:tblCellMar>
          <w:top w:w="0" w:type="dxa"/>
          <w:left w:w="108" w:type="dxa"/>
          <w:bottom w:w="0" w:type="dxa"/>
          <w:right w:w="108" w:type="dxa"/>
        </w:tblCellMar>
      </w:tblPr>
      <w:tblGrid>
        <w:gridCol w:w="3048"/>
        <w:gridCol w:w="2294"/>
        <w:gridCol w:w="3933"/>
      </w:tblGrid>
      <w:tr w14:paraId="08E57C2F">
        <w:tblPrEx>
          <w:tblCellMar>
            <w:top w:w="0" w:type="dxa"/>
            <w:left w:w="108" w:type="dxa"/>
            <w:bottom w:w="0" w:type="dxa"/>
            <w:right w:w="108" w:type="dxa"/>
          </w:tblCellMar>
        </w:tblPrEx>
        <w:trPr>
          <w:trHeight w:val="680" w:hRule="atLeast"/>
          <w:jc w:val="center"/>
        </w:trPr>
        <w:tc>
          <w:tcPr>
            <w:tcW w:w="3048" w:type="dxa"/>
            <w:tcBorders>
              <w:top w:val="single" w:color="000000" w:sz="4" w:space="0"/>
              <w:left w:val="single" w:color="000000" w:sz="4" w:space="0"/>
              <w:bottom w:val="single" w:color="000000" w:sz="4" w:space="0"/>
              <w:right w:val="single" w:color="000000" w:sz="4" w:space="0"/>
            </w:tcBorders>
            <w:noWrap w:val="0"/>
            <w:vAlign w:val="center"/>
          </w:tcPr>
          <w:p w14:paraId="2724DB77">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工 程 名 称</w:t>
            </w:r>
          </w:p>
        </w:tc>
        <w:tc>
          <w:tcPr>
            <w:tcW w:w="6227" w:type="dxa"/>
            <w:gridSpan w:val="2"/>
            <w:tcBorders>
              <w:top w:val="single" w:color="000000" w:sz="4" w:space="0"/>
              <w:left w:val="single" w:color="000000" w:sz="4" w:space="0"/>
              <w:bottom w:val="single" w:color="000000" w:sz="4" w:space="0"/>
              <w:right w:val="single" w:color="000000" w:sz="4" w:space="0"/>
            </w:tcBorders>
            <w:noWrap w:val="0"/>
            <w:vAlign w:val="center"/>
          </w:tcPr>
          <w:p w14:paraId="100C6675">
            <w:pPr>
              <w:keepNext w:val="0"/>
              <w:keepLines w:val="0"/>
              <w:suppressLineNumbers w:val="0"/>
              <w:spacing w:before="0" w:beforeAutospacing="0" w:after="0" w:afterAutospacing="0" w:line="360" w:lineRule="auto"/>
              <w:ind w:left="0" w:right="0"/>
              <w:rPr>
                <w:rFonts w:hint="default" w:ascii="宋体" w:hAnsi="宋体" w:cs="宋体"/>
                <w:b/>
                <w:color w:val="auto"/>
                <w:kern w:val="2"/>
                <w:sz w:val="24"/>
                <w:highlight w:val="none"/>
                <w:lang w:val="zh-CN"/>
              </w:rPr>
            </w:pPr>
          </w:p>
        </w:tc>
      </w:tr>
      <w:tr w14:paraId="43CF9984">
        <w:tblPrEx>
          <w:tblCellMar>
            <w:top w:w="0" w:type="dxa"/>
            <w:left w:w="108" w:type="dxa"/>
            <w:bottom w:w="0" w:type="dxa"/>
            <w:right w:w="108" w:type="dxa"/>
          </w:tblCellMar>
        </w:tblPrEx>
        <w:trPr>
          <w:trHeight w:val="680" w:hRule="atLeast"/>
          <w:jc w:val="center"/>
        </w:trPr>
        <w:tc>
          <w:tcPr>
            <w:tcW w:w="3048" w:type="dxa"/>
            <w:tcBorders>
              <w:top w:val="single" w:color="000000" w:sz="4" w:space="0"/>
              <w:left w:val="single" w:color="000000" w:sz="4" w:space="0"/>
              <w:bottom w:val="single" w:color="000000" w:sz="4" w:space="0"/>
              <w:right w:val="single" w:color="000000" w:sz="4" w:space="0"/>
            </w:tcBorders>
            <w:noWrap w:val="0"/>
            <w:vAlign w:val="center"/>
          </w:tcPr>
          <w:p w14:paraId="6D24798D">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投 标 总 工 期</w:t>
            </w:r>
          </w:p>
        </w:tc>
        <w:tc>
          <w:tcPr>
            <w:tcW w:w="6227" w:type="dxa"/>
            <w:gridSpan w:val="2"/>
            <w:tcBorders>
              <w:top w:val="single" w:color="000000" w:sz="4" w:space="0"/>
              <w:left w:val="single" w:color="000000" w:sz="4" w:space="0"/>
              <w:bottom w:val="single" w:color="000000" w:sz="4" w:space="0"/>
              <w:right w:val="single" w:color="000000" w:sz="4" w:space="0"/>
            </w:tcBorders>
            <w:noWrap w:val="0"/>
            <w:vAlign w:val="center"/>
          </w:tcPr>
          <w:p w14:paraId="0A034F48">
            <w:pPr>
              <w:keepNext w:val="0"/>
              <w:keepLines w:val="0"/>
              <w:suppressLineNumbers w:val="0"/>
              <w:spacing w:before="0" w:beforeAutospacing="0" w:after="0" w:afterAutospacing="0" w:line="360" w:lineRule="auto"/>
              <w:ind w:left="236" w:right="0" w:hanging="236"/>
              <w:rPr>
                <w:rFonts w:hint="default" w:ascii="宋体" w:hAnsi="宋体" w:cs="宋体"/>
                <w:b/>
                <w:color w:val="auto"/>
                <w:kern w:val="2"/>
                <w:sz w:val="24"/>
                <w:highlight w:val="none"/>
                <w:lang w:val="zh-CN"/>
              </w:rPr>
            </w:pPr>
          </w:p>
        </w:tc>
      </w:tr>
      <w:tr w14:paraId="01E6C2AB">
        <w:tblPrEx>
          <w:tblCellMar>
            <w:top w:w="0" w:type="dxa"/>
            <w:left w:w="108" w:type="dxa"/>
            <w:bottom w:w="0" w:type="dxa"/>
            <w:right w:w="108" w:type="dxa"/>
          </w:tblCellMar>
        </w:tblPrEx>
        <w:trPr>
          <w:trHeight w:val="680" w:hRule="atLeast"/>
          <w:jc w:val="center"/>
        </w:trPr>
        <w:tc>
          <w:tcPr>
            <w:tcW w:w="3048" w:type="dxa"/>
            <w:tcBorders>
              <w:top w:val="single" w:color="000000" w:sz="4" w:space="0"/>
              <w:left w:val="single" w:color="000000" w:sz="4" w:space="0"/>
              <w:bottom w:val="single" w:color="000000" w:sz="4" w:space="0"/>
              <w:right w:val="single" w:color="000000" w:sz="4" w:space="0"/>
            </w:tcBorders>
            <w:noWrap w:val="0"/>
            <w:vAlign w:val="center"/>
          </w:tcPr>
          <w:p w14:paraId="07D69481">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bCs/>
                <w:color w:val="auto"/>
                <w:kern w:val="1"/>
                <w:sz w:val="24"/>
                <w:highlight w:val="none"/>
                <w:lang w:val="zh-CN"/>
              </w:rPr>
              <w:t>质量标准</w:t>
            </w:r>
          </w:p>
        </w:tc>
        <w:tc>
          <w:tcPr>
            <w:tcW w:w="6227" w:type="dxa"/>
            <w:gridSpan w:val="2"/>
            <w:tcBorders>
              <w:top w:val="single" w:color="000000" w:sz="4" w:space="0"/>
              <w:left w:val="single" w:color="000000" w:sz="4" w:space="0"/>
              <w:bottom w:val="single" w:color="000000" w:sz="4" w:space="0"/>
              <w:right w:val="single" w:color="000000" w:sz="4" w:space="0"/>
            </w:tcBorders>
            <w:noWrap w:val="0"/>
            <w:vAlign w:val="center"/>
          </w:tcPr>
          <w:p w14:paraId="5C2AC9F0">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完全响应招标文件及合同条款要求</w:t>
            </w:r>
          </w:p>
        </w:tc>
      </w:tr>
      <w:tr w14:paraId="79BB5D8D">
        <w:tblPrEx>
          <w:tblCellMar>
            <w:top w:w="0" w:type="dxa"/>
            <w:left w:w="108" w:type="dxa"/>
            <w:bottom w:w="0" w:type="dxa"/>
            <w:right w:w="108" w:type="dxa"/>
          </w:tblCellMar>
        </w:tblPrEx>
        <w:trPr>
          <w:trHeight w:val="680" w:hRule="atLeast"/>
          <w:jc w:val="center"/>
        </w:trPr>
        <w:tc>
          <w:tcPr>
            <w:tcW w:w="3048" w:type="dxa"/>
            <w:tcBorders>
              <w:top w:val="single" w:color="000000" w:sz="4" w:space="0"/>
              <w:left w:val="single" w:color="000000" w:sz="4" w:space="0"/>
              <w:bottom w:val="single" w:color="000000" w:sz="4" w:space="0"/>
              <w:right w:val="single" w:color="000000" w:sz="4" w:space="0"/>
            </w:tcBorders>
            <w:noWrap w:val="0"/>
            <w:vAlign w:val="center"/>
          </w:tcPr>
          <w:p w14:paraId="24A11496">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保修期限</w:t>
            </w:r>
          </w:p>
        </w:tc>
        <w:tc>
          <w:tcPr>
            <w:tcW w:w="6227" w:type="dxa"/>
            <w:gridSpan w:val="2"/>
            <w:tcBorders>
              <w:top w:val="single" w:color="000000" w:sz="4" w:space="0"/>
              <w:left w:val="single" w:color="000000" w:sz="4" w:space="0"/>
              <w:bottom w:val="single" w:color="000000" w:sz="4" w:space="0"/>
              <w:right w:val="single" w:color="000000" w:sz="4" w:space="0"/>
            </w:tcBorders>
            <w:noWrap w:val="0"/>
            <w:vAlign w:val="center"/>
          </w:tcPr>
          <w:p w14:paraId="7F17A2FC">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完全响应招标文件及合同条款要求</w:t>
            </w:r>
          </w:p>
        </w:tc>
      </w:tr>
      <w:tr w14:paraId="14FD2ADD">
        <w:tblPrEx>
          <w:tblCellMar>
            <w:top w:w="0" w:type="dxa"/>
            <w:left w:w="108" w:type="dxa"/>
            <w:bottom w:w="0" w:type="dxa"/>
            <w:right w:w="108" w:type="dxa"/>
          </w:tblCellMar>
        </w:tblPrEx>
        <w:trPr>
          <w:trHeight w:val="510" w:hRule="atLeast"/>
          <w:jc w:val="center"/>
        </w:trPr>
        <w:tc>
          <w:tcPr>
            <w:tcW w:w="3048" w:type="dxa"/>
            <w:tcBorders>
              <w:top w:val="single" w:color="000000" w:sz="4" w:space="0"/>
              <w:left w:val="single" w:color="000000" w:sz="4" w:space="0"/>
              <w:bottom w:val="single" w:color="000000" w:sz="4" w:space="0"/>
              <w:right w:val="single" w:color="000000" w:sz="4" w:space="0"/>
            </w:tcBorders>
            <w:noWrap w:val="0"/>
            <w:vAlign w:val="center"/>
          </w:tcPr>
          <w:p w14:paraId="0620762E">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委派的项目负责人</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0E2004DD">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noWrap w:val="0"/>
            <w:vAlign w:val="top"/>
          </w:tcPr>
          <w:p w14:paraId="50078B2D">
            <w:pPr>
              <w:keepNext w:val="0"/>
              <w:keepLines w:val="0"/>
              <w:suppressLineNumbers w:val="0"/>
              <w:spacing w:before="0" w:beforeAutospacing="0" w:after="0" w:afterAutospacing="0" w:line="360" w:lineRule="auto"/>
              <w:ind w:left="0" w:right="0"/>
              <w:rPr>
                <w:rFonts w:hint="default" w:ascii="宋体" w:hAnsi="宋体" w:cs="宋体"/>
                <w:b/>
                <w:color w:val="auto"/>
                <w:kern w:val="2"/>
                <w:sz w:val="24"/>
                <w:highlight w:val="none"/>
                <w:lang w:val="zh-CN"/>
              </w:rPr>
            </w:pPr>
          </w:p>
        </w:tc>
      </w:tr>
      <w:tr w14:paraId="2253F104">
        <w:tblPrEx>
          <w:tblCellMar>
            <w:top w:w="0" w:type="dxa"/>
            <w:left w:w="108" w:type="dxa"/>
            <w:bottom w:w="0" w:type="dxa"/>
            <w:right w:w="108" w:type="dxa"/>
          </w:tblCellMar>
        </w:tblPrEx>
        <w:trPr>
          <w:trHeight w:val="555" w:hRule="atLeast"/>
          <w:jc w:val="center"/>
        </w:trPr>
        <w:tc>
          <w:tcPr>
            <w:tcW w:w="3048" w:type="dxa"/>
            <w:tcBorders>
              <w:top w:val="single" w:color="000000" w:sz="4" w:space="0"/>
              <w:left w:val="single" w:color="000000" w:sz="4" w:space="0"/>
              <w:right w:val="single" w:color="000000" w:sz="4" w:space="0"/>
            </w:tcBorders>
            <w:noWrap w:val="0"/>
            <w:vAlign w:val="center"/>
          </w:tcPr>
          <w:p w14:paraId="692574C0">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委派的技术负责人</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6DEA0BDE">
            <w:pPr>
              <w:keepNext w:val="0"/>
              <w:keepLines w:val="0"/>
              <w:suppressLineNumbers w:val="0"/>
              <w:spacing w:before="0" w:beforeAutospacing="0" w:after="0" w:afterAutospacing="0" w:line="360" w:lineRule="auto"/>
              <w:ind w:left="0" w:right="0"/>
              <w:jc w:val="center"/>
              <w:rPr>
                <w:rFonts w:hint="default" w:ascii="宋体" w:hAnsi="宋体"/>
                <w:color w:val="auto"/>
                <w:kern w:val="2"/>
                <w:sz w:val="24"/>
                <w:szCs w:val="24"/>
                <w:highlight w:val="none"/>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noWrap w:val="0"/>
            <w:vAlign w:val="top"/>
          </w:tcPr>
          <w:p w14:paraId="4798C239">
            <w:pPr>
              <w:keepNext w:val="0"/>
              <w:keepLines w:val="0"/>
              <w:suppressLineNumbers w:val="0"/>
              <w:spacing w:before="0" w:beforeAutospacing="0" w:after="0" w:afterAutospacing="0" w:line="360" w:lineRule="auto"/>
              <w:ind w:left="0" w:right="0"/>
              <w:rPr>
                <w:rFonts w:hint="default" w:ascii="宋体" w:hAnsi="宋体" w:cs="宋体"/>
                <w:b/>
                <w:color w:val="auto"/>
                <w:kern w:val="2"/>
                <w:sz w:val="24"/>
                <w:highlight w:val="none"/>
                <w:lang w:val="zh-CN"/>
              </w:rPr>
            </w:pPr>
          </w:p>
        </w:tc>
      </w:tr>
      <w:tr w14:paraId="010B8688">
        <w:tblPrEx>
          <w:tblCellMar>
            <w:top w:w="0" w:type="dxa"/>
            <w:left w:w="108" w:type="dxa"/>
            <w:bottom w:w="0" w:type="dxa"/>
            <w:right w:w="108" w:type="dxa"/>
          </w:tblCellMar>
        </w:tblPrEx>
        <w:trPr>
          <w:trHeight w:val="490" w:hRule="atLeast"/>
          <w:jc w:val="center"/>
        </w:trPr>
        <w:tc>
          <w:tcPr>
            <w:tcW w:w="3048" w:type="dxa"/>
            <w:tcBorders>
              <w:top w:val="single" w:color="000000" w:sz="4" w:space="0"/>
              <w:left w:val="single" w:color="000000" w:sz="4" w:space="0"/>
              <w:bottom w:val="single" w:color="000000" w:sz="4" w:space="0"/>
              <w:right w:val="single" w:color="000000" w:sz="4" w:space="0"/>
            </w:tcBorders>
            <w:noWrap w:val="0"/>
            <w:vAlign w:val="center"/>
          </w:tcPr>
          <w:p w14:paraId="2C6CCB31">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委派的专职安全员</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30181D6C">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noWrap w:val="0"/>
            <w:vAlign w:val="top"/>
          </w:tcPr>
          <w:p w14:paraId="538DED3B">
            <w:pPr>
              <w:keepNext w:val="0"/>
              <w:keepLines w:val="0"/>
              <w:suppressLineNumbers w:val="0"/>
              <w:spacing w:before="0" w:beforeAutospacing="0" w:after="0" w:afterAutospacing="0" w:line="360" w:lineRule="auto"/>
              <w:ind w:left="0" w:right="0"/>
              <w:rPr>
                <w:rFonts w:hint="default" w:ascii="宋体" w:hAnsi="宋体" w:cs="宋体"/>
                <w:b/>
                <w:color w:val="auto"/>
                <w:kern w:val="2"/>
                <w:sz w:val="24"/>
                <w:highlight w:val="none"/>
                <w:lang w:val="zh-CN"/>
              </w:rPr>
            </w:pPr>
          </w:p>
        </w:tc>
      </w:tr>
      <w:tr w14:paraId="0D05F585">
        <w:tblPrEx>
          <w:tblCellMar>
            <w:top w:w="0" w:type="dxa"/>
            <w:left w:w="108" w:type="dxa"/>
            <w:bottom w:w="0" w:type="dxa"/>
            <w:right w:w="108" w:type="dxa"/>
          </w:tblCellMar>
        </w:tblPrEx>
        <w:trPr>
          <w:trHeight w:val="469" w:hRule="atLeast"/>
          <w:jc w:val="center"/>
        </w:trPr>
        <w:tc>
          <w:tcPr>
            <w:tcW w:w="3048" w:type="dxa"/>
            <w:tcBorders>
              <w:top w:val="single" w:color="000000" w:sz="4" w:space="0"/>
              <w:left w:val="single" w:color="000000" w:sz="4" w:space="0"/>
              <w:bottom w:val="single" w:color="000000" w:sz="4" w:space="0"/>
              <w:right w:val="single" w:color="000000" w:sz="4" w:space="0"/>
            </w:tcBorders>
            <w:noWrap w:val="0"/>
            <w:vAlign w:val="center"/>
          </w:tcPr>
          <w:p w14:paraId="42290F21">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委派的设计负责人</w:t>
            </w:r>
          </w:p>
        </w:tc>
        <w:tc>
          <w:tcPr>
            <w:tcW w:w="2294" w:type="dxa"/>
            <w:tcBorders>
              <w:top w:val="single" w:color="000000" w:sz="4" w:space="0"/>
              <w:left w:val="single" w:color="000000" w:sz="4" w:space="0"/>
              <w:bottom w:val="single" w:color="000000" w:sz="4" w:space="0"/>
              <w:right w:val="single" w:color="000000" w:sz="4" w:space="0"/>
            </w:tcBorders>
            <w:noWrap w:val="0"/>
            <w:vAlign w:val="center"/>
          </w:tcPr>
          <w:p w14:paraId="24FF1C46">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noWrap w:val="0"/>
            <w:vAlign w:val="top"/>
          </w:tcPr>
          <w:p w14:paraId="07FB0B6E">
            <w:pPr>
              <w:keepNext w:val="0"/>
              <w:keepLines w:val="0"/>
              <w:suppressLineNumbers w:val="0"/>
              <w:spacing w:before="0" w:beforeAutospacing="0" w:after="0" w:afterAutospacing="0" w:line="360" w:lineRule="auto"/>
              <w:ind w:left="0" w:right="0"/>
              <w:rPr>
                <w:rFonts w:hint="default" w:ascii="宋体" w:hAnsi="宋体" w:cs="宋体"/>
                <w:b/>
                <w:color w:val="auto"/>
                <w:kern w:val="2"/>
                <w:sz w:val="24"/>
                <w:highlight w:val="none"/>
                <w:lang w:val="zh-CN"/>
              </w:rPr>
            </w:pPr>
          </w:p>
        </w:tc>
      </w:tr>
      <w:tr w14:paraId="5F2A0BC6">
        <w:tblPrEx>
          <w:tblCellMar>
            <w:top w:w="0" w:type="dxa"/>
            <w:left w:w="108" w:type="dxa"/>
            <w:bottom w:w="0" w:type="dxa"/>
            <w:right w:w="108" w:type="dxa"/>
          </w:tblCellMar>
        </w:tblPrEx>
        <w:trPr>
          <w:trHeight w:val="1053" w:hRule="atLeast"/>
          <w:jc w:val="center"/>
        </w:trPr>
        <w:tc>
          <w:tcPr>
            <w:tcW w:w="3048" w:type="dxa"/>
            <w:tcBorders>
              <w:top w:val="single" w:color="000000" w:sz="4" w:space="0"/>
              <w:left w:val="single" w:color="000000" w:sz="4" w:space="0"/>
              <w:bottom w:val="single" w:color="000000" w:sz="4" w:space="0"/>
              <w:right w:val="single" w:color="000000" w:sz="4" w:space="0"/>
            </w:tcBorders>
            <w:noWrap w:val="0"/>
            <w:vAlign w:val="center"/>
          </w:tcPr>
          <w:p w14:paraId="0BB10C78">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法 定 代 表 人</w:t>
            </w:r>
          </w:p>
          <w:p w14:paraId="7DDD17E5">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noWrap w:val="0"/>
            <w:vAlign w:val="center"/>
          </w:tcPr>
          <w:p w14:paraId="49DE5596">
            <w:pPr>
              <w:keepNext w:val="0"/>
              <w:keepLines w:val="0"/>
              <w:suppressLineNumbers w:val="0"/>
              <w:spacing w:before="0" w:beforeAutospacing="0" w:after="0" w:afterAutospacing="0" w:line="360" w:lineRule="auto"/>
              <w:ind w:left="0" w:right="0"/>
              <w:rPr>
                <w:rFonts w:hint="default" w:ascii="宋体" w:hAnsi="宋体" w:cs="宋体"/>
                <w:b/>
                <w:color w:val="auto"/>
                <w:kern w:val="2"/>
                <w:sz w:val="24"/>
                <w:highlight w:val="none"/>
                <w:lang w:val="zh-CN"/>
              </w:rPr>
            </w:pPr>
          </w:p>
        </w:tc>
      </w:tr>
      <w:tr w14:paraId="142E8EAD">
        <w:tblPrEx>
          <w:tblCellMar>
            <w:top w:w="0" w:type="dxa"/>
            <w:left w:w="108" w:type="dxa"/>
            <w:bottom w:w="0" w:type="dxa"/>
            <w:right w:w="108" w:type="dxa"/>
          </w:tblCellMar>
        </w:tblPrEx>
        <w:trPr>
          <w:trHeight w:val="1053" w:hRule="atLeast"/>
          <w:jc w:val="center"/>
        </w:trPr>
        <w:tc>
          <w:tcPr>
            <w:tcW w:w="3048" w:type="dxa"/>
            <w:tcBorders>
              <w:top w:val="single" w:color="000000" w:sz="4" w:space="0"/>
              <w:left w:val="single" w:color="000000" w:sz="4" w:space="0"/>
              <w:bottom w:val="single" w:color="000000" w:sz="4" w:space="0"/>
              <w:right w:val="single" w:color="000000" w:sz="4" w:space="0"/>
            </w:tcBorders>
            <w:noWrap w:val="0"/>
            <w:vAlign w:val="center"/>
          </w:tcPr>
          <w:p w14:paraId="44A04DE8">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授 权 委 托 人</w:t>
            </w:r>
          </w:p>
          <w:p w14:paraId="3A5CF41C">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noWrap w:val="0"/>
            <w:vAlign w:val="center"/>
          </w:tcPr>
          <w:p w14:paraId="47871CBE">
            <w:pPr>
              <w:keepNext w:val="0"/>
              <w:keepLines w:val="0"/>
              <w:suppressLineNumbers w:val="0"/>
              <w:spacing w:before="0" w:beforeAutospacing="0" w:after="0" w:afterAutospacing="0" w:line="360" w:lineRule="auto"/>
              <w:ind w:left="0" w:right="0"/>
              <w:rPr>
                <w:rFonts w:hint="default" w:ascii="宋体" w:hAnsi="宋体" w:cs="宋体"/>
                <w:b/>
                <w:color w:val="auto"/>
                <w:kern w:val="2"/>
                <w:sz w:val="24"/>
                <w:highlight w:val="none"/>
                <w:lang w:val="zh-CN"/>
              </w:rPr>
            </w:pPr>
          </w:p>
        </w:tc>
      </w:tr>
      <w:tr w14:paraId="4E59D476">
        <w:tblPrEx>
          <w:tblCellMar>
            <w:top w:w="0" w:type="dxa"/>
            <w:left w:w="108" w:type="dxa"/>
            <w:bottom w:w="0" w:type="dxa"/>
            <w:right w:w="108" w:type="dxa"/>
          </w:tblCellMar>
        </w:tblPrEx>
        <w:trPr>
          <w:trHeight w:val="1053" w:hRule="atLeast"/>
          <w:jc w:val="center"/>
        </w:trPr>
        <w:tc>
          <w:tcPr>
            <w:tcW w:w="3048" w:type="dxa"/>
            <w:tcBorders>
              <w:top w:val="single" w:color="000000" w:sz="4" w:space="0"/>
              <w:left w:val="single" w:color="000000" w:sz="4" w:space="0"/>
              <w:bottom w:val="single" w:color="000000" w:sz="4" w:space="0"/>
              <w:right w:val="single" w:color="000000" w:sz="4" w:space="0"/>
            </w:tcBorders>
            <w:noWrap w:val="0"/>
            <w:vAlign w:val="center"/>
          </w:tcPr>
          <w:p w14:paraId="19E52F16">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投  标  单  位</w:t>
            </w:r>
          </w:p>
          <w:p w14:paraId="2FAABF72">
            <w:pPr>
              <w:keepNext w:val="0"/>
              <w:keepLines w:val="0"/>
              <w:suppressLineNumbers w:val="0"/>
              <w:spacing w:before="0" w:beforeAutospacing="0" w:after="0" w:afterAutospacing="0" w:line="360" w:lineRule="auto"/>
              <w:ind w:left="0" w:right="0" w:firstLine="239"/>
              <w:jc w:val="center"/>
              <w:rPr>
                <w:rFonts w:hint="default" w:ascii="宋体" w:hAnsi="宋体" w:cs="宋体"/>
                <w:b/>
                <w:color w:val="auto"/>
                <w:kern w:val="2"/>
                <w:sz w:val="24"/>
                <w:highlight w:val="none"/>
                <w:lang w:val="zh-CN"/>
              </w:rPr>
            </w:pPr>
            <w:r>
              <w:rPr>
                <w:rFonts w:hint="eastAsia" w:ascii="宋体" w:hAnsi="宋体" w:cs="宋体"/>
                <w:b/>
                <w:color w:val="auto"/>
                <w:kern w:val="1"/>
                <w:sz w:val="24"/>
                <w:highlight w:val="none"/>
                <w:lang w:val="zh-CN"/>
              </w:rPr>
              <w:t>（企业公章）</w:t>
            </w:r>
          </w:p>
        </w:tc>
        <w:tc>
          <w:tcPr>
            <w:tcW w:w="6227" w:type="dxa"/>
            <w:gridSpan w:val="2"/>
            <w:tcBorders>
              <w:top w:val="single" w:color="000000" w:sz="4" w:space="0"/>
              <w:left w:val="single" w:color="000000" w:sz="4" w:space="0"/>
              <w:bottom w:val="single" w:color="000000" w:sz="4" w:space="0"/>
              <w:right w:val="single" w:color="000000" w:sz="4" w:space="0"/>
            </w:tcBorders>
            <w:noWrap w:val="0"/>
            <w:vAlign w:val="center"/>
          </w:tcPr>
          <w:p w14:paraId="5055DB1F">
            <w:pPr>
              <w:keepNext w:val="0"/>
              <w:keepLines w:val="0"/>
              <w:suppressLineNumbers w:val="0"/>
              <w:spacing w:before="0" w:beforeAutospacing="0" w:after="0" w:afterAutospacing="0" w:line="360" w:lineRule="auto"/>
              <w:ind w:left="0" w:right="0"/>
              <w:rPr>
                <w:rFonts w:hint="default" w:ascii="宋体" w:hAnsi="宋体" w:cs="宋体"/>
                <w:b/>
                <w:color w:val="auto"/>
                <w:kern w:val="2"/>
                <w:sz w:val="24"/>
                <w:highlight w:val="none"/>
                <w:lang w:val="zh-CN"/>
              </w:rPr>
            </w:pPr>
          </w:p>
        </w:tc>
      </w:tr>
    </w:tbl>
    <w:p w14:paraId="7E1F2A05">
      <w:pPr>
        <w:pStyle w:val="2"/>
        <w:spacing w:line="360" w:lineRule="auto"/>
        <w:rPr>
          <w:rFonts w:cs="宋体"/>
          <w:b/>
          <w:color w:val="auto"/>
          <w:kern w:val="1"/>
          <w:szCs w:val="21"/>
          <w:highlight w:val="none"/>
        </w:rPr>
      </w:pPr>
      <w:r>
        <w:rPr>
          <w:rFonts w:hint="eastAsia" w:cs="宋体"/>
          <w:b/>
          <w:color w:val="auto"/>
          <w:kern w:val="1"/>
          <w:szCs w:val="21"/>
          <w:highlight w:val="none"/>
        </w:rPr>
        <w:t>注：联合体投标的，“投标单位”一栏需书写所有联合体成员的单位全称，可由</w:t>
      </w:r>
      <w:r>
        <w:rPr>
          <w:rFonts w:hint="eastAsia"/>
          <w:b/>
          <w:bCs/>
          <w:color w:val="auto"/>
          <w:highlight w:val="none"/>
        </w:rPr>
        <w:t>主办</w:t>
      </w:r>
      <w:r>
        <w:rPr>
          <w:rFonts w:hint="eastAsia" w:cs="宋体"/>
          <w:b/>
          <w:color w:val="auto"/>
          <w:kern w:val="1"/>
          <w:szCs w:val="21"/>
          <w:highlight w:val="none"/>
        </w:rPr>
        <w:t>方签署、盖章。</w:t>
      </w:r>
    </w:p>
    <w:p w14:paraId="7EB6F320">
      <w:pPr>
        <w:snapToGrid w:val="0"/>
        <w:spacing w:line="360" w:lineRule="auto"/>
        <w:ind w:firstLine="420" w:firstLineChars="200"/>
        <w:rPr>
          <w:rFonts w:ascii="宋体" w:hAnsi="宋体"/>
          <w:color w:val="auto"/>
          <w:highlight w:val="none"/>
        </w:rPr>
      </w:pPr>
      <w:r>
        <w:rPr>
          <w:rFonts w:ascii="宋体" w:hAnsi="宋体"/>
          <w:color w:val="auto"/>
          <w:highlight w:val="none"/>
        </w:rPr>
        <w:br w:type="page"/>
      </w:r>
      <w:bookmarkStart w:id="402" w:name="_Hlk69827517"/>
      <w:r>
        <w:rPr>
          <w:rFonts w:hint="eastAsia" w:ascii="宋体" w:hAnsi="宋体" w:cs="宋体"/>
          <w:b/>
          <w:color w:val="auto"/>
          <w:kern w:val="1"/>
          <w:sz w:val="24"/>
          <w:highlight w:val="none"/>
          <w:lang w:val="zh-CN"/>
        </w:rPr>
        <w:t>技术投标书附表：</w:t>
      </w:r>
    </w:p>
    <w:tbl>
      <w:tblPr>
        <w:tblStyle w:val="36"/>
        <w:tblW w:w="9329" w:type="dxa"/>
        <w:jc w:val="center"/>
        <w:tblLayout w:type="fixed"/>
        <w:tblCellMar>
          <w:top w:w="0" w:type="dxa"/>
          <w:left w:w="0" w:type="dxa"/>
          <w:bottom w:w="0" w:type="dxa"/>
          <w:right w:w="0" w:type="dxa"/>
        </w:tblCellMar>
      </w:tblPr>
      <w:tblGrid>
        <w:gridCol w:w="590"/>
        <w:gridCol w:w="1071"/>
        <w:gridCol w:w="2608"/>
        <w:gridCol w:w="1633"/>
        <w:gridCol w:w="3427"/>
      </w:tblGrid>
      <w:tr w14:paraId="20C039D9">
        <w:tblPrEx>
          <w:tblCellMar>
            <w:top w:w="0" w:type="dxa"/>
            <w:left w:w="0" w:type="dxa"/>
            <w:bottom w:w="0" w:type="dxa"/>
            <w:right w:w="0" w:type="dxa"/>
          </w:tblCellMar>
        </w:tblPrEx>
        <w:trPr>
          <w:trHeight w:val="23" w:hRule="atLeast"/>
          <w:jc w:val="center"/>
        </w:trPr>
        <w:tc>
          <w:tcPr>
            <w:tcW w:w="9329" w:type="dxa"/>
            <w:gridSpan w:val="5"/>
            <w:tcBorders>
              <w:top w:val="nil"/>
              <w:left w:val="nil"/>
              <w:bottom w:val="single" w:color="000000" w:sz="4" w:space="0"/>
              <w:right w:val="nil"/>
            </w:tcBorders>
            <w:noWrap/>
            <w:tcMar>
              <w:top w:w="15" w:type="dxa"/>
              <w:left w:w="15" w:type="dxa"/>
              <w:right w:w="15" w:type="dxa"/>
            </w:tcMar>
            <w:vAlign w:val="center"/>
          </w:tcPr>
          <w:p w14:paraId="7C5BCDEA">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方正大标宋简体"/>
                <w:b/>
                <w:color w:val="auto"/>
                <w:kern w:val="2"/>
                <w:sz w:val="32"/>
                <w:szCs w:val="32"/>
                <w:highlight w:val="none"/>
              </w:rPr>
            </w:pPr>
            <w:bookmarkStart w:id="403" w:name="_Hlk61431754"/>
            <w:r>
              <w:rPr>
                <w:rFonts w:hint="eastAsia" w:ascii="宋体" w:hAnsi="宋体" w:cs="方正大标宋简体"/>
                <w:b/>
                <w:color w:val="auto"/>
                <w:kern w:val="2"/>
                <w:sz w:val="32"/>
                <w:szCs w:val="32"/>
                <w:highlight w:val="none"/>
                <w:lang w:bidi="ar"/>
              </w:rPr>
              <w:t>工程总承包</w:t>
            </w:r>
            <w:r>
              <w:rPr>
                <w:rFonts w:hint="default" w:ascii="宋体" w:hAnsi="宋体" w:cs="方正大标宋简体"/>
                <w:b/>
                <w:color w:val="auto"/>
                <w:kern w:val="2"/>
                <w:sz w:val="32"/>
                <w:szCs w:val="32"/>
                <w:highlight w:val="none"/>
                <w:lang w:bidi="ar"/>
              </w:rPr>
              <w:t>项目管理团队人员信息表</w:t>
            </w:r>
            <w:bookmarkEnd w:id="403"/>
          </w:p>
        </w:tc>
      </w:tr>
      <w:tr w14:paraId="3BF27743">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D5369">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b/>
                <w:color w:val="auto"/>
                <w:kern w:val="2"/>
                <w:sz w:val="28"/>
                <w:szCs w:val="28"/>
                <w:highlight w:val="none"/>
              </w:rPr>
            </w:pPr>
            <w:r>
              <w:rPr>
                <w:rFonts w:hint="eastAsia" w:ascii="宋体" w:hAnsi="宋体" w:cs="仿宋"/>
                <w:b/>
                <w:color w:val="auto"/>
                <w:kern w:val="2"/>
                <w:sz w:val="28"/>
                <w:szCs w:val="28"/>
                <w:highlight w:val="none"/>
                <w:lang w:bidi="ar"/>
              </w:rPr>
              <w:t>序号</w:t>
            </w:r>
          </w:p>
        </w:tc>
        <w:tc>
          <w:tcPr>
            <w:tcW w:w="10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80DE5">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b/>
                <w:color w:val="auto"/>
                <w:kern w:val="2"/>
                <w:sz w:val="28"/>
                <w:szCs w:val="28"/>
                <w:highlight w:val="none"/>
              </w:rPr>
            </w:pPr>
            <w:r>
              <w:rPr>
                <w:rFonts w:hint="eastAsia" w:ascii="宋体" w:hAnsi="宋体" w:cs="仿宋"/>
                <w:b/>
                <w:color w:val="auto"/>
                <w:kern w:val="2"/>
                <w:sz w:val="28"/>
                <w:szCs w:val="28"/>
                <w:highlight w:val="none"/>
                <w:lang w:bidi="ar"/>
              </w:rPr>
              <w:t>姓名</w:t>
            </w:r>
          </w:p>
        </w:tc>
        <w:tc>
          <w:tcPr>
            <w:tcW w:w="2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F952F">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b/>
                <w:color w:val="auto"/>
                <w:kern w:val="2"/>
                <w:sz w:val="28"/>
                <w:szCs w:val="28"/>
                <w:highlight w:val="none"/>
              </w:rPr>
            </w:pPr>
            <w:r>
              <w:rPr>
                <w:rFonts w:hint="eastAsia" w:ascii="宋体" w:hAnsi="宋体" w:cs="仿宋"/>
                <w:b/>
                <w:color w:val="auto"/>
                <w:kern w:val="2"/>
                <w:sz w:val="28"/>
                <w:szCs w:val="28"/>
                <w:highlight w:val="none"/>
                <w:lang w:bidi="ar"/>
              </w:rPr>
              <w:t>岗位</w:t>
            </w:r>
          </w:p>
        </w:tc>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56F46">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b/>
                <w:color w:val="auto"/>
                <w:kern w:val="2"/>
                <w:sz w:val="28"/>
                <w:szCs w:val="28"/>
                <w:highlight w:val="none"/>
              </w:rPr>
            </w:pPr>
            <w:r>
              <w:rPr>
                <w:rFonts w:hint="eastAsia" w:ascii="宋体" w:hAnsi="宋体" w:cs="仿宋"/>
                <w:b/>
                <w:color w:val="auto"/>
                <w:kern w:val="2"/>
                <w:sz w:val="28"/>
                <w:szCs w:val="28"/>
                <w:highlight w:val="none"/>
                <w:lang w:bidi="ar"/>
              </w:rPr>
              <w:t>职称</w:t>
            </w:r>
          </w:p>
        </w:tc>
        <w:tc>
          <w:tcPr>
            <w:tcW w:w="34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6F0C2">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b/>
                <w:color w:val="auto"/>
                <w:kern w:val="2"/>
                <w:sz w:val="28"/>
                <w:szCs w:val="28"/>
                <w:highlight w:val="none"/>
              </w:rPr>
            </w:pPr>
            <w:r>
              <w:rPr>
                <w:rFonts w:hint="eastAsia" w:ascii="宋体" w:hAnsi="宋体" w:cs="仿宋"/>
                <w:b/>
                <w:color w:val="auto"/>
                <w:kern w:val="2"/>
                <w:sz w:val="28"/>
                <w:szCs w:val="28"/>
                <w:highlight w:val="none"/>
                <w:lang w:bidi="ar"/>
              </w:rPr>
              <w:t>职称证书或资格证书编号</w:t>
            </w:r>
          </w:p>
        </w:tc>
      </w:tr>
      <w:tr w14:paraId="1148B072">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55E906">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color w:val="auto"/>
                <w:kern w:val="2"/>
                <w:sz w:val="24"/>
                <w:szCs w:val="24"/>
                <w:highlight w:val="none"/>
              </w:rPr>
            </w:pPr>
            <w:r>
              <w:rPr>
                <w:rFonts w:hint="eastAsia" w:ascii="宋体" w:hAnsi="宋体" w:cs="仿宋"/>
                <w:color w:val="auto"/>
                <w:kern w:val="2"/>
                <w:sz w:val="24"/>
                <w:szCs w:val="24"/>
                <w:highlight w:val="none"/>
                <w:lang w:bidi="ar"/>
              </w:rPr>
              <w:t>1</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EE2C6F">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06A511">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31F7EA">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4F6273">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r>
      <w:tr w14:paraId="5B2F8055">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4D43B8">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color w:val="auto"/>
                <w:kern w:val="2"/>
                <w:sz w:val="24"/>
                <w:szCs w:val="24"/>
                <w:highlight w:val="none"/>
              </w:rPr>
            </w:pPr>
            <w:r>
              <w:rPr>
                <w:rFonts w:hint="eastAsia" w:ascii="宋体" w:hAnsi="宋体" w:cs="仿宋"/>
                <w:color w:val="auto"/>
                <w:kern w:val="2"/>
                <w:sz w:val="24"/>
                <w:szCs w:val="24"/>
                <w:highlight w:val="none"/>
                <w:lang w:bidi="ar"/>
              </w:rPr>
              <w:t>2</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F99490">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D646A3">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9299F">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CA97E">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r>
      <w:tr w14:paraId="2BE33224">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B204EA">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color w:val="auto"/>
                <w:kern w:val="2"/>
                <w:sz w:val="24"/>
                <w:szCs w:val="24"/>
                <w:highlight w:val="none"/>
              </w:rPr>
            </w:pPr>
            <w:r>
              <w:rPr>
                <w:rFonts w:hint="eastAsia" w:ascii="宋体" w:hAnsi="宋体" w:cs="仿宋"/>
                <w:color w:val="auto"/>
                <w:kern w:val="2"/>
                <w:sz w:val="24"/>
                <w:szCs w:val="24"/>
                <w:highlight w:val="none"/>
                <w:lang w:bidi="ar"/>
              </w:rPr>
              <w:t>3</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66B49D">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23BD4">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4D24D1">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1472BB">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r>
      <w:tr w14:paraId="5AEB1F07">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6CC55E">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color w:val="auto"/>
                <w:kern w:val="2"/>
                <w:sz w:val="24"/>
                <w:szCs w:val="24"/>
                <w:highlight w:val="none"/>
              </w:rPr>
            </w:pPr>
            <w:r>
              <w:rPr>
                <w:rFonts w:hint="eastAsia" w:ascii="宋体" w:hAnsi="宋体" w:cs="仿宋"/>
                <w:color w:val="auto"/>
                <w:kern w:val="2"/>
                <w:sz w:val="24"/>
                <w:szCs w:val="24"/>
                <w:highlight w:val="none"/>
                <w:lang w:bidi="ar"/>
              </w:rPr>
              <w:t>4</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625BB">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0491B2">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1773FB">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20EE41">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r>
      <w:tr w14:paraId="3D811729">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5B1D0">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color w:val="auto"/>
                <w:kern w:val="2"/>
                <w:sz w:val="24"/>
                <w:szCs w:val="24"/>
                <w:highlight w:val="none"/>
              </w:rPr>
            </w:pPr>
            <w:r>
              <w:rPr>
                <w:rFonts w:hint="eastAsia" w:ascii="宋体" w:hAnsi="宋体" w:cs="仿宋"/>
                <w:color w:val="auto"/>
                <w:kern w:val="2"/>
                <w:sz w:val="24"/>
                <w:szCs w:val="24"/>
                <w:highlight w:val="none"/>
                <w:lang w:bidi="ar"/>
              </w:rPr>
              <w:t>5</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1D6E99">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9B5010">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C7F418">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8E5767">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r>
      <w:tr w14:paraId="17442500">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2C126D">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color w:val="auto"/>
                <w:kern w:val="2"/>
                <w:sz w:val="24"/>
                <w:szCs w:val="24"/>
                <w:highlight w:val="none"/>
              </w:rPr>
            </w:pPr>
            <w:r>
              <w:rPr>
                <w:rFonts w:hint="eastAsia" w:ascii="宋体" w:hAnsi="宋体" w:cs="仿宋"/>
                <w:color w:val="auto"/>
                <w:kern w:val="2"/>
                <w:sz w:val="24"/>
                <w:szCs w:val="24"/>
                <w:highlight w:val="none"/>
                <w:lang w:bidi="ar"/>
              </w:rPr>
              <w:t>6</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56FAA">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00563E">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A7AD1">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D08B7D">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r>
      <w:tr w14:paraId="0D8D379C">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41DB8">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color w:val="auto"/>
                <w:kern w:val="2"/>
                <w:sz w:val="24"/>
                <w:szCs w:val="24"/>
                <w:highlight w:val="none"/>
                <w:lang w:bidi="ar"/>
              </w:rPr>
            </w:pPr>
            <w:r>
              <w:rPr>
                <w:rFonts w:hint="default" w:ascii="宋体" w:hAnsi="宋体" w:cs="仿宋"/>
                <w:color w:val="auto"/>
                <w:kern w:val="2"/>
                <w:sz w:val="24"/>
                <w:szCs w:val="24"/>
                <w:highlight w:val="none"/>
                <w:lang w:bidi="ar"/>
              </w:rPr>
              <w:t>7</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08F1E">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9B170B">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B56824">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39FF5">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r>
      <w:tr w14:paraId="3DA4A6BC">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312BE2">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color w:val="auto"/>
                <w:kern w:val="2"/>
                <w:sz w:val="24"/>
                <w:szCs w:val="24"/>
                <w:highlight w:val="none"/>
                <w:lang w:bidi="ar"/>
              </w:rPr>
            </w:pPr>
            <w:r>
              <w:rPr>
                <w:rFonts w:hint="eastAsia" w:ascii="宋体" w:hAnsi="宋体" w:cs="仿宋"/>
                <w:color w:val="auto"/>
                <w:kern w:val="2"/>
                <w:sz w:val="24"/>
                <w:szCs w:val="24"/>
                <w:highlight w:val="none"/>
                <w:lang w:bidi="ar"/>
              </w:rPr>
              <w:t>8</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9684A4">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97171">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B85A4E">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1D4DAF">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r>
      <w:tr w14:paraId="70F7FFD6">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21AB9D">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cs="仿宋"/>
                <w:color w:val="auto"/>
                <w:kern w:val="2"/>
                <w:sz w:val="24"/>
                <w:szCs w:val="24"/>
                <w:highlight w:val="none"/>
              </w:rPr>
            </w:pPr>
            <w:r>
              <w:rPr>
                <w:rFonts w:hint="default" w:ascii="宋体" w:hAnsi="宋体" w:cs="仿宋"/>
                <w:color w:val="auto"/>
                <w:kern w:val="2"/>
                <w:sz w:val="24"/>
                <w:szCs w:val="24"/>
                <w:highlight w:val="none"/>
              </w:rPr>
              <w:t>9</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35E6B7">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696DBF">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96A83D">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19DBF">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r>
      <w:tr w14:paraId="4DCD2794">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40038">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r>
              <w:rPr>
                <w:rFonts w:hint="default" w:ascii="宋体" w:hAnsi="宋体" w:cs="仿宋"/>
                <w:color w:val="auto"/>
                <w:kern w:val="2"/>
                <w:sz w:val="24"/>
                <w:szCs w:val="24"/>
                <w:highlight w:val="none"/>
              </w:rPr>
              <w:t>10</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19B8B3">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5CC089">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D98186">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A70A41">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r>
      <w:tr w14:paraId="0E1BCF81">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E8B11">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r>
              <w:rPr>
                <w:rFonts w:hint="default" w:ascii="宋体" w:hAnsi="宋体" w:cs="仿宋"/>
                <w:color w:val="auto"/>
                <w:kern w:val="2"/>
                <w:sz w:val="24"/>
                <w:szCs w:val="24"/>
                <w:highlight w:val="none"/>
              </w:rPr>
              <w:t>11</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B4FE5">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2B70C3">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ADF1E4">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5B6C97">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r>
      <w:tr w14:paraId="60CA2E82">
        <w:tblPrEx>
          <w:tblCellMar>
            <w:top w:w="0" w:type="dxa"/>
            <w:left w:w="0" w:type="dxa"/>
            <w:bottom w:w="0" w:type="dxa"/>
            <w:right w:w="0" w:type="dxa"/>
          </w:tblCellMar>
        </w:tblPrEx>
        <w:trPr>
          <w:trHeight w:val="23" w:hRule="atLeast"/>
          <w:jc w:val="center"/>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BE6091">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r>
              <w:rPr>
                <w:rFonts w:hint="default" w:ascii="宋体" w:hAnsi="宋体" w:cs="仿宋"/>
                <w:color w:val="auto"/>
                <w:kern w:val="2"/>
                <w:sz w:val="24"/>
                <w:szCs w:val="24"/>
                <w:highlight w:val="none"/>
              </w:rPr>
              <w:t>……</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56FF8">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A1904">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r>
              <w:rPr>
                <w:rFonts w:hint="eastAsia" w:ascii="宋体" w:hAnsi="宋体" w:cs="仿宋"/>
                <w:color w:val="auto"/>
                <w:kern w:val="2"/>
                <w:sz w:val="24"/>
                <w:szCs w:val="24"/>
                <w:highlight w:val="none"/>
                <w:lang w:bidi="ar"/>
              </w:rPr>
              <w:t>……</w:t>
            </w: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EB5D4">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E5AE88">
            <w:pPr>
              <w:keepNext w:val="0"/>
              <w:keepLines w:val="0"/>
              <w:suppressLineNumbers w:val="0"/>
              <w:spacing w:before="0" w:beforeAutospacing="0" w:after="0" w:afterAutospacing="0" w:line="240" w:lineRule="auto"/>
              <w:ind w:left="0" w:right="0"/>
              <w:jc w:val="center"/>
              <w:rPr>
                <w:rFonts w:hint="default" w:ascii="宋体" w:hAnsi="宋体" w:cs="仿宋"/>
                <w:color w:val="auto"/>
                <w:kern w:val="2"/>
                <w:sz w:val="24"/>
                <w:szCs w:val="24"/>
                <w:highlight w:val="none"/>
              </w:rPr>
            </w:pPr>
            <w:r>
              <w:rPr>
                <w:rFonts w:hint="eastAsia" w:ascii="宋体" w:hAnsi="宋体" w:cs="仿宋"/>
                <w:color w:val="auto"/>
                <w:kern w:val="2"/>
                <w:sz w:val="24"/>
                <w:szCs w:val="24"/>
                <w:highlight w:val="none"/>
                <w:lang w:bidi="ar"/>
              </w:rPr>
              <w:t>…</w:t>
            </w:r>
          </w:p>
        </w:tc>
      </w:tr>
      <w:tr w14:paraId="1DCD4CFB">
        <w:tblPrEx>
          <w:tblCellMar>
            <w:top w:w="0" w:type="dxa"/>
            <w:left w:w="0" w:type="dxa"/>
            <w:bottom w:w="0" w:type="dxa"/>
            <w:right w:w="0" w:type="dxa"/>
          </w:tblCellMar>
        </w:tblPrEx>
        <w:trPr>
          <w:trHeight w:val="23" w:hRule="atLeast"/>
          <w:jc w:val="center"/>
        </w:trPr>
        <w:tc>
          <w:tcPr>
            <w:tcW w:w="932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AE7AC">
            <w:pPr>
              <w:keepNext w:val="0"/>
              <w:keepLines w:val="0"/>
              <w:widowControl/>
              <w:suppressLineNumbers w:val="0"/>
              <w:spacing w:before="0" w:beforeAutospacing="0" w:after="0" w:afterAutospacing="0" w:line="240" w:lineRule="auto"/>
              <w:ind w:left="0" w:right="0"/>
              <w:jc w:val="left"/>
              <w:textAlignment w:val="center"/>
              <w:rPr>
                <w:rFonts w:hint="default" w:ascii="宋体" w:hAnsi="宋体" w:cs="仿宋"/>
                <w:color w:val="auto"/>
                <w:kern w:val="2"/>
                <w:sz w:val="24"/>
                <w:szCs w:val="24"/>
                <w:highlight w:val="none"/>
              </w:rPr>
            </w:pPr>
            <w:r>
              <w:rPr>
                <w:rStyle w:val="98"/>
                <w:rFonts w:hint="default" w:ascii="宋体" w:hAnsi="宋体" w:eastAsia="宋体"/>
                <w:color w:val="auto"/>
                <w:kern w:val="2"/>
                <w:sz w:val="24"/>
                <w:szCs w:val="24"/>
                <w:highlight w:val="none"/>
                <w:lang w:bidi="ar"/>
              </w:rPr>
              <w:t>备注：</w:t>
            </w:r>
            <w:r>
              <w:rPr>
                <w:rStyle w:val="98"/>
                <w:rFonts w:hint="default" w:ascii="宋体" w:hAnsi="宋体" w:eastAsia="宋体"/>
                <w:color w:val="auto"/>
                <w:kern w:val="2"/>
                <w:sz w:val="24"/>
                <w:szCs w:val="24"/>
                <w:highlight w:val="none"/>
                <w:lang w:bidi="ar"/>
              </w:rPr>
              <w:br w:type="textWrapping"/>
            </w:r>
            <w:r>
              <w:rPr>
                <w:rStyle w:val="98"/>
                <w:rFonts w:hint="default" w:ascii="宋体" w:hAnsi="宋体" w:eastAsia="宋体"/>
                <w:color w:val="auto"/>
                <w:kern w:val="2"/>
                <w:sz w:val="24"/>
                <w:szCs w:val="24"/>
                <w:highlight w:val="none"/>
                <w:lang w:bidi="ar"/>
              </w:rPr>
              <w:t>1、“岗位”要求</w:t>
            </w:r>
            <w:r>
              <w:rPr>
                <w:rStyle w:val="64"/>
                <w:rFonts w:hint="eastAsia"/>
                <w:b/>
                <w:bCs/>
                <w:color w:val="auto"/>
                <w:kern w:val="2"/>
                <w:highlight w:val="none"/>
                <w:lang w:bidi="ar"/>
              </w:rPr>
              <w:t>[</w:t>
            </w:r>
            <w:r>
              <w:rPr>
                <w:rStyle w:val="64"/>
                <w:rFonts w:hint="default"/>
                <w:b/>
                <w:bCs/>
                <w:color w:val="auto"/>
                <w:kern w:val="2"/>
                <w:highlight w:val="none"/>
                <w:lang w:bidi="ar"/>
              </w:rPr>
              <w:t>除项目负责人</w:t>
            </w:r>
            <w:r>
              <w:rPr>
                <w:rStyle w:val="64"/>
                <w:rFonts w:hint="eastAsia"/>
                <w:b/>
                <w:bCs/>
                <w:color w:val="auto"/>
                <w:kern w:val="2"/>
                <w:highlight w:val="none"/>
                <w:lang w:bidi="ar"/>
              </w:rPr>
              <w:t>（兼施工项目负责人）、设计负责人</w:t>
            </w:r>
            <w:r>
              <w:rPr>
                <w:rStyle w:val="64"/>
                <w:rFonts w:hint="default"/>
                <w:b/>
                <w:bCs/>
                <w:color w:val="auto"/>
                <w:kern w:val="2"/>
                <w:highlight w:val="none"/>
                <w:lang w:bidi="ar"/>
              </w:rPr>
              <w:t>和专职安全员外</w:t>
            </w:r>
            <w:r>
              <w:rPr>
                <w:rStyle w:val="64"/>
                <w:rFonts w:hint="eastAsia"/>
                <w:b/>
                <w:bCs/>
                <w:color w:val="auto"/>
                <w:kern w:val="2"/>
                <w:highlight w:val="none"/>
                <w:lang w:bidi="ar"/>
              </w:rPr>
              <w:t>]</w:t>
            </w:r>
            <w:r>
              <w:rPr>
                <w:rStyle w:val="98"/>
                <w:rFonts w:hint="default" w:ascii="宋体" w:hAnsi="宋体" w:eastAsia="宋体"/>
                <w:color w:val="auto"/>
                <w:kern w:val="2"/>
                <w:sz w:val="24"/>
                <w:szCs w:val="24"/>
                <w:highlight w:val="none"/>
                <w:lang w:bidi="ar"/>
              </w:rPr>
              <w:t>：拟派技术负责人、质量负责人、安全负责人、造价负责人、各专业设计负责人、施工员、质量员、资料员等。投标登记时，投标人应按本表内容在交易系统中填写《工程总承包项目管理团队人员信息表》，表中的项目管理团队人员信息作为投标文件的一部分，将由交易系统提取后供各相关单位在履约时比对、查核（无需提供相关证明材料）。</w:t>
            </w:r>
            <w:r>
              <w:rPr>
                <w:rStyle w:val="98"/>
                <w:rFonts w:hint="default" w:ascii="宋体" w:hAnsi="宋体" w:eastAsia="宋体"/>
                <w:color w:val="auto"/>
                <w:kern w:val="2"/>
                <w:sz w:val="24"/>
                <w:szCs w:val="24"/>
                <w:highlight w:val="none"/>
                <w:lang w:bidi="ar"/>
              </w:rPr>
              <w:br w:type="textWrapping"/>
            </w:r>
            <w:r>
              <w:rPr>
                <w:rStyle w:val="98"/>
                <w:rFonts w:hint="default" w:ascii="宋体" w:hAnsi="宋体" w:eastAsia="宋体"/>
                <w:color w:val="auto"/>
                <w:kern w:val="2"/>
                <w:sz w:val="24"/>
                <w:szCs w:val="24"/>
                <w:highlight w:val="none"/>
                <w:lang w:bidi="ar"/>
              </w:rPr>
              <w:t>2、投标人应根据本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r>
              <w:rPr>
                <w:rStyle w:val="98"/>
                <w:rFonts w:hint="default" w:ascii="宋体" w:hAnsi="宋体" w:eastAsia="宋体"/>
                <w:color w:val="auto"/>
                <w:kern w:val="2"/>
                <w:sz w:val="24"/>
                <w:szCs w:val="24"/>
                <w:highlight w:val="none"/>
                <w:lang w:bidi="ar"/>
              </w:rPr>
              <w:br w:type="textWrapping"/>
            </w:r>
            <w:r>
              <w:rPr>
                <w:rStyle w:val="98"/>
                <w:rFonts w:hint="default" w:ascii="宋体" w:hAnsi="宋体" w:eastAsia="宋体"/>
                <w:color w:val="auto"/>
                <w:kern w:val="2"/>
                <w:sz w:val="24"/>
                <w:szCs w:val="24"/>
                <w:highlight w:val="none"/>
                <w:lang w:bidi="ar"/>
              </w:rPr>
              <w:t>3、如评标办法对投标人拟投入的项目管理团队进行评审的，</w:t>
            </w:r>
            <w:bookmarkStart w:id="404" w:name="_Hlk61431742"/>
            <w:r>
              <w:rPr>
                <w:rStyle w:val="98"/>
                <w:rFonts w:hint="default" w:ascii="宋体" w:hAnsi="宋体" w:eastAsia="宋体"/>
                <w:color w:val="auto"/>
                <w:kern w:val="2"/>
                <w:sz w:val="24"/>
                <w:szCs w:val="24"/>
                <w:highlight w:val="none"/>
                <w:lang w:bidi="ar"/>
              </w:rPr>
              <w:t>如相同岗位投入人员姓名与本表不一致的，以本表中姓名为准；投标人提供的团队人员职称或资格（含证书编号）情况与本表不一致的，以投标人提供的相关证明材料为准。</w:t>
            </w:r>
            <w:bookmarkEnd w:id="404"/>
          </w:p>
        </w:tc>
      </w:tr>
      <w:bookmarkEnd w:id="402"/>
    </w:tbl>
    <w:p w14:paraId="69173376">
      <w:pPr>
        <w:pStyle w:val="2"/>
        <w:spacing w:line="360" w:lineRule="auto"/>
        <w:rPr>
          <w:color w:val="auto"/>
          <w:sz w:val="24"/>
          <w:highlight w:val="none"/>
          <w:lang w:val="en-US"/>
        </w:rPr>
      </w:pPr>
    </w:p>
    <w:p w14:paraId="6ED56C61">
      <w:pPr>
        <w:spacing w:line="360" w:lineRule="auto"/>
        <w:rPr>
          <w:rFonts w:ascii="宋体" w:hAnsi="宋体" w:cs="宋体"/>
          <w:b/>
          <w:color w:val="auto"/>
          <w:kern w:val="1"/>
          <w:sz w:val="24"/>
          <w:highlight w:val="none"/>
          <w:lang w:val="zh-CN"/>
        </w:rPr>
      </w:pPr>
      <w:r>
        <w:rPr>
          <w:rFonts w:ascii="宋体" w:hAnsi="宋体" w:cs="宋体"/>
          <w:b/>
          <w:color w:val="auto"/>
          <w:kern w:val="1"/>
          <w:sz w:val="24"/>
          <w:highlight w:val="none"/>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4</w:t>
      </w:r>
      <w:r>
        <w:rPr>
          <w:rFonts w:hint="eastAsia" w:ascii="宋体" w:hAnsi="宋体" w:cs="宋体"/>
          <w:b/>
          <w:color w:val="auto"/>
          <w:kern w:val="1"/>
          <w:sz w:val="24"/>
          <w:highlight w:val="none"/>
          <w:lang w:val="zh-CN"/>
        </w:rPr>
        <w:t>：</w:t>
      </w:r>
    </w:p>
    <w:p w14:paraId="51B2CCBA">
      <w:pPr>
        <w:pStyle w:val="34"/>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投标承诺书</w:t>
      </w:r>
    </w:p>
    <w:p w14:paraId="25887120">
      <w:pPr>
        <w:spacing w:line="360" w:lineRule="auto"/>
        <w:jc w:val="center"/>
        <w:rPr>
          <w:rFonts w:ascii="宋体" w:hAnsi="宋体" w:cs="宋体"/>
          <w:b/>
          <w:color w:val="auto"/>
          <w:kern w:val="1"/>
          <w:sz w:val="24"/>
          <w:highlight w:val="none"/>
        </w:rPr>
      </w:pPr>
    </w:p>
    <w:p w14:paraId="78FE0AEE">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致：</w:t>
      </w:r>
      <w:r>
        <w:rPr>
          <w:rFonts w:hint="eastAsia" w:ascii="宋体" w:hAnsi="宋体" w:cs="宋体"/>
          <w:color w:val="auto"/>
          <w:kern w:val="1"/>
          <w:szCs w:val="21"/>
          <w:highlight w:val="none"/>
          <w:u w:val="single"/>
        </w:rPr>
        <w:t xml:space="preserve">     （招标人名称）       </w:t>
      </w:r>
    </w:p>
    <w:p w14:paraId="2537E63D">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我司确认收到贵司提供的</w:t>
      </w:r>
      <w:r>
        <w:rPr>
          <w:rFonts w:hint="eastAsia" w:ascii="宋体" w:hAnsi="宋体" w:cs="宋体"/>
          <w:color w:val="auto"/>
          <w:kern w:val="1"/>
          <w:szCs w:val="21"/>
          <w:highlight w:val="none"/>
          <w:u w:val="single"/>
        </w:rPr>
        <w:t xml:space="preserve">      （项目名称）      </w:t>
      </w:r>
      <w:r>
        <w:rPr>
          <w:rFonts w:hint="eastAsia" w:ascii="宋体" w:hAnsi="宋体" w:cs="宋体"/>
          <w:color w:val="auto"/>
          <w:kern w:val="1"/>
          <w:szCs w:val="21"/>
          <w:highlight w:val="none"/>
        </w:rPr>
        <w:t>招标文件的全部内容，我司：</w:t>
      </w:r>
      <w:r>
        <w:rPr>
          <w:rFonts w:hint="eastAsia" w:ascii="宋体" w:hAnsi="宋体" w:cs="宋体"/>
          <w:color w:val="auto"/>
          <w:kern w:val="1"/>
          <w:szCs w:val="21"/>
          <w:highlight w:val="none"/>
          <w:u w:val="single"/>
        </w:rPr>
        <w:t xml:space="preserve">       (投标人名称)      </w:t>
      </w:r>
      <w:r>
        <w:rPr>
          <w:rFonts w:hint="eastAsia" w:ascii="宋体" w:hAnsi="宋体" w:cs="宋体"/>
          <w:color w:val="auto"/>
          <w:kern w:val="1"/>
          <w:szCs w:val="21"/>
          <w:highlight w:val="none"/>
        </w:rPr>
        <w:t>已作为投标人正式授权</w:t>
      </w:r>
      <w:r>
        <w:rPr>
          <w:rFonts w:hint="eastAsia" w:ascii="宋体" w:hAnsi="宋体" w:cs="宋体"/>
          <w:color w:val="auto"/>
          <w:kern w:val="1"/>
          <w:szCs w:val="21"/>
          <w:highlight w:val="none"/>
          <w:u w:val="single"/>
        </w:rPr>
        <w:t xml:space="preserve">         (授权代表全名，职务)    </w:t>
      </w:r>
      <w:r>
        <w:rPr>
          <w:rFonts w:hint="eastAsia" w:ascii="宋体" w:hAnsi="宋体" w:cs="宋体"/>
          <w:color w:val="auto"/>
          <w:kern w:val="1"/>
          <w:szCs w:val="21"/>
          <w:highlight w:val="none"/>
        </w:rPr>
        <w:t>代表我司进行有关本投标的一切事宜。</w:t>
      </w:r>
    </w:p>
    <w:p w14:paraId="52EBB13D">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我司已完全明白和接受招标文件的所有条款要求，并重申以下几点：</w:t>
      </w:r>
    </w:p>
    <w:p w14:paraId="121243B9">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14:paraId="11751D3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 我司已充分阅读了本项目招标文件并充分了解有关报价方式及变更、结算方式，我司完全响应招标文件的规定。</w:t>
      </w:r>
    </w:p>
    <w:p w14:paraId="574BDFB4">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3．本投标文件的有效期为投标截止日后120天内有效；</w:t>
      </w:r>
    </w:p>
    <w:p w14:paraId="1DB4BC78">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4．我司承诺投标文件中的一切资料、数据是真实的，并承担由此引起的一切责任。</w:t>
      </w:r>
    </w:p>
    <w:p w14:paraId="2D50C56A">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5．我司明白并愿意若在规定的投标截止时间之后至投标有效期之内撤回投标，则招标人有权就其撤回行为报告政府主管部门载入不良信用记录。</w:t>
      </w:r>
    </w:p>
    <w:p w14:paraId="784CDE18">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6．我司同意按照贵司可能提出的要求而提供与投标有关的任何其它数据或信息。</w:t>
      </w:r>
    </w:p>
    <w:p w14:paraId="54893ED9">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7．我司如果中标，我司保证：</w:t>
      </w:r>
    </w:p>
    <w:p w14:paraId="0B192D0E">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7.1保证履行招标文件以及招标文件修改书(如有)中的全部责任和义务，在中标通知书规定的时间内签订合同，并严格按国家有关法规履行我司的全部责任，按质、按量、按期完成合同约定的全部任务。</w:t>
      </w:r>
    </w:p>
    <w:p w14:paraId="2B5A0F5A">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7.2保证将我司的资质承包范围不能涵盖或不具备相应能力(该能力须保证进度和质量且须获得招标人认可)的部分专业工程（如果有），委托获得招标人批准的具备相应专业资质和能力的单位实施，确保项目质量及进度。</w:t>
      </w:r>
    </w:p>
    <w:p w14:paraId="073702DE">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7.3保证所完成的设计将完全符合国家相关规范要求，符合或优于招标文件、技术条件、合同条款的要求。若我司完成的勘察设计方案未能达到招标人（或相关政府部门）的要求，我司将无条件根据要求进行修改勘察设计方案，直至得到招标人（及相关政府部门）的认可为止。</w:t>
      </w:r>
    </w:p>
    <w:p w14:paraId="7E219EBF">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7.4保证尽一切力量确保投标承诺的竣工日期，若我司未能按投标承诺的工期完成本项目，除承担合同约定的违约责任外，招标人有权解除合同，我司承担由于违约解除合同退场造成的对招标人的一切损失。</w:t>
      </w:r>
    </w:p>
    <w:p w14:paraId="39C11423">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7.5保证投标所报的项目负责人、设计负责人在本项目合同签订后7日内到职，全过程服务于本项目，在过程中非不可抗力或招标人要求不得更换。我司违反以上承诺的，同意按合同条款的规定承担违约责任。</w:t>
      </w:r>
    </w:p>
    <w:p w14:paraId="62F15F39">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7.6保证所投入本项目的主要材料、设备质量符合或优于招标文件要求，所投入本项目的辅助设备、材料与主要材料、设备质量一致并有良好的配套性。</w:t>
      </w:r>
    </w:p>
    <w:p w14:paraId="06B9D61D">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7.7保证按照招标文件的要求确保安全生产及文明施工，如有违反，我司愿意按合同约定承担违约责任，并为此负相关的法律责任。</w:t>
      </w:r>
    </w:p>
    <w:p w14:paraId="5A5EFDE6">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7.8保证按国家的有关规定制订保证民工工资支付的方案及保证措施，否则，我司愿按合同条款规定承担违约责任并赔偿招标人的全部损失。</w:t>
      </w:r>
    </w:p>
    <w:p w14:paraId="57C285C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7.9保证按施工期间做好安全文明和交通保证措施，施工区全封闭围挡，根据工程进度计划分段施工分期围挡。最大限度满足交通和市民出行方便，施工行为做到便民，不扰民。</w:t>
      </w:r>
    </w:p>
    <w:p w14:paraId="1E5338E5">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7.10保证按发包方工期要求编制施工进度计划，计划内容全面详实，根据项目特点合理组织分段施工，分段逐步移交。</w:t>
      </w:r>
    </w:p>
    <w:p w14:paraId="288906E6">
      <w:pPr>
        <w:spacing w:line="360" w:lineRule="auto"/>
        <w:ind w:firstLine="420"/>
        <w:rPr>
          <w:rFonts w:ascii="宋体" w:hAnsi="宋体" w:cs="宋体"/>
          <w:b/>
          <w:bCs/>
          <w:color w:val="auto"/>
          <w:kern w:val="1"/>
          <w:szCs w:val="21"/>
          <w:highlight w:val="none"/>
        </w:rPr>
      </w:pPr>
      <w:r>
        <w:rPr>
          <w:rFonts w:hint="eastAsia" w:ascii="宋体" w:hAnsi="宋体" w:cs="宋体"/>
          <w:b/>
          <w:bCs/>
          <w:color w:val="auto"/>
          <w:kern w:val="1"/>
          <w:szCs w:val="21"/>
          <w:highlight w:val="none"/>
        </w:rPr>
        <w:t>7.11保证施工期间按合同约定将</w:t>
      </w:r>
      <w:r>
        <w:rPr>
          <w:rFonts w:hint="eastAsia" w:ascii="宋体" w:hAnsi="宋体" w:cs="宋体"/>
          <w:b/>
          <w:bCs/>
          <w:color w:val="auto"/>
          <w:szCs w:val="21"/>
          <w:highlight w:val="none"/>
        </w:rPr>
        <w:t>氢燃料电池汽车作为混凝土搅拌车和建筑废弃物运输车在本项目中投入使用，投入比例≥30%(即:投入的氢燃料电池汽车/投入的总车辆数</w:t>
      </w:r>
      <w:r>
        <w:rPr>
          <w:rFonts w:hint="eastAsia" w:ascii="宋体" w:hAnsi="宋体" w:cs="Courier New"/>
          <w:b/>
          <w:bCs/>
          <w:color w:val="auto"/>
          <w:szCs w:val="21"/>
          <w:highlight w:val="none"/>
        </w:rPr>
        <w:t>≥30%</w:t>
      </w:r>
      <w:r>
        <w:rPr>
          <w:rFonts w:hint="eastAsia" w:ascii="宋体" w:hAnsi="宋体" w:cs="宋体"/>
          <w:b/>
          <w:bCs/>
          <w:color w:val="auto"/>
          <w:szCs w:val="21"/>
          <w:highlight w:val="none"/>
        </w:rPr>
        <w:t>)，并配合招标人的相关工作。</w:t>
      </w:r>
    </w:p>
    <w:p w14:paraId="2C523CFE">
      <w:pPr>
        <w:spacing w:line="360" w:lineRule="auto"/>
        <w:ind w:firstLine="3360"/>
        <w:rPr>
          <w:rFonts w:ascii="宋体" w:hAnsi="宋体" w:cs="宋体"/>
          <w:color w:val="auto"/>
          <w:kern w:val="1"/>
          <w:szCs w:val="21"/>
          <w:highlight w:val="none"/>
        </w:rPr>
      </w:pPr>
    </w:p>
    <w:p w14:paraId="2CB82A1C">
      <w:pPr>
        <w:spacing w:line="360" w:lineRule="auto"/>
        <w:ind w:firstLine="3360"/>
        <w:jc w:val="center"/>
        <w:rPr>
          <w:rFonts w:ascii="宋体" w:hAnsi="宋体" w:cs="宋体"/>
          <w:color w:val="auto"/>
          <w:kern w:val="1"/>
          <w:szCs w:val="21"/>
          <w:highlight w:val="none"/>
        </w:rPr>
      </w:pPr>
      <w:r>
        <w:rPr>
          <w:rFonts w:hint="eastAsia" w:ascii="宋体" w:hAnsi="宋体" w:cs="宋体"/>
          <w:color w:val="auto"/>
          <w:kern w:val="1"/>
          <w:szCs w:val="21"/>
          <w:highlight w:val="none"/>
        </w:rPr>
        <w:t>投标人名称：</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62C1562D">
      <w:pPr>
        <w:wordWrap w:val="0"/>
        <w:spacing w:line="360" w:lineRule="auto"/>
        <w:ind w:firstLine="5880" w:firstLineChars="2800"/>
        <w:rPr>
          <w:rFonts w:ascii="宋体" w:hAnsi="宋体" w:cs="宋体"/>
          <w:color w:val="auto"/>
          <w:kern w:val="1"/>
          <w:szCs w:val="21"/>
          <w:highlight w:val="none"/>
        </w:rPr>
      </w:pPr>
      <w:r>
        <w:rPr>
          <w:rFonts w:hint="eastAsia" w:ascii="宋体" w:hAnsi="宋体" w:cs="宋体"/>
          <w:color w:val="auto"/>
          <w:kern w:val="1"/>
          <w:szCs w:val="21"/>
          <w:highlight w:val="none"/>
        </w:rPr>
        <w:t>日   期：</w:t>
      </w:r>
      <w:r>
        <w:rPr>
          <w:rFonts w:hint="eastAsia" w:ascii="宋体" w:hAnsi="宋体" w:cs="宋体"/>
          <w:color w:val="auto"/>
          <w:kern w:val="1"/>
          <w:szCs w:val="21"/>
          <w:highlight w:val="none"/>
          <w:u w:val="single"/>
        </w:rPr>
        <w:t xml:space="preserve">    年    月    日</w:t>
      </w:r>
    </w:p>
    <w:p w14:paraId="1B416C3D">
      <w:pPr>
        <w:pStyle w:val="2"/>
        <w:spacing w:line="360" w:lineRule="auto"/>
        <w:rPr>
          <w:rFonts w:cs="宋体"/>
          <w:b/>
          <w:color w:val="auto"/>
          <w:kern w:val="1"/>
          <w:sz w:val="24"/>
          <w:highlight w:val="none"/>
        </w:rPr>
      </w:pPr>
    </w:p>
    <w:p w14:paraId="229D56C0">
      <w:pPr>
        <w:spacing w:line="360" w:lineRule="auto"/>
        <w:ind w:firstLine="420"/>
        <w:rPr>
          <w:rFonts w:ascii="宋体" w:hAnsi="宋体" w:cs="宋体"/>
          <w:color w:val="auto"/>
          <w:kern w:val="1"/>
          <w:szCs w:val="21"/>
          <w:highlight w:val="none"/>
        </w:rPr>
      </w:pPr>
    </w:p>
    <w:p w14:paraId="63EF7995">
      <w:pPr>
        <w:spacing w:line="360" w:lineRule="auto"/>
        <w:rPr>
          <w:rFonts w:ascii="宋体" w:hAnsi="宋体" w:cs="宋体"/>
          <w:b/>
          <w:color w:val="auto"/>
          <w:kern w:val="1"/>
          <w:sz w:val="24"/>
          <w:highlight w:val="none"/>
          <w:lang w:val="zh-CN"/>
        </w:rPr>
      </w:pPr>
      <w:r>
        <w:rPr>
          <w:rFonts w:ascii="宋体" w:hAnsi="宋体"/>
          <w:color w:val="auto"/>
          <w:highlight w:val="none"/>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rPr>
        <w:t>5</w:t>
      </w:r>
      <w:r>
        <w:rPr>
          <w:rFonts w:hint="eastAsia" w:ascii="宋体" w:hAnsi="宋体" w:cs="宋体"/>
          <w:b/>
          <w:color w:val="auto"/>
          <w:kern w:val="1"/>
          <w:sz w:val="24"/>
          <w:highlight w:val="none"/>
          <w:lang w:val="zh-CN"/>
        </w:rPr>
        <w:t>：</w:t>
      </w:r>
    </w:p>
    <w:p w14:paraId="08AAEBA5">
      <w:pPr>
        <w:pStyle w:val="34"/>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法定代表人证明书、授权委托书</w:t>
      </w:r>
    </w:p>
    <w:p w14:paraId="2FB4EE0B">
      <w:pPr>
        <w:spacing w:line="360" w:lineRule="auto"/>
        <w:jc w:val="center"/>
        <w:rPr>
          <w:rFonts w:ascii="宋体" w:hAnsi="宋体" w:cs="宋体"/>
          <w:b/>
          <w:color w:val="auto"/>
          <w:kern w:val="1"/>
          <w:sz w:val="28"/>
          <w:highlight w:val="none"/>
        </w:rPr>
      </w:pPr>
      <w:r>
        <w:rPr>
          <w:rFonts w:hint="eastAsia" w:ascii="宋体" w:hAnsi="宋体" w:cs="宋体"/>
          <w:b/>
          <w:color w:val="auto"/>
          <w:kern w:val="1"/>
          <w:sz w:val="28"/>
          <w:highlight w:val="none"/>
        </w:rPr>
        <w:t>法定代表人证明书</w:t>
      </w:r>
    </w:p>
    <w:p w14:paraId="434C817C">
      <w:pP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）第　号</w:t>
      </w:r>
    </w:p>
    <w:tbl>
      <w:tblPr>
        <w:tblStyle w:val="36"/>
        <w:tblW w:w="9455" w:type="dxa"/>
        <w:jc w:val="center"/>
        <w:tblLayout w:type="fixed"/>
        <w:tblCellMar>
          <w:top w:w="0" w:type="dxa"/>
          <w:left w:w="108" w:type="dxa"/>
          <w:bottom w:w="0" w:type="dxa"/>
          <w:right w:w="108" w:type="dxa"/>
        </w:tblCellMar>
      </w:tblPr>
      <w:tblGrid>
        <w:gridCol w:w="9455"/>
      </w:tblGrid>
      <w:tr w14:paraId="3FC2C1FA">
        <w:tblPrEx>
          <w:tblCellMar>
            <w:top w:w="0" w:type="dxa"/>
            <w:left w:w="108" w:type="dxa"/>
            <w:bottom w:w="0" w:type="dxa"/>
            <w:right w:w="108" w:type="dxa"/>
          </w:tblCellMar>
        </w:tblPrEx>
        <w:trPr>
          <w:jc w:val="center"/>
        </w:trPr>
        <w:tc>
          <w:tcPr>
            <w:tcW w:w="9455" w:type="dxa"/>
            <w:tcBorders>
              <w:top w:val="single" w:color="000000" w:sz="4" w:space="0"/>
              <w:left w:val="single" w:color="000000" w:sz="4" w:space="0"/>
              <w:bottom w:val="single" w:color="000000" w:sz="4" w:space="0"/>
              <w:right w:val="single" w:color="000000" w:sz="4" w:space="0"/>
            </w:tcBorders>
            <w:noWrap w:val="0"/>
            <w:vAlign w:val="top"/>
          </w:tcPr>
          <w:p w14:paraId="27AD7E81">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u w:val="single"/>
              </w:rPr>
            </w:pPr>
          </w:p>
          <w:p w14:paraId="77AE1090">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r>
              <w:rPr>
                <w:rFonts w:hint="eastAsia" w:ascii="宋体" w:hAnsi="宋体" w:cs="宋体"/>
                <w:color w:val="auto"/>
                <w:kern w:val="1"/>
                <w:szCs w:val="21"/>
                <w:highlight w:val="none"/>
              </w:rPr>
              <w:t xml:space="preserve"> 　　</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现任我单位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职务，为法定代表人，特此证明。</w:t>
            </w:r>
          </w:p>
          <w:p w14:paraId="13CBEA89">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u w:val="single"/>
              </w:rPr>
            </w:pPr>
            <w:r>
              <w:rPr>
                <w:rFonts w:hint="eastAsia" w:ascii="宋体" w:hAnsi="宋体" w:cs="宋体"/>
                <w:color w:val="auto"/>
                <w:kern w:val="1"/>
                <w:szCs w:val="21"/>
                <w:highlight w:val="none"/>
              </w:rPr>
              <w:t xml:space="preserve">有效期限： </w:t>
            </w:r>
            <w:r>
              <w:rPr>
                <w:rFonts w:hint="eastAsia" w:ascii="宋体" w:hAnsi="宋体" w:cs="宋体"/>
                <w:color w:val="auto"/>
                <w:kern w:val="1"/>
                <w:szCs w:val="21"/>
                <w:highlight w:val="none"/>
                <w:u w:val="single"/>
              </w:rPr>
              <w:t>　　　　　　　　　　</w:t>
            </w:r>
          </w:p>
          <w:p w14:paraId="42434883">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u w:val="single"/>
              </w:rPr>
            </w:pPr>
            <w:r>
              <w:rPr>
                <w:rFonts w:hint="eastAsia" w:ascii="宋体" w:hAnsi="宋体" w:cs="宋体"/>
                <w:color w:val="auto"/>
                <w:kern w:val="1"/>
                <w:szCs w:val="21"/>
                <w:highlight w:val="none"/>
              </w:rPr>
              <w:t>附：法定代表人性别：</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年龄：</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xml:space="preserve"> 身份证号码：</w:t>
            </w:r>
            <w:r>
              <w:rPr>
                <w:rFonts w:hint="eastAsia" w:ascii="宋体" w:hAnsi="宋体" w:cs="宋体"/>
                <w:color w:val="auto"/>
                <w:kern w:val="1"/>
                <w:szCs w:val="21"/>
                <w:highlight w:val="none"/>
                <w:u w:val="single"/>
              </w:rPr>
              <w:t>　　　　　　　　　　</w:t>
            </w:r>
          </w:p>
          <w:p w14:paraId="25E17092">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u w:val="single"/>
              </w:rPr>
            </w:pPr>
            <w:r>
              <w:rPr>
                <w:rFonts w:hint="eastAsia" w:ascii="宋体" w:hAnsi="宋体" w:cs="宋体"/>
                <w:color w:val="auto"/>
                <w:kern w:val="1"/>
                <w:szCs w:val="21"/>
                <w:highlight w:val="none"/>
              </w:rPr>
              <w:t>注册号码：</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企业类型：</w:t>
            </w:r>
            <w:r>
              <w:rPr>
                <w:rFonts w:hint="eastAsia" w:ascii="宋体" w:hAnsi="宋体" w:cs="宋体"/>
                <w:color w:val="auto"/>
                <w:kern w:val="1"/>
                <w:szCs w:val="21"/>
                <w:highlight w:val="none"/>
                <w:u w:val="single"/>
              </w:rPr>
              <w:t>　　　　　　　　　　</w:t>
            </w:r>
          </w:p>
          <w:p w14:paraId="4FA721AD">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u w:val="single"/>
              </w:rPr>
            </w:pPr>
            <w:r>
              <w:rPr>
                <w:rFonts w:hint="eastAsia" w:ascii="宋体" w:hAnsi="宋体" w:cs="宋体"/>
                <w:color w:val="auto"/>
                <w:kern w:val="1"/>
                <w:szCs w:val="21"/>
                <w:highlight w:val="none"/>
              </w:rPr>
              <w:t>经营范围：</w:t>
            </w:r>
            <w:r>
              <w:rPr>
                <w:rFonts w:hint="eastAsia" w:ascii="宋体" w:hAnsi="宋体" w:cs="宋体"/>
                <w:color w:val="auto"/>
                <w:kern w:val="1"/>
                <w:szCs w:val="21"/>
                <w:highlight w:val="none"/>
                <w:u w:val="single"/>
              </w:rPr>
              <w:t xml:space="preserve">　　　　　　　　　　                                                 </w:t>
            </w:r>
          </w:p>
          <w:p w14:paraId="70ADEADF">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（盖章）</w:t>
            </w:r>
          </w:p>
          <w:p w14:paraId="281367B9">
            <w:pPr>
              <w:keepNext w:val="0"/>
              <w:keepLines w:val="0"/>
              <w:suppressLineNumbers w:val="0"/>
              <w:spacing w:before="0" w:beforeAutospacing="0" w:after="0" w:afterAutospacing="0" w:line="360" w:lineRule="auto"/>
              <w:ind w:left="0" w:right="0" w:firstLine="3360" w:firstLineChars="1600"/>
              <w:rPr>
                <w:rFonts w:hint="default" w:ascii="宋体" w:hAnsi="宋体" w:cs="宋体"/>
                <w:color w:val="auto"/>
                <w:kern w:val="2"/>
                <w:szCs w:val="21"/>
                <w:highlight w:val="none"/>
                <w:u w:val="single"/>
              </w:rPr>
            </w:pPr>
            <w:r>
              <w:rPr>
                <w:rFonts w:hint="eastAsia" w:ascii="宋体" w:hAnsi="宋体" w:cs="宋体"/>
                <w:color w:val="auto"/>
                <w:kern w:val="1"/>
                <w:szCs w:val="21"/>
                <w:highlight w:val="none"/>
              </w:rPr>
              <w:t>　　　　　    年　 月　　日</w:t>
            </w:r>
          </w:p>
        </w:tc>
      </w:tr>
    </w:tbl>
    <w:p w14:paraId="3C0480A7">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注：1、法定代表人证明书也可以采用工商行政管理局统一印制的格式。</w:t>
      </w:r>
    </w:p>
    <w:p w14:paraId="76558D23">
      <w:pPr>
        <w:spacing w:line="360" w:lineRule="auto"/>
        <w:ind w:firstLine="424" w:firstLineChars="202"/>
        <w:rPr>
          <w:rFonts w:ascii="宋体" w:hAnsi="宋体" w:cs="宋体"/>
          <w:color w:val="auto"/>
          <w:kern w:val="1"/>
          <w:szCs w:val="21"/>
          <w:highlight w:val="none"/>
        </w:rPr>
      </w:pPr>
      <w:r>
        <w:rPr>
          <w:rFonts w:hint="eastAsia" w:ascii="宋体" w:hAnsi="宋体" w:cs="宋体"/>
          <w:color w:val="auto"/>
          <w:kern w:val="1"/>
          <w:szCs w:val="21"/>
          <w:highlight w:val="none"/>
        </w:rPr>
        <w:t>2、联合体投标的，本证明书由联合体</w:t>
      </w:r>
      <w:r>
        <w:rPr>
          <w:rFonts w:hint="eastAsia" w:ascii="宋体" w:hAnsi="宋体"/>
          <w:color w:val="auto"/>
          <w:highlight w:val="none"/>
        </w:rPr>
        <w:t>主办</w:t>
      </w:r>
      <w:r>
        <w:rPr>
          <w:rFonts w:hint="eastAsia" w:ascii="宋体" w:hAnsi="宋体" w:cs="宋体"/>
          <w:color w:val="auto"/>
          <w:kern w:val="1"/>
          <w:szCs w:val="21"/>
          <w:highlight w:val="none"/>
        </w:rPr>
        <w:t>方出具。</w:t>
      </w:r>
    </w:p>
    <w:p w14:paraId="443FE6C5">
      <w:pPr>
        <w:spacing w:line="360" w:lineRule="auto"/>
        <w:ind w:firstLine="424" w:firstLineChars="202"/>
        <w:rPr>
          <w:rFonts w:ascii="宋体" w:hAnsi="宋体" w:cs="宋体"/>
          <w:color w:val="auto"/>
          <w:kern w:val="1"/>
          <w:szCs w:val="21"/>
          <w:highlight w:val="none"/>
        </w:rPr>
      </w:pPr>
      <w:r>
        <w:rPr>
          <w:rFonts w:hint="eastAsia" w:ascii="宋体" w:hAnsi="宋体" w:cs="宋体"/>
          <w:color w:val="auto"/>
          <w:kern w:val="1"/>
          <w:szCs w:val="21"/>
          <w:highlight w:val="none"/>
        </w:rPr>
        <w:t>3、附法定代表人身份证原件扫描件。</w:t>
      </w:r>
    </w:p>
    <w:p w14:paraId="5DB5E8ED">
      <w:pP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法定代表人授权委托书</w:t>
      </w:r>
    </w:p>
    <w:p w14:paraId="4BD748D0">
      <w:pP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）第　号</w:t>
      </w:r>
    </w:p>
    <w:tbl>
      <w:tblPr>
        <w:tblStyle w:val="36"/>
        <w:tblW w:w="9243" w:type="dxa"/>
        <w:jc w:val="center"/>
        <w:tblLayout w:type="fixed"/>
        <w:tblCellMar>
          <w:top w:w="0" w:type="dxa"/>
          <w:left w:w="108" w:type="dxa"/>
          <w:bottom w:w="0" w:type="dxa"/>
          <w:right w:w="108" w:type="dxa"/>
        </w:tblCellMar>
      </w:tblPr>
      <w:tblGrid>
        <w:gridCol w:w="9243"/>
      </w:tblGrid>
      <w:tr w14:paraId="7C91ECB2">
        <w:tblPrEx>
          <w:tblCellMar>
            <w:top w:w="0" w:type="dxa"/>
            <w:left w:w="108" w:type="dxa"/>
            <w:bottom w:w="0" w:type="dxa"/>
            <w:right w:w="108" w:type="dxa"/>
          </w:tblCellMar>
        </w:tblPrEx>
        <w:trPr>
          <w:jc w:val="center"/>
        </w:trPr>
        <w:tc>
          <w:tcPr>
            <w:tcW w:w="9243" w:type="dxa"/>
            <w:tcBorders>
              <w:top w:val="single" w:color="000000" w:sz="4" w:space="0"/>
              <w:left w:val="single" w:color="000000" w:sz="4" w:space="0"/>
              <w:bottom w:val="single" w:color="000000" w:sz="4" w:space="0"/>
              <w:right w:val="single" w:color="000000" w:sz="4" w:space="0"/>
            </w:tcBorders>
            <w:noWrap w:val="0"/>
            <w:vAlign w:val="top"/>
          </w:tcPr>
          <w:p w14:paraId="07FB043D">
            <w:pPr>
              <w:keepNext w:val="0"/>
              <w:keepLines w:val="0"/>
              <w:suppressLineNumbers w:val="0"/>
              <w:spacing w:before="0" w:beforeAutospacing="0" w:after="0" w:afterAutospacing="0" w:line="360" w:lineRule="auto"/>
              <w:ind w:left="0" w:right="0" w:firstLine="480"/>
              <w:rPr>
                <w:rFonts w:hint="default" w:ascii="宋体" w:hAnsi="宋体" w:cs="宋体"/>
                <w:color w:val="auto"/>
                <w:kern w:val="2"/>
                <w:szCs w:val="21"/>
                <w:highlight w:val="none"/>
                <w:u w:val="single"/>
              </w:rPr>
            </w:pPr>
            <w:r>
              <w:rPr>
                <w:rFonts w:hint="eastAsia" w:ascii="宋体" w:hAnsi="宋体" w:cs="宋体"/>
                <w:color w:val="auto"/>
                <w:kern w:val="1"/>
                <w:szCs w:val="21"/>
                <w:highlight w:val="none"/>
              </w:rPr>
              <w:t>兹授权</w:t>
            </w:r>
            <w:r>
              <w:rPr>
                <w:rFonts w:hint="eastAsia" w:ascii="宋体" w:hAnsi="宋体" w:cs="宋体"/>
                <w:color w:val="auto"/>
                <w:kern w:val="1"/>
                <w:szCs w:val="21"/>
                <w:highlight w:val="none"/>
                <w:u w:val="single"/>
              </w:rPr>
              <w:t xml:space="preserve"> </w:t>
            </w:r>
            <w:r>
              <w:rPr>
                <w:rFonts w:hint="default" w:ascii="宋体" w:hAnsi="宋体" w:cs="宋体"/>
                <w:color w:val="auto"/>
                <w:kern w:val="1"/>
                <w:szCs w:val="21"/>
                <w:highlight w:val="none"/>
                <w:u w:val="single"/>
              </w:rPr>
              <w:t xml:space="preserve">       </w:t>
            </w:r>
            <w:r>
              <w:rPr>
                <w:rFonts w:hint="eastAsia" w:ascii="宋体" w:hAnsi="宋体" w:cs="宋体"/>
                <w:color w:val="auto"/>
                <w:kern w:val="1"/>
                <w:szCs w:val="21"/>
                <w:highlight w:val="none"/>
              </w:rPr>
              <w:t>为我方委托代理人，其权限是：</w:t>
            </w:r>
            <w:r>
              <w:rPr>
                <w:rFonts w:hint="eastAsia" w:ascii="宋体" w:hAnsi="宋体" w:cs="宋体"/>
                <w:color w:val="auto"/>
                <w:kern w:val="1"/>
                <w:szCs w:val="21"/>
                <w:highlight w:val="none"/>
                <w:u w:val="single"/>
              </w:rPr>
              <w:t>　　　　                        　　　　　　</w:t>
            </w:r>
          </w:p>
          <w:p w14:paraId="467409A4">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u w:val="single"/>
              </w:rPr>
            </w:pPr>
            <w:r>
              <w:rPr>
                <w:rFonts w:hint="eastAsia" w:ascii="宋体" w:hAnsi="宋体" w:cs="宋体"/>
                <w:color w:val="auto"/>
                <w:kern w:val="1"/>
                <w:szCs w:val="21"/>
                <w:highlight w:val="none"/>
                <w:u w:val="single"/>
              </w:rPr>
              <w:t>　　　　　　　                                                               　　　</w:t>
            </w:r>
          </w:p>
          <w:p w14:paraId="7EE6FFDE">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u w:val="single"/>
              </w:rPr>
            </w:pPr>
            <w:r>
              <w:rPr>
                <w:rFonts w:hint="eastAsia" w:ascii="宋体" w:hAnsi="宋体" w:cs="宋体"/>
                <w:color w:val="auto"/>
                <w:kern w:val="1"/>
                <w:szCs w:val="21"/>
                <w:highlight w:val="none"/>
              </w:rPr>
              <w:t>有效期限：</w:t>
            </w:r>
            <w:r>
              <w:rPr>
                <w:rFonts w:hint="eastAsia" w:ascii="宋体" w:hAnsi="宋体" w:cs="宋体"/>
                <w:color w:val="auto"/>
                <w:kern w:val="1"/>
                <w:szCs w:val="21"/>
                <w:highlight w:val="none"/>
                <w:u w:val="single"/>
              </w:rPr>
              <w:t>　　　　　　　　　　</w:t>
            </w:r>
          </w:p>
          <w:p w14:paraId="466E387A">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r>
              <w:rPr>
                <w:rFonts w:hint="eastAsia" w:ascii="宋体" w:hAnsi="宋体" w:cs="宋体"/>
                <w:color w:val="auto"/>
                <w:kern w:val="1"/>
                <w:szCs w:val="21"/>
                <w:highlight w:val="none"/>
              </w:rPr>
              <w:t>附：代理人性别：</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年龄：</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 xml:space="preserve"> 身份证号码：</w:t>
            </w:r>
            <w:r>
              <w:rPr>
                <w:rFonts w:hint="eastAsia" w:ascii="宋体" w:hAnsi="宋体" w:cs="宋体"/>
                <w:color w:val="auto"/>
                <w:kern w:val="1"/>
                <w:szCs w:val="21"/>
                <w:highlight w:val="none"/>
                <w:u w:val="single"/>
              </w:rPr>
              <w:t>　　　　　　　　　　</w:t>
            </w:r>
          </w:p>
          <w:p w14:paraId="4249795E">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u w:val="single"/>
              </w:rPr>
            </w:pPr>
            <w:r>
              <w:rPr>
                <w:rFonts w:hint="eastAsia" w:ascii="宋体" w:hAnsi="宋体" w:cs="宋体"/>
                <w:color w:val="auto"/>
                <w:kern w:val="1"/>
                <w:szCs w:val="21"/>
                <w:highlight w:val="none"/>
              </w:rPr>
              <w:t xml:space="preserve">注册号码： </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xml:space="preserve">  企业类型：</w:t>
            </w:r>
            <w:r>
              <w:rPr>
                <w:rFonts w:hint="eastAsia" w:ascii="宋体" w:hAnsi="宋体" w:cs="宋体"/>
                <w:color w:val="auto"/>
                <w:kern w:val="1"/>
                <w:szCs w:val="21"/>
                <w:highlight w:val="none"/>
                <w:u w:val="single"/>
              </w:rPr>
              <w:t>　　　　　　　　　　</w:t>
            </w:r>
          </w:p>
          <w:p w14:paraId="55C4C3AD">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u w:val="single"/>
              </w:rPr>
            </w:pPr>
            <w:r>
              <w:rPr>
                <w:rFonts w:hint="eastAsia" w:ascii="宋体" w:hAnsi="宋体" w:cs="宋体"/>
                <w:color w:val="auto"/>
                <w:kern w:val="1"/>
                <w:szCs w:val="21"/>
                <w:highlight w:val="none"/>
              </w:rPr>
              <w:t>经营范围：</w:t>
            </w:r>
            <w:r>
              <w:rPr>
                <w:rFonts w:hint="eastAsia" w:ascii="宋体" w:hAnsi="宋体" w:cs="宋体"/>
                <w:color w:val="auto"/>
                <w:kern w:val="1"/>
                <w:szCs w:val="21"/>
                <w:highlight w:val="none"/>
                <w:u w:val="single"/>
              </w:rPr>
              <w:t>　　　　　　　　                                        　　</w:t>
            </w:r>
          </w:p>
          <w:p w14:paraId="2DC57281">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r>
              <w:rPr>
                <w:rFonts w:hint="eastAsia" w:ascii="宋体" w:hAnsi="宋体" w:cs="宋体"/>
                <w:color w:val="auto"/>
                <w:kern w:val="1"/>
                <w:szCs w:val="21"/>
                <w:highlight w:val="none"/>
              </w:rPr>
              <w:t>法定代表人：</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（签名或盖章）</w:t>
            </w:r>
          </w:p>
          <w:p w14:paraId="5832CE51">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r>
              <w:rPr>
                <w:rFonts w:hint="eastAsia" w:ascii="宋体" w:hAnsi="宋体" w:cs="宋体"/>
                <w:color w:val="auto"/>
                <w:kern w:val="1"/>
                <w:szCs w:val="21"/>
                <w:highlight w:val="none"/>
              </w:rPr>
              <w:t>授权单位：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（盖章）</w:t>
            </w:r>
          </w:p>
          <w:p w14:paraId="398F36C8">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r>
              <w:rPr>
                <w:rFonts w:hint="eastAsia" w:ascii="宋体" w:hAnsi="宋体" w:cs="宋体"/>
                <w:color w:val="auto"/>
                <w:kern w:val="1"/>
                <w:szCs w:val="21"/>
                <w:highlight w:val="none"/>
              </w:rPr>
              <w:t xml:space="preserve">         </w:t>
            </w:r>
            <w:r>
              <w:rPr>
                <w:rFonts w:hint="default" w:ascii="宋体" w:hAnsi="宋体" w:cs="宋体"/>
                <w:color w:val="auto"/>
                <w:kern w:val="1"/>
                <w:szCs w:val="21"/>
                <w:highlight w:val="none"/>
              </w:rPr>
              <w:t xml:space="preserve">                                    </w:t>
            </w:r>
            <w:r>
              <w:rPr>
                <w:rFonts w:hint="eastAsia" w:ascii="宋体" w:hAnsi="宋体" w:cs="宋体"/>
                <w:color w:val="auto"/>
                <w:kern w:val="1"/>
                <w:szCs w:val="21"/>
                <w:highlight w:val="none"/>
              </w:rPr>
              <w:t xml:space="preserve">年  </w:t>
            </w:r>
            <w:r>
              <w:rPr>
                <w:rFonts w:hint="default" w:ascii="宋体" w:hAnsi="宋体" w:cs="宋体"/>
                <w:color w:val="auto"/>
                <w:kern w:val="1"/>
                <w:szCs w:val="21"/>
                <w:highlight w:val="none"/>
              </w:rPr>
              <w:t xml:space="preserve"> </w:t>
            </w:r>
            <w:r>
              <w:rPr>
                <w:rFonts w:hint="eastAsia" w:ascii="宋体" w:hAnsi="宋体" w:cs="宋体"/>
                <w:color w:val="auto"/>
                <w:kern w:val="1"/>
                <w:szCs w:val="21"/>
                <w:highlight w:val="none"/>
              </w:rPr>
              <w:t>月   日</w:t>
            </w:r>
          </w:p>
        </w:tc>
      </w:tr>
    </w:tbl>
    <w:p w14:paraId="3BA0319C">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注：1、法定代表人授权委托书也可以采用工商行政管理局统一印制的格式。</w:t>
      </w:r>
    </w:p>
    <w:p w14:paraId="0DED01B9">
      <w:pPr>
        <w:numPr>
          <w:ilvl w:val="0"/>
          <w:numId w:val="7"/>
        </w:numPr>
        <w:spacing w:line="360" w:lineRule="auto"/>
        <w:ind w:firstLine="426"/>
        <w:rPr>
          <w:rFonts w:ascii="宋体" w:hAnsi="宋体" w:cs="宋体"/>
          <w:color w:val="auto"/>
          <w:kern w:val="1"/>
          <w:szCs w:val="21"/>
          <w:highlight w:val="none"/>
        </w:rPr>
      </w:pPr>
      <w:r>
        <w:rPr>
          <w:rFonts w:hint="eastAsia" w:ascii="宋体" w:hAnsi="宋体" w:cs="宋体"/>
          <w:color w:val="auto"/>
          <w:kern w:val="1"/>
          <w:szCs w:val="21"/>
          <w:highlight w:val="none"/>
        </w:rPr>
        <w:t>联合体投标的，本授权书由联合体</w:t>
      </w:r>
      <w:r>
        <w:rPr>
          <w:rFonts w:hint="eastAsia" w:ascii="宋体" w:hAnsi="宋体"/>
          <w:color w:val="auto"/>
          <w:highlight w:val="none"/>
        </w:rPr>
        <w:t>主办</w:t>
      </w:r>
      <w:r>
        <w:rPr>
          <w:rFonts w:hint="eastAsia" w:ascii="宋体" w:hAnsi="宋体" w:cs="宋体"/>
          <w:color w:val="auto"/>
          <w:kern w:val="1"/>
          <w:szCs w:val="21"/>
          <w:highlight w:val="none"/>
        </w:rPr>
        <w:t>方出具，并由联合体</w:t>
      </w:r>
      <w:r>
        <w:rPr>
          <w:rFonts w:hint="eastAsia" w:ascii="宋体" w:hAnsi="宋体"/>
          <w:color w:val="auto"/>
          <w:highlight w:val="none"/>
        </w:rPr>
        <w:t>主办</w:t>
      </w:r>
      <w:r>
        <w:rPr>
          <w:rFonts w:hint="eastAsia" w:ascii="宋体" w:hAnsi="宋体" w:cs="宋体"/>
          <w:color w:val="auto"/>
          <w:kern w:val="1"/>
          <w:szCs w:val="21"/>
          <w:highlight w:val="none"/>
        </w:rPr>
        <w:t>方签字、盖章即可。</w:t>
      </w:r>
    </w:p>
    <w:p w14:paraId="2E83D9F6">
      <w:pPr>
        <w:pStyle w:val="2"/>
        <w:spacing w:line="360" w:lineRule="auto"/>
        <w:ind w:firstLine="420" w:firstLineChars="200"/>
        <w:rPr>
          <w:color w:val="auto"/>
          <w:highlight w:val="none"/>
        </w:rPr>
      </w:pPr>
      <w:r>
        <w:rPr>
          <w:rFonts w:hint="eastAsia" w:cs="宋体"/>
          <w:color w:val="auto"/>
          <w:kern w:val="1"/>
          <w:sz w:val="21"/>
          <w:szCs w:val="21"/>
          <w:highlight w:val="none"/>
          <w:lang w:val="en-US"/>
        </w:rPr>
        <w:t>3、附委托代理人身份证原件扫描件。</w:t>
      </w:r>
    </w:p>
    <w:p w14:paraId="06ADCFD0">
      <w:pPr>
        <w:spacing w:line="360" w:lineRule="auto"/>
        <w:rPr>
          <w:rFonts w:hint="eastAsia" w:ascii="宋体" w:hAnsi="宋体" w:cs="宋体"/>
          <w:b/>
          <w:color w:val="auto"/>
          <w:kern w:val="1"/>
          <w:sz w:val="24"/>
          <w:highlight w:val="none"/>
        </w:rPr>
      </w:pPr>
      <w:r>
        <w:rPr>
          <w:rFonts w:ascii="宋体" w:hAnsi="宋体" w:cs="宋体"/>
          <w:b/>
          <w:color w:val="auto"/>
          <w:kern w:val="1"/>
          <w:sz w:val="24"/>
          <w:highlight w:val="none"/>
        </w:rPr>
        <w:br w:type="page"/>
      </w:r>
      <w:r>
        <w:rPr>
          <w:rFonts w:hint="eastAsia" w:ascii="宋体" w:hAnsi="宋体" w:cs="宋体"/>
          <w:b/>
          <w:color w:val="auto"/>
          <w:kern w:val="1"/>
          <w:sz w:val="24"/>
          <w:highlight w:val="none"/>
        </w:rPr>
        <w:t xml:space="preserve"> 格式</w:t>
      </w:r>
      <w:r>
        <w:rPr>
          <w:rFonts w:ascii="宋体" w:hAnsi="宋体" w:cs="宋体"/>
          <w:b/>
          <w:color w:val="auto"/>
          <w:kern w:val="1"/>
          <w:sz w:val="24"/>
          <w:highlight w:val="none"/>
        </w:rPr>
        <w:t>6</w:t>
      </w:r>
      <w:r>
        <w:rPr>
          <w:rFonts w:hint="eastAsia" w:ascii="宋体" w:hAnsi="宋体" w:cs="宋体"/>
          <w:b/>
          <w:color w:val="auto"/>
          <w:kern w:val="1"/>
          <w:sz w:val="24"/>
          <w:highlight w:val="none"/>
        </w:rPr>
        <w:t>：</w:t>
      </w:r>
    </w:p>
    <w:p w14:paraId="060211E0">
      <w:pPr>
        <w:pStyle w:val="2"/>
        <w:jc w:val="center"/>
        <w:rPr>
          <w:rFonts w:hint="eastAsia" w:cs="宋体"/>
          <w:b/>
          <w:color w:val="auto"/>
          <w:kern w:val="1"/>
          <w:sz w:val="24"/>
          <w:highlight w:val="none"/>
        </w:rPr>
      </w:pPr>
      <w:r>
        <w:rPr>
          <w:rFonts w:hint="eastAsia" w:cs="宋体"/>
          <w:b/>
          <w:color w:val="auto"/>
          <w:kern w:val="1"/>
          <w:sz w:val="24"/>
          <w:highlight w:val="none"/>
        </w:rPr>
        <w:t>投标保证金</w:t>
      </w:r>
    </w:p>
    <w:p w14:paraId="78936FE9">
      <w:pPr>
        <w:pStyle w:val="2"/>
        <w:rPr>
          <w:rFonts w:hint="eastAsia" w:cs="宋体"/>
          <w:b/>
          <w:color w:val="auto"/>
          <w:kern w:val="1"/>
          <w:sz w:val="24"/>
          <w:highlight w:val="none"/>
        </w:rPr>
      </w:pPr>
      <w:r>
        <w:rPr>
          <w:rFonts w:hint="eastAsia" w:cs="宋体"/>
          <w:b/>
          <w:color w:val="auto"/>
          <w:kern w:val="1"/>
          <w:sz w:val="24"/>
          <w:highlight w:val="none"/>
        </w:rPr>
        <w:t>注：如采用现金或者支票形式提交由广州交易集团有限公司（广州公共资源交易中心）代收的，或采用广州交易集团有限公司（广州公共资源交易中心）电子形式的保函、担保或保证保险提交的，以投标文件递交截止时间后在广州交易集团有限公司（广州公共资源交易中心）数据库查询的投标保证金递交情况为准，投标人不需另外提供凭证；</w:t>
      </w:r>
    </w:p>
    <w:p w14:paraId="7248577D">
      <w:pPr>
        <w:pStyle w:val="2"/>
        <w:rPr>
          <w:rFonts w:hint="eastAsia" w:cs="宋体"/>
          <w:b/>
          <w:color w:val="auto"/>
          <w:kern w:val="1"/>
          <w:sz w:val="24"/>
          <w:highlight w:val="none"/>
        </w:rPr>
      </w:pPr>
      <w:r>
        <w:rPr>
          <w:rFonts w:hint="eastAsia" w:cs="宋体"/>
          <w:b/>
          <w:color w:val="auto"/>
          <w:kern w:val="1"/>
          <w:sz w:val="24"/>
          <w:highlight w:val="none"/>
        </w:rPr>
        <w:t>如采用非电子形式的银行保函、保证保险、专业工程担保公司担保提交的，投标人应在此处提供银行保函、保证保险、专业工程担保公司担保等的原件扫描件并加盖投标人（或联合体主办</w:t>
      </w:r>
      <w:r>
        <w:rPr>
          <w:rFonts w:hint="eastAsia" w:cs="宋体"/>
          <w:b/>
          <w:color w:val="auto"/>
          <w:kern w:val="1"/>
          <w:sz w:val="24"/>
          <w:highlight w:val="none"/>
          <w:lang w:val="en-US"/>
        </w:rPr>
        <w:t>方</w:t>
      </w:r>
      <w:r>
        <w:rPr>
          <w:rFonts w:hint="eastAsia" w:cs="宋体"/>
          <w:b/>
          <w:color w:val="auto"/>
          <w:kern w:val="1"/>
          <w:sz w:val="24"/>
          <w:highlight w:val="none"/>
        </w:rPr>
        <w:t>）电子印章。</w:t>
      </w:r>
    </w:p>
    <w:p w14:paraId="05B0B81A">
      <w:pPr>
        <w:rPr>
          <w:color w:val="auto"/>
          <w:highlight w:val="none"/>
        </w:rPr>
      </w:pPr>
    </w:p>
    <w:p w14:paraId="4DC62A5F">
      <w:pPr>
        <w:widowControl/>
        <w:rPr>
          <w:rFonts w:hint="eastAsia" w:ascii="宋体" w:hAnsi="宋体" w:cs="宋体"/>
          <w:b/>
          <w:color w:val="auto"/>
          <w:kern w:val="1"/>
          <w:sz w:val="24"/>
          <w:highlight w:val="none"/>
        </w:rPr>
      </w:pPr>
      <w:bookmarkStart w:id="405" w:name="_Toc31552"/>
      <w:bookmarkEnd w:id="405"/>
      <w:bookmarkStart w:id="406" w:name="_Toc17417"/>
      <w:bookmarkEnd w:id="406"/>
      <w:r>
        <w:rPr>
          <w:rFonts w:hint="eastAsia" w:ascii="宋体" w:hAnsi="宋体" w:cs="宋体"/>
          <w:b/>
          <w:color w:val="auto"/>
          <w:kern w:val="1"/>
          <w:sz w:val="24"/>
          <w:highlight w:val="none"/>
          <w:lang w:val="en-US" w:eastAsia="zh-CN"/>
        </w:rPr>
        <w:t>a</w:t>
      </w:r>
      <w:r>
        <w:rPr>
          <w:rFonts w:hint="eastAsia" w:ascii="宋体" w:hAnsi="宋体" w:cs="宋体"/>
          <w:b/>
          <w:color w:val="auto"/>
          <w:kern w:val="1"/>
          <w:sz w:val="24"/>
          <w:highlight w:val="none"/>
        </w:rPr>
        <w:br w:type="page"/>
      </w:r>
      <w:r>
        <w:rPr>
          <w:rFonts w:hint="eastAsia" w:ascii="宋体" w:hAnsi="宋体" w:cs="宋体"/>
          <w:b/>
          <w:color w:val="auto"/>
          <w:kern w:val="1"/>
          <w:sz w:val="24"/>
          <w:highlight w:val="none"/>
        </w:rPr>
        <w:t>格式7：</w:t>
      </w:r>
    </w:p>
    <w:p w14:paraId="0E041E86">
      <w:pPr>
        <w:widowControl/>
        <w:ind w:left="496"/>
        <w:jc w:val="center"/>
        <w:rPr>
          <w:rFonts w:hint="eastAsia" w:ascii="宋体" w:hAnsi="宋体" w:cs="宋体"/>
          <w:b/>
          <w:bCs/>
          <w:color w:val="auto"/>
          <w:highlight w:val="none"/>
        </w:rPr>
      </w:pPr>
      <w:r>
        <w:rPr>
          <w:rFonts w:hint="eastAsia" w:ascii="宋体" w:hAnsi="宋体" w:cs="宋体"/>
          <w:b/>
          <w:bCs/>
          <w:color w:val="auto"/>
          <w:sz w:val="32"/>
          <w:szCs w:val="32"/>
          <w:highlight w:val="none"/>
          <w:lang w:val="zh-CN"/>
        </w:rPr>
        <w:t>拟投入本项目人员一览表</w:t>
      </w:r>
    </w:p>
    <w:tbl>
      <w:tblPr>
        <w:tblStyle w:val="36"/>
        <w:tblW w:w="0" w:type="auto"/>
        <w:jc w:val="center"/>
        <w:tblLayout w:type="fixed"/>
        <w:tblCellMar>
          <w:top w:w="0" w:type="dxa"/>
          <w:left w:w="108" w:type="dxa"/>
          <w:bottom w:w="0" w:type="dxa"/>
          <w:right w:w="108" w:type="dxa"/>
        </w:tblCellMar>
      </w:tblPr>
      <w:tblGrid>
        <w:gridCol w:w="599"/>
        <w:gridCol w:w="600"/>
        <w:gridCol w:w="600"/>
        <w:gridCol w:w="600"/>
        <w:gridCol w:w="801"/>
        <w:gridCol w:w="717"/>
        <w:gridCol w:w="684"/>
        <w:gridCol w:w="600"/>
        <w:gridCol w:w="1103"/>
        <w:gridCol w:w="1003"/>
        <w:gridCol w:w="1607"/>
        <w:gridCol w:w="600"/>
      </w:tblGrid>
      <w:tr w14:paraId="10B77543">
        <w:tblPrEx>
          <w:tblCellMar>
            <w:top w:w="0" w:type="dxa"/>
            <w:left w:w="108" w:type="dxa"/>
            <w:bottom w:w="0" w:type="dxa"/>
            <w:right w:w="108" w:type="dxa"/>
          </w:tblCellMar>
        </w:tblPrEx>
        <w:trPr>
          <w:trHeight w:val="1199" w:hRule="atLeast"/>
          <w:jc w:val="center"/>
        </w:trPr>
        <w:tc>
          <w:tcPr>
            <w:tcW w:w="599" w:type="dxa"/>
            <w:tcBorders>
              <w:top w:val="single" w:color="000000" w:sz="6" w:space="0"/>
              <w:left w:val="single" w:color="000000" w:sz="6" w:space="0"/>
              <w:bottom w:val="single" w:color="000000" w:sz="6" w:space="0"/>
              <w:right w:val="single" w:color="000000" w:sz="6" w:space="0"/>
            </w:tcBorders>
            <w:noWrap w:val="0"/>
            <w:vAlign w:val="center"/>
          </w:tcPr>
          <w:p w14:paraId="0D9C702D">
            <w:pPr>
              <w:keepNext w:val="0"/>
              <w:keepLines w:val="0"/>
              <w:suppressLineNumbers w:val="0"/>
              <w:tabs>
                <w:tab w:val="left" w:pos="9297"/>
              </w:tabs>
              <w:spacing w:before="0" w:beforeAutospacing="0" w:afterAutospacing="0"/>
              <w:ind w:left="0" w:right="0" w:firstLine="656"/>
              <w:jc w:val="center"/>
              <w:rPr>
                <w:rFonts w:hint="default" w:ascii="宋体" w:hAnsi="宋体" w:cs="宋体"/>
                <w:color w:val="auto"/>
                <w:kern w:val="2"/>
                <w:szCs w:val="21"/>
                <w:highlight w:val="none"/>
              </w:rPr>
            </w:pPr>
            <w:r>
              <w:rPr>
                <w:rFonts w:hint="default" w:ascii="宋体" w:hAnsi="宋体" w:cs="宋体"/>
                <w:color w:val="auto"/>
                <w:spacing w:val="1"/>
                <w:kern w:val="1"/>
                <w:szCs w:val="21"/>
                <w:highlight w:val="none"/>
                <w:lang w:val="zh-CN"/>
              </w:rPr>
              <w:t>序</w:t>
            </w:r>
            <w:r>
              <w:rPr>
                <w:rFonts w:hint="default" w:ascii="宋体" w:hAnsi="宋体" w:cs="宋体"/>
                <w:color w:val="auto"/>
                <w:spacing w:val="1"/>
                <w:kern w:val="1"/>
                <w:szCs w:val="21"/>
                <w:highlight w:val="none"/>
              </w:rPr>
              <w:t>序号</w:t>
            </w: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5BBC0176">
            <w:pPr>
              <w:keepNext w:val="0"/>
              <w:keepLines w:val="0"/>
              <w:suppressLineNumbers w:val="0"/>
              <w:tabs>
                <w:tab w:val="left" w:pos="9297"/>
              </w:tabs>
              <w:spacing w:before="0" w:beforeAutospacing="0" w:afterAutospacing="0"/>
              <w:ind w:left="0" w:right="0" w:firstLine="656"/>
              <w:jc w:val="center"/>
              <w:rPr>
                <w:rFonts w:hint="default" w:ascii="宋体" w:hAnsi="宋体" w:cs="宋体"/>
                <w:color w:val="auto"/>
                <w:kern w:val="2"/>
                <w:szCs w:val="21"/>
                <w:highlight w:val="none"/>
              </w:rPr>
            </w:pPr>
            <w:r>
              <w:rPr>
                <w:rFonts w:hint="default" w:ascii="宋体" w:hAnsi="宋体" w:cs="宋体"/>
                <w:color w:val="auto"/>
                <w:spacing w:val="1"/>
                <w:kern w:val="1"/>
                <w:szCs w:val="21"/>
                <w:highlight w:val="none"/>
              </w:rPr>
              <w:t>姓</w:t>
            </w:r>
            <w:r>
              <w:rPr>
                <w:rFonts w:hint="default" w:ascii="宋体" w:hAnsi="宋体" w:cs="宋体"/>
                <w:color w:val="auto"/>
                <w:spacing w:val="1"/>
                <w:kern w:val="1"/>
                <w:szCs w:val="21"/>
                <w:highlight w:val="none"/>
                <w:lang w:val="zh-CN"/>
              </w:rPr>
              <w:t>姓名</w:t>
            </w: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29E90E4D">
            <w:pPr>
              <w:keepNext w:val="0"/>
              <w:keepLines w:val="0"/>
              <w:suppressLineNumbers w:val="0"/>
              <w:tabs>
                <w:tab w:val="left" w:pos="9297"/>
              </w:tabs>
              <w:spacing w:before="0" w:beforeAutospacing="0" w:afterAutospacing="0"/>
              <w:ind w:left="0" w:right="0" w:firstLine="656"/>
              <w:jc w:val="center"/>
              <w:rPr>
                <w:rFonts w:hint="default" w:ascii="宋体" w:hAnsi="宋体" w:cs="宋体"/>
                <w:color w:val="auto"/>
                <w:kern w:val="2"/>
                <w:szCs w:val="21"/>
                <w:highlight w:val="none"/>
              </w:rPr>
            </w:pPr>
            <w:r>
              <w:rPr>
                <w:rFonts w:hint="default" w:ascii="宋体" w:hAnsi="宋体" w:cs="宋体"/>
                <w:color w:val="auto"/>
                <w:spacing w:val="1"/>
                <w:kern w:val="1"/>
                <w:szCs w:val="21"/>
                <w:highlight w:val="none"/>
              </w:rPr>
              <w:t>性</w:t>
            </w:r>
            <w:r>
              <w:rPr>
                <w:rFonts w:hint="default" w:ascii="宋体" w:hAnsi="宋体" w:cs="宋体"/>
                <w:color w:val="auto"/>
                <w:spacing w:val="1"/>
                <w:kern w:val="1"/>
                <w:szCs w:val="21"/>
                <w:highlight w:val="none"/>
                <w:lang w:val="zh-CN"/>
              </w:rPr>
              <w:t>性别</w:t>
            </w: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25F332B8">
            <w:pPr>
              <w:keepNext w:val="0"/>
              <w:keepLines w:val="0"/>
              <w:suppressLineNumbers w:val="0"/>
              <w:tabs>
                <w:tab w:val="left" w:pos="9297"/>
              </w:tabs>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spacing w:val="1"/>
                <w:kern w:val="1"/>
                <w:szCs w:val="21"/>
                <w:highlight w:val="none"/>
                <w:lang w:val="zh-CN"/>
              </w:rPr>
              <w:t>年龄</w:t>
            </w:r>
          </w:p>
        </w:tc>
        <w:tc>
          <w:tcPr>
            <w:tcW w:w="801" w:type="dxa"/>
            <w:tcBorders>
              <w:top w:val="single" w:color="000000" w:sz="6" w:space="0"/>
              <w:left w:val="single" w:color="000000" w:sz="6" w:space="0"/>
              <w:bottom w:val="single" w:color="000000" w:sz="6" w:space="0"/>
              <w:right w:val="single" w:color="000000" w:sz="6" w:space="0"/>
            </w:tcBorders>
            <w:noWrap w:val="0"/>
            <w:vAlign w:val="center"/>
          </w:tcPr>
          <w:p w14:paraId="32F79BB2">
            <w:pPr>
              <w:keepNext w:val="0"/>
              <w:keepLines w:val="0"/>
              <w:suppressLineNumbers w:val="0"/>
              <w:tabs>
                <w:tab w:val="left" w:pos="9297"/>
              </w:tabs>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spacing w:val="1"/>
                <w:kern w:val="1"/>
                <w:szCs w:val="21"/>
                <w:highlight w:val="none"/>
                <w:lang w:val="zh-CN"/>
              </w:rPr>
              <w:t>技术职称</w:t>
            </w:r>
          </w:p>
        </w:tc>
        <w:tc>
          <w:tcPr>
            <w:tcW w:w="717" w:type="dxa"/>
            <w:tcBorders>
              <w:top w:val="single" w:color="000000" w:sz="6" w:space="0"/>
              <w:left w:val="single" w:color="000000" w:sz="6" w:space="0"/>
              <w:bottom w:val="single" w:color="000000" w:sz="6" w:space="0"/>
              <w:right w:val="single" w:color="000000" w:sz="6" w:space="0"/>
            </w:tcBorders>
            <w:noWrap w:val="0"/>
            <w:vAlign w:val="center"/>
          </w:tcPr>
          <w:p w14:paraId="246ACB3C">
            <w:pPr>
              <w:keepNext w:val="0"/>
              <w:keepLines w:val="0"/>
              <w:suppressLineNumbers w:val="0"/>
              <w:tabs>
                <w:tab w:val="left" w:pos="9297"/>
              </w:tabs>
              <w:spacing w:before="0" w:beforeAutospacing="0" w:afterAutospacing="0"/>
              <w:ind w:left="0" w:right="0"/>
              <w:jc w:val="center"/>
              <w:rPr>
                <w:rFonts w:hint="default" w:ascii="宋体" w:hAnsi="宋体" w:cs="宋体"/>
                <w:color w:val="auto"/>
                <w:spacing w:val="1"/>
                <w:kern w:val="2"/>
                <w:szCs w:val="21"/>
                <w:highlight w:val="none"/>
              </w:rPr>
            </w:pPr>
            <w:r>
              <w:rPr>
                <w:rFonts w:hint="default" w:ascii="宋体" w:hAnsi="宋体" w:cs="宋体"/>
                <w:color w:val="auto"/>
                <w:spacing w:val="1"/>
                <w:kern w:val="1"/>
                <w:szCs w:val="21"/>
                <w:highlight w:val="none"/>
                <w:lang w:val="zh-CN"/>
              </w:rPr>
              <w:t>所在</w:t>
            </w:r>
          </w:p>
          <w:p w14:paraId="2EB1845A">
            <w:pPr>
              <w:keepNext w:val="0"/>
              <w:keepLines w:val="0"/>
              <w:suppressLineNumbers w:val="0"/>
              <w:tabs>
                <w:tab w:val="left" w:pos="9297"/>
              </w:tabs>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spacing w:val="1"/>
                <w:kern w:val="1"/>
                <w:szCs w:val="21"/>
                <w:highlight w:val="none"/>
                <w:lang w:val="zh-CN"/>
              </w:rPr>
              <w:t>单位</w:t>
            </w:r>
          </w:p>
        </w:tc>
        <w:tc>
          <w:tcPr>
            <w:tcW w:w="684" w:type="dxa"/>
            <w:tcBorders>
              <w:top w:val="single" w:color="000000" w:sz="6" w:space="0"/>
              <w:left w:val="single" w:color="000000" w:sz="6" w:space="0"/>
              <w:bottom w:val="single" w:color="000000" w:sz="6" w:space="0"/>
              <w:right w:val="single" w:color="000000" w:sz="6" w:space="0"/>
            </w:tcBorders>
            <w:noWrap w:val="0"/>
            <w:vAlign w:val="center"/>
          </w:tcPr>
          <w:p w14:paraId="206B1446">
            <w:pPr>
              <w:keepNext w:val="0"/>
              <w:keepLines w:val="0"/>
              <w:suppressLineNumbers w:val="0"/>
              <w:tabs>
                <w:tab w:val="left" w:pos="9297"/>
              </w:tabs>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spacing w:val="1"/>
                <w:kern w:val="1"/>
                <w:szCs w:val="21"/>
                <w:highlight w:val="none"/>
                <w:lang w:val="zh-CN"/>
              </w:rPr>
              <w:t>单位职务</w:t>
            </w: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553A4828">
            <w:pPr>
              <w:keepNext w:val="0"/>
              <w:keepLines w:val="0"/>
              <w:suppressLineNumbers w:val="0"/>
              <w:tabs>
                <w:tab w:val="left" w:pos="9297"/>
              </w:tabs>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spacing w:val="1"/>
                <w:kern w:val="1"/>
                <w:szCs w:val="21"/>
                <w:highlight w:val="none"/>
                <w:lang w:val="zh-CN"/>
              </w:rPr>
              <w:t>专业</w:t>
            </w:r>
          </w:p>
        </w:tc>
        <w:tc>
          <w:tcPr>
            <w:tcW w:w="1103" w:type="dxa"/>
            <w:tcBorders>
              <w:top w:val="single" w:color="000000" w:sz="6" w:space="0"/>
              <w:left w:val="single" w:color="000000" w:sz="6" w:space="0"/>
              <w:bottom w:val="single" w:color="000000" w:sz="6" w:space="0"/>
              <w:right w:val="single" w:color="000000" w:sz="6" w:space="0"/>
            </w:tcBorders>
            <w:noWrap w:val="0"/>
            <w:vAlign w:val="center"/>
          </w:tcPr>
          <w:p w14:paraId="58118957">
            <w:pPr>
              <w:keepNext w:val="0"/>
              <w:keepLines w:val="0"/>
              <w:suppressLineNumbers w:val="0"/>
              <w:tabs>
                <w:tab w:val="left" w:pos="9297"/>
              </w:tabs>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spacing w:val="1"/>
                <w:kern w:val="1"/>
                <w:szCs w:val="21"/>
                <w:highlight w:val="none"/>
                <w:lang w:val="zh-CN"/>
              </w:rPr>
              <w:t>本项目拟任职务</w:t>
            </w:r>
          </w:p>
        </w:tc>
        <w:tc>
          <w:tcPr>
            <w:tcW w:w="1003" w:type="dxa"/>
            <w:tcBorders>
              <w:top w:val="single" w:color="000000" w:sz="6" w:space="0"/>
              <w:left w:val="single" w:color="000000" w:sz="6" w:space="0"/>
              <w:bottom w:val="single" w:color="000000" w:sz="6" w:space="0"/>
              <w:right w:val="single" w:color="000000" w:sz="6" w:space="0"/>
            </w:tcBorders>
            <w:noWrap w:val="0"/>
            <w:vAlign w:val="center"/>
          </w:tcPr>
          <w:p w14:paraId="65692A65">
            <w:pPr>
              <w:keepNext w:val="0"/>
              <w:keepLines w:val="0"/>
              <w:suppressLineNumbers w:val="0"/>
              <w:tabs>
                <w:tab w:val="left" w:pos="9297"/>
              </w:tabs>
              <w:spacing w:before="0" w:beforeAutospacing="0" w:afterAutospacing="0"/>
              <w:ind w:left="0" w:right="0"/>
              <w:jc w:val="center"/>
              <w:rPr>
                <w:rFonts w:hint="default" w:ascii="宋体" w:hAnsi="宋体" w:cs="宋体"/>
                <w:color w:val="auto"/>
                <w:spacing w:val="1"/>
                <w:kern w:val="2"/>
                <w:szCs w:val="21"/>
                <w:highlight w:val="none"/>
              </w:rPr>
            </w:pPr>
            <w:r>
              <w:rPr>
                <w:rFonts w:hint="default" w:ascii="宋体" w:hAnsi="宋体" w:cs="宋体"/>
                <w:color w:val="auto"/>
                <w:spacing w:val="1"/>
                <w:kern w:val="1"/>
                <w:szCs w:val="21"/>
                <w:highlight w:val="none"/>
                <w:lang w:val="zh-CN"/>
              </w:rPr>
              <w:t>资格证书证号</w:t>
            </w:r>
          </w:p>
        </w:tc>
        <w:tc>
          <w:tcPr>
            <w:tcW w:w="1607" w:type="dxa"/>
            <w:tcBorders>
              <w:top w:val="single" w:color="000000" w:sz="6" w:space="0"/>
              <w:left w:val="single" w:color="000000" w:sz="6" w:space="0"/>
              <w:bottom w:val="single" w:color="000000" w:sz="6" w:space="0"/>
              <w:right w:val="single" w:color="000000" w:sz="6" w:space="0"/>
            </w:tcBorders>
            <w:noWrap w:val="0"/>
            <w:vAlign w:val="center"/>
          </w:tcPr>
          <w:p w14:paraId="6772A18A">
            <w:pPr>
              <w:keepNext w:val="0"/>
              <w:keepLines w:val="0"/>
              <w:suppressLineNumbers w:val="0"/>
              <w:tabs>
                <w:tab w:val="left" w:pos="9297"/>
              </w:tabs>
              <w:spacing w:before="0" w:beforeAutospacing="0" w:afterAutospacing="0"/>
              <w:ind w:left="0" w:right="0"/>
              <w:jc w:val="center"/>
              <w:rPr>
                <w:rFonts w:hint="default" w:ascii="宋体" w:hAnsi="宋体" w:cs="宋体"/>
                <w:color w:val="auto"/>
                <w:spacing w:val="1"/>
                <w:kern w:val="2"/>
                <w:szCs w:val="21"/>
                <w:highlight w:val="none"/>
              </w:rPr>
            </w:pPr>
            <w:r>
              <w:rPr>
                <w:rFonts w:hint="default" w:ascii="宋体" w:hAnsi="宋体" w:cs="宋体"/>
                <w:color w:val="auto"/>
                <w:spacing w:val="1"/>
                <w:kern w:val="1"/>
                <w:szCs w:val="21"/>
                <w:highlight w:val="none"/>
                <w:lang w:val="zh-CN"/>
              </w:rPr>
              <w:t>目前正承担的其它项目情况</w:t>
            </w: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0B17EDAE">
            <w:pPr>
              <w:keepNext w:val="0"/>
              <w:keepLines w:val="0"/>
              <w:suppressLineNumbers w:val="0"/>
              <w:tabs>
                <w:tab w:val="left" w:pos="9297"/>
              </w:tabs>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spacing w:val="1"/>
                <w:kern w:val="1"/>
                <w:szCs w:val="21"/>
                <w:highlight w:val="none"/>
                <w:lang w:val="zh-CN"/>
              </w:rPr>
              <w:t>备注</w:t>
            </w:r>
          </w:p>
        </w:tc>
      </w:tr>
      <w:tr w14:paraId="6D3B4F30">
        <w:tblPrEx>
          <w:tblCellMar>
            <w:top w:w="0" w:type="dxa"/>
            <w:left w:w="108" w:type="dxa"/>
            <w:bottom w:w="0" w:type="dxa"/>
            <w:right w:w="108" w:type="dxa"/>
          </w:tblCellMar>
        </w:tblPrEx>
        <w:trPr>
          <w:trHeight w:val="434" w:hRule="atLeast"/>
          <w:jc w:val="center"/>
        </w:trPr>
        <w:tc>
          <w:tcPr>
            <w:tcW w:w="599" w:type="dxa"/>
            <w:tcBorders>
              <w:top w:val="single" w:color="000000" w:sz="6" w:space="0"/>
              <w:left w:val="single" w:color="000000" w:sz="6" w:space="0"/>
              <w:bottom w:val="single" w:color="000000" w:sz="6" w:space="0"/>
              <w:right w:val="single" w:color="000000" w:sz="6" w:space="0"/>
            </w:tcBorders>
            <w:noWrap w:val="0"/>
            <w:vAlign w:val="center"/>
          </w:tcPr>
          <w:p w14:paraId="4E2DDF25">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1</w:t>
            </w: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34C3C886">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4EA158DA">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727D8A09">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801" w:type="dxa"/>
            <w:tcBorders>
              <w:top w:val="single" w:color="000000" w:sz="6" w:space="0"/>
              <w:left w:val="single" w:color="000000" w:sz="6" w:space="0"/>
              <w:bottom w:val="single" w:color="000000" w:sz="6" w:space="0"/>
              <w:right w:val="single" w:color="000000" w:sz="6" w:space="0"/>
            </w:tcBorders>
            <w:noWrap w:val="0"/>
            <w:vAlign w:val="center"/>
          </w:tcPr>
          <w:p w14:paraId="7F3D8DF0">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717" w:type="dxa"/>
            <w:tcBorders>
              <w:top w:val="single" w:color="000000" w:sz="6" w:space="0"/>
              <w:left w:val="single" w:color="000000" w:sz="6" w:space="0"/>
              <w:bottom w:val="single" w:color="000000" w:sz="6" w:space="0"/>
              <w:right w:val="single" w:color="000000" w:sz="6" w:space="0"/>
            </w:tcBorders>
            <w:noWrap w:val="0"/>
            <w:vAlign w:val="center"/>
          </w:tcPr>
          <w:p w14:paraId="6F59E474">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noWrap w:val="0"/>
            <w:vAlign w:val="center"/>
          </w:tcPr>
          <w:p w14:paraId="4E95446F">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5CDB1B20">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noWrap w:val="0"/>
            <w:vAlign w:val="center"/>
          </w:tcPr>
          <w:p w14:paraId="6C19ED4E">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noWrap w:val="0"/>
            <w:vAlign w:val="center"/>
          </w:tcPr>
          <w:p w14:paraId="18A0CBC7">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noWrap w:val="0"/>
            <w:vAlign w:val="center"/>
          </w:tcPr>
          <w:p w14:paraId="0D15C4C7">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1798359C">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r>
      <w:tr w14:paraId="228A04C1">
        <w:tblPrEx>
          <w:tblCellMar>
            <w:top w:w="0" w:type="dxa"/>
            <w:left w:w="108" w:type="dxa"/>
            <w:bottom w:w="0" w:type="dxa"/>
            <w:right w:w="108" w:type="dxa"/>
          </w:tblCellMar>
        </w:tblPrEx>
        <w:trPr>
          <w:trHeight w:val="453" w:hRule="atLeast"/>
          <w:jc w:val="center"/>
        </w:trPr>
        <w:tc>
          <w:tcPr>
            <w:tcW w:w="599" w:type="dxa"/>
            <w:tcBorders>
              <w:top w:val="single" w:color="000000" w:sz="6" w:space="0"/>
              <w:left w:val="single" w:color="000000" w:sz="6" w:space="0"/>
              <w:bottom w:val="single" w:color="000000" w:sz="6" w:space="0"/>
              <w:right w:val="single" w:color="000000" w:sz="6" w:space="0"/>
            </w:tcBorders>
            <w:noWrap w:val="0"/>
            <w:vAlign w:val="center"/>
          </w:tcPr>
          <w:p w14:paraId="5A1A2A4E">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2</w:t>
            </w: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49D6241A">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44003FFF">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72B8FC76">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801" w:type="dxa"/>
            <w:tcBorders>
              <w:top w:val="single" w:color="000000" w:sz="6" w:space="0"/>
              <w:left w:val="single" w:color="000000" w:sz="6" w:space="0"/>
              <w:bottom w:val="single" w:color="000000" w:sz="6" w:space="0"/>
              <w:right w:val="single" w:color="000000" w:sz="6" w:space="0"/>
            </w:tcBorders>
            <w:noWrap w:val="0"/>
            <w:vAlign w:val="center"/>
          </w:tcPr>
          <w:p w14:paraId="2D5EDF49">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717" w:type="dxa"/>
            <w:tcBorders>
              <w:top w:val="single" w:color="000000" w:sz="6" w:space="0"/>
              <w:left w:val="single" w:color="000000" w:sz="6" w:space="0"/>
              <w:bottom w:val="single" w:color="000000" w:sz="6" w:space="0"/>
              <w:right w:val="single" w:color="000000" w:sz="6" w:space="0"/>
            </w:tcBorders>
            <w:noWrap w:val="0"/>
            <w:vAlign w:val="center"/>
          </w:tcPr>
          <w:p w14:paraId="4828C8EE">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noWrap w:val="0"/>
            <w:vAlign w:val="center"/>
          </w:tcPr>
          <w:p w14:paraId="79DA5557">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66672D37">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noWrap w:val="0"/>
            <w:vAlign w:val="center"/>
          </w:tcPr>
          <w:p w14:paraId="5F4DFD81">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noWrap w:val="0"/>
            <w:vAlign w:val="center"/>
          </w:tcPr>
          <w:p w14:paraId="1105EEB0">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noWrap w:val="0"/>
            <w:vAlign w:val="center"/>
          </w:tcPr>
          <w:p w14:paraId="154B798F">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49E0BCF4">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r>
      <w:tr w14:paraId="394EFB47">
        <w:tblPrEx>
          <w:tblCellMar>
            <w:top w:w="0" w:type="dxa"/>
            <w:left w:w="108" w:type="dxa"/>
            <w:bottom w:w="0" w:type="dxa"/>
            <w:right w:w="108" w:type="dxa"/>
          </w:tblCellMar>
        </w:tblPrEx>
        <w:trPr>
          <w:trHeight w:val="458" w:hRule="atLeast"/>
          <w:jc w:val="center"/>
        </w:trPr>
        <w:tc>
          <w:tcPr>
            <w:tcW w:w="599" w:type="dxa"/>
            <w:tcBorders>
              <w:top w:val="single" w:color="000000" w:sz="6" w:space="0"/>
              <w:left w:val="single" w:color="000000" w:sz="6" w:space="0"/>
              <w:bottom w:val="single" w:color="000000" w:sz="6" w:space="0"/>
              <w:right w:val="single" w:color="000000" w:sz="6" w:space="0"/>
            </w:tcBorders>
            <w:noWrap w:val="0"/>
            <w:vAlign w:val="center"/>
          </w:tcPr>
          <w:p w14:paraId="71D107F7">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lang w:val="zh-CN"/>
              </w:rPr>
            </w:pPr>
            <w:r>
              <w:rPr>
                <w:rFonts w:hint="default" w:ascii="宋体" w:hAnsi="宋体" w:cs="宋体"/>
                <w:color w:val="auto"/>
                <w:kern w:val="1"/>
                <w:szCs w:val="21"/>
                <w:highlight w:val="none"/>
                <w:lang w:val="zh-CN"/>
              </w:rPr>
              <w:t>3</w:t>
            </w: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7B5A7BD9">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777F885B">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6000457E">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801" w:type="dxa"/>
            <w:tcBorders>
              <w:top w:val="single" w:color="000000" w:sz="6" w:space="0"/>
              <w:left w:val="single" w:color="000000" w:sz="6" w:space="0"/>
              <w:bottom w:val="single" w:color="000000" w:sz="6" w:space="0"/>
              <w:right w:val="single" w:color="000000" w:sz="6" w:space="0"/>
            </w:tcBorders>
            <w:noWrap w:val="0"/>
            <w:vAlign w:val="center"/>
          </w:tcPr>
          <w:p w14:paraId="2C46CD5D">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717" w:type="dxa"/>
            <w:tcBorders>
              <w:top w:val="single" w:color="000000" w:sz="6" w:space="0"/>
              <w:left w:val="single" w:color="000000" w:sz="6" w:space="0"/>
              <w:bottom w:val="single" w:color="000000" w:sz="6" w:space="0"/>
              <w:right w:val="single" w:color="000000" w:sz="6" w:space="0"/>
            </w:tcBorders>
            <w:noWrap w:val="0"/>
            <w:vAlign w:val="center"/>
          </w:tcPr>
          <w:p w14:paraId="63B2494D">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noWrap w:val="0"/>
            <w:vAlign w:val="center"/>
          </w:tcPr>
          <w:p w14:paraId="4545AD33">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4DC5C671">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noWrap w:val="0"/>
            <w:vAlign w:val="center"/>
          </w:tcPr>
          <w:p w14:paraId="0780B13D">
            <w:pPr>
              <w:keepNext w:val="0"/>
              <w:keepLines w:val="0"/>
              <w:suppressLineNumbers w:val="0"/>
              <w:tabs>
                <w:tab w:val="left" w:pos="9297"/>
              </w:tabs>
              <w:spacing w:before="0" w:beforeAutospacing="0" w:afterAutospacing="0"/>
              <w:ind w:left="-90" w:right="0"/>
              <w:jc w:val="center"/>
              <w:rPr>
                <w:rStyle w:val="98"/>
                <w:rFonts w:hint="default" w:ascii="宋体" w:hAnsi="宋体" w:cs="宋体"/>
                <w:color w:val="auto"/>
                <w:kern w:val="2"/>
                <w:sz w:val="24"/>
                <w:szCs w:val="24"/>
                <w:highlight w:val="none"/>
                <w:lang w:bidi="ar"/>
              </w:rPr>
            </w:pPr>
          </w:p>
        </w:tc>
        <w:tc>
          <w:tcPr>
            <w:tcW w:w="1003" w:type="dxa"/>
            <w:tcBorders>
              <w:top w:val="single" w:color="000000" w:sz="6" w:space="0"/>
              <w:left w:val="single" w:color="000000" w:sz="6" w:space="0"/>
              <w:bottom w:val="single" w:color="000000" w:sz="6" w:space="0"/>
              <w:right w:val="single" w:color="000000" w:sz="6" w:space="0"/>
            </w:tcBorders>
            <w:noWrap w:val="0"/>
            <w:vAlign w:val="center"/>
          </w:tcPr>
          <w:p w14:paraId="7A3B5A97">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noWrap w:val="0"/>
            <w:vAlign w:val="center"/>
          </w:tcPr>
          <w:p w14:paraId="0DB192BC">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51D8875D">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r>
      <w:tr w14:paraId="037E3622">
        <w:tblPrEx>
          <w:tblCellMar>
            <w:top w:w="0" w:type="dxa"/>
            <w:left w:w="108" w:type="dxa"/>
            <w:bottom w:w="0" w:type="dxa"/>
            <w:right w:w="108" w:type="dxa"/>
          </w:tblCellMar>
        </w:tblPrEx>
        <w:trPr>
          <w:trHeight w:val="458" w:hRule="atLeast"/>
          <w:jc w:val="center"/>
        </w:trPr>
        <w:tc>
          <w:tcPr>
            <w:tcW w:w="599" w:type="dxa"/>
            <w:tcBorders>
              <w:top w:val="single" w:color="000000" w:sz="6" w:space="0"/>
              <w:left w:val="single" w:color="000000" w:sz="6" w:space="0"/>
              <w:bottom w:val="single" w:color="000000" w:sz="6" w:space="0"/>
              <w:right w:val="single" w:color="000000" w:sz="6" w:space="0"/>
            </w:tcBorders>
            <w:noWrap w:val="0"/>
            <w:vAlign w:val="center"/>
          </w:tcPr>
          <w:p w14:paraId="11C33210">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4</w:t>
            </w: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01DAB1BC">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436F08AF">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0BEA377F">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801" w:type="dxa"/>
            <w:tcBorders>
              <w:top w:val="single" w:color="000000" w:sz="6" w:space="0"/>
              <w:left w:val="single" w:color="000000" w:sz="6" w:space="0"/>
              <w:bottom w:val="single" w:color="000000" w:sz="6" w:space="0"/>
              <w:right w:val="single" w:color="000000" w:sz="6" w:space="0"/>
            </w:tcBorders>
            <w:noWrap w:val="0"/>
            <w:vAlign w:val="center"/>
          </w:tcPr>
          <w:p w14:paraId="434B9217">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717" w:type="dxa"/>
            <w:tcBorders>
              <w:top w:val="single" w:color="000000" w:sz="6" w:space="0"/>
              <w:left w:val="single" w:color="000000" w:sz="6" w:space="0"/>
              <w:bottom w:val="single" w:color="000000" w:sz="6" w:space="0"/>
              <w:right w:val="single" w:color="000000" w:sz="6" w:space="0"/>
            </w:tcBorders>
            <w:noWrap w:val="0"/>
            <w:vAlign w:val="center"/>
          </w:tcPr>
          <w:p w14:paraId="0131934B">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noWrap w:val="0"/>
            <w:vAlign w:val="center"/>
          </w:tcPr>
          <w:p w14:paraId="017533D9">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5EF9A338">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noWrap w:val="0"/>
            <w:vAlign w:val="center"/>
          </w:tcPr>
          <w:p w14:paraId="0634716D">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noWrap w:val="0"/>
            <w:vAlign w:val="center"/>
          </w:tcPr>
          <w:p w14:paraId="73B4E53F">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noWrap w:val="0"/>
            <w:vAlign w:val="center"/>
          </w:tcPr>
          <w:p w14:paraId="50C037C9">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45030A4D">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r>
      <w:tr w14:paraId="768657CC">
        <w:tblPrEx>
          <w:tblCellMar>
            <w:top w:w="0" w:type="dxa"/>
            <w:left w:w="108" w:type="dxa"/>
            <w:bottom w:w="0" w:type="dxa"/>
            <w:right w:w="108" w:type="dxa"/>
          </w:tblCellMar>
        </w:tblPrEx>
        <w:trPr>
          <w:trHeight w:val="450" w:hRule="atLeast"/>
          <w:jc w:val="center"/>
        </w:trPr>
        <w:tc>
          <w:tcPr>
            <w:tcW w:w="599" w:type="dxa"/>
            <w:tcBorders>
              <w:top w:val="single" w:color="000000" w:sz="6" w:space="0"/>
              <w:left w:val="single" w:color="000000" w:sz="6" w:space="0"/>
              <w:bottom w:val="single" w:color="000000" w:sz="6" w:space="0"/>
              <w:right w:val="single" w:color="000000" w:sz="6" w:space="0"/>
            </w:tcBorders>
            <w:noWrap w:val="0"/>
            <w:vAlign w:val="center"/>
          </w:tcPr>
          <w:p w14:paraId="1CFE2919">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r>
              <w:rPr>
                <w:rFonts w:hint="default" w:ascii="宋体" w:hAnsi="宋体" w:cs="宋体"/>
                <w:color w:val="auto"/>
                <w:kern w:val="1"/>
                <w:sz w:val="28"/>
                <w:szCs w:val="28"/>
                <w:highlight w:val="none"/>
              </w:rPr>
              <w:t>…</w:t>
            </w: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2AF76A8D">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53548677">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7C520766">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801" w:type="dxa"/>
            <w:tcBorders>
              <w:top w:val="single" w:color="000000" w:sz="6" w:space="0"/>
              <w:left w:val="single" w:color="000000" w:sz="6" w:space="0"/>
              <w:bottom w:val="single" w:color="000000" w:sz="6" w:space="0"/>
              <w:right w:val="single" w:color="000000" w:sz="6" w:space="0"/>
            </w:tcBorders>
            <w:noWrap w:val="0"/>
            <w:vAlign w:val="center"/>
          </w:tcPr>
          <w:p w14:paraId="5F1F0143">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717" w:type="dxa"/>
            <w:tcBorders>
              <w:top w:val="single" w:color="000000" w:sz="6" w:space="0"/>
              <w:left w:val="single" w:color="000000" w:sz="6" w:space="0"/>
              <w:bottom w:val="single" w:color="000000" w:sz="6" w:space="0"/>
              <w:right w:val="single" w:color="000000" w:sz="6" w:space="0"/>
            </w:tcBorders>
            <w:noWrap w:val="0"/>
            <w:vAlign w:val="center"/>
          </w:tcPr>
          <w:p w14:paraId="6988F7E9">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noWrap w:val="0"/>
            <w:vAlign w:val="center"/>
          </w:tcPr>
          <w:p w14:paraId="522084FC">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6C692276">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noWrap w:val="0"/>
            <w:vAlign w:val="center"/>
          </w:tcPr>
          <w:p w14:paraId="7B1DBD5D">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noWrap w:val="0"/>
            <w:vAlign w:val="center"/>
          </w:tcPr>
          <w:p w14:paraId="30755DF8">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noWrap w:val="0"/>
            <w:vAlign w:val="center"/>
          </w:tcPr>
          <w:p w14:paraId="5875DDB4">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4595E94C">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r>
      <w:tr w14:paraId="39030D5C">
        <w:tblPrEx>
          <w:tblCellMar>
            <w:top w:w="0" w:type="dxa"/>
            <w:left w:w="108" w:type="dxa"/>
            <w:bottom w:w="0" w:type="dxa"/>
            <w:right w:w="108" w:type="dxa"/>
          </w:tblCellMar>
        </w:tblPrEx>
        <w:trPr>
          <w:trHeight w:val="462" w:hRule="atLeast"/>
          <w:jc w:val="center"/>
        </w:trPr>
        <w:tc>
          <w:tcPr>
            <w:tcW w:w="599" w:type="dxa"/>
            <w:tcBorders>
              <w:top w:val="single" w:color="000000" w:sz="6" w:space="0"/>
              <w:left w:val="single" w:color="000000" w:sz="6" w:space="0"/>
              <w:bottom w:val="single" w:color="000000" w:sz="6" w:space="0"/>
              <w:right w:val="single" w:color="000000" w:sz="6" w:space="0"/>
            </w:tcBorders>
            <w:noWrap w:val="0"/>
            <w:vAlign w:val="center"/>
          </w:tcPr>
          <w:p w14:paraId="7FE35CDD">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r>
              <w:rPr>
                <w:rFonts w:hint="default" w:ascii="宋体" w:hAnsi="宋体" w:cs="宋体"/>
                <w:color w:val="auto"/>
                <w:kern w:val="1"/>
                <w:sz w:val="28"/>
                <w:szCs w:val="28"/>
                <w:highlight w:val="none"/>
              </w:rPr>
              <w:t>…</w:t>
            </w: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189FA120">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4CD5FEB6">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19BE08D3">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801" w:type="dxa"/>
            <w:tcBorders>
              <w:top w:val="single" w:color="000000" w:sz="6" w:space="0"/>
              <w:left w:val="single" w:color="000000" w:sz="6" w:space="0"/>
              <w:bottom w:val="single" w:color="000000" w:sz="6" w:space="0"/>
              <w:right w:val="single" w:color="000000" w:sz="6" w:space="0"/>
            </w:tcBorders>
            <w:noWrap w:val="0"/>
            <w:vAlign w:val="center"/>
          </w:tcPr>
          <w:p w14:paraId="77AD51A9">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Cs w:val="21"/>
                <w:highlight w:val="none"/>
              </w:rPr>
            </w:pPr>
          </w:p>
        </w:tc>
        <w:tc>
          <w:tcPr>
            <w:tcW w:w="717" w:type="dxa"/>
            <w:tcBorders>
              <w:top w:val="single" w:color="000000" w:sz="6" w:space="0"/>
              <w:left w:val="single" w:color="000000" w:sz="6" w:space="0"/>
              <w:bottom w:val="single" w:color="000000" w:sz="6" w:space="0"/>
              <w:right w:val="single" w:color="000000" w:sz="6" w:space="0"/>
            </w:tcBorders>
            <w:noWrap w:val="0"/>
            <w:vAlign w:val="center"/>
          </w:tcPr>
          <w:p w14:paraId="7769876E">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noWrap w:val="0"/>
            <w:vAlign w:val="center"/>
          </w:tcPr>
          <w:p w14:paraId="1EAE0C52">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0F53AA62">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noWrap w:val="0"/>
            <w:vAlign w:val="center"/>
          </w:tcPr>
          <w:p w14:paraId="4952457A">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noWrap w:val="0"/>
            <w:vAlign w:val="center"/>
          </w:tcPr>
          <w:p w14:paraId="79D37EDB">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noWrap w:val="0"/>
            <w:vAlign w:val="center"/>
          </w:tcPr>
          <w:p w14:paraId="619F1E33">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noWrap w:val="0"/>
            <w:vAlign w:val="center"/>
          </w:tcPr>
          <w:p w14:paraId="1B1413E7">
            <w:pPr>
              <w:keepNext w:val="0"/>
              <w:keepLines w:val="0"/>
              <w:suppressLineNumbers w:val="0"/>
              <w:tabs>
                <w:tab w:val="left" w:pos="9297"/>
              </w:tabs>
              <w:spacing w:before="0" w:beforeAutospacing="0" w:afterAutospacing="0"/>
              <w:ind w:left="-90" w:right="0"/>
              <w:jc w:val="center"/>
              <w:rPr>
                <w:rFonts w:hint="default" w:ascii="宋体" w:hAnsi="宋体" w:cs="宋体"/>
                <w:color w:val="auto"/>
                <w:kern w:val="2"/>
                <w:sz w:val="28"/>
                <w:szCs w:val="28"/>
                <w:highlight w:val="none"/>
              </w:rPr>
            </w:pPr>
          </w:p>
        </w:tc>
      </w:tr>
    </w:tbl>
    <w:p w14:paraId="6D8B6A7A">
      <w:pPr>
        <w:pStyle w:val="2"/>
        <w:spacing w:line="360" w:lineRule="auto"/>
        <w:jc w:val="left"/>
        <w:rPr>
          <w:rFonts w:hint="eastAsia" w:cs="宋体"/>
          <w:color w:val="auto"/>
          <w:kern w:val="1"/>
          <w:szCs w:val="21"/>
          <w:highlight w:val="none"/>
        </w:rPr>
      </w:pPr>
      <w:r>
        <w:rPr>
          <w:rFonts w:hint="eastAsia" w:cs="宋体"/>
          <w:color w:val="auto"/>
          <w:kern w:val="1"/>
          <w:szCs w:val="21"/>
          <w:highlight w:val="none"/>
        </w:rPr>
        <w:t>注：所报人员如有符合评分表中评分项目的，应附相关证明材料。</w:t>
      </w:r>
    </w:p>
    <w:p w14:paraId="7D6FD7C7">
      <w:pPr>
        <w:pStyle w:val="2"/>
        <w:spacing w:line="360" w:lineRule="auto"/>
        <w:jc w:val="left"/>
        <w:rPr>
          <w:rFonts w:hint="eastAsia" w:cs="宋体"/>
          <w:color w:val="auto"/>
          <w:kern w:val="1"/>
          <w:szCs w:val="21"/>
          <w:highlight w:val="none"/>
        </w:rPr>
      </w:pPr>
    </w:p>
    <w:p w14:paraId="15B3516E">
      <w:pPr>
        <w:pStyle w:val="2"/>
        <w:spacing w:line="360" w:lineRule="auto"/>
        <w:jc w:val="left"/>
        <w:rPr>
          <w:rFonts w:hint="eastAsia" w:cs="宋体"/>
          <w:color w:val="auto"/>
          <w:spacing w:val="18"/>
          <w:kern w:val="1"/>
          <w:sz w:val="21"/>
          <w:szCs w:val="21"/>
          <w:highlight w:val="none"/>
        </w:rPr>
      </w:pPr>
    </w:p>
    <w:p w14:paraId="4E9F8A90">
      <w:pPr>
        <w:pStyle w:val="2"/>
        <w:spacing w:line="360" w:lineRule="auto"/>
        <w:jc w:val="right"/>
        <w:rPr>
          <w:rFonts w:cs="宋体"/>
          <w:color w:val="auto"/>
          <w:kern w:val="1"/>
          <w:sz w:val="21"/>
          <w:szCs w:val="21"/>
          <w:highlight w:val="none"/>
        </w:rPr>
      </w:pPr>
      <w:r>
        <w:rPr>
          <w:rFonts w:hint="eastAsia" w:cs="宋体"/>
          <w:color w:val="auto"/>
          <w:spacing w:val="18"/>
          <w:kern w:val="1"/>
          <w:sz w:val="21"/>
          <w:szCs w:val="21"/>
          <w:highlight w:val="none"/>
        </w:rPr>
        <w:t>投标人：</w:t>
      </w:r>
      <w:r>
        <w:rPr>
          <w:rFonts w:hint="eastAsia" w:cs="宋体"/>
          <w:color w:val="auto"/>
          <w:spacing w:val="18"/>
          <w:kern w:val="1"/>
          <w:sz w:val="21"/>
          <w:szCs w:val="21"/>
          <w:highlight w:val="none"/>
          <w:u w:val="single"/>
          <w:lang w:val="en-US"/>
        </w:rPr>
        <w:t xml:space="preserve">      </w:t>
      </w:r>
      <w:r>
        <w:rPr>
          <w:rFonts w:hint="eastAsia" w:cs="宋体"/>
          <w:color w:val="auto"/>
          <w:spacing w:val="18"/>
          <w:kern w:val="1"/>
          <w:sz w:val="21"/>
          <w:szCs w:val="21"/>
          <w:highlight w:val="none"/>
        </w:rPr>
        <w:t xml:space="preserve">(盖章)  </w:t>
      </w:r>
    </w:p>
    <w:p w14:paraId="477E8DA4">
      <w:pP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xml:space="preserve">               日期：   年   月   日</w:t>
      </w:r>
    </w:p>
    <w:p w14:paraId="04AA5626">
      <w:pPr>
        <w:pStyle w:val="2"/>
        <w:rPr>
          <w:rFonts w:cs="宋体"/>
          <w:b/>
          <w:bCs/>
          <w:color w:val="auto"/>
          <w:spacing w:val="4"/>
          <w:sz w:val="24"/>
          <w:szCs w:val="24"/>
          <w:highlight w:val="none"/>
        </w:rPr>
      </w:pPr>
      <w:r>
        <w:rPr>
          <w:color w:val="auto"/>
          <w:highlight w:val="none"/>
        </w:rPr>
        <w:br w:type="page"/>
      </w:r>
      <w:r>
        <w:rPr>
          <w:rFonts w:hint="eastAsia" w:cs="宋体"/>
          <w:b/>
          <w:color w:val="auto"/>
          <w:kern w:val="1"/>
          <w:sz w:val="24"/>
          <w:highlight w:val="none"/>
        </w:rPr>
        <w:t>格式</w:t>
      </w:r>
      <w:r>
        <w:rPr>
          <w:rFonts w:hint="eastAsia" w:cs="宋体"/>
          <w:b/>
          <w:color w:val="auto"/>
          <w:kern w:val="1"/>
          <w:sz w:val="24"/>
          <w:highlight w:val="none"/>
          <w:lang w:val="en-US"/>
        </w:rPr>
        <w:t>8</w:t>
      </w:r>
      <w:r>
        <w:rPr>
          <w:rFonts w:hint="eastAsia" w:cs="宋体"/>
          <w:b/>
          <w:color w:val="auto"/>
          <w:kern w:val="1"/>
          <w:sz w:val="24"/>
          <w:highlight w:val="none"/>
        </w:rPr>
        <w:t>：</w:t>
      </w:r>
    </w:p>
    <w:p w14:paraId="24AAFDFD">
      <w:pPr>
        <w:tabs>
          <w:tab w:val="left" w:pos="7655"/>
        </w:tabs>
        <w:spacing w:line="360" w:lineRule="auto"/>
        <w:jc w:val="center"/>
        <w:rPr>
          <w:rFonts w:ascii="宋体" w:hAnsi="宋体" w:cs="宋体"/>
          <w:b/>
          <w:color w:val="auto"/>
          <w:spacing w:val="20"/>
          <w:kern w:val="1"/>
          <w:sz w:val="36"/>
          <w:szCs w:val="36"/>
          <w:highlight w:val="none"/>
        </w:rPr>
      </w:pPr>
      <w:r>
        <w:rPr>
          <w:rFonts w:hint="eastAsia" w:ascii="宋体" w:hAnsi="宋体" w:cs="宋体"/>
          <w:b/>
          <w:bCs/>
          <w:color w:val="auto"/>
          <w:spacing w:val="4"/>
          <w:sz w:val="32"/>
          <w:szCs w:val="32"/>
          <w:highlight w:val="none"/>
          <w:lang w:val="zh-CN"/>
        </w:rPr>
        <w:t>拟投入本项目主要负责人员简历表</w:t>
      </w:r>
    </w:p>
    <w:tbl>
      <w:tblPr>
        <w:tblStyle w:val="36"/>
        <w:tblW w:w="9663" w:type="dxa"/>
        <w:jc w:val="center"/>
        <w:tblLayout w:type="fixed"/>
        <w:tblCellMar>
          <w:top w:w="0" w:type="dxa"/>
          <w:left w:w="108" w:type="dxa"/>
          <w:bottom w:w="0" w:type="dxa"/>
          <w:right w:w="108" w:type="dxa"/>
        </w:tblCellMar>
      </w:tblPr>
      <w:tblGrid>
        <w:gridCol w:w="1576"/>
        <w:gridCol w:w="1469"/>
        <w:gridCol w:w="1316"/>
        <w:gridCol w:w="869"/>
        <w:gridCol w:w="19"/>
        <w:gridCol w:w="832"/>
        <w:gridCol w:w="708"/>
        <w:gridCol w:w="1134"/>
        <w:gridCol w:w="900"/>
        <w:gridCol w:w="840"/>
      </w:tblGrid>
      <w:tr w14:paraId="240E77A5">
        <w:tblPrEx>
          <w:tblCellMar>
            <w:top w:w="0" w:type="dxa"/>
            <w:left w:w="108" w:type="dxa"/>
            <w:bottom w:w="0" w:type="dxa"/>
            <w:right w:w="108" w:type="dxa"/>
          </w:tblCellMar>
        </w:tblPrEx>
        <w:trPr>
          <w:trHeight w:val="749" w:hRule="exact"/>
          <w:jc w:val="center"/>
        </w:trPr>
        <w:tc>
          <w:tcPr>
            <w:tcW w:w="1576" w:type="dxa"/>
            <w:tcBorders>
              <w:top w:val="single" w:color="000000" w:sz="12" w:space="0"/>
              <w:left w:val="single" w:color="000000" w:sz="12" w:space="0"/>
              <w:bottom w:val="single" w:color="000000" w:sz="6" w:space="0"/>
              <w:right w:val="single" w:color="000000" w:sz="6" w:space="0"/>
            </w:tcBorders>
            <w:noWrap w:val="0"/>
            <w:vAlign w:val="center"/>
          </w:tcPr>
          <w:p w14:paraId="1A0C4C58">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姓名</w:t>
            </w:r>
          </w:p>
        </w:tc>
        <w:tc>
          <w:tcPr>
            <w:tcW w:w="1469" w:type="dxa"/>
            <w:tcBorders>
              <w:top w:val="single" w:color="000000" w:sz="12" w:space="0"/>
              <w:left w:val="single" w:color="000000" w:sz="6" w:space="0"/>
              <w:bottom w:val="single" w:color="000000" w:sz="6" w:space="0"/>
              <w:right w:val="single" w:color="000000" w:sz="6" w:space="0"/>
            </w:tcBorders>
            <w:noWrap w:val="0"/>
            <w:vAlign w:val="center"/>
          </w:tcPr>
          <w:p w14:paraId="5B77BCDE">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1316" w:type="dxa"/>
            <w:tcBorders>
              <w:top w:val="single" w:color="000000" w:sz="12" w:space="0"/>
              <w:left w:val="single" w:color="000000" w:sz="6" w:space="0"/>
              <w:bottom w:val="single" w:color="000000" w:sz="6" w:space="0"/>
              <w:right w:val="single" w:color="000000" w:sz="6" w:space="0"/>
            </w:tcBorders>
            <w:noWrap w:val="0"/>
            <w:vAlign w:val="center"/>
          </w:tcPr>
          <w:p w14:paraId="7F2D3B08">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性别</w:t>
            </w:r>
          </w:p>
        </w:tc>
        <w:tc>
          <w:tcPr>
            <w:tcW w:w="888" w:type="dxa"/>
            <w:gridSpan w:val="2"/>
            <w:tcBorders>
              <w:top w:val="single" w:color="000000" w:sz="12" w:space="0"/>
              <w:left w:val="single" w:color="000000" w:sz="6" w:space="0"/>
              <w:bottom w:val="single" w:color="000000" w:sz="6" w:space="0"/>
              <w:right w:val="single" w:color="000000" w:sz="6" w:space="0"/>
            </w:tcBorders>
            <w:noWrap w:val="0"/>
            <w:vAlign w:val="center"/>
          </w:tcPr>
          <w:p w14:paraId="762195D6">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832" w:type="dxa"/>
            <w:tcBorders>
              <w:top w:val="single" w:color="000000" w:sz="12" w:space="0"/>
              <w:left w:val="single" w:color="000000" w:sz="6" w:space="0"/>
              <w:bottom w:val="single" w:color="000000" w:sz="6" w:space="0"/>
              <w:right w:val="single" w:color="000000" w:sz="6" w:space="0"/>
            </w:tcBorders>
            <w:noWrap w:val="0"/>
            <w:vAlign w:val="center"/>
          </w:tcPr>
          <w:p w14:paraId="2287CAF0">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出生年月</w:t>
            </w:r>
          </w:p>
        </w:tc>
        <w:tc>
          <w:tcPr>
            <w:tcW w:w="1842" w:type="dxa"/>
            <w:gridSpan w:val="2"/>
            <w:tcBorders>
              <w:top w:val="single" w:color="000000" w:sz="12" w:space="0"/>
              <w:left w:val="single" w:color="000000" w:sz="6" w:space="0"/>
              <w:bottom w:val="single" w:color="000000" w:sz="6" w:space="0"/>
              <w:right w:val="single" w:color="000000" w:sz="4" w:space="0"/>
            </w:tcBorders>
            <w:noWrap w:val="0"/>
            <w:vAlign w:val="center"/>
          </w:tcPr>
          <w:p w14:paraId="304DAFDD">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900" w:type="dxa"/>
            <w:tcBorders>
              <w:top w:val="single" w:color="000000" w:sz="12" w:space="0"/>
              <w:left w:val="single" w:color="000000" w:sz="4" w:space="0"/>
              <w:bottom w:val="single" w:color="000000" w:sz="6" w:space="0"/>
              <w:right w:val="single" w:color="000000" w:sz="4" w:space="0"/>
            </w:tcBorders>
            <w:noWrap w:val="0"/>
            <w:vAlign w:val="center"/>
          </w:tcPr>
          <w:p w14:paraId="39360927">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lang w:val="zh-CN"/>
              </w:rPr>
            </w:pPr>
            <w:r>
              <w:rPr>
                <w:rFonts w:hint="eastAsia" w:ascii="宋体" w:hAnsi="宋体" w:cs="宋体"/>
                <w:color w:val="auto"/>
                <w:kern w:val="1"/>
                <w:szCs w:val="21"/>
                <w:highlight w:val="none"/>
                <w:lang w:val="zh-CN"/>
              </w:rPr>
              <w:t>文化</w:t>
            </w:r>
          </w:p>
          <w:p w14:paraId="2BE80CF3">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程度</w:t>
            </w:r>
          </w:p>
        </w:tc>
        <w:tc>
          <w:tcPr>
            <w:tcW w:w="840" w:type="dxa"/>
            <w:tcBorders>
              <w:top w:val="single" w:color="000000" w:sz="12" w:space="0"/>
              <w:left w:val="single" w:color="000000" w:sz="4" w:space="0"/>
              <w:bottom w:val="single" w:color="000000" w:sz="6" w:space="0"/>
              <w:right w:val="single" w:color="000000" w:sz="12" w:space="0"/>
            </w:tcBorders>
            <w:noWrap w:val="0"/>
            <w:vAlign w:val="center"/>
          </w:tcPr>
          <w:p w14:paraId="080CF2E5">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4D0B9923">
        <w:tblPrEx>
          <w:tblCellMar>
            <w:top w:w="0" w:type="dxa"/>
            <w:left w:w="108" w:type="dxa"/>
            <w:bottom w:w="0" w:type="dxa"/>
            <w:right w:w="108" w:type="dxa"/>
          </w:tblCellMar>
        </w:tblPrEx>
        <w:trPr>
          <w:trHeight w:val="757" w:hRule="exact"/>
          <w:jc w:val="center"/>
        </w:trPr>
        <w:tc>
          <w:tcPr>
            <w:tcW w:w="1576" w:type="dxa"/>
            <w:tcBorders>
              <w:top w:val="single" w:color="000000" w:sz="6" w:space="0"/>
              <w:left w:val="single" w:color="000000" w:sz="12" w:space="0"/>
              <w:bottom w:val="single" w:color="000000" w:sz="6" w:space="0"/>
              <w:right w:val="single" w:color="000000" w:sz="6" w:space="0"/>
            </w:tcBorders>
            <w:noWrap w:val="0"/>
            <w:vAlign w:val="center"/>
          </w:tcPr>
          <w:p w14:paraId="365BFABC">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毕业院校</w:t>
            </w:r>
          </w:p>
        </w:tc>
        <w:tc>
          <w:tcPr>
            <w:tcW w:w="1469" w:type="dxa"/>
            <w:tcBorders>
              <w:top w:val="single" w:color="000000" w:sz="6" w:space="0"/>
              <w:left w:val="single" w:color="000000" w:sz="6" w:space="0"/>
              <w:bottom w:val="single" w:color="000000" w:sz="6" w:space="0"/>
              <w:right w:val="single" w:color="000000" w:sz="6" w:space="0"/>
            </w:tcBorders>
            <w:noWrap w:val="0"/>
            <w:vAlign w:val="center"/>
          </w:tcPr>
          <w:p w14:paraId="1771EF7D">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p>
        </w:tc>
        <w:tc>
          <w:tcPr>
            <w:tcW w:w="1316" w:type="dxa"/>
            <w:tcBorders>
              <w:top w:val="single" w:color="000000" w:sz="6" w:space="0"/>
              <w:left w:val="single" w:color="000000" w:sz="6" w:space="0"/>
              <w:bottom w:val="single" w:color="000000" w:sz="6" w:space="0"/>
              <w:right w:val="single" w:color="000000" w:sz="6" w:space="0"/>
            </w:tcBorders>
            <w:noWrap w:val="0"/>
            <w:vAlign w:val="center"/>
          </w:tcPr>
          <w:p w14:paraId="29F6BB6F">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专业</w:t>
            </w:r>
          </w:p>
        </w:tc>
        <w:tc>
          <w:tcPr>
            <w:tcW w:w="1720" w:type="dxa"/>
            <w:gridSpan w:val="3"/>
            <w:tcBorders>
              <w:top w:val="single" w:color="000000" w:sz="6" w:space="0"/>
              <w:left w:val="single" w:color="000000" w:sz="6" w:space="0"/>
              <w:bottom w:val="single" w:color="000000" w:sz="6" w:space="0"/>
              <w:right w:val="single" w:color="000000" w:sz="4" w:space="0"/>
            </w:tcBorders>
            <w:noWrap w:val="0"/>
            <w:vAlign w:val="center"/>
          </w:tcPr>
          <w:p w14:paraId="72DD7FB2">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p>
        </w:tc>
        <w:tc>
          <w:tcPr>
            <w:tcW w:w="708" w:type="dxa"/>
            <w:tcBorders>
              <w:top w:val="single" w:color="000000" w:sz="6" w:space="0"/>
              <w:left w:val="single" w:color="000000" w:sz="4" w:space="0"/>
              <w:bottom w:val="single" w:color="000000" w:sz="6" w:space="0"/>
              <w:right w:val="single" w:color="000000" w:sz="4" w:space="0"/>
            </w:tcBorders>
            <w:noWrap w:val="0"/>
            <w:vAlign w:val="center"/>
          </w:tcPr>
          <w:p w14:paraId="5979B2CF">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毕业</w:t>
            </w:r>
          </w:p>
          <w:p w14:paraId="7FAF9AC6">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时间</w:t>
            </w:r>
          </w:p>
        </w:tc>
        <w:tc>
          <w:tcPr>
            <w:tcW w:w="1134" w:type="dxa"/>
            <w:tcBorders>
              <w:top w:val="single" w:color="000000" w:sz="6" w:space="0"/>
              <w:left w:val="single" w:color="000000" w:sz="4" w:space="0"/>
              <w:bottom w:val="single" w:color="000000" w:sz="6" w:space="0"/>
              <w:right w:val="single" w:color="000000" w:sz="6" w:space="0"/>
            </w:tcBorders>
            <w:noWrap w:val="0"/>
            <w:vAlign w:val="center"/>
          </w:tcPr>
          <w:p w14:paraId="4BF3772A">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p>
        </w:tc>
        <w:tc>
          <w:tcPr>
            <w:tcW w:w="900" w:type="dxa"/>
            <w:tcBorders>
              <w:top w:val="single" w:color="000000" w:sz="6" w:space="0"/>
              <w:left w:val="single" w:color="000000" w:sz="6" w:space="0"/>
              <w:bottom w:val="single" w:color="000000" w:sz="6" w:space="0"/>
              <w:right w:val="single" w:color="000000" w:sz="4" w:space="0"/>
            </w:tcBorders>
            <w:noWrap w:val="0"/>
            <w:vAlign w:val="center"/>
          </w:tcPr>
          <w:p w14:paraId="073E0AF8">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技术</w:t>
            </w:r>
          </w:p>
          <w:p w14:paraId="5F19B7AF">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职称</w:t>
            </w:r>
          </w:p>
        </w:tc>
        <w:tc>
          <w:tcPr>
            <w:tcW w:w="840" w:type="dxa"/>
            <w:tcBorders>
              <w:top w:val="single" w:color="000000" w:sz="6" w:space="0"/>
              <w:left w:val="single" w:color="000000" w:sz="4" w:space="0"/>
              <w:bottom w:val="single" w:color="000000" w:sz="6" w:space="0"/>
              <w:right w:val="single" w:color="000000" w:sz="12" w:space="0"/>
            </w:tcBorders>
            <w:noWrap w:val="0"/>
            <w:vAlign w:val="center"/>
          </w:tcPr>
          <w:p w14:paraId="1244C06A">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p>
        </w:tc>
      </w:tr>
      <w:tr w14:paraId="31FF97F6">
        <w:tblPrEx>
          <w:tblCellMar>
            <w:top w:w="0" w:type="dxa"/>
            <w:left w:w="108" w:type="dxa"/>
            <w:bottom w:w="0" w:type="dxa"/>
            <w:right w:w="108" w:type="dxa"/>
          </w:tblCellMar>
        </w:tblPrEx>
        <w:trPr>
          <w:trHeight w:val="2324" w:hRule="exact"/>
          <w:jc w:val="center"/>
        </w:trPr>
        <w:tc>
          <w:tcPr>
            <w:tcW w:w="1576" w:type="dxa"/>
            <w:tcBorders>
              <w:top w:val="single" w:color="000000" w:sz="6" w:space="0"/>
              <w:left w:val="single" w:color="000000" w:sz="12" w:space="0"/>
              <w:bottom w:val="single" w:color="000000" w:sz="6" w:space="0"/>
              <w:right w:val="single" w:color="000000" w:sz="6" w:space="0"/>
            </w:tcBorders>
            <w:noWrap w:val="0"/>
            <w:vAlign w:val="center"/>
          </w:tcPr>
          <w:p w14:paraId="7ACB4CF8">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拟在本项目担任的职务</w:t>
            </w:r>
          </w:p>
        </w:tc>
        <w:tc>
          <w:tcPr>
            <w:tcW w:w="1469" w:type="dxa"/>
            <w:tcBorders>
              <w:top w:val="single" w:color="000000" w:sz="6" w:space="0"/>
              <w:left w:val="single" w:color="000000" w:sz="6" w:space="0"/>
              <w:bottom w:val="single" w:color="000000" w:sz="6" w:space="0"/>
              <w:right w:val="single" w:color="000000" w:sz="6" w:space="0"/>
            </w:tcBorders>
            <w:noWrap w:val="0"/>
            <w:vAlign w:val="center"/>
          </w:tcPr>
          <w:p w14:paraId="05B4CD77">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p>
        </w:tc>
        <w:tc>
          <w:tcPr>
            <w:tcW w:w="1316" w:type="dxa"/>
            <w:tcBorders>
              <w:top w:val="single" w:color="000000" w:sz="6" w:space="0"/>
              <w:left w:val="single" w:color="000000" w:sz="6" w:space="0"/>
              <w:bottom w:val="single" w:color="000000" w:sz="6" w:space="0"/>
              <w:right w:val="single" w:color="000000" w:sz="6" w:space="0"/>
            </w:tcBorders>
            <w:noWrap w:val="0"/>
            <w:vAlign w:val="center"/>
          </w:tcPr>
          <w:p w14:paraId="64EF7EB5">
            <w:pPr>
              <w:keepNext w:val="0"/>
              <w:keepLines w:val="0"/>
              <w:suppressLineNumbers w:val="0"/>
              <w:spacing w:before="0" w:beforeAutospacing="0" w:after="0" w:afterAutospacing="0" w:line="360" w:lineRule="auto"/>
              <w:ind w:left="-80" w:right="-116"/>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取得职称或资格证年限</w:t>
            </w:r>
          </w:p>
        </w:tc>
        <w:tc>
          <w:tcPr>
            <w:tcW w:w="869" w:type="dxa"/>
            <w:tcBorders>
              <w:top w:val="single" w:color="000000" w:sz="6" w:space="0"/>
              <w:left w:val="single" w:color="000000" w:sz="6" w:space="0"/>
              <w:bottom w:val="single" w:color="000000" w:sz="6" w:space="0"/>
              <w:right w:val="single" w:color="000000" w:sz="6" w:space="0"/>
            </w:tcBorders>
            <w:noWrap w:val="0"/>
            <w:vAlign w:val="center"/>
          </w:tcPr>
          <w:p w14:paraId="3E796414">
            <w:pPr>
              <w:keepNext w:val="0"/>
              <w:keepLines w:val="0"/>
              <w:suppressLineNumbers w:val="0"/>
              <w:spacing w:before="0" w:beforeAutospacing="0" w:after="0" w:afterAutospacing="0" w:line="360" w:lineRule="auto"/>
              <w:ind w:left="0" w:right="0"/>
              <w:rPr>
                <w:rFonts w:hint="default" w:ascii="宋体" w:hAnsi="宋体" w:cs="宋体"/>
                <w:color w:val="auto"/>
                <w:kern w:val="2"/>
                <w:szCs w:val="21"/>
                <w:highlight w:val="none"/>
              </w:rPr>
            </w:pPr>
          </w:p>
        </w:tc>
        <w:tc>
          <w:tcPr>
            <w:tcW w:w="851" w:type="dxa"/>
            <w:gridSpan w:val="2"/>
            <w:tcBorders>
              <w:top w:val="single" w:color="000000" w:sz="6" w:space="0"/>
              <w:left w:val="single" w:color="000000" w:sz="6" w:space="0"/>
              <w:bottom w:val="single" w:color="000000" w:sz="6" w:space="0"/>
              <w:right w:val="single" w:color="000000" w:sz="4" w:space="0"/>
            </w:tcBorders>
            <w:noWrap w:val="0"/>
            <w:vAlign w:val="center"/>
          </w:tcPr>
          <w:p w14:paraId="4C241506">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现任</w:t>
            </w:r>
          </w:p>
          <w:p w14:paraId="228E1E12">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职务</w:t>
            </w:r>
          </w:p>
        </w:tc>
        <w:tc>
          <w:tcPr>
            <w:tcW w:w="1842" w:type="dxa"/>
            <w:gridSpan w:val="2"/>
            <w:tcBorders>
              <w:top w:val="single" w:color="000000" w:sz="6" w:space="0"/>
              <w:left w:val="single" w:color="000000" w:sz="4" w:space="0"/>
              <w:bottom w:val="single" w:color="000000" w:sz="6" w:space="0"/>
              <w:right w:val="single" w:color="000000" w:sz="4" w:space="0"/>
            </w:tcBorders>
            <w:noWrap w:val="0"/>
            <w:vAlign w:val="center"/>
          </w:tcPr>
          <w:p w14:paraId="204C2878">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900" w:type="dxa"/>
            <w:tcBorders>
              <w:top w:val="single" w:color="000000" w:sz="6" w:space="0"/>
              <w:left w:val="single" w:color="000000" w:sz="4" w:space="0"/>
              <w:bottom w:val="single" w:color="000000" w:sz="6" w:space="0"/>
              <w:right w:val="single" w:color="000000" w:sz="4" w:space="0"/>
            </w:tcBorders>
            <w:noWrap w:val="0"/>
            <w:vAlign w:val="center"/>
          </w:tcPr>
          <w:p w14:paraId="763D5D90">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rPr>
              <w:t>联系</w:t>
            </w:r>
          </w:p>
          <w:p w14:paraId="6D330500">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rPr>
              <w:t>电话</w:t>
            </w:r>
          </w:p>
        </w:tc>
        <w:tc>
          <w:tcPr>
            <w:tcW w:w="840" w:type="dxa"/>
            <w:tcBorders>
              <w:top w:val="single" w:color="000000" w:sz="6" w:space="0"/>
              <w:left w:val="single" w:color="000000" w:sz="4" w:space="0"/>
              <w:bottom w:val="single" w:color="000000" w:sz="6" w:space="0"/>
              <w:right w:val="single" w:color="000000" w:sz="12" w:space="0"/>
            </w:tcBorders>
            <w:noWrap w:val="0"/>
            <w:vAlign w:val="center"/>
          </w:tcPr>
          <w:p w14:paraId="4CAAF97F">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13A02AE7">
        <w:tblPrEx>
          <w:tblCellMar>
            <w:top w:w="0" w:type="dxa"/>
            <w:left w:w="108" w:type="dxa"/>
            <w:bottom w:w="0" w:type="dxa"/>
            <w:right w:w="108" w:type="dxa"/>
          </w:tblCellMar>
        </w:tblPrEx>
        <w:trPr>
          <w:trHeight w:val="1289" w:hRule="exact"/>
          <w:jc w:val="center"/>
        </w:trPr>
        <w:tc>
          <w:tcPr>
            <w:tcW w:w="1576" w:type="dxa"/>
            <w:tcBorders>
              <w:top w:val="single" w:color="000000" w:sz="6" w:space="0"/>
              <w:left w:val="single" w:color="000000" w:sz="12" w:space="0"/>
              <w:bottom w:val="single" w:color="000000" w:sz="6" w:space="0"/>
              <w:right w:val="single" w:color="000000" w:sz="6" w:space="0"/>
            </w:tcBorders>
            <w:noWrap w:val="0"/>
            <w:vAlign w:val="center"/>
          </w:tcPr>
          <w:p w14:paraId="6ECECD01">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资格证号</w:t>
            </w:r>
          </w:p>
        </w:tc>
        <w:tc>
          <w:tcPr>
            <w:tcW w:w="6347" w:type="dxa"/>
            <w:gridSpan w:val="7"/>
            <w:tcBorders>
              <w:top w:val="single" w:color="000000" w:sz="6" w:space="0"/>
              <w:left w:val="single" w:color="000000" w:sz="6" w:space="0"/>
              <w:bottom w:val="single" w:color="000000" w:sz="6" w:space="0"/>
              <w:right w:val="single" w:color="000000" w:sz="4" w:space="0"/>
            </w:tcBorders>
            <w:noWrap w:val="0"/>
            <w:vAlign w:val="center"/>
          </w:tcPr>
          <w:p w14:paraId="72B40AC7">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900" w:type="dxa"/>
            <w:tcBorders>
              <w:top w:val="single" w:color="000000" w:sz="6" w:space="0"/>
              <w:left w:val="single" w:color="000000" w:sz="4" w:space="0"/>
              <w:bottom w:val="single" w:color="000000" w:sz="6" w:space="0"/>
              <w:right w:val="single" w:color="000000" w:sz="4" w:space="0"/>
            </w:tcBorders>
            <w:noWrap w:val="0"/>
            <w:vAlign w:val="center"/>
          </w:tcPr>
          <w:p w14:paraId="5C200F78">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在册/外聘</w:t>
            </w:r>
          </w:p>
        </w:tc>
        <w:tc>
          <w:tcPr>
            <w:tcW w:w="840" w:type="dxa"/>
            <w:tcBorders>
              <w:top w:val="single" w:color="000000" w:sz="6" w:space="0"/>
              <w:left w:val="single" w:color="000000" w:sz="4" w:space="0"/>
              <w:bottom w:val="single" w:color="000000" w:sz="6" w:space="0"/>
              <w:right w:val="single" w:color="000000" w:sz="12" w:space="0"/>
            </w:tcBorders>
            <w:noWrap w:val="0"/>
            <w:vAlign w:val="center"/>
          </w:tcPr>
          <w:p w14:paraId="01A5791F">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2B402329">
        <w:tblPrEx>
          <w:tblCellMar>
            <w:top w:w="0" w:type="dxa"/>
            <w:left w:w="108" w:type="dxa"/>
            <w:bottom w:w="0" w:type="dxa"/>
            <w:right w:w="108" w:type="dxa"/>
          </w:tblCellMar>
        </w:tblPrEx>
        <w:trPr>
          <w:trHeight w:val="618" w:hRule="exact"/>
          <w:jc w:val="center"/>
        </w:trPr>
        <w:tc>
          <w:tcPr>
            <w:tcW w:w="1576" w:type="dxa"/>
            <w:vMerge w:val="restart"/>
            <w:tcBorders>
              <w:top w:val="single" w:color="000000" w:sz="6" w:space="0"/>
              <w:left w:val="single" w:color="000000" w:sz="12" w:space="0"/>
              <w:bottom w:val="single" w:color="000000" w:sz="12" w:space="0"/>
              <w:right w:val="single" w:color="000000" w:sz="6" w:space="0"/>
            </w:tcBorders>
            <w:noWrap w:val="0"/>
            <w:vAlign w:val="center"/>
          </w:tcPr>
          <w:p w14:paraId="58145E78">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主要</w:t>
            </w:r>
          </w:p>
          <w:p w14:paraId="0592F29E">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rPr>
              <w:t>获奖</w:t>
            </w:r>
          </w:p>
        </w:tc>
        <w:tc>
          <w:tcPr>
            <w:tcW w:w="1469" w:type="dxa"/>
            <w:tcBorders>
              <w:top w:val="single" w:color="000000" w:sz="6" w:space="0"/>
              <w:left w:val="single" w:color="000000" w:sz="6" w:space="0"/>
              <w:bottom w:val="single" w:color="000000" w:sz="4" w:space="0"/>
              <w:right w:val="single" w:color="000000" w:sz="4" w:space="0"/>
            </w:tcBorders>
            <w:noWrap w:val="0"/>
            <w:vAlign w:val="center"/>
          </w:tcPr>
          <w:p w14:paraId="0E9935E0">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时间</w:t>
            </w:r>
          </w:p>
        </w:tc>
        <w:tc>
          <w:tcPr>
            <w:tcW w:w="3744" w:type="dxa"/>
            <w:gridSpan w:val="5"/>
            <w:tcBorders>
              <w:top w:val="single" w:color="000000" w:sz="6" w:space="0"/>
              <w:bottom w:val="single" w:color="000000" w:sz="4" w:space="0"/>
              <w:right w:val="single" w:color="000000" w:sz="4" w:space="0"/>
            </w:tcBorders>
            <w:noWrap w:val="0"/>
            <w:vAlign w:val="center"/>
          </w:tcPr>
          <w:p w14:paraId="55E35E93">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工程名称</w:t>
            </w:r>
          </w:p>
        </w:tc>
        <w:tc>
          <w:tcPr>
            <w:tcW w:w="1134" w:type="dxa"/>
            <w:tcBorders>
              <w:top w:val="single" w:color="000000" w:sz="6" w:space="0"/>
              <w:bottom w:val="single" w:color="000000" w:sz="4" w:space="0"/>
              <w:right w:val="single" w:color="000000" w:sz="4" w:space="0"/>
            </w:tcBorders>
            <w:noWrap w:val="0"/>
            <w:vAlign w:val="center"/>
          </w:tcPr>
          <w:p w14:paraId="2E6099BE">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lang w:val="zh-CN"/>
              </w:rPr>
              <w:t>任职</w:t>
            </w:r>
          </w:p>
        </w:tc>
        <w:tc>
          <w:tcPr>
            <w:tcW w:w="1740" w:type="dxa"/>
            <w:gridSpan w:val="2"/>
            <w:tcBorders>
              <w:top w:val="single" w:color="000000" w:sz="6" w:space="0"/>
              <w:left w:val="single" w:color="000000" w:sz="4" w:space="0"/>
              <w:bottom w:val="single" w:color="000000" w:sz="4" w:space="0"/>
              <w:right w:val="single" w:color="000000" w:sz="12" w:space="0"/>
            </w:tcBorders>
            <w:noWrap w:val="0"/>
            <w:vAlign w:val="center"/>
          </w:tcPr>
          <w:p w14:paraId="59CEF3E7">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rPr>
              <w:t>奖项类型</w:t>
            </w:r>
          </w:p>
        </w:tc>
      </w:tr>
      <w:tr w14:paraId="125F2DF9">
        <w:tblPrEx>
          <w:tblCellMar>
            <w:top w:w="0" w:type="dxa"/>
            <w:left w:w="108" w:type="dxa"/>
            <w:bottom w:w="0" w:type="dxa"/>
            <w:right w:w="108" w:type="dxa"/>
          </w:tblCellMar>
        </w:tblPrEx>
        <w:trPr>
          <w:trHeight w:val="1913" w:hRule="atLeast"/>
          <w:jc w:val="center"/>
        </w:trPr>
        <w:tc>
          <w:tcPr>
            <w:tcW w:w="1576" w:type="dxa"/>
            <w:vMerge w:val="continue"/>
            <w:tcBorders>
              <w:top w:val="single" w:color="000000" w:sz="6" w:space="0"/>
              <w:left w:val="single" w:color="000000" w:sz="12" w:space="0"/>
              <w:bottom w:val="single" w:color="000000" w:sz="12" w:space="0"/>
              <w:right w:val="single" w:color="000000" w:sz="6" w:space="0"/>
            </w:tcBorders>
            <w:noWrap w:val="0"/>
            <w:vAlign w:val="center"/>
          </w:tcPr>
          <w:p w14:paraId="29FB2840">
            <w:pPr>
              <w:keepNext w:val="0"/>
              <w:keepLines w:val="0"/>
              <w:suppressLineNumbers w:val="0"/>
              <w:spacing w:before="0" w:beforeAutospacing="0" w:after="0" w:afterAutospacing="0" w:line="360" w:lineRule="auto"/>
              <w:ind w:left="0" w:right="0"/>
              <w:jc w:val="left"/>
              <w:rPr>
                <w:rFonts w:hint="default" w:ascii="宋体" w:hAnsi="宋体" w:cs="宋体"/>
                <w:color w:val="auto"/>
                <w:kern w:val="2"/>
                <w:szCs w:val="21"/>
                <w:highlight w:val="none"/>
              </w:rPr>
            </w:pPr>
          </w:p>
        </w:tc>
        <w:tc>
          <w:tcPr>
            <w:tcW w:w="1469" w:type="dxa"/>
            <w:tcBorders>
              <w:top w:val="single" w:color="000000" w:sz="6" w:space="0"/>
              <w:left w:val="single" w:color="000000" w:sz="6" w:space="0"/>
              <w:bottom w:val="single" w:color="000000" w:sz="12" w:space="0"/>
              <w:right w:val="single" w:color="000000" w:sz="4" w:space="0"/>
            </w:tcBorders>
            <w:noWrap w:val="0"/>
            <w:vAlign w:val="center"/>
          </w:tcPr>
          <w:p w14:paraId="550EB26E">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744" w:type="dxa"/>
            <w:gridSpan w:val="5"/>
            <w:tcBorders>
              <w:top w:val="single" w:color="000000" w:sz="6" w:space="0"/>
              <w:bottom w:val="single" w:color="000000" w:sz="12" w:space="0"/>
              <w:right w:val="single" w:color="000000" w:sz="4" w:space="0"/>
            </w:tcBorders>
            <w:noWrap w:val="0"/>
            <w:vAlign w:val="center"/>
          </w:tcPr>
          <w:p w14:paraId="66C3BA9E">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1134" w:type="dxa"/>
            <w:tcBorders>
              <w:top w:val="single" w:color="000000" w:sz="6" w:space="0"/>
              <w:bottom w:val="single" w:color="000000" w:sz="12" w:space="0"/>
              <w:right w:val="single" w:color="000000" w:sz="4" w:space="0"/>
            </w:tcBorders>
            <w:noWrap w:val="0"/>
            <w:vAlign w:val="center"/>
          </w:tcPr>
          <w:p w14:paraId="1E0180B0">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1740" w:type="dxa"/>
            <w:gridSpan w:val="2"/>
            <w:tcBorders>
              <w:top w:val="single" w:color="000000" w:sz="6" w:space="0"/>
              <w:left w:val="single" w:color="000000" w:sz="4" w:space="0"/>
              <w:bottom w:val="single" w:color="000000" w:sz="12" w:space="0"/>
              <w:right w:val="single" w:color="000000" w:sz="12" w:space="0"/>
            </w:tcBorders>
            <w:noWrap w:val="0"/>
            <w:vAlign w:val="center"/>
          </w:tcPr>
          <w:p w14:paraId="18F15BB2">
            <w:pPr>
              <w:keepNext w:val="0"/>
              <w:keepLines w:val="0"/>
              <w:suppressLineNumbers w:val="0"/>
              <w:spacing w:before="0" w:beforeAutospacing="0" w:after="0" w:afterAutospacing="0" w:line="360" w:lineRule="auto"/>
              <w:ind w:left="0" w:right="0"/>
              <w:jc w:val="center"/>
              <w:rPr>
                <w:rFonts w:hint="default" w:ascii="宋体" w:hAnsi="宋体" w:cs="宋体"/>
                <w:color w:val="auto"/>
                <w:kern w:val="2"/>
                <w:szCs w:val="21"/>
                <w:highlight w:val="none"/>
              </w:rPr>
            </w:pPr>
          </w:p>
        </w:tc>
      </w:tr>
    </w:tbl>
    <w:p w14:paraId="27120957">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备注：</w:t>
      </w:r>
    </w:p>
    <w:p w14:paraId="6C22F91D">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1、项目负责人、技术负责人应附本简历表，其余人员无需本表。</w:t>
      </w:r>
    </w:p>
    <w:p w14:paraId="5C2F84BF">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2、投标人应根据招标文件第三章《评标办法》“工程总承包实施方案技术部分评分表”要求在本表后附对应的相关证明材料。</w:t>
      </w:r>
    </w:p>
    <w:p w14:paraId="70784D34">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3、所报人员在获得资格证后，技术职称有变化的，应附相应证明文件。</w:t>
      </w:r>
    </w:p>
    <w:p w14:paraId="5A8407B9">
      <w:pPr>
        <w:pStyle w:val="2"/>
        <w:spacing w:line="360" w:lineRule="auto"/>
        <w:rPr>
          <w:color w:val="auto"/>
          <w:highlight w:val="none"/>
        </w:rPr>
      </w:pPr>
    </w:p>
    <w:p w14:paraId="7DE8E05C">
      <w:pP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5F8C3C56">
      <w:pPr>
        <w:spacing w:line="360" w:lineRule="auto"/>
        <w:ind w:firstLine="6888" w:firstLineChars="2800"/>
        <w:rPr>
          <w:rFonts w:ascii="宋体" w:hAnsi="宋体" w:cs="宋体"/>
          <w:color w:val="auto"/>
          <w:kern w:val="1"/>
          <w:szCs w:val="21"/>
          <w:highlight w:val="none"/>
        </w:rPr>
      </w:pP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15D602BF">
      <w:pPr>
        <w:pStyle w:val="77"/>
        <w:ind w:firstLine="0"/>
        <w:rPr>
          <w:rFonts w:ascii="宋体" w:hAnsi="宋体" w:cs="宋体"/>
          <w:b/>
          <w:color w:val="auto"/>
          <w:kern w:val="1"/>
          <w:highlight w:val="none"/>
        </w:rPr>
      </w:pPr>
      <w:r>
        <w:rPr>
          <w:rFonts w:ascii="宋体" w:hAnsi="宋体" w:cs="宋体"/>
          <w:b/>
          <w:color w:val="auto"/>
          <w:kern w:val="1"/>
          <w:highlight w:val="none"/>
        </w:rPr>
        <w:br w:type="page"/>
      </w:r>
      <w:r>
        <w:rPr>
          <w:rFonts w:hint="eastAsia" w:ascii="宋体" w:hAnsi="宋体" w:cs="宋体"/>
          <w:b/>
          <w:color w:val="auto"/>
          <w:kern w:val="1"/>
          <w:highlight w:val="none"/>
        </w:rPr>
        <w:t>格式9：</w:t>
      </w:r>
    </w:p>
    <w:p w14:paraId="4EA72884">
      <w:pPr>
        <w:widowControl/>
        <w:spacing w:line="360" w:lineRule="auto"/>
        <w:jc w:val="center"/>
        <w:rPr>
          <w:rFonts w:hint="eastAsia" w:ascii="宋体" w:hAnsi="宋体" w:cs="宋体"/>
          <w:b/>
          <w:color w:val="auto"/>
          <w:spacing w:val="4"/>
          <w:sz w:val="32"/>
          <w:szCs w:val="32"/>
          <w:highlight w:val="none"/>
        </w:rPr>
      </w:pPr>
      <w:r>
        <w:rPr>
          <w:rFonts w:hint="eastAsia" w:ascii="宋体" w:hAnsi="宋体" w:cs="宋体"/>
          <w:b/>
          <w:color w:val="auto"/>
          <w:spacing w:val="4"/>
          <w:sz w:val="32"/>
          <w:szCs w:val="32"/>
          <w:highlight w:val="none"/>
        </w:rPr>
        <w:t>类似业绩一览表</w:t>
      </w:r>
    </w:p>
    <w:tbl>
      <w:tblPr>
        <w:tblStyle w:val="36"/>
        <w:tblW w:w="0" w:type="auto"/>
        <w:tblInd w:w="0" w:type="dxa"/>
        <w:tblLayout w:type="fixed"/>
        <w:tblCellMar>
          <w:top w:w="0" w:type="dxa"/>
          <w:left w:w="108" w:type="dxa"/>
          <w:bottom w:w="0" w:type="dxa"/>
          <w:right w:w="108" w:type="dxa"/>
        </w:tblCellMar>
      </w:tblPr>
      <w:tblGrid>
        <w:gridCol w:w="776"/>
        <w:gridCol w:w="776"/>
        <w:gridCol w:w="776"/>
        <w:gridCol w:w="776"/>
        <w:gridCol w:w="776"/>
        <w:gridCol w:w="2176"/>
        <w:gridCol w:w="1336"/>
        <w:gridCol w:w="1990"/>
      </w:tblGrid>
      <w:tr w14:paraId="70C59EBB">
        <w:tblPrEx>
          <w:tblCellMar>
            <w:top w:w="0" w:type="dxa"/>
            <w:left w:w="108" w:type="dxa"/>
            <w:bottom w:w="0" w:type="dxa"/>
            <w:right w:w="108" w:type="dxa"/>
          </w:tblCellMar>
        </w:tblPrEx>
        <w:trPr>
          <w:trHeight w:val="944"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4D3FE39C">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序号</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34937F76">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工程</w:t>
            </w:r>
          </w:p>
          <w:p w14:paraId="4ED9E4FE">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类别</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62B0FAF0">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工程</w:t>
            </w:r>
          </w:p>
          <w:p w14:paraId="723E1F3D">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名称</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1B4E47B7">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rPr>
              <w:t>项目编号</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6722882E">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建设</w:t>
            </w:r>
          </w:p>
          <w:p w14:paraId="3511CFCE">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单位</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14:paraId="332CD303">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工程规模</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1C0340F">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rPr>
              <w:t>合同</w:t>
            </w:r>
            <w:r>
              <w:rPr>
                <w:rFonts w:hint="default" w:ascii="宋体" w:hAnsi="宋体" w:cs="宋体"/>
                <w:color w:val="auto"/>
                <w:kern w:val="1"/>
                <w:szCs w:val="21"/>
                <w:highlight w:val="none"/>
                <w:lang w:val="zh-CN"/>
              </w:rPr>
              <w:t>价</w:t>
            </w:r>
          </w:p>
          <w:p w14:paraId="47D0235E">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（万元）</w:t>
            </w:r>
          </w:p>
        </w:tc>
        <w:tc>
          <w:tcPr>
            <w:tcW w:w="1990" w:type="dxa"/>
            <w:tcBorders>
              <w:top w:val="single" w:color="000000" w:sz="4" w:space="0"/>
              <w:left w:val="single" w:color="000000" w:sz="4" w:space="0"/>
              <w:bottom w:val="single" w:color="000000" w:sz="4" w:space="0"/>
              <w:right w:val="single" w:color="000000" w:sz="4" w:space="0"/>
            </w:tcBorders>
            <w:noWrap w:val="0"/>
            <w:vAlign w:val="center"/>
          </w:tcPr>
          <w:p w14:paraId="6694C842">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rPr>
              <w:t>备注</w:t>
            </w:r>
          </w:p>
        </w:tc>
      </w:tr>
      <w:tr w14:paraId="5123CD43">
        <w:tblPrEx>
          <w:tblCellMar>
            <w:top w:w="0" w:type="dxa"/>
            <w:left w:w="108" w:type="dxa"/>
            <w:bottom w:w="0" w:type="dxa"/>
            <w:right w:w="108" w:type="dxa"/>
          </w:tblCellMar>
        </w:tblPrEx>
        <w:trPr>
          <w:trHeight w:val="605"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4E05F054">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7E7A0126">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002FD557">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6BCF72E7">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11BE5A0B">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2176" w:type="dxa"/>
            <w:tcBorders>
              <w:top w:val="single" w:color="000000" w:sz="4" w:space="0"/>
              <w:left w:val="single" w:color="000000" w:sz="4" w:space="0"/>
              <w:bottom w:val="single" w:color="000000" w:sz="4" w:space="0"/>
              <w:right w:val="single" w:color="000000" w:sz="4" w:space="0"/>
            </w:tcBorders>
            <w:noWrap w:val="0"/>
            <w:vAlign w:val="center"/>
          </w:tcPr>
          <w:p w14:paraId="0CD7AF05">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0B971673">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1990" w:type="dxa"/>
            <w:tcBorders>
              <w:top w:val="single" w:color="000000" w:sz="4" w:space="0"/>
              <w:left w:val="single" w:color="000000" w:sz="4" w:space="0"/>
              <w:bottom w:val="single" w:color="000000" w:sz="4" w:space="0"/>
              <w:right w:val="single" w:color="000000" w:sz="4" w:space="0"/>
            </w:tcBorders>
            <w:noWrap w:val="0"/>
            <w:vAlign w:val="center"/>
          </w:tcPr>
          <w:p w14:paraId="6F33A2DD">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r>
      <w:tr w14:paraId="77A2B5B3">
        <w:tblPrEx>
          <w:tblCellMar>
            <w:top w:w="0" w:type="dxa"/>
            <w:left w:w="108" w:type="dxa"/>
            <w:bottom w:w="0" w:type="dxa"/>
            <w:right w:w="108" w:type="dxa"/>
          </w:tblCellMar>
        </w:tblPrEx>
        <w:trPr>
          <w:trHeight w:val="605"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1F96BDCB">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0FB5357B">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7C62680D">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6315FF7B">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29F579AA">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2176" w:type="dxa"/>
            <w:tcBorders>
              <w:top w:val="single" w:color="000000" w:sz="4" w:space="0"/>
              <w:left w:val="single" w:color="000000" w:sz="4" w:space="0"/>
              <w:bottom w:val="single" w:color="000000" w:sz="4" w:space="0"/>
              <w:right w:val="single" w:color="000000" w:sz="4" w:space="0"/>
            </w:tcBorders>
            <w:noWrap w:val="0"/>
            <w:vAlign w:val="center"/>
          </w:tcPr>
          <w:p w14:paraId="4BD0BD66">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4ADB57A6">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1990" w:type="dxa"/>
            <w:tcBorders>
              <w:top w:val="single" w:color="000000" w:sz="4" w:space="0"/>
              <w:left w:val="single" w:color="000000" w:sz="4" w:space="0"/>
              <w:bottom w:val="single" w:color="000000" w:sz="4" w:space="0"/>
              <w:right w:val="single" w:color="000000" w:sz="4" w:space="0"/>
            </w:tcBorders>
            <w:noWrap w:val="0"/>
            <w:vAlign w:val="center"/>
          </w:tcPr>
          <w:p w14:paraId="3A2A582D">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r>
      <w:tr w14:paraId="56B7DC0C">
        <w:tblPrEx>
          <w:tblCellMar>
            <w:top w:w="0" w:type="dxa"/>
            <w:left w:w="108" w:type="dxa"/>
            <w:bottom w:w="0" w:type="dxa"/>
            <w:right w:w="108" w:type="dxa"/>
          </w:tblCellMar>
        </w:tblPrEx>
        <w:trPr>
          <w:trHeight w:val="605"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14:paraId="67A6359D">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19B9629E">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4823B67C">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6F1CF01F">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301BE586">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2176" w:type="dxa"/>
            <w:tcBorders>
              <w:top w:val="single" w:color="000000" w:sz="4" w:space="0"/>
              <w:left w:val="single" w:color="000000" w:sz="4" w:space="0"/>
              <w:bottom w:val="single" w:color="000000" w:sz="4" w:space="0"/>
              <w:right w:val="single" w:color="000000" w:sz="4" w:space="0"/>
            </w:tcBorders>
            <w:noWrap w:val="0"/>
            <w:vAlign w:val="center"/>
          </w:tcPr>
          <w:p w14:paraId="54CB31E8">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1336" w:type="dxa"/>
            <w:tcBorders>
              <w:top w:val="single" w:color="000000" w:sz="4" w:space="0"/>
              <w:left w:val="single" w:color="000000" w:sz="4" w:space="0"/>
              <w:bottom w:val="single" w:color="000000" w:sz="4" w:space="0"/>
              <w:right w:val="single" w:color="000000" w:sz="4" w:space="0"/>
            </w:tcBorders>
            <w:noWrap w:val="0"/>
            <w:vAlign w:val="center"/>
          </w:tcPr>
          <w:p w14:paraId="23B17C29">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1990" w:type="dxa"/>
            <w:tcBorders>
              <w:top w:val="single" w:color="000000" w:sz="4" w:space="0"/>
              <w:left w:val="single" w:color="000000" w:sz="4" w:space="0"/>
              <w:bottom w:val="single" w:color="000000" w:sz="4" w:space="0"/>
              <w:right w:val="single" w:color="000000" w:sz="4" w:space="0"/>
            </w:tcBorders>
            <w:noWrap w:val="0"/>
            <w:vAlign w:val="center"/>
          </w:tcPr>
          <w:p w14:paraId="41E08CDA">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r>
    </w:tbl>
    <w:p w14:paraId="70FB45DF">
      <w:pPr>
        <w:spacing w:line="360" w:lineRule="auto"/>
        <w:jc w:val="left"/>
        <w:rPr>
          <w:rFonts w:hint="eastAsia" w:ascii="宋体" w:hAnsi="宋体" w:cs="宋体"/>
          <w:color w:val="auto"/>
          <w:kern w:val="1"/>
          <w:szCs w:val="21"/>
          <w:highlight w:val="none"/>
          <w:lang w:val="zh-CN"/>
        </w:rPr>
      </w:pPr>
      <w:r>
        <w:rPr>
          <w:rFonts w:hint="eastAsia" w:ascii="宋体" w:hAnsi="宋体" w:cs="宋体"/>
          <w:color w:val="auto"/>
          <w:kern w:val="1"/>
          <w:szCs w:val="21"/>
          <w:highlight w:val="none"/>
          <w:lang w:val="zh-CN"/>
        </w:rPr>
        <w:t>注：业绩证明文件需满足评审要求。</w:t>
      </w:r>
    </w:p>
    <w:p w14:paraId="09153085">
      <w:pPr>
        <w:pStyle w:val="35"/>
        <w:ind w:left="420" w:firstLine="420"/>
        <w:rPr>
          <w:rFonts w:hint="eastAsia"/>
          <w:color w:val="auto"/>
          <w:highlight w:val="none"/>
          <w:lang w:val="zh-CN" w:eastAsia="zh-CN"/>
        </w:rPr>
      </w:pPr>
    </w:p>
    <w:p w14:paraId="4DCE369A">
      <w:pP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3BCB3388">
      <w:pPr>
        <w:pStyle w:val="35"/>
        <w:ind w:left="420" w:right="492" w:firstLine="492"/>
        <w:jc w:val="right"/>
        <w:rPr>
          <w:rFonts w:hint="eastAsia" w:ascii="宋体" w:hAnsi="宋体" w:cs="宋体"/>
          <w:color w:val="auto"/>
          <w:spacing w:val="18"/>
          <w:kern w:val="1"/>
          <w:szCs w:val="21"/>
          <w:highlight w:val="none"/>
          <w:lang w:val="zh-CN" w:eastAsia="zh-CN"/>
        </w:rPr>
      </w:pPr>
      <w:r>
        <w:rPr>
          <w:rFonts w:hint="eastAsia" w:ascii="宋体" w:hAnsi="宋体" w:cs="宋体"/>
          <w:color w:val="auto"/>
          <w:spacing w:val="18"/>
          <w:kern w:val="1"/>
          <w:szCs w:val="21"/>
          <w:highlight w:val="none"/>
          <w:lang w:val="zh-CN" w:eastAsia="zh-CN"/>
        </w:rPr>
        <w:t>日期：</w:t>
      </w:r>
      <w:r>
        <w:rPr>
          <w:rFonts w:hint="eastAsia" w:ascii="宋体" w:hAnsi="宋体" w:cs="宋体"/>
          <w:color w:val="auto"/>
          <w:spacing w:val="18"/>
          <w:kern w:val="1"/>
          <w:szCs w:val="21"/>
          <w:highlight w:val="none"/>
          <w:lang w:eastAsia="zh-CN"/>
        </w:rPr>
        <w:t xml:space="preserve">  </w:t>
      </w:r>
      <w:r>
        <w:rPr>
          <w:rFonts w:hint="eastAsia" w:ascii="宋体" w:hAnsi="宋体" w:cs="宋体"/>
          <w:color w:val="auto"/>
          <w:spacing w:val="18"/>
          <w:kern w:val="1"/>
          <w:szCs w:val="21"/>
          <w:highlight w:val="none"/>
          <w:lang w:val="zh-CN" w:eastAsia="zh-CN"/>
        </w:rPr>
        <w:t>年</w:t>
      </w:r>
      <w:r>
        <w:rPr>
          <w:rFonts w:hint="eastAsia" w:ascii="宋体" w:hAnsi="宋体" w:cs="宋体"/>
          <w:color w:val="auto"/>
          <w:spacing w:val="18"/>
          <w:kern w:val="1"/>
          <w:szCs w:val="21"/>
          <w:highlight w:val="none"/>
          <w:lang w:eastAsia="zh-CN"/>
        </w:rPr>
        <w:t xml:space="preserve">  </w:t>
      </w:r>
      <w:r>
        <w:rPr>
          <w:rFonts w:hint="eastAsia" w:ascii="宋体" w:hAnsi="宋体" w:cs="宋体"/>
          <w:color w:val="auto"/>
          <w:spacing w:val="18"/>
          <w:kern w:val="1"/>
          <w:szCs w:val="21"/>
          <w:highlight w:val="none"/>
          <w:lang w:val="zh-CN" w:eastAsia="zh-CN"/>
        </w:rPr>
        <w:t>月</w:t>
      </w:r>
      <w:r>
        <w:rPr>
          <w:rFonts w:hint="eastAsia" w:ascii="宋体" w:hAnsi="宋体" w:cs="宋体"/>
          <w:color w:val="auto"/>
          <w:spacing w:val="18"/>
          <w:kern w:val="1"/>
          <w:szCs w:val="21"/>
          <w:highlight w:val="none"/>
          <w:lang w:eastAsia="zh-CN"/>
        </w:rPr>
        <w:t xml:space="preserve">  </w:t>
      </w:r>
      <w:r>
        <w:rPr>
          <w:rFonts w:hint="eastAsia" w:ascii="宋体" w:hAnsi="宋体" w:cs="宋体"/>
          <w:color w:val="auto"/>
          <w:spacing w:val="18"/>
          <w:kern w:val="1"/>
          <w:szCs w:val="21"/>
          <w:highlight w:val="none"/>
          <w:lang w:val="zh-CN" w:eastAsia="zh-CN"/>
        </w:rPr>
        <w:t>日</w:t>
      </w:r>
    </w:p>
    <w:p w14:paraId="33D6442C">
      <w:pPr>
        <w:spacing w:line="360" w:lineRule="auto"/>
        <w:jc w:val="center"/>
        <w:rPr>
          <w:rFonts w:hint="eastAsia" w:ascii="宋体" w:hAnsi="宋体" w:cs="宋体"/>
          <w:b/>
          <w:bCs/>
          <w:color w:val="auto"/>
          <w:kern w:val="1"/>
          <w:sz w:val="28"/>
          <w:szCs w:val="28"/>
          <w:highlight w:val="none"/>
          <w:lang w:val="zh-CN"/>
        </w:rPr>
      </w:pPr>
    </w:p>
    <w:p w14:paraId="77087630">
      <w:pPr>
        <w:spacing w:line="360" w:lineRule="auto"/>
        <w:jc w:val="center"/>
        <w:rPr>
          <w:rFonts w:hint="eastAsia" w:ascii="宋体" w:hAnsi="宋体" w:cs="宋体"/>
          <w:color w:val="auto"/>
          <w:kern w:val="1"/>
          <w:sz w:val="28"/>
          <w:szCs w:val="28"/>
          <w:highlight w:val="none"/>
        </w:rPr>
      </w:pPr>
      <w:r>
        <w:rPr>
          <w:rFonts w:hint="eastAsia" w:ascii="宋体" w:hAnsi="宋体" w:cs="宋体"/>
          <w:b/>
          <w:bCs/>
          <w:color w:val="auto"/>
          <w:kern w:val="1"/>
          <w:sz w:val="28"/>
          <w:szCs w:val="28"/>
          <w:highlight w:val="none"/>
          <w:lang w:val="zh-CN"/>
        </w:rPr>
        <w:t>投标人获奖业绩</w:t>
      </w:r>
      <w:r>
        <w:rPr>
          <w:rFonts w:hint="eastAsia" w:ascii="宋体" w:hAnsi="宋体" w:cs="宋体"/>
          <w:b/>
          <w:color w:val="auto"/>
          <w:spacing w:val="4"/>
          <w:sz w:val="32"/>
          <w:szCs w:val="32"/>
          <w:highlight w:val="none"/>
        </w:rPr>
        <w:t>一览表</w:t>
      </w:r>
    </w:p>
    <w:tbl>
      <w:tblPr>
        <w:tblStyle w:val="36"/>
        <w:tblW w:w="0" w:type="auto"/>
        <w:jc w:val="center"/>
        <w:tblLayout w:type="fixed"/>
        <w:tblCellMar>
          <w:top w:w="0" w:type="dxa"/>
          <w:left w:w="108" w:type="dxa"/>
          <w:bottom w:w="0" w:type="dxa"/>
          <w:right w:w="108" w:type="dxa"/>
        </w:tblCellMar>
      </w:tblPr>
      <w:tblGrid>
        <w:gridCol w:w="977"/>
        <w:gridCol w:w="978"/>
        <w:gridCol w:w="977"/>
        <w:gridCol w:w="1605"/>
        <w:gridCol w:w="1410"/>
        <w:gridCol w:w="2129"/>
        <w:gridCol w:w="2129"/>
      </w:tblGrid>
      <w:tr w14:paraId="664BB7E9">
        <w:tblPrEx>
          <w:tblCellMar>
            <w:top w:w="0" w:type="dxa"/>
            <w:left w:w="108" w:type="dxa"/>
            <w:bottom w:w="0" w:type="dxa"/>
            <w:right w:w="108" w:type="dxa"/>
          </w:tblCellMar>
        </w:tblPrEx>
        <w:trPr>
          <w:trHeight w:val="1304" w:hRule="atLeast"/>
          <w:jc w:val="center"/>
        </w:trPr>
        <w:tc>
          <w:tcPr>
            <w:tcW w:w="977" w:type="dxa"/>
            <w:tcBorders>
              <w:top w:val="single" w:color="000000" w:sz="4" w:space="0"/>
              <w:left w:val="single" w:color="000000" w:sz="4" w:space="0"/>
              <w:bottom w:val="single" w:color="000000" w:sz="4" w:space="0"/>
              <w:right w:val="single" w:color="000000" w:sz="4" w:space="0"/>
            </w:tcBorders>
            <w:noWrap w:val="0"/>
            <w:vAlign w:val="center"/>
          </w:tcPr>
          <w:p w14:paraId="20C22FAF">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序号</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73D459B3">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工程</w:t>
            </w:r>
          </w:p>
          <w:p w14:paraId="5515F75A">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类别</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2855354C">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工程</w:t>
            </w:r>
          </w:p>
          <w:p w14:paraId="18476A5F">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名称</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364DBDA7">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建设单位</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D8559E8">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工程</w:t>
            </w:r>
          </w:p>
          <w:p w14:paraId="05648409">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规模</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14:paraId="77A44081">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lang w:val="zh-CN"/>
              </w:rPr>
              <w:t>获奖情况</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14:paraId="5E320853">
            <w:pPr>
              <w:keepNext w:val="0"/>
              <w:keepLines w:val="0"/>
              <w:suppressLineNumbers w:val="0"/>
              <w:spacing w:before="0" w:beforeAutospacing="0" w:afterAutospacing="0" w:line="440" w:lineRule="exact"/>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rPr>
              <w:t>备注</w:t>
            </w:r>
          </w:p>
        </w:tc>
      </w:tr>
      <w:tr w14:paraId="3E2CDE1E">
        <w:tblPrEx>
          <w:tblCellMar>
            <w:top w:w="0" w:type="dxa"/>
            <w:left w:w="108" w:type="dxa"/>
            <w:bottom w:w="0" w:type="dxa"/>
            <w:right w:w="108" w:type="dxa"/>
          </w:tblCellMar>
        </w:tblPrEx>
        <w:trPr>
          <w:trHeight w:val="604" w:hRule="atLeast"/>
          <w:jc w:val="center"/>
        </w:trPr>
        <w:tc>
          <w:tcPr>
            <w:tcW w:w="977" w:type="dxa"/>
            <w:tcBorders>
              <w:top w:val="single" w:color="000000" w:sz="4" w:space="0"/>
              <w:left w:val="single" w:color="000000" w:sz="4" w:space="0"/>
              <w:bottom w:val="single" w:color="000000" w:sz="4" w:space="0"/>
              <w:right w:val="single" w:color="000000" w:sz="4" w:space="0"/>
            </w:tcBorders>
            <w:noWrap w:val="0"/>
            <w:vAlign w:val="center"/>
          </w:tcPr>
          <w:p w14:paraId="775C6DF7">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250F22A8">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699A2BA4">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10FB13B">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BB97D33">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2129" w:type="dxa"/>
            <w:tcBorders>
              <w:top w:val="single" w:color="000000" w:sz="4" w:space="0"/>
              <w:left w:val="single" w:color="000000" w:sz="4" w:space="0"/>
              <w:bottom w:val="single" w:color="000000" w:sz="4" w:space="0"/>
              <w:right w:val="single" w:color="000000" w:sz="4" w:space="0"/>
            </w:tcBorders>
            <w:noWrap w:val="0"/>
            <w:vAlign w:val="top"/>
          </w:tcPr>
          <w:p w14:paraId="44DA1236">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2129" w:type="dxa"/>
            <w:tcBorders>
              <w:top w:val="single" w:color="000000" w:sz="4" w:space="0"/>
              <w:left w:val="single" w:color="000000" w:sz="4" w:space="0"/>
              <w:bottom w:val="single" w:color="000000" w:sz="4" w:space="0"/>
              <w:right w:val="single" w:color="000000" w:sz="4" w:space="0"/>
            </w:tcBorders>
            <w:noWrap w:val="0"/>
            <w:vAlign w:val="top"/>
          </w:tcPr>
          <w:p w14:paraId="6F70CF14">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r>
      <w:tr w14:paraId="357EC405">
        <w:tblPrEx>
          <w:tblCellMar>
            <w:top w:w="0" w:type="dxa"/>
            <w:left w:w="108" w:type="dxa"/>
            <w:bottom w:w="0" w:type="dxa"/>
            <w:right w:w="108" w:type="dxa"/>
          </w:tblCellMar>
        </w:tblPrEx>
        <w:trPr>
          <w:trHeight w:val="604" w:hRule="atLeast"/>
          <w:jc w:val="center"/>
        </w:trPr>
        <w:tc>
          <w:tcPr>
            <w:tcW w:w="977" w:type="dxa"/>
            <w:tcBorders>
              <w:top w:val="single" w:color="000000" w:sz="4" w:space="0"/>
              <w:left w:val="single" w:color="000000" w:sz="4" w:space="0"/>
              <w:bottom w:val="single" w:color="000000" w:sz="4" w:space="0"/>
              <w:right w:val="single" w:color="000000" w:sz="4" w:space="0"/>
            </w:tcBorders>
            <w:noWrap w:val="0"/>
            <w:vAlign w:val="center"/>
          </w:tcPr>
          <w:p w14:paraId="49E07413">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076D78B0">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1BB3AF04">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F321958">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411DFCA">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2129" w:type="dxa"/>
            <w:tcBorders>
              <w:top w:val="single" w:color="000000" w:sz="4" w:space="0"/>
              <w:left w:val="single" w:color="000000" w:sz="4" w:space="0"/>
              <w:bottom w:val="single" w:color="000000" w:sz="4" w:space="0"/>
              <w:right w:val="single" w:color="000000" w:sz="4" w:space="0"/>
            </w:tcBorders>
            <w:noWrap w:val="0"/>
            <w:vAlign w:val="top"/>
          </w:tcPr>
          <w:p w14:paraId="2491B848">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2129" w:type="dxa"/>
            <w:tcBorders>
              <w:top w:val="single" w:color="000000" w:sz="4" w:space="0"/>
              <w:left w:val="single" w:color="000000" w:sz="4" w:space="0"/>
              <w:bottom w:val="single" w:color="000000" w:sz="4" w:space="0"/>
              <w:right w:val="single" w:color="000000" w:sz="4" w:space="0"/>
            </w:tcBorders>
            <w:noWrap w:val="0"/>
            <w:vAlign w:val="top"/>
          </w:tcPr>
          <w:p w14:paraId="667A8B44">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r>
      <w:tr w14:paraId="6CAE8C7A">
        <w:tblPrEx>
          <w:tblCellMar>
            <w:top w:w="0" w:type="dxa"/>
            <w:left w:w="108" w:type="dxa"/>
            <w:bottom w:w="0" w:type="dxa"/>
            <w:right w:w="108" w:type="dxa"/>
          </w:tblCellMar>
        </w:tblPrEx>
        <w:trPr>
          <w:trHeight w:val="604" w:hRule="atLeast"/>
          <w:jc w:val="center"/>
        </w:trPr>
        <w:tc>
          <w:tcPr>
            <w:tcW w:w="977" w:type="dxa"/>
            <w:tcBorders>
              <w:top w:val="single" w:color="000000" w:sz="4" w:space="0"/>
              <w:left w:val="single" w:color="000000" w:sz="4" w:space="0"/>
              <w:bottom w:val="single" w:color="000000" w:sz="4" w:space="0"/>
              <w:right w:val="single" w:color="000000" w:sz="4" w:space="0"/>
            </w:tcBorders>
            <w:noWrap w:val="0"/>
            <w:vAlign w:val="center"/>
          </w:tcPr>
          <w:p w14:paraId="1D7C4DE7">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1043ADD0">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1179DE20">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6739D98">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08F8DB5">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2129" w:type="dxa"/>
            <w:tcBorders>
              <w:top w:val="single" w:color="000000" w:sz="4" w:space="0"/>
              <w:left w:val="single" w:color="000000" w:sz="4" w:space="0"/>
              <w:bottom w:val="single" w:color="000000" w:sz="4" w:space="0"/>
              <w:right w:val="single" w:color="000000" w:sz="4" w:space="0"/>
            </w:tcBorders>
            <w:noWrap w:val="0"/>
            <w:vAlign w:val="top"/>
          </w:tcPr>
          <w:p w14:paraId="6D8546CC">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c>
          <w:tcPr>
            <w:tcW w:w="2129" w:type="dxa"/>
            <w:tcBorders>
              <w:top w:val="single" w:color="000000" w:sz="4" w:space="0"/>
              <w:left w:val="single" w:color="000000" w:sz="4" w:space="0"/>
              <w:bottom w:val="single" w:color="000000" w:sz="4" w:space="0"/>
              <w:right w:val="single" w:color="000000" w:sz="4" w:space="0"/>
            </w:tcBorders>
            <w:noWrap w:val="0"/>
            <w:vAlign w:val="top"/>
          </w:tcPr>
          <w:p w14:paraId="5F5F87E6">
            <w:pPr>
              <w:keepNext w:val="0"/>
              <w:keepLines w:val="0"/>
              <w:suppressLineNumbers w:val="0"/>
              <w:spacing w:before="0" w:beforeAutospacing="0" w:afterAutospacing="0" w:line="480" w:lineRule="auto"/>
              <w:ind w:left="0" w:right="0"/>
              <w:jc w:val="center"/>
              <w:rPr>
                <w:rFonts w:hint="default" w:ascii="宋体" w:hAnsi="宋体" w:cs="宋体"/>
                <w:color w:val="auto"/>
                <w:kern w:val="2"/>
                <w:szCs w:val="21"/>
                <w:highlight w:val="none"/>
              </w:rPr>
            </w:pPr>
          </w:p>
        </w:tc>
      </w:tr>
    </w:tbl>
    <w:p w14:paraId="64A39D46">
      <w:pPr>
        <w:rPr>
          <w:rFonts w:hint="eastAsia" w:ascii="宋体" w:hAnsi="宋体" w:cs="宋体"/>
          <w:color w:val="auto"/>
          <w:kern w:val="1"/>
          <w:szCs w:val="21"/>
          <w:highlight w:val="none"/>
          <w:lang w:val="zh-CN"/>
        </w:rPr>
      </w:pPr>
      <w:r>
        <w:rPr>
          <w:rFonts w:hint="eastAsia" w:ascii="宋体" w:hAnsi="宋体" w:cs="宋体"/>
          <w:color w:val="auto"/>
          <w:kern w:val="1"/>
          <w:szCs w:val="21"/>
          <w:highlight w:val="none"/>
          <w:lang w:val="zh-CN"/>
        </w:rPr>
        <w:t>注： 获奖业绩提供需满足评审要求。</w:t>
      </w:r>
    </w:p>
    <w:p w14:paraId="1E11E97B">
      <w:pPr>
        <w:spacing w:line="360" w:lineRule="auto"/>
        <w:rPr>
          <w:rFonts w:hint="eastAsia" w:ascii="宋体" w:hAnsi="宋体" w:cs="宋体"/>
          <w:color w:val="auto"/>
          <w:kern w:val="1"/>
          <w:szCs w:val="21"/>
          <w:highlight w:val="none"/>
        </w:rPr>
      </w:pPr>
    </w:p>
    <w:p w14:paraId="7C387AFF">
      <w:pPr>
        <w:pStyle w:val="2"/>
        <w:ind w:left="420" w:firstLine="420"/>
        <w:rPr>
          <w:rFonts w:hint="eastAsia" w:cs="宋体"/>
          <w:color w:val="auto"/>
          <w:highlight w:val="none"/>
        </w:rPr>
      </w:pPr>
    </w:p>
    <w:p w14:paraId="7EABDEB4">
      <w:pPr>
        <w:tabs>
          <w:tab w:val="left" w:pos="7655"/>
        </w:tabs>
        <w:ind w:right="492"/>
        <w:jc w:val="right"/>
        <w:rPr>
          <w:rFonts w:hint="eastAsia"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(盖公章) </w:t>
      </w:r>
    </w:p>
    <w:p w14:paraId="58FE7378">
      <w:pPr>
        <w:pStyle w:val="35"/>
        <w:ind w:left="420" w:right="492" w:firstLine="492"/>
        <w:jc w:val="right"/>
        <w:rPr>
          <w:color w:val="auto"/>
          <w:highlight w:val="none"/>
          <w:lang w:val="zh-CN" w:eastAsia="zh-CN"/>
        </w:rPr>
      </w:pPr>
      <w:r>
        <w:rPr>
          <w:rFonts w:hint="eastAsia" w:ascii="宋体" w:hAnsi="宋体" w:cs="宋体"/>
          <w:color w:val="auto"/>
          <w:spacing w:val="18"/>
          <w:kern w:val="1"/>
          <w:szCs w:val="21"/>
          <w:highlight w:val="none"/>
          <w:lang w:val="zh-CN" w:eastAsia="zh-CN"/>
        </w:rPr>
        <w:t>日期：</w:t>
      </w:r>
      <w:r>
        <w:rPr>
          <w:rFonts w:hint="eastAsia" w:ascii="宋体" w:hAnsi="宋体" w:cs="宋体"/>
          <w:color w:val="auto"/>
          <w:spacing w:val="18"/>
          <w:kern w:val="1"/>
          <w:szCs w:val="21"/>
          <w:highlight w:val="none"/>
          <w:lang w:eastAsia="zh-CN"/>
        </w:rPr>
        <w:t xml:space="preserve">  </w:t>
      </w:r>
      <w:r>
        <w:rPr>
          <w:rFonts w:hint="eastAsia" w:ascii="宋体" w:hAnsi="宋体" w:cs="宋体"/>
          <w:color w:val="auto"/>
          <w:spacing w:val="18"/>
          <w:kern w:val="1"/>
          <w:szCs w:val="21"/>
          <w:highlight w:val="none"/>
          <w:lang w:val="zh-CN" w:eastAsia="zh-CN"/>
        </w:rPr>
        <w:t>年</w:t>
      </w:r>
      <w:r>
        <w:rPr>
          <w:rFonts w:hint="eastAsia" w:ascii="宋体" w:hAnsi="宋体" w:cs="宋体"/>
          <w:color w:val="auto"/>
          <w:spacing w:val="18"/>
          <w:kern w:val="1"/>
          <w:szCs w:val="21"/>
          <w:highlight w:val="none"/>
          <w:lang w:eastAsia="zh-CN"/>
        </w:rPr>
        <w:t xml:space="preserve">  </w:t>
      </w:r>
      <w:r>
        <w:rPr>
          <w:rFonts w:hint="eastAsia" w:ascii="宋体" w:hAnsi="宋体" w:cs="宋体"/>
          <w:color w:val="auto"/>
          <w:spacing w:val="18"/>
          <w:kern w:val="1"/>
          <w:szCs w:val="21"/>
          <w:highlight w:val="none"/>
          <w:lang w:val="zh-CN" w:eastAsia="zh-CN"/>
        </w:rPr>
        <w:t>月</w:t>
      </w:r>
      <w:r>
        <w:rPr>
          <w:rFonts w:hint="eastAsia" w:ascii="宋体" w:hAnsi="宋体" w:cs="宋体"/>
          <w:color w:val="auto"/>
          <w:spacing w:val="18"/>
          <w:kern w:val="1"/>
          <w:szCs w:val="21"/>
          <w:highlight w:val="none"/>
          <w:lang w:eastAsia="zh-CN"/>
        </w:rPr>
        <w:t xml:space="preserve">  </w:t>
      </w:r>
      <w:r>
        <w:rPr>
          <w:rFonts w:hint="eastAsia" w:ascii="宋体" w:hAnsi="宋体" w:cs="宋体"/>
          <w:color w:val="auto"/>
          <w:spacing w:val="18"/>
          <w:kern w:val="1"/>
          <w:szCs w:val="21"/>
          <w:highlight w:val="none"/>
          <w:lang w:val="zh-CN" w:eastAsia="zh-CN"/>
        </w:rPr>
        <w:t>日</w:t>
      </w:r>
    </w:p>
    <w:p w14:paraId="11F05EC4">
      <w:pPr>
        <w:tabs>
          <w:tab w:val="left" w:pos="7655"/>
        </w:tabs>
        <w:spacing w:line="360" w:lineRule="auto"/>
        <w:ind w:right="492"/>
        <w:jc w:val="left"/>
        <w:rPr>
          <w:rFonts w:ascii="宋体" w:hAnsi="宋体" w:cs="宋体"/>
          <w:b/>
          <w:color w:val="auto"/>
          <w:kern w:val="1"/>
          <w:sz w:val="24"/>
          <w:highlight w:val="none"/>
        </w:rPr>
      </w:pPr>
      <w:r>
        <w:rPr>
          <w:rFonts w:hint="eastAsia" w:ascii="宋体" w:hAnsi="宋体" w:cs="宋体"/>
          <w:color w:val="auto"/>
          <w:spacing w:val="18"/>
          <w:kern w:val="1"/>
          <w:sz w:val="28"/>
          <w:szCs w:val="28"/>
          <w:highlight w:val="none"/>
          <w:lang w:val="zh-CN"/>
        </w:rPr>
        <w:br w:type="page"/>
      </w:r>
      <w:r>
        <w:rPr>
          <w:rFonts w:hint="eastAsia" w:ascii="宋体" w:hAnsi="宋体" w:cs="宋体"/>
          <w:b/>
          <w:color w:val="auto"/>
          <w:kern w:val="1"/>
          <w:sz w:val="24"/>
          <w:highlight w:val="none"/>
        </w:rPr>
        <w:t>格式10：</w:t>
      </w:r>
    </w:p>
    <w:p w14:paraId="1B107F6A">
      <w:pPr>
        <w:spacing w:line="360" w:lineRule="auto"/>
        <w:jc w:val="center"/>
        <w:rPr>
          <w:rFonts w:hint="eastAsia" w:ascii="宋体" w:hAnsi="宋体" w:cs="宋体"/>
          <w:b/>
          <w:color w:val="auto"/>
          <w:kern w:val="1"/>
          <w:sz w:val="28"/>
          <w:szCs w:val="28"/>
          <w:highlight w:val="none"/>
          <w:lang w:val="zh-CN"/>
        </w:rPr>
      </w:pPr>
      <w:r>
        <w:rPr>
          <w:rFonts w:hint="eastAsia" w:ascii="宋体" w:hAnsi="宋体" w:cs="宋体"/>
          <w:b/>
          <w:color w:val="auto"/>
          <w:spacing w:val="4"/>
          <w:sz w:val="32"/>
          <w:szCs w:val="32"/>
          <w:highlight w:val="none"/>
        </w:rPr>
        <w:t>工程总承包实施方案</w:t>
      </w:r>
    </w:p>
    <w:p w14:paraId="11BF4582">
      <w:pPr>
        <w:pStyle w:val="2"/>
        <w:spacing w:line="240" w:lineRule="auto"/>
        <w:rPr>
          <w:rFonts w:cs="宋体"/>
          <w:color w:val="auto"/>
          <w:spacing w:val="18"/>
          <w:kern w:val="1"/>
          <w:sz w:val="21"/>
          <w:szCs w:val="21"/>
          <w:highlight w:val="none"/>
        </w:rPr>
      </w:pPr>
      <w:r>
        <w:rPr>
          <w:rFonts w:hint="eastAsia" w:cs="宋体"/>
          <w:color w:val="auto"/>
          <w:sz w:val="24"/>
          <w:szCs w:val="24"/>
          <w:highlight w:val="none"/>
        </w:rPr>
        <w:t>注：按照《工程总承包实施方案技术部分评分表》评审内容提交，格式自拟。</w:t>
      </w:r>
    </w:p>
    <w:p w14:paraId="24295C74">
      <w:pPr>
        <w:pStyle w:val="2"/>
        <w:spacing w:line="360" w:lineRule="auto"/>
        <w:rPr>
          <w:color w:val="auto"/>
          <w:highlight w:val="none"/>
        </w:rPr>
      </w:pPr>
    </w:p>
    <w:p w14:paraId="63107EDA">
      <w:pPr>
        <w:pStyle w:val="49"/>
        <w:rPr>
          <w:color w:val="auto"/>
          <w:highlight w:val="none"/>
        </w:rPr>
      </w:pPr>
      <w:r>
        <w:rPr>
          <w:color w:val="auto"/>
          <w:highlight w:val="none"/>
        </w:rPr>
        <w:br w:type="page"/>
      </w:r>
      <w:bookmarkStart w:id="407" w:name="_Hlk56526665"/>
      <w:r>
        <w:rPr>
          <w:rFonts w:hint="eastAsia" w:cs="宋体"/>
          <w:b/>
          <w:color w:val="auto"/>
          <w:kern w:val="1"/>
          <w:highlight w:val="none"/>
        </w:rPr>
        <w:t>格式</w:t>
      </w:r>
      <w:r>
        <w:rPr>
          <w:rFonts w:cs="宋体"/>
          <w:b/>
          <w:color w:val="auto"/>
          <w:kern w:val="1"/>
          <w:highlight w:val="none"/>
        </w:rPr>
        <w:t>1</w:t>
      </w:r>
      <w:r>
        <w:rPr>
          <w:rFonts w:hint="eastAsia" w:cs="宋体"/>
          <w:b/>
          <w:color w:val="auto"/>
          <w:kern w:val="1"/>
          <w:highlight w:val="none"/>
        </w:rPr>
        <w:t>1：</w:t>
      </w:r>
    </w:p>
    <w:p w14:paraId="0D1A29EA">
      <w:pPr>
        <w:pStyle w:val="34"/>
        <w:spacing w:line="360" w:lineRule="auto"/>
        <w:ind w:left="-2" w:firstLine="632"/>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参与编制工程总承包实施方案技术投标文件人员名单</w:t>
      </w:r>
    </w:p>
    <w:tbl>
      <w:tblPr>
        <w:tblStyle w:val="36"/>
        <w:tblW w:w="0" w:type="auto"/>
        <w:jc w:val="center"/>
        <w:tblLayout w:type="fixed"/>
        <w:tblCellMar>
          <w:top w:w="0" w:type="dxa"/>
          <w:left w:w="108" w:type="dxa"/>
          <w:bottom w:w="0" w:type="dxa"/>
          <w:right w:w="108" w:type="dxa"/>
        </w:tblCellMar>
      </w:tblPr>
      <w:tblGrid>
        <w:gridCol w:w="1621"/>
        <w:gridCol w:w="1311"/>
        <w:gridCol w:w="2320"/>
        <w:gridCol w:w="2449"/>
        <w:gridCol w:w="1684"/>
      </w:tblGrid>
      <w:tr w14:paraId="36ABB07D">
        <w:tblPrEx>
          <w:tblCellMar>
            <w:top w:w="0" w:type="dxa"/>
            <w:left w:w="108" w:type="dxa"/>
            <w:bottom w:w="0" w:type="dxa"/>
            <w:right w:w="108" w:type="dxa"/>
          </w:tblCellMar>
        </w:tblPrEx>
        <w:trPr>
          <w:trHeight w:val="462" w:hRule="atLeast"/>
          <w:jc w:val="center"/>
        </w:trPr>
        <w:tc>
          <w:tcPr>
            <w:tcW w:w="1621" w:type="dxa"/>
            <w:tcBorders>
              <w:top w:val="single" w:color="000000" w:sz="4" w:space="0"/>
              <w:left w:val="single" w:color="000000" w:sz="4" w:space="0"/>
              <w:bottom w:val="single" w:color="000000" w:sz="6" w:space="0"/>
              <w:right w:val="single" w:color="000000" w:sz="6" w:space="0"/>
            </w:tcBorders>
            <w:noWrap w:val="0"/>
            <w:vAlign w:val="center"/>
          </w:tcPr>
          <w:p w14:paraId="69F81D79">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rPr>
              <w:t>姓名</w:t>
            </w:r>
          </w:p>
        </w:tc>
        <w:tc>
          <w:tcPr>
            <w:tcW w:w="1311" w:type="dxa"/>
            <w:tcBorders>
              <w:top w:val="single" w:color="000000" w:sz="4" w:space="0"/>
              <w:left w:val="single" w:color="000000" w:sz="6" w:space="0"/>
              <w:bottom w:val="single" w:color="000000" w:sz="6" w:space="0"/>
              <w:right w:val="single" w:color="000000" w:sz="6" w:space="0"/>
            </w:tcBorders>
            <w:noWrap w:val="0"/>
            <w:vAlign w:val="center"/>
          </w:tcPr>
          <w:p w14:paraId="7F618BE2">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rPr>
              <w:t>职务</w:t>
            </w:r>
          </w:p>
        </w:tc>
        <w:tc>
          <w:tcPr>
            <w:tcW w:w="2320" w:type="dxa"/>
            <w:tcBorders>
              <w:top w:val="single" w:color="000000" w:sz="4" w:space="0"/>
              <w:left w:val="single" w:color="000000" w:sz="6" w:space="0"/>
              <w:bottom w:val="single" w:color="000000" w:sz="6" w:space="0"/>
              <w:right w:val="single" w:color="000000" w:sz="6" w:space="0"/>
            </w:tcBorders>
            <w:noWrap w:val="0"/>
            <w:vAlign w:val="center"/>
          </w:tcPr>
          <w:p w14:paraId="7C7F53DE">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rPr>
              <w:t>所承担工作</w:t>
            </w:r>
          </w:p>
        </w:tc>
        <w:tc>
          <w:tcPr>
            <w:tcW w:w="2449" w:type="dxa"/>
            <w:tcBorders>
              <w:top w:val="single" w:color="000000" w:sz="4" w:space="0"/>
              <w:left w:val="single" w:color="000000" w:sz="6" w:space="0"/>
              <w:bottom w:val="single" w:color="000000" w:sz="6" w:space="0"/>
              <w:right w:val="single" w:color="000000" w:sz="6" w:space="0"/>
            </w:tcBorders>
            <w:noWrap w:val="0"/>
            <w:vAlign w:val="center"/>
          </w:tcPr>
          <w:p w14:paraId="34DE5DE9">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rPr>
              <w:t>身份证号码</w:t>
            </w:r>
          </w:p>
        </w:tc>
        <w:tc>
          <w:tcPr>
            <w:tcW w:w="1684" w:type="dxa"/>
            <w:tcBorders>
              <w:top w:val="single" w:color="000000" w:sz="4" w:space="0"/>
              <w:left w:val="single" w:color="000000" w:sz="6" w:space="0"/>
              <w:bottom w:val="single" w:color="000000" w:sz="6" w:space="0"/>
              <w:right w:val="single" w:color="000000" w:sz="4" w:space="0"/>
            </w:tcBorders>
            <w:noWrap w:val="0"/>
            <w:vAlign w:val="center"/>
          </w:tcPr>
          <w:p w14:paraId="203B56DD">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r>
              <w:rPr>
                <w:rFonts w:hint="default" w:ascii="宋体" w:hAnsi="宋体" w:cs="宋体"/>
                <w:color w:val="auto"/>
                <w:kern w:val="1"/>
                <w:szCs w:val="21"/>
                <w:highlight w:val="none"/>
              </w:rPr>
              <w:t>本人签名栏</w:t>
            </w:r>
          </w:p>
        </w:tc>
      </w:tr>
      <w:tr w14:paraId="61402082">
        <w:tblPrEx>
          <w:tblCellMar>
            <w:top w:w="0" w:type="dxa"/>
            <w:left w:w="108" w:type="dxa"/>
            <w:bottom w:w="0" w:type="dxa"/>
            <w:right w:w="108" w:type="dxa"/>
          </w:tblCellMar>
        </w:tblPrEx>
        <w:trPr>
          <w:trHeight w:val="468" w:hRule="atLeast"/>
          <w:jc w:val="center"/>
        </w:trPr>
        <w:tc>
          <w:tcPr>
            <w:tcW w:w="1621" w:type="dxa"/>
            <w:tcBorders>
              <w:top w:val="single" w:color="000000" w:sz="6" w:space="0"/>
              <w:left w:val="single" w:color="000000" w:sz="4" w:space="0"/>
              <w:bottom w:val="single" w:color="000000" w:sz="6" w:space="0"/>
              <w:right w:val="single" w:color="000000" w:sz="6" w:space="0"/>
            </w:tcBorders>
            <w:noWrap w:val="0"/>
            <w:vAlign w:val="center"/>
          </w:tcPr>
          <w:p w14:paraId="75F71AA0">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1F06D842">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320" w:type="dxa"/>
            <w:tcBorders>
              <w:top w:val="single" w:color="000000" w:sz="6" w:space="0"/>
              <w:left w:val="single" w:color="000000" w:sz="6" w:space="0"/>
              <w:bottom w:val="single" w:color="000000" w:sz="6" w:space="0"/>
              <w:right w:val="single" w:color="000000" w:sz="6" w:space="0"/>
            </w:tcBorders>
            <w:noWrap w:val="0"/>
            <w:vAlign w:val="center"/>
          </w:tcPr>
          <w:p w14:paraId="3A9A6092">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449" w:type="dxa"/>
            <w:tcBorders>
              <w:top w:val="single" w:color="000000" w:sz="6" w:space="0"/>
              <w:left w:val="single" w:color="000000" w:sz="6" w:space="0"/>
              <w:bottom w:val="single" w:color="000000" w:sz="6" w:space="0"/>
              <w:right w:val="single" w:color="000000" w:sz="6" w:space="0"/>
            </w:tcBorders>
            <w:noWrap w:val="0"/>
            <w:vAlign w:val="center"/>
          </w:tcPr>
          <w:p w14:paraId="353C3EC1">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684" w:type="dxa"/>
            <w:tcBorders>
              <w:top w:val="single" w:color="000000" w:sz="6" w:space="0"/>
              <w:left w:val="single" w:color="000000" w:sz="6" w:space="0"/>
              <w:bottom w:val="single" w:color="000000" w:sz="6" w:space="0"/>
              <w:right w:val="single" w:color="000000" w:sz="4" w:space="0"/>
            </w:tcBorders>
            <w:noWrap w:val="0"/>
            <w:vAlign w:val="center"/>
          </w:tcPr>
          <w:p w14:paraId="167C4C8F">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r>
      <w:tr w14:paraId="5A792EDD">
        <w:tblPrEx>
          <w:tblCellMar>
            <w:top w:w="0" w:type="dxa"/>
            <w:left w:w="108" w:type="dxa"/>
            <w:bottom w:w="0" w:type="dxa"/>
            <w:right w:w="108" w:type="dxa"/>
          </w:tblCellMar>
        </w:tblPrEx>
        <w:trPr>
          <w:trHeight w:val="446" w:hRule="atLeast"/>
          <w:jc w:val="center"/>
        </w:trPr>
        <w:tc>
          <w:tcPr>
            <w:tcW w:w="1621" w:type="dxa"/>
            <w:tcBorders>
              <w:top w:val="single" w:color="000000" w:sz="6" w:space="0"/>
              <w:left w:val="single" w:color="000000" w:sz="4" w:space="0"/>
              <w:bottom w:val="single" w:color="000000" w:sz="6" w:space="0"/>
              <w:right w:val="single" w:color="000000" w:sz="6" w:space="0"/>
            </w:tcBorders>
            <w:noWrap w:val="0"/>
            <w:vAlign w:val="center"/>
          </w:tcPr>
          <w:p w14:paraId="1755E704">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404AEEB7">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320" w:type="dxa"/>
            <w:tcBorders>
              <w:top w:val="single" w:color="000000" w:sz="6" w:space="0"/>
              <w:left w:val="single" w:color="000000" w:sz="6" w:space="0"/>
              <w:bottom w:val="single" w:color="000000" w:sz="6" w:space="0"/>
              <w:right w:val="single" w:color="000000" w:sz="6" w:space="0"/>
            </w:tcBorders>
            <w:noWrap w:val="0"/>
            <w:vAlign w:val="center"/>
          </w:tcPr>
          <w:p w14:paraId="2F4145E1">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449" w:type="dxa"/>
            <w:tcBorders>
              <w:top w:val="single" w:color="000000" w:sz="6" w:space="0"/>
              <w:left w:val="single" w:color="000000" w:sz="6" w:space="0"/>
              <w:bottom w:val="single" w:color="000000" w:sz="6" w:space="0"/>
              <w:right w:val="single" w:color="000000" w:sz="6" w:space="0"/>
            </w:tcBorders>
            <w:noWrap w:val="0"/>
            <w:vAlign w:val="center"/>
          </w:tcPr>
          <w:p w14:paraId="035E94FD">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684" w:type="dxa"/>
            <w:tcBorders>
              <w:top w:val="single" w:color="000000" w:sz="6" w:space="0"/>
              <w:left w:val="single" w:color="000000" w:sz="6" w:space="0"/>
              <w:bottom w:val="single" w:color="000000" w:sz="6" w:space="0"/>
              <w:right w:val="single" w:color="000000" w:sz="4" w:space="0"/>
            </w:tcBorders>
            <w:noWrap w:val="0"/>
            <w:vAlign w:val="center"/>
          </w:tcPr>
          <w:p w14:paraId="04718F20">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r>
      <w:tr w14:paraId="517EF807">
        <w:tblPrEx>
          <w:tblCellMar>
            <w:top w:w="0" w:type="dxa"/>
            <w:left w:w="108" w:type="dxa"/>
            <w:bottom w:w="0" w:type="dxa"/>
            <w:right w:w="108" w:type="dxa"/>
          </w:tblCellMar>
        </w:tblPrEx>
        <w:trPr>
          <w:trHeight w:val="446" w:hRule="atLeast"/>
          <w:jc w:val="center"/>
        </w:trPr>
        <w:tc>
          <w:tcPr>
            <w:tcW w:w="1621" w:type="dxa"/>
            <w:tcBorders>
              <w:top w:val="single" w:color="000000" w:sz="6" w:space="0"/>
              <w:left w:val="single" w:color="000000" w:sz="4" w:space="0"/>
              <w:bottom w:val="single" w:color="000000" w:sz="6" w:space="0"/>
              <w:right w:val="single" w:color="000000" w:sz="6" w:space="0"/>
            </w:tcBorders>
            <w:noWrap w:val="0"/>
            <w:vAlign w:val="center"/>
          </w:tcPr>
          <w:p w14:paraId="45CC3961">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0C0A3E4C">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320" w:type="dxa"/>
            <w:tcBorders>
              <w:top w:val="single" w:color="000000" w:sz="6" w:space="0"/>
              <w:left w:val="single" w:color="000000" w:sz="6" w:space="0"/>
              <w:bottom w:val="single" w:color="000000" w:sz="6" w:space="0"/>
              <w:right w:val="single" w:color="000000" w:sz="6" w:space="0"/>
            </w:tcBorders>
            <w:noWrap w:val="0"/>
            <w:vAlign w:val="center"/>
          </w:tcPr>
          <w:p w14:paraId="0BA1BF28">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449" w:type="dxa"/>
            <w:tcBorders>
              <w:top w:val="single" w:color="000000" w:sz="6" w:space="0"/>
              <w:left w:val="single" w:color="000000" w:sz="6" w:space="0"/>
              <w:bottom w:val="single" w:color="000000" w:sz="6" w:space="0"/>
              <w:right w:val="single" w:color="000000" w:sz="6" w:space="0"/>
            </w:tcBorders>
            <w:noWrap w:val="0"/>
            <w:vAlign w:val="center"/>
          </w:tcPr>
          <w:p w14:paraId="07A083E1">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684" w:type="dxa"/>
            <w:tcBorders>
              <w:top w:val="single" w:color="000000" w:sz="6" w:space="0"/>
              <w:left w:val="single" w:color="000000" w:sz="6" w:space="0"/>
              <w:bottom w:val="single" w:color="000000" w:sz="6" w:space="0"/>
              <w:right w:val="single" w:color="000000" w:sz="4" w:space="0"/>
            </w:tcBorders>
            <w:noWrap w:val="0"/>
            <w:vAlign w:val="center"/>
          </w:tcPr>
          <w:p w14:paraId="3B380808">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r>
      <w:tr w14:paraId="28E492C6">
        <w:tblPrEx>
          <w:tblCellMar>
            <w:top w:w="0" w:type="dxa"/>
            <w:left w:w="108" w:type="dxa"/>
            <w:bottom w:w="0" w:type="dxa"/>
            <w:right w:w="108" w:type="dxa"/>
          </w:tblCellMar>
        </w:tblPrEx>
        <w:trPr>
          <w:trHeight w:val="446" w:hRule="atLeast"/>
          <w:jc w:val="center"/>
        </w:trPr>
        <w:tc>
          <w:tcPr>
            <w:tcW w:w="1621" w:type="dxa"/>
            <w:tcBorders>
              <w:top w:val="single" w:color="000000" w:sz="6" w:space="0"/>
              <w:left w:val="single" w:color="000000" w:sz="4" w:space="0"/>
              <w:bottom w:val="single" w:color="000000" w:sz="6" w:space="0"/>
              <w:right w:val="single" w:color="000000" w:sz="6" w:space="0"/>
            </w:tcBorders>
            <w:noWrap w:val="0"/>
            <w:vAlign w:val="center"/>
          </w:tcPr>
          <w:p w14:paraId="42F9E8FE">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7FD4DF87">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320" w:type="dxa"/>
            <w:tcBorders>
              <w:top w:val="single" w:color="000000" w:sz="6" w:space="0"/>
              <w:left w:val="single" w:color="000000" w:sz="6" w:space="0"/>
              <w:bottom w:val="single" w:color="000000" w:sz="6" w:space="0"/>
              <w:right w:val="single" w:color="000000" w:sz="6" w:space="0"/>
            </w:tcBorders>
            <w:noWrap w:val="0"/>
            <w:vAlign w:val="center"/>
          </w:tcPr>
          <w:p w14:paraId="4428FBBB">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449" w:type="dxa"/>
            <w:tcBorders>
              <w:top w:val="single" w:color="000000" w:sz="6" w:space="0"/>
              <w:left w:val="single" w:color="000000" w:sz="6" w:space="0"/>
              <w:bottom w:val="single" w:color="000000" w:sz="6" w:space="0"/>
              <w:right w:val="single" w:color="000000" w:sz="6" w:space="0"/>
            </w:tcBorders>
            <w:noWrap w:val="0"/>
            <w:vAlign w:val="center"/>
          </w:tcPr>
          <w:p w14:paraId="78C1A8A4">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684" w:type="dxa"/>
            <w:tcBorders>
              <w:top w:val="single" w:color="000000" w:sz="6" w:space="0"/>
              <w:left w:val="single" w:color="000000" w:sz="6" w:space="0"/>
              <w:bottom w:val="single" w:color="000000" w:sz="6" w:space="0"/>
              <w:right w:val="single" w:color="000000" w:sz="4" w:space="0"/>
            </w:tcBorders>
            <w:noWrap w:val="0"/>
            <w:vAlign w:val="center"/>
          </w:tcPr>
          <w:p w14:paraId="2277D5EE">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r>
      <w:tr w14:paraId="580D3AEC">
        <w:tblPrEx>
          <w:tblCellMar>
            <w:top w:w="0" w:type="dxa"/>
            <w:left w:w="108" w:type="dxa"/>
            <w:bottom w:w="0" w:type="dxa"/>
            <w:right w:w="108" w:type="dxa"/>
          </w:tblCellMar>
        </w:tblPrEx>
        <w:trPr>
          <w:trHeight w:val="446" w:hRule="atLeast"/>
          <w:jc w:val="center"/>
        </w:trPr>
        <w:tc>
          <w:tcPr>
            <w:tcW w:w="1621" w:type="dxa"/>
            <w:tcBorders>
              <w:top w:val="single" w:color="000000" w:sz="6" w:space="0"/>
              <w:left w:val="single" w:color="000000" w:sz="4" w:space="0"/>
              <w:bottom w:val="single" w:color="000000" w:sz="6" w:space="0"/>
              <w:right w:val="single" w:color="000000" w:sz="6" w:space="0"/>
            </w:tcBorders>
            <w:noWrap w:val="0"/>
            <w:vAlign w:val="center"/>
          </w:tcPr>
          <w:p w14:paraId="4121E516">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21B6A615">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320" w:type="dxa"/>
            <w:tcBorders>
              <w:top w:val="single" w:color="000000" w:sz="6" w:space="0"/>
              <w:left w:val="single" w:color="000000" w:sz="6" w:space="0"/>
              <w:bottom w:val="single" w:color="000000" w:sz="6" w:space="0"/>
              <w:right w:val="single" w:color="000000" w:sz="6" w:space="0"/>
            </w:tcBorders>
            <w:noWrap w:val="0"/>
            <w:vAlign w:val="center"/>
          </w:tcPr>
          <w:p w14:paraId="27B1A601">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449" w:type="dxa"/>
            <w:tcBorders>
              <w:top w:val="single" w:color="000000" w:sz="6" w:space="0"/>
              <w:left w:val="single" w:color="000000" w:sz="6" w:space="0"/>
              <w:bottom w:val="single" w:color="000000" w:sz="6" w:space="0"/>
              <w:right w:val="single" w:color="000000" w:sz="6" w:space="0"/>
            </w:tcBorders>
            <w:noWrap w:val="0"/>
            <w:vAlign w:val="center"/>
          </w:tcPr>
          <w:p w14:paraId="3F60A9E9">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684" w:type="dxa"/>
            <w:tcBorders>
              <w:top w:val="single" w:color="000000" w:sz="6" w:space="0"/>
              <w:left w:val="single" w:color="000000" w:sz="6" w:space="0"/>
              <w:bottom w:val="single" w:color="000000" w:sz="6" w:space="0"/>
              <w:right w:val="single" w:color="000000" w:sz="4" w:space="0"/>
            </w:tcBorders>
            <w:noWrap w:val="0"/>
            <w:vAlign w:val="center"/>
          </w:tcPr>
          <w:p w14:paraId="45B53C23">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r>
      <w:tr w14:paraId="4CEE76FC">
        <w:tblPrEx>
          <w:tblCellMar>
            <w:top w:w="0" w:type="dxa"/>
            <w:left w:w="108" w:type="dxa"/>
            <w:bottom w:w="0" w:type="dxa"/>
            <w:right w:w="108" w:type="dxa"/>
          </w:tblCellMar>
        </w:tblPrEx>
        <w:trPr>
          <w:trHeight w:val="446" w:hRule="atLeast"/>
          <w:jc w:val="center"/>
        </w:trPr>
        <w:tc>
          <w:tcPr>
            <w:tcW w:w="1621" w:type="dxa"/>
            <w:tcBorders>
              <w:top w:val="single" w:color="000000" w:sz="6" w:space="0"/>
              <w:left w:val="single" w:color="000000" w:sz="4" w:space="0"/>
              <w:bottom w:val="single" w:color="000000" w:sz="6" w:space="0"/>
              <w:right w:val="single" w:color="000000" w:sz="6" w:space="0"/>
            </w:tcBorders>
            <w:noWrap w:val="0"/>
            <w:vAlign w:val="center"/>
          </w:tcPr>
          <w:p w14:paraId="3F3EF0F1">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5532A255">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320" w:type="dxa"/>
            <w:tcBorders>
              <w:top w:val="single" w:color="000000" w:sz="6" w:space="0"/>
              <w:left w:val="single" w:color="000000" w:sz="6" w:space="0"/>
              <w:bottom w:val="single" w:color="000000" w:sz="6" w:space="0"/>
              <w:right w:val="single" w:color="000000" w:sz="6" w:space="0"/>
            </w:tcBorders>
            <w:noWrap w:val="0"/>
            <w:vAlign w:val="center"/>
          </w:tcPr>
          <w:p w14:paraId="6794EEE1">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449" w:type="dxa"/>
            <w:tcBorders>
              <w:top w:val="single" w:color="000000" w:sz="6" w:space="0"/>
              <w:left w:val="single" w:color="000000" w:sz="6" w:space="0"/>
              <w:bottom w:val="single" w:color="000000" w:sz="6" w:space="0"/>
              <w:right w:val="single" w:color="000000" w:sz="6" w:space="0"/>
            </w:tcBorders>
            <w:noWrap w:val="0"/>
            <w:vAlign w:val="center"/>
          </w:tcPr>
          <w:p w14:paraId="515D66E4">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684" w:type="dxa"/>
            <w:tcBorders>
              <w:top w:val="single" w:color="000000" w:sz="6" w:space="0"/>
              <w:left w:val="single" w:color="000000" w:sz="6" w:space="0"/>
              <w:bottom w:val="single" w:color="000000" w:sz="6" w:space="0"/>
              <w:right w:val="single" w:color="000000" w:sz="4" w:space="0"/>
            </w:tcBorders>
            <w:noWrap w:val="0"/>
            <w:vAlign w:val="center"/>
          </w:tcPr>
          <w:p w14:paraId="52BDC219">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r>
      <w:tr w14:paraId="52E04BFD">
        <w:tblPrEx>
          <w:tblCellMar>
            <w:top w:w="0" w:type="dxa"/>
            <w:left w:w="108" w:type="dxa"/>
            <w:bottom w:w="0" w:type="dxa"/>
            <w:right w:w="108" w:type="dxa"/>
          </w:tblCellMar>
        </w:tblPrEx>
        <w:trPr>
          <w:trHeight w:val="446" w:hRule="atLeast"/>
          <w:jc w:val="center"/>
        </w:trPr>
        <w:tc>
          <w:tcPr>
            <w:tcW w:w="1621" w:type="dxa"/>
            <w:tcBorders>
              <w:top w:val="single" w:color="000000" w:sz="6" w:space="0"/>
              <w:left w:val="single" w:color="000000" w:sz="4" w:space="0"/>
              <w:bottom w:val="single" w:color="000000" w:sz="6" w:space="0"/>
              <w:right w:val="single" w:color="000000" w:sz="6" w:space="0"/>
            </w:tcBorders>
            <w:noWrap w:val="0"/>
            <w:vAlign w:val="center"/>
          </w:tcPr>
          <w:p w14:paraId="203E352B">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07C90A63">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320" w:type="dxa"/>
            <w:tcBorders>
              <w:top w:val="single" w:color="000000" w:sz="6" w:space="0"/>
              <w:left w:val="single" w:color="000000" w:sz="6" w:space="0"/>
              <w:bottom w:val="single" w:color="000000" w:sz="6" w:space="0"/>
              <w:right w:val="single" w:color="000000" w:sz="6" w:space="0"/>
            </w:tcBorders>
            <w:noWrap w:val="0"/>
            <w:vAlign w:val="center"/>
          </w:tcPr>
          <w:p w14:paraId="5C73FED7">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449" w:type="dxa"/>
            <w:tcBorders>
              <w:top w:val="single" w:color="000000" w:sz="6" w:space="0"/>
              <w:left w:val="single" w:color="000000" w:sz="6" w:space="0"/>
              <w:bottom w:val="single" w:color="000000" w:sz="6" w:space="0"/>
              <w:right w:val="single" w:color="000000" w:sz="6" w:space="0"/>
            </w:tcBorders>
            <w:noWrap w:val="0"/>
            <w:vAlign w:val="center"/>
          </w:tcPr>
          <w:p w14:paraId="5C1E3298">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684" w:type="dxa"/>
            <w:tcBorders>
              <w:top w:val="single" w:color="000000" w:sz="6" w:space="0"/>
              <w:left w:val="single" w:color="000000" w:sz="6" w:space="0"/>
              <w:bottom w:val="single" w:color="000000" w:sz="6" w:space="0"/>
              <w:right w:val="single" w:color="000000" w:sz="4" w:space="0"/>
            </w:tcBorders>
            <w:noWrap w:val="0"/>
            <w:vAlign w:val="center"/>
          </w:tcPr>
          <w:p w14:paraId="1527D45B">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r>
      <w:tr w14:paraId="5C35C731">
        <w:tblPrEx>
          <w:tblCellMar>
            <w:top w:w="0" w:type="dxa"/>
            <w:left w:w="108" w:type="dxa"/>
            <w:bottom w:w="0" w:type="dxa"/>
            <w:right w:w="108" w:type="dxa"/>
          </w:tblCellMar>
        </w:tblPrEx>
        <w:trPr>
          <w:trHeight w:val="446" w:hRule="atLeast"/>
          <w:jc w:val="center"/>
        </w:trPr>
        <w:tc>
          <w:tcPr>
            <w:tcW w:w="1621" w:type="dxa"/>
            <w:tcBorders>
              <w:top w:val="single" w:color="000000" w:sz="6" w:space="0"/>
              <w:left w:val="single" w:color="000000" w:sz="4" w:space="0"/>
              <w:bottom w:val="single" w:color="000000" w:sz="6" w:space="0"/>
              <w:right w:val="single" w:color="000000" w:sz="6" w:space="0"/>
            </w:tcBorders>
            <w:noWrap w:val="0"/>
            <w:vAlign w:val="center"/>
          </w:tcPr>
          <w:p w14:paraId="753CC3B7">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4AA919B5">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320" w:type="dxa"/>
            <w:tcBorders>
              <w:top w:val="single" w:color="000000" w:sz="6" w:space="0"/>
              <w:left w:val="single" w:color="000000" w:sz="6" w:space="0"/>
              <w:bottom w:val="single" w:color="000000" w:sz="6" w:space="0"/>
              <w:right w:val="single" w:color="000000" w:sz="6" w:space="0"/>
            </w:tcBorders>
            <w:noWrap w:val="0"/>
            <w:vAlign w:val="center"/>
          </w:tcPr>
          <w:p w14:paraId="5B94E406">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449" w:type="dxa"/>
            <w:tcBorders>
              <w:top w:val="single" w:color="000000" w:sz="6" w:space="0"/>
              <w:left w:val="single" w:color="000000" w:sz="6" w:space="0"/>
              <w:bottom w:val="single" w:color="000000" w:sz="6" w:space="0"/>
              <w:right w:val="single" w:color="000000" w:sz="6" w:space="0"/>
            </w:tcBorders>
            <w:noWrap w:val="0"/>
            <w:vAlign w:val="center"/>
          </w:tcPr>
          <w:p w14:paraId="678DF7B7">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684" w:type="dxa"/>
            <w:tcBorders>
              <w:top w:val="single" w:color="000000" w:sz="6" w:space="0"/>
              <w:left w:val="single" w:color="000000" w:sz="6" w:space="0"/>
              <w:bottom w:val="single" w:color="000000" w:sz="6" w:space="0"/>
              <w:right w:val="single" w:color="000000" w:sz="4" w:space="0"/>
            </w:tcBorders>
            <w:noWrap w:val="0"/>
            <w:vAlign w:val="center"/>
          </w:tcPr>
          <w:p w14:paraId="2AFA07BE">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r>
      <w:tr w14:paraId="4940CC07">
        <w:tblPrEx>
          <w:tblCellMar>
            <w:top w:w="0" w:type="dxa"/>
            <w:left w:w="108" w:type="dxa"/>
            <w:bottom w:w="0" w:type="dxa"/>
            <w:right w:w="108" w:type="dxa"/>
          </w:tblCellMar>
        </w:tblPrEx>
        <w:trPr>
          <w:trHeight w:val="446" w:hRule="atLeast"/>
          <w:jc w:val="center"/>
        </w:trPr>
        <w:tc>
          <w:tcPr>
            <w:tcW w:w="1621" w:type="dxa"/>
            <w:tcBorders>
              <w:top w:val="single" w:color="000000" w:sz="6" w:space="0"/>
              <w:left w:val="single" w:color="000000" w:sz="4" w:space="0"/>
              <w:bottom w:val="single" w:color="000000" w:sz="6" w:space="0"/>
              <w:right w:val="single" w:color="000000" w:sz="6" w:space="0"/>
            </w:tcBorders>
            <w:noWrap w:val="0"/>
            <w:vAlign w:val="center"/>
          </w:tcPr>
          <w:p w14:paraId="68D993B8">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5161CF00">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320" w:type="dxa"/>
            <w:tcBorders>
              <w:top w:val="single" w:color="000000" w:sz="6" w:space="0"/>
              <w:left w:val="single" w:color="000000" w:sz="6" w:space="0"/>
              <w:bottom w:val="single" w:color="000000" w:sz="6" w:space="0"/>
              <w:right w:val="single" w:color="000000" w:sz="6" w:space="0"/>
            </w:tcBorders>
            <w:noWrap w:val="0"/>
            <w:vAlign w:val="center"/>
          </w:tcPr>
          <w:p w14:paraId="51FCC375">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449" w:type="dxa"/>
            <w:tcBorders>
              <w:top w:val="single" w:color="000000" w:sz="6" w:space="0"/>
              <w:left w:val="single" w:color="000000" w:sz="6" w:space="0"/>
              <w:bottom w:val="single" w:color="000000" w:sz="6" w:space="0"/>
              <w:right w:val="single" w:color="000000" w:sz="6" w:space="0"/>
            </w:tcBorders>
            <w:noWrap w:val="0"/>
            <w:vAlign w:val="center"/>
          </w:tcPr>
          <w:p w14:paraId="432EB17D">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684" w:type="dxa"/>
            <w:tcBorders>
              <w:top w:val="single" w:color="000000" w:sz="6" w:space="0"/>
              <w:left w:val="single" w:color="000000" w:sz="6" w:space="0"/>
              <w:bottom w:val="single" w:color="000000" w:sz="6" w:space="0"/>
              <w:right w:val="single" w:color="000000" w:sz="4" w:space="0"/>
            </w:tcBorders>
            <w:noWrap w:val="0"/>
            <w:vAlign w:val="center"/>
          </w:tcPr>
          <w:p w14:paraId="15770B12">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r>
      <w:tr w14:paraId="12811EF3">
        <w:tblPrEx>
          <w:tblCellMar>
            <w:top w:w="0" w:type="dxa"/>
            <w:left w:w="108" w:type="dxa"/>
            <w:bottom w:w="0" w:type="dxa"/>
            <w:right w:w="108" w:type="dxa"/>
          </w:tblCellMar>
        </w:tblPrEx>
        <w:trPr>
          <w:trHeight w:val="446" w:hRule="atLeast"/>
          <w:jc w:val="center"/>
        </w:trPr>
        <w:tc>
          <w:tcPr>
            <w:tcW w:w="1621" w:type="dxa"/>
            <w:tcBorders>
              <w:top w:val="single" w:color="000000" w:sz="6" w:space="0"/>
              <w:left w:val="single" w:color="000000" w:sz="4" w:space="0"/>
              <w:bottom w:val="single" w:color="000000" w:sz="6" w:space="0"/>
              <w:right w:val="single" w:color="000000" w:sz="6" w:space="0"/>
            </w:tcBorders>
            <w:noWrap w:val="0"/>
            <w:vAlign w:val="center"/>
          </w:tcPr>
          <w:p w14:paraId="49FCC96E">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5640C6A2">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320" w:type="dxa"/>
            <w:tcBorders>
              <w:top w:val="single" w:color="000000" w:sz="6" w:space="0"/>
              <w:left w:val="single" w:color="000000" w:sz="6" w:space="0"/>
              <w:bottom w:val="single" w:color="000000" w:sz="6" w:space="0"/>
              <w:right w:val="single" w:color="000000" w:sz="6" w:space="0"/>
            </w:tcBorders>
            <w:noWrap w:val="0"/>
            <w:vAlign w:val="center"/>
          </w:tcPr>
          <w:p w14:paraId="7A98EC51">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449" w:type="dxa"/>
            <w:tcBorders>
              <w:top w:val="single" w:color="000000" w:sz="6" w:space="0"/>
              <w:left w:val="single" w:color="000000" w:sz="6" w:space="0"/>
              <w:bottom w:val="single" w:color="000000" w:sz="6" w:space="0"/>
              <w:right w:val="single" w:color="000000" w:sz="6" w:space="0"/>
            </w:tcBorders>
            <w:noWrap w:val="0"/>
            <w:vAlign w:val="center"/>
          </w:tcPr>
          <w:p w14:paraId="1E49966E">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684" w:type="dxa"/>
            <w:tcBorders>
              <w:top w:val="single" w:color="000000" w:sz="6" w:space="0"/>
              <w:left w:val="single" w:color="000000" w:sz="6" w:space="0"/>
              <w:bottom w:val="single" w:color="000000" w:sz="6" w:space="0"/>
              <w:right w:val="single" w:color="000000" w:sz="4" w:space="0"/>
            </w:tcBorders>
            <w:noWrap w:val="0"/>
            <w:vAlign w:val="center"/>
          </w:tcPr>
          <w:p w14:paraId="6A90178D">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r>
      <w:tr w14:paraId="3994F214">
        <w:tblPrEx>
          <w:tblCellMar>
            <w:top w:w="0" w:type="dxa"/>
            <w:left w:w="108" w:type="dxa"/>
            <w:bottom w:w="0" w:type="dxa"/>
            <w:right w:w="108" w:type="dxa"/>
          </w:tblCellMar>
        </w:tblPrEx>
        <w:trPr>
          <w:trHeight w:val="446" w:hRule="atLeast"/>
          <w:jc w:val="center"/>
        </w:trPr>
        <w:tc>
          <w:tcPr>
            <w:tcW w:w="1621" w:type="dxa"/>
            <w:tcBorders>
              <w:top w:val="single" w:color="000000" w:sz="6" w:space="0"/>
              <w:left w:val="single" w:color="000000" w:sz="4" w:space="0"/>
              <w:bottom w:val="single" w:color="000000" w:sz="6" w:space="0"/>
              <w:right w:val="single" w:color="000000" w:sz="6" w:space="0"/>
            </w:tcBorders>
            <w:noWrap w:val="0"/>
            <w:vAlign w:val="center"/>
          </w:tcPr>
          <w:p w14:paraId="07EBE48D">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311" w:type="dxa"/>
            <w:tcBorders>
              <w:top w:val="single" w:color="000000" w:sz="6" w:space="0"/>
              <w:left w:val="single" w:color="000000" w:sz="6" w:space="0"/>
              <w:bottom w:val="single" w:color="000000" w:sz="6" w:space="0"/>
              <w:right w:val="single" w:color="000000" w:sz="6" w:space="0"/>
            </w:tcBorders>
            <w:noWrap w:val="0"/>
            <w:vAlign w:val="center"/>
          </w:tcPr>
          <w:p w14:paraId="5FA81372">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320" w:type="dxa"/>
            <w:tcBorders>
              <w:top w:val="single" w:color="000000" w:sz="6" w:space="0"/>
              <w:left w:val="single" w:color="000000" w:sz="6" w:space="0"/>
              <w:bottom w:val="single" w:color="000000" w:sz="6" w:space="0"/>
              <w:right w:val="single" w:color="000000" w:sz="6" w:space="0"/>
            </w:tcBorders>
            <w:noWrap w:val="0"/>
            <w:vAlign w:val="center"/>
          </w:tcPr>
          <w:p w14:paraId="72952020">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2449" w:type="dxa"/>
            <w:tcBorders>
              <w:top w:val="single" w:color="000000" w:sz="6" w:space="0"/>
              <w:left w:val="single" w:color="000000" w:sz="6" w:space="0"/>
              <w:bottom w:val="single" w:color="000000" w:sz="6" w:space="0"/>
              <w:right w:val="single" w:color="000000" w:sz="6" w:space="0"/>
            </w:tcBorders>
            <w:noWrap w:val="0"/>
            <w:vAlign w:val="center"/>
          </w:tcPr>
          <w:p w14:paraId="29B8E06F">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c>
          <w:tcPr>
            <w:tcW w:w="1684" w:type="dxa"/>
            <w:tcBorders>
              <w:top w:val="single" w:color="000000" w:sz="6" w:space="0"/>
              <w:left w:val="single" w:color="000000" w:sz="6" w:space="0"/>
              <w:bottom w:val="single" w:color="000000" w:sz="6" w:space="0"/>
              <w:right w:val="single" w:color="000000" w:sz="4" w:space="0"/>
            </w:tcBorders>
            <w:noWrap w:val="0"/>
            <w:vAlign w:val="center"/>
          </w:tcPr>
          <w:p w14:paraId="61246E10">
            <w:pPr>
              <w:keepNext w:val="0"/>
              <w:keepLines w:val="0"/>
              <w:suppressLineNumbers w:val="0"/>
              <w:tabs>
                <w:tab w:val="left" w:pos="0"/>
                <w:tab w:val="left" w:pos="720"/>
              </w:tabs>
              <w:spacing w:before="0" w:beforeAutospacing="0" w:afterAutospacing="0"/>
              <w:ind w:left="0" w:right="0"/>
              <w:jc w:val="center"/>
              <w:rPr>
                <w:rFonts w:hint="default" w:ascii="宋体" w:hAnsi="宋体" w:cs="宋体"/>
                <w:color w:val="auto"/>
                <w:kern w:val="2"/>
                <w:szCs w:val="21"/>
                <w:highlight w:val="none"/>
              </w:rPr>
            </w:pPr>
          </w:p>
        </w:tc>
      </w:tr>
    </w:tbl>
    <w:p w14:paraId="200EA07D">
      <w:pPr>
        <w:spacing w:line="360" w:lineRule="auto"/>
        <w:jc w:val="left"/>
        <w:rPr>
          <w:rFonts w:ascii="宋体" w:hAnsi="宋体"/>
          <w:color w:val="auto"/>
          <w:highlight w:val="none"/>
        </w:rPr>
      </w:pPr>
      <w:r>
        <w:rPr>
          <w:rFonts w:hint="eastAsia" w:ascii="宋体" w:hAnsi="宋体" w:cs="宋体"/>
          <w:color w:val="auto"/>
          <w:kern w:val="1"/>
          <w:szCs w:val="21"/>
          <w:highlight w:val="none"/>
        </w:rPr>
        <w:t>注：参与编制文件人员名单应包括如编制工程总承包实施方案技术投标文件、负责清样校对、负责打印及复印等所有人员在内的人员名单。</w:t>
      </w:r>
    </w:p>
    <w:bookmarkEnd w:id="407"/>
    <w:p w14:paraId="29BDE4AA">
      <w:pPr>
        <w:pStyle w:val="2"/>
        <w:spacing w:line="360" w:lineRule="auto"/>
        <w:rPr>
          <w:rFonts w:hint="eastAsia" w:cs="宋体"/>
          <w:b/>
          <w:color w:val="auto"/>
          <w:kern w:val="1"/>
          <w:sz w:val="24"/>
          <w:highlight w:val="none"/>
        </w:rPr>
      </w:pPr>
      <w:r>
        <w:rPr>
          <w:rFonts w:cs="宋体"/>
          <w:b/>
          <w:color w:val="auto"/>
          <w:sz w:val="28"/>
          <w:szCs w:val="28"/>
          <w:highlight w:val="none"/>
        </w:rPr>
        <w:br w:type="page"/>
      </w:r>
      <w:r>
        <w:rPr>
          <w:rFonts w:hint="eastAsia" w:cs="宋体"/>
          <w:b/>
          <w:color w:val="auto"/>
          <w:kern w:val="1"/>
          <w:sz w:val="24"/>
          <w:highlight w:val="none"/>
        </w:rPr>
        <w:t>格式</w:t>
      </w:r>
      <w:r>
        <w:rPr>
          <w:rFonts w:cs="宋体"/>
          <w:b/>
          <w:color w:val="auto"/>
          <w:kern w:val="1"/>
          <w:sz w:val="24"/>
          <w:highlight w:val="none"/>
        </w:rPr>
        <w:t>1</w:t>
      </w:r>
      <w:r>
        <w:rPr>
          <w:rFonts w:hint="eastAsia" w:cs="宋体"/>
          <w:b/>
          <w:color w:val="auto"/>
          <w:kern w:val="1"/>
          <w:sz w:val="24"/>
          <w:highlight w:val="none"/>
          <w:lang w:val="en-US"/>
        </w:rPr>
        <w:t>2</w:t>
      </w:r>
      <w:r>
        <w:rPr>
          <w:rFonts w:hint="eastAsia" w:cs="宋体"/>
          <w:b/>
          <w:color w:val="auto"/>
          <w:kern w:val="1"/>
          <w:sz w:val="24"/>
          <w:highlight w:val="none"/>
        </w:rPr>
        <w:t>：合作设计协议书（适用于合作设计，非合作设计无需提供）</w:t>
      </w:r>
    </w:p>
    <w:p w14:paraId="4AD64B1B">
      <w:pPr>
        <w:jc w:val="center"/>
        <w:rPr>
          <w:rFonts w:hint="eastAsia" w:ascii="宋体" w:hAnsi="宋体" w:cs="宋体"/>
          <w:b/>
          <w:bCs/>
          <w:color w:val="auto"/>
          <w:sz w:val="32"/>
          <w:szCs w:val="32"/>
          <w:highlight w:val="none"/>
        </w:rPr>
      </w:pPr>
    </w:p>
    <w:p w14:paraId="69A49D8C">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合作设计协议书</w:t>
      </w:r>
    </w:p>
    <w:p w14:paraId="0722F1B1">
      <w:pPr>
        <w:rPr>
          <w:rFonts w:hint="eastAsia" w:ascii="宋体" w:hAnsi="宋体" w:cs="宋体"/>
          <w:b/>
          <w:bCs/>
          <w:color w:val="auto"/>
          <w:szCs w:val="21"/>
          <w:highlight w:val="none"/>
        </w:rPr>
      </w:pPr>
      <w:r>
        <w:rPr>
          <w:rFonts w:hint="eastAsia" w:ascii="宋体" w:hAnsi="宋体" w:cs="宋体"/>
          <w:color w:val="auto"/>
          <w:highlight w:val="none"/>
        </w:rPr>
        <w:t xml:space="preserve">                             </w:t>
      </w:r>
    </w:p>
    <w:p w14:paraId="674229CB">
      <w:pP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47F7F3D8">
      <w:pPr>
        <w:jc w:val="left"/>
        <w:rPr>
          <w:rFonts w:hint="eastAsia" w:ascii="宋体" w:hAnsi="宋体" w:cs="宋体"/>
          <w:color w:val="auto"/>
          <w:szCs w:val="21"/>
          <w:highlight w:val="none"/>
        </w:rPr>
      </w:pPr>
      <w:r>
        <w:rPr>
          <w:rFonts w:hint="eastAsia" w:ascii="宋体" w:hAnsi="宋体" w:cs="宋体"/>
          <w:color w:val="auto"/>
          <w:highlight w:val="none"/>
        </w:rPr>
        <w:t>投标项目名称：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8AE6AD1">
      <w:pPr>
        <w:pStyle w:val="2"/>
        <w:ind w:left="420" w:firstLine="420"/>
        <w:rPr>
          <w:rFonts w:hint="eastAsia" w:cs="宋体"/>
          <w:color w:val="auto"/>
          <w:highlight w:val="none"/>
        </w:rPr>
      </w:pPr>
      <w:r>
        <w:rPr>
          <w:rFonts w:hint="eastAsia" w:cs="宋体"/>
          <w:color w:val="auto"/>
          <w:highlight w:val="none"/>
        </w:rPr>
        <w:t xml:space="preserve"> </w:t>
      </w:r>
    </w:p>
    <w:p w14:paraId="051BC768">
      <w:pPr>
        <w:pStyle w:val="2"/>
        <w:ind w:left="420" w:firstLine="420"/>
        <w:rPr>
          <w:rFonts w:hint="eastAsia" w:cs="宋体"/>
          <w:color w:val="auto"/>
          <w:highlight w:val="none"/>
        </w:rPr>
      </w:pPr>
      <w:r>
        <w:rPr>
          <w:rFonts w:hint="eastAsia" w:cs="宋体"/>
          <w:color w:val="auto"/>
          <w:highlight w:val="none"/>
        </w:rPr>
        <w:t>致：</w:t>
      </w:r>
      <w:r>
        <w:rPr>
          <w:rFonts w:hint="eastAsia" w:cs="宋体"/>
          <w:color w:val="auto"/>
          <w:highlight w:val="none"/>
          <w:u w:val="single"/>
        </w:rPr>
        <w:t xml:space="preserve">                                    </w:t>
      </w:r>
      <w:r>
        <w:rPr>
          <w:rFonts w:hint="eastAsia" w:cs="宋体"/>
          <w:color w:val="auto"/>
          <w:highlight w:val="none"/>
        </w:rPr>
        <w:t>（招标人）</w:t>
      </w:r>
    </w:p>
    <w:p w14:paraId="5AA9FC96">
      <w:pPr>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42A9EE51">
      <w:pPr>
        <w:pStyle w:val="2"/>
        <w:spacing w:line="360" w:lineRule="auto"/>
        <w:ind w:left="420" w:firstLine="420"/>
        <w:rPr>
          <w:rFonts w:hint="eastAsia" w:cs="宋体"/>
          <w:color w:val="auto"/>
          <w:highlight w:val="none"/>
        </w:rPr>
      </w:pPr>
      <w:r>
        <w:rPr>
          <w:rFonts w:hint="eastAsia" w:cs="宋体"/>
          <w:color w:val="auto"/>
          <w:highlight w:val="none"/>
        </w:rPr>
        <w:t>按照招标公告的规定，</w:t>
      </w:r>
      <w:r>
        <w:rPr>
          <w:rFonts w:hint="eastAsia" w:cs="宋体"/>
          <w:color w:val="auto"/>
          <w:highlight w:val="none"/>
          <w:u w:val="single"/>
        </w:rPr>
        <w:t xml:space="preserve">                         </w:t>
      </w:r>
      <w:r>
        <w:rPr>
          <w:rFonts w:hint="eastAsia" w:cs="宋体"/>
          <w:color w:val="auto"/>
          <w:highlight w:val="none"/>
        </w:rPr>
        <w:t>（外国或澳门、台湾的设计企业</w:t>
      </w:r>
      <w:r>
        <w:rPr>
          <w:rFonts w:hint="eastAsia" w:cs="宋体"/>
          <w:color w:val="auto"/>
          <w:highlight w:val="none"/>
          <w:u w:val="single"/>
        </w:rPr>
        <w:t>和香港不单独作为承担设计任务的单位参加投标的设计单位</w:t>
      </w:r>
      <w:r>
        <w:rPr>
          <w:rFonts w:hint="eastAsia" w:cs="宋体"/>
          <w:color w:val="auto"/>
          <w:highlight w:val="none"/>
        </w:rPr>
        <w:t>）作为投标人（即“申请人”，下同）</w:t>
      </w:r>
      <w:r>
        <w:rPr>
          <w:rFonts w:hint="eastAsia" w:cs="宋体"/>
          <w:color w:val="auto"/>
          <w:highlight w:val="none"/>
          <w:u w:val="single"/>
        </w:rPr>
        <w:t xml:space="preserve">          </w:t>
      </w:r>
      <w:r>
        <w:rPr>
          <w:rFonts w:hint="eastAsia" w:cs="宋体"/>
          <w:color w:val="auto"/>
          <w:highlight w:val="none"/>
        </w:rPr>
        <w:t>（符合招标公告第3.1条投标人合格条件的设计企业）的合作设计方，参与本项目进行合作设计。若中标，各成员向招标人承担连带责任。合作设计方授权委托</w:t>
      </w:r>
      <w:r>
        <w:rPr>
          <w:rFonts w:hint="eastAsia" w:cs="宋体"/>
          <w:color w:val="auto"/>
          <w:highlight w:val="none"/>
          <w:u w:val="single"/>
        </w:rPr>
        <w:t xml:space="preserve">                   </w:t>
      </w:r>
      <w:r>
        <w:rPr>
          <w:rFonts w:hint="eastAsia" w:cs="宋体"/>
          <w:color w:val="auto"/>
          <w:highlight w:val="none"/>
        </w:rPr>
        <w:t>（符合招标公告第3.1条投标人合格条件的设计企业）代表所有合作成员参加投标、提交投标文件，以及与招标人签订合同，负责整个合同实施阶段的协调工作。</w:t>
      </w:r>
    </w:p>
    <w:p w14:paraId="2ADF0109">
      <w:pPr>
        <w:rPr>
          <w:rFonts w:hint="eastAsia" w:ascii="宋体" w:hAnsi="宋体" w:cs="宋体"/>
          <w:color w:val="auto"/>
          <w:highlight w:val="none"/>
        </w:rPr>
      </w:pPr>
      <w:r>
        <w:rPr>
          <w:rFonts w:hint="eastAsia" w:ascii="宋体" w:hAnsi="宋体" w:cs="宋体"/>
          <w:color w:val="auto"/>
          <w:highlight w:val="none"/>
        </w:rPr>
        <w:t xml:space="preserve"> </w:t>
      </w:r>
    </w:p>
    <w:p w14:paraId="20E9574B">
      <w:pPr>
        <w:pStyle w:val="2"/>
        <w:ind w:left="420" w:firstLine="420"/>
        <w:rPr>
          <w:rFonts w:hint="eastAsia" w:cs="宋体"/>
          <w:color w:val="auto"/>
          <w:highlight w:val="none"/>
        </w:rPr>
      </w:pPr>
      <w:r>
        <w:rPr>
          <w:rFonts w:hint="eastAsia" w:cs="宋体"/>
          <w:color w:val="auto"/>
          <w:highlight w:val="none"/>
        </w:rPr>
        <w:t xml:space="preserve"> </w:t>
      </w:r>
    </w:p>
    <w:p w14:paraId="17D73B3A">
      <w:pPr>
        <w:pStyle w:val="2"/>
        <w:spacing w:line="360" w:lineRule="auto"/>
        <w:ind w:left="420" w:firstLine="200" w:firstLineChars="100"/>
        <w:rPr>
          <w:rFonts w:hint="eastAsia" w:cs="宋体"/>
          <w:color w:val="auto"/>
          <w:highlight w:val="none"/>
        </w:rPr>
      </w:pPr>
      <w:r>
        <w:rPr>
          <w:rFonts w:hint="eastAsia" w:cs="宋体"/>
          <w:color w:val="auto"/>
          <w:highlight w:val="none"/>
        </w:rPr>
        <w:t xml:space="preserve">  合作设计方：（盖章）</w:t>
      </w:r>
      <w:r>
        <w:rPr>
          <w:rFonts w:hint="eastAsia" w:cs="宋体"/>
          <w:color w:val="auto"/>
          <w:highlight w:val="none"/>
          <w:u w:val="single"/>
        </w:rPr>
        <w:t xml:space="preserve">                                         </w:t>
      </w:r>
    </w:p>
    <w:p w14:paraId="53822B49">
      <w:pPr>
        <w:pStyle w:val="2"/>
        <w:spacing w:line="360" w:lineRule="auto"/>
        <w:ind w:left="420" w:firstLine="400" w:firstLineChars="200"/>
        <w:rPr>
          <w:rFonts w:hint="eastAsia" w:cs="宋体"/>
          <w:color w:val="auto"/>
          <w:highlight w:val="none"/>
          <w:u w:val="single"/>
        </w:rPr>
      </w:pPr>
      <w:r>
        <w:rPr>
          <w:rFonts w:hint="eastAsia" w:cs="宋体"/>
          <w:color w:val="auto"/>
          <w:highlight w:val="none"/>
        </w:rPr>
        <w:t>代表人：（签字或盖章）</w:t>
      </w:r>
      <w:r>
        <w:rPr>
          <w:rFonts w:hint="eastAsia" w:cs="宋体"/>
          <w:color w:val="auto"/>
          <w:highlight w:val="none"/>
          <w:u w:val="single"/>
        </w:rPr>
        <w:t xml:space="preserve">                                       </w:t>
      </w:r>
    </w:p>
    <w:p w14:paraId="276044A8">
      <w:pPr>
        <w:pStyle w:val="2"/>
        <w:spacing w:line="360" w:lineRule="auto"/>
        <w:ind w:left="420" w:firstLine="420"/>
        <w:rPr>
          <w:rFonts w:hint="eastAsia" w:cs="宋体"/>
          <w:color w:val="auto"/>
          <w:highlight w:val="none"/>
        </w:rPr>
      </w:pPr>
      <w:r>
        <w:rPr>
          <w:rFonts w:hint="eastAsia" w:cs="宋体"/>
          <w:color w:val="auto"/>
          <w:highlight w:val="none"/>
        </w:rPr>
        <w:t>分工内容：</w:t>
      </w:r>
      <w:r>
        <w:rPr>
          <w:rFonts w:hint="eastAsia" w:cs="宋体"/>
          <w:color w:val="auto"/>
          <w:highlight w:val="none"/>
          <w:u w:val="single"/>
        </w:rPr>
        <w:t xml:space="preserve">                                                  </w:t>
      </w:r>
    </w:p>
    <w:p w14:paraId="2FB46985">
      <w:pPr>
        <w:pStyle w:val="2"/>
        <w:spacing w:line="360" w:lineRule="auto"/>
        <w:ind w:left="420" w:firstLine="420"/>
        <w:rPr>
          <w:rFonts w:hint="eastAsia" w:cs="宋体"/>
          <w:color w:val="auto"/>
          <w:highlight w:val="none"/>
        </w:rPr>
      </w:pPr>
      <w:r>
        <w:rPr>
          <w:rFonts w:hint="eastAsia" w:cs="宋体"/>
          <w:color w:val="auto"/>
          <w:highlight w:val="none"/>
        </w:rPr>
        <w:t xml:space="preserve"> </w:t>
      </w:r>
    </w:p>
    <w:p w14:paraId="2C504836">
      <w:pPr>
        <w:pStyle w:val="2"/>
        <w:spacing w:line="360" w:lineRule="auto"/>
        <w:ind w:left="420" w:firstLine="420"/>
        <w:rPr>
          <w:rFonts w:hint="eastAsia" w:cs="宋体"/>
          <w:color w:val="auto"/>
          <w:highlight w:val="none"/>
        </w:rPr>
      </w:pPr>
      <w:r>
        <w:rPr>
          <w:rFonts w:hint="eastAsia" w:cs="宋体"/>
          <w:color w:val="auto"/>
          <w:highlight w:val="none"/>
        </w:rPr>
        <w:t>投标人：（盖章）</w:t>
      </w:r>
      <w:r>
        <w:rPr>
          <w:rFonts w:hint="eastAsia" w:cs="宋体"/>
          <w:color w:val="auto"/>
          <w:highlight w:val="none"/>
          <w:u w:val="single"/>
        </w:rPr>
        <w:t xml:space="preserve">                                             </w:t>
      </w:r>
    </w:p>
    <w:p w14:paraId="5C84B92F">
      <w:pPr>
        <w:pStyle w:val="2"/>
        <w:spacing w:line="360" w:lineRule="auto"/>
        <w:ind w:left="420" w:firstLine="400" w:firstLineChars="200"/>
        <w:rPr>
          <w:rFonts w:hint="eastAsia" w:cs="宋体"/>
          <w:color w:val="auto"/>
          <w:highlight w:val="none"/>
          <w:u w:val="single"/>
        </w:rPr>
      </w:pPr>
      <w:r>
        <w:rPr>
          <w:rFonts w:hint="eastAsia" w:cs="宋体"/>
          <w:color w:val="auto"/>
          <w:highlight w:val="none"/>
        </w:rPr>
        <w:t>法定代表人：（签字或盖章）</w:t>
      </w:r>
      <w:r>
        <w:rPr>
          <w:rFonts w:hint="eastAsia" w:cs="宋体"/>
          <w:color w:val="auto"/>
          <w:highlight w:val="none"/>
          <w:u w:val="single"/>
        </w:rPr>
        <w:t xml:space="preserve">                                   </w:t>
      </w:r>
    </w:p>
    <w:p w14:paraId="26EBDEA9">
      <w:pPr>
        <w:pStyle w:val="2"/>
        <w:spacing w:line="360" w:lineRule="auto"/>
        <w:ind w:firstLine="800" w:firstLineChars="400"/>
        <w:rPr>
          <w:color w:val="auto"/>
          <w:highlight w:val="none"/>
        </w:rPr>
      </w:pPr>
      <w:r>
        <w:rPr>
          <w:rFonts w:hint="eastAsia" w:cs="宋体"/>
          <w:color w:val="auto"/>
          <w:highlight w:val="none"/>
        </w:rPr>
        <w:t>分工内容：</w:t>
      </w:r>
      <w:r>
        <w:rPr>
          <w:rFonts w:hint="eastAsia" w:cs="宋体"/>
          <w:color w:val="auto"/>
          <w:highlight w:val="none"/>
          <w:u w:val="single"/>
        </w:rPr>
        <w:t xml:space="preserve">                                                  </w:t>
      </w:r>
    </w:p>
    <w:p w14:paraId="73ED6465">
      <w:pPr>
        <w:pStyle w:val="34"/>
        <w:spacing w:line="360" w:lineRule="auto"/>
        <w:ind w:firstLine="0"/>
        <w:rPr>
          <w:rFonts w:ascii="宋体" w:hAnsi="宋体" w:cs="宋体"/>
          <w:b/>
          <w:color w:val="auto"/>
          <w:kern w:val="0"/>
          <w:sz w:val="28"/>
          <w:szCs w:val="28"/>
          <w:highlight w:val="none"/>
        </w:rPr>
      </w:pPr>
    </w:p>
    <w:p w14:paraId="0CE96D93">
      <w:pPr>
        <w:spacing w:line="360" w:lineRule="auto"/>
        <w:rPr>
          <w:rFonts w:ascii="宋体" w:hAnsi="宋体" w:cs="宋体"/>
          <w:b/>
          <w:color w:val="auto"/>
          <w:kern w:val="1"/>
          <w:sz w:val="24"/>
          <w:highlight w:val="none"/>
          <w:lang w:val="zh-CN"/>
        </w:rPr>
      </w:pPr>
      <w:r>
        <w:rPr>
          <w:rFonts w:hint="eastAsia" w:ascii="宋体" w:hAnsi="宋体" w:cs="宋体"/>
          <w:b/>
          <w:color w:val="auto"/>
          <w:kern w:val="1"/>
          <w:sz w:val="30"/>
          <w:szCs w:val="30"/>
          <w:highlight w:val="none"/>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1</w:t>
      </w:r>
      <w:r>
        <w:rPr>
          <w:rFonts w:hint="eastAsia" w:ascii="宋体" w:hAnsi="宋体" w:cs="宋体"/>
          <w:b/>
          <w:color w:val="auto"/>
          <w:kern w:val="1"/>
          <w:sz w:val="24"/>
          <w:highlight w:val="none"/>
        </w:rPr>
        <w:t>3</w:t>
      </w:r>
      <w:r>
        <w:rPr>
          <w:rFonts w:hint="eastAsia" w:ascii="宋体" w:hAnsi="宋体" w:cs="宋体"/>
          <w:b/>
          <w:color w:val="auto"/>
          <w:kern w:val="1"/>
          <w:sz w:val="24"/>
          <w:highlight w:val="none"/>
          <w:lang w:val="zh-CN"/>
        </w:rPr>
        <w:t>：</w:t>
      </w:r>
    </w:p>
    <w:p w14:paraId="03758E4E">
      <w:pPr>
        <w:widowControl/>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投标人认为应该提供的其他资料</w:t>
      </w:r>
    </w:p>
    <w:p w14:paraId="3FEA50AE">
      <w:pPr>
        <w:spacing w:line="360" w:lineRule="auto"/>
        <w:ind w:left="1" w:right="-191"/>
        <w:jc w:val="center"/>
        <w:rPr>
          <w:rFonts w:ascii="宋体" w:hAnsi="宋体" w:cs="宋体"/>
          <w:color w:val="auto"/>
          <w:kern w:val="1"/>
          <w:sz w:val="18"/>
          <w:szCs w:val="18"/>
          <w:highlight w:val="none"/>
        </w:rPr>
      </w:pPr>
      <w:r>
        <w:rPr>
          <w:rFonts w:hint="eastAsia" w:ascii="宋体" w:hAnsi="宋体" w:cs="宋体"/>
          <w:b/>
          <w:bCs/>
          <w:color w:val="auto"/>
          <w:sz w:val="28"/>
          <w:szCs w:val="28"/>
          <w:highlight w:val="none"/>
        </w:rPr>
        <w:t>（包括招标文件评审或评分要求需要提供的相关资料）</w:t>
      </w:r>
    </w:p>
    <w:p w14:paraId="6D4282D8">
      <w:pPr>
        <w:pStyle w:val="2"/>
        <w:spacing w:line="360" w:lineRule="auto"/>
        <w:rPr>
          <w:color w:val="auto"/>
          <w:highlight w:val="none"/>
          <w:lang w:val="en-US"/>
        </w:rPr>
      </w:pPr>
    </w:p>
    <w:p w14:paraId="6DDB1C43">
      <w:pPr>
        <w:pStyle w:val="2"/>
        <w:spacing w:line="360" w:lineRule="auto"/>
        <w:jc w:val="center"/>
        <w:rPr>
          <w:color w:val="auto"/>
          <w:highlight w:val="none"/>
          <w:lang w:val="en-US"/>
        </w:rPr>
      </w:pPr>
    </w:p>
    <w:p w14:paraId="0CFBED14">
      <w:pPr>
        <w:pStyle w:val="2"/>
        <w:spacing w:line="360" w:lineRule="auto"/>
        <w:jc w:val="center"/>
        <w:rPr>
          <w:color w:val="auto"/>
          <w:highlight w:val="none"/>
          <w:lang w:val="en-US"/>
        </w:rPr>
      </w:pPr>
      <w:r>
        <w:rPr>
          <w:color w:val="auto"/>
          <w:highlight w:val="none"/>
        </w:rPr>
        <w:br w:type="page"/>
      </w:r>
    </w:p>
    <w:p w14:paraId="024AF99C">
      <w:pPr>
        <w:pStyle w:val="2"/>
        <w:spacing w:line="360" w:lineRule="auto"/>
        <w:jc w:val="center"/>
        <w:rPr>
          <w:color w:val="auto"/>
          <w:highlight w:val="none"/>
          <w:lang w:val="en-US"/>
        </w:rPr>
      </w:pPr>
    </w:p>
    <w:p w14:paraId="0AD8A635">
      <w:pPr>
        <w:pStyle w:val="2"/>
        <w:spacing w:line="360" w:lineRule="auto"/>
        <w:jc w:val="center"/>
        <w:rPr>
          <w:color w:val="auto"/>
          <w:highlight w:val="none"/>
          <w:lang w:val="en-US"/>
        </w:rPr>
      </w:pPr>
    </w:p>
    <w:p w14:paraId="3E570106">
      <w:pPr>
        <w:pStyle w:val="2"/>
        <w:spacing w:line="360" w:lineRule="auto"/>
        <w:jc w:val="center"/>
        <w:rPr>
          <w:color w:val="auto"/>
          <w:highlight w:val="none"/>
          <w:lang w:val="en-US"/>
        </w:rPr>
      </w:pPr>
    </w:p>
    <w:p w14:paraId="4A034ECB">
      <w:pPr>
        <w:pStyle w:val="2"/>
        <w:spacing w:line="360" w:lineRule="auto"/>
        <w:jc w:val="center"/>
        <w:rPr>
          <w:color w:val="auto"/>
          <w:highlight w:val="none"/>
          <w:lang w:val="en-US"/>
        </w:rPr>
      </w:pPr>
    </w:p>
    <w:p w14:paraId="3929FC08">
      <w:pPr>
        <w:pStyle w:val="2"/>
        <w:spacing w:line="360" w:lineRule="auto"/>
        <w:jc w:val="center"/>
        <w:rPr>
          <w:color w:val="auto"/>
          <w:highlight w:val="none"/>
          <w:lang w:val="en-US"/>
        </w:rPr>
      </w:pPr>
    </w:p>
    <w:p w14:paraId="6628919E">
      <w:pPr>
        <w:pStyle w:val="2"/>
        <w:spacing w:line="360" w:lineRule="auto"/>
        <w:jc w:val="center"/>
        <w:rPr>
          <w:color w:val="auto"/>
          <w:highlight w:val="none"/>
          <w:lang w:val="en-US"/>
        </w:rPr>
      </w:pPr>
    </w:p>
    <w:p w14:paraId="4A87B077">
      <w:pPr>
        <w:pStyle w:val="2"/>
        <w:spacing w:line="360" w:lineRule="auto"/>
        <w:jc w:val="center"/>
        <w:rPr>
          <w:rFonts w:cs="宋体"/>
          <w:b/>
          <w:color w:val="auto"/>
          <w:kern w:val="1"/>
          <w:sz w:val="36"/>
          <w:szCs w:val="36"/>
          <w:highlight w:val="none"/>
        </w:rPr>
      </w:pPr>
      <w:r>
        <w:rPr>
          <w:rFonts w:hint="eastAsia" w:cs="宋体"/>
          <w:b/>
          <w:color w:val="auto"/>
          <w:kern w:val="1"/>
          <w:sz w:val="36"/>
          <w:szCs w:val="36"/>
          <w:highlight w:val="none"/>
        </w:rPr>
        <w:t xml:space="preserve">第二部分  </w:t>
      </w:r>
      <w:bookmarkStart w:id="408" w:name="_Hlk69828514"/>
      <w:r>
        <w:rPr>
          <w:rFonts w:hint="eastAsia" w:cs="宋体"/>
          <w:b/>
          <w:color w:val="auto"/>
          <w:kern w:val="1"/>
          <w:sz w:val="36"/>
          <w:szCs w:val="36"/>
          <w:highlight w:val="none"/>
        </w:rPr>
        <w:t>工程总承包实施方案经济投标文件格式</w:t>
      </w:r>
      <w:bookmarkEnd w:id="408"/>
    </w:p>
    <w:p w14:paraId="356C4FDE">
      <w:pPr>
        <w:spacing w:line="360" w:lineRule="auto"/>
        <w:jc w:val="center"/>
        <w:rPr>
          <w:rFonts w:ascii="宋体" w:hAnsi="宋体" w:cs="宋体"/>
          <w:b/>
          <w:color w:val="auto"/>
          <w:kern w:val="1"/>
          <w:sz w:val="30"/>
          <w:szCs w:val="30"/>
          <w:highlight w:val="none"/>
        </w:rPr>
      </w:pPr>
    </w:p>
    <w:p w14:paraId="7EC92D9F">
      <w:pPr>
        <w:spacing w:line="360" w:lineRule="auto"/>
        <w:rPr>
          <w:rFonts w:ascii="宋体" w:hAnsi="宋体" w:cs="宋体"/>
          <w:b/>
          <w:color w:val="auto"/>
          <w:kern w:val="1"/>
          <w:sz w:val="24"/>
          <w:highlight w:val="none"/>
          <w:lang w:val="zh-CN"/>
        </w:rPr>
      </w:pPr>
      <w:r>
        <w:rPr>
          <w:rFonts w:ascii="宋体" w:hAnsi="宋体" w:cs="Courier New"/>
          <w:color w:val="auto"/>
          <w:sz w:val="20"/>
          <w:szCs w:val="20"/>
          <w:highlight w:val="none"/>
          <w:lang w:val="zh-CN"/>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1</w:t>
      </w:r>
      <w:r>
        <w:rPr>
          <w:rFonts w:hint="eastAsia" w:ascii="宋体" w:hAnsi="宋体" w:cs="宋体"/>
          <w:b/>
          <w:color w:val="auto"/>
          <w:kern w:val="1"/>
          <w:sz w:val="24"/>
          <w:highlight w:val="none"/>
          <w:lang w:val="zh-CN"/>
        </w:rPr>
        <w:t>：</w:t>
      </w:r>
    </w:p>
    <w:p w14:paraId="74F70C38">
      <w:pPr>
        <w:pStyle w:val="34"/>
        <w:spacing w:line="360" w:lineRule="auto"/>
        <w:ind w:left="-2" w:firstLine="3830"/>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经济标投标书</w:t>
      </w:r>
    </w:p>
    <w:p w14:paraId="6DB815B6">
      <w:pPr>
        <w:spacing w:line="360" w:lineRule="auto"/>
        <w:jc w:val="right"/>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 xml:space="preserve"> 投标日期：   </w:t>
      </w:r>
      <w:r>
        <w:rPr>
          <w:rFonts w:ascii="宋体" w:hAnsi="宋体" w:cs="宋体"/>
          <w:b/>
          <w:color w:val="auto"/>
          <w:kern w:val="1"/>
          <w:szCs w:val="21"/>
          <w:highlight w:val="none"/>
          <w:lang w:val="zh-CN"/>
        </w:rPr>
        <w:t xml:space="preserve">  </w:t>
      </w:r>
      <w:r>
        <w:rPr>
          <w:rFonts w:hint="eastAsia" w:ascii="宋体" w:hAnsi="宋体" w:cs="宋体"/>
          <w:b/>
          <w:color w:val="auto"/>
          <w:kern w:val="1"/>
          <w:szCs w:val="21"/>
          <w:highlight w:val="none"/>
          <w:lang w:val="zh-CN"/>
        </w:rPr>
        <w:t>年  月  日</w:t>
      </w:r>
    </w:p>
    <w:tbl>
      <w:tblPr>
        <w:tblStyle w:val="36"/>
        <w:tblW w:w="9257" w:type="dxa"/>
        <w:jc w:val="center"/>
        <w:tblLayout w:type="fixed"/>
        <w:tblCellMar>
          <w:top w:w="0" w:type="dxa"/>
          <w:left w:w="108" w:type="dxa"/>
          <w:bottom w:w="0" w:type="dxa"/>
          <w:right w:w="108" w:type="dxa"/>
        </w:tblCellMar>
      </w:tblPr>
      <w:tblGrid>
        <w:gridCol w:w="2688"/>
        <w:gridCol w:w="6569"/>
      </w:tblGrid>
      <w:tr w14:paraId="54EADF0A">
        <w:tblPrEx>
          <w:tblCellMar>
            <w:top w:w="0" w:type="dxa"/>
            <w:left w:w="108" w:type="dxa"/>
            <w:bottom w:w="0" w:type="dxa"/>
            <w:right w:w="108" w:type="dxa"/>
          </w:tblCellMar>
        </w:tblPrEx>
        <w:trPr>
          <w:trHeight w:val="23" w:hRule="atLeast"/>
          <w:jc w:val="center"/>
        </w:trPr>
        <w:tc>
          <w:tcPr>
            <w:tcW w:w="2688" w:type="dxa"/>
            <w:tcBorders>
              <w:top w:val="single" w:color="000000" w:sz="4" w:space="0"/>
              <w:left w:val="single" w:color="000000" w:sz="4" w:space="0"/>
              <w:bottom w:val="single" w:color="000000" w:sz="4" w:space="0"/>
              <w:right w:val="single" w:color="000000" w:sz="4" w:space="0"/>
            </w:tcBorders>
            <w:noWrap w:val="0"/>
            <w:vAlign w:val="center"/>
          </w:tcPr>
          <w:p w14:paraId="0B245CD8">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rPr>
            </w:pPr>
            <w:r>
              <w:rPr>
                <w:rFonts w:hint="eastAsia" w:ascii="宋体" w:hAnsi="宋体" w:cs="宋体"/>
                <w:b/>
                <w:color w:val="auto"/>
                <w:kern w:val="1"/>
                <w:sz w:val="24"/>
                <w:szCs w:val="24"/>
                <w:highlight w:val="none"/>
                <w:lang w:val="zh-CN"/>
              </w:rPr>
              <w:t>项 目 名 称</w:t>
            </w:r>
          </w:p>
        </w:tc>
        <w:tc>
          <w:tcPr>
            <w:tcW w:w="6569" w:type="dxa"/>
            <w:tcBorders>
              <w:top w:val="single" w:color="000000" w:sz="4" w:space="0"/>
              <w:left w:val="single" w:color="000000" w:sz="4" w:space="0"/>
              <w:bottom w:val="single" w:color="000000" w:sz="4" w:space="0"/>
              <w:right w:val="single" w:color="000000" w:sz="4" w:space="0"/>
            </w:tcBorders>
            <w:noWrap w:val="0"/>
            <w:vAlign w:val="center"/>
          </w:tcPr>
          <w:p w14:paraId="0BA49DAA">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rPr>
            </w:pPr>
          </w:p>
        </w:tc>
      </w:tr>
      <w:tr w14:paraId="50AA6E5A">
        <w:tblPrEx>
          <w:tblCellMar>
            <w:top w:w="0" w:type="dxa"/>
            <w:left w:w="108" w:type="dxa"/>
            <w:bottom w:w="0" w:type="dxa"/>
            <w:right w:w="108" w:type="dxa"/>
          </w:tblCellMar>
        </w:tblPrEx>
        <w:trPr>
          <w:trHeight w:val="23" w:hRule="atLeast"/>
          <w:jc w:val="center"/>
        </w:trPr>
        <w:tc>
          <w:tcPr>
            <w:tcW w:w="2688" w:type="dxa"/>
            <w:tcBorders>
              <w:top w:val="single" w:color="000000" w:sz="4" w:space="0"/>
              <w:left w:val="single" w:color="000000" w:sz="4" w:space="0"/>
              <w:bottom w:val="single" w:color="000000" w:sz="4" w:space="0"/>
              <w:right w:val="single" w:color="000000" w:sz="4" w:space="0"/>
            </w:tcBorders>
            <w:noWrap w:val="0"/>
            <w:vAlign w:val="center"/>
          </w:tcPr>
          <w:p w14:paraId="25B90AE4">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rPr>
            </w:pPr>
            <w:r>
              <w:rPr>
                <w:rFonts w:hint="eastAsia" w:ascii="宋体" w:hAnsi="宋体" w:cs="宋体"/>
                <w:b/>
                <w:color w:val="auto"/>
                <w:kern w:val="1"/>
                <w:sz w:val="24"/>
                <w:szCs w:val="24"/>
                <w:highlight w:val="none"/>
                <w:lang w:val="zh-CN"/>
              </w:rPr>
              <w:t>投标总报价</w:t>
            </w:r>
          </w:p>
        </w:tc>
        <w:tc>
          <w:tcPr>
            <w:tcW w:w="6569" w:type="dxa"/>
            <w:tcBorders>
              <w:top w:val="single" w:color="000000" w:sz="4" w:space="0"/>
              <w:left w:val="single" w:color="000000" w:sz="4" w:space="0"/>
              <w:bottom w:val="single" w:color="000000" w:sz="4" w:space="0"/>
              <w:right w:val="single" w:color="000000" w:sz="4" w:space="0"/>
            </w:tcBorders>
            <w:noWrap w:val="0"/>
            <w:vAlign w:val="center"/>
          </w:tcPr>
          <w:p w14:paraId="55E638C6">
            <w:pPr>
              <w:keepNext w:val="0"/>
              <w:keepLines w:val="0"/>
              <w:suppressLineNumbers w:val="0"/>
              <w:spacing w:before="0" w:beforeAutospacing="0" w:after="0" w:afterAutospacing="0" w:line="360" w:lineRule="auto"/>
              <w:ind w:left="0" w:right="0"/>
              <w:rPr>
                <w:rFonts w:hint="default" w:ascii="宋体" w:hAnsi="宋体" w:cs="宋体"/>
                <w:b/>
                <w:color w:val="auto"/>
                <w:kern w:val="2"/>
                <w:sz w:val="24"/>
                <w:szCs w:val="24"/>
                <w:highlight w:val="none"/>
                <w:u w:val="single"/>
              </w:rPr>
            </w:pPr>
            <w:r>
              <w:rPr>
                <w:rFonts w:hint="eastAsia" w:ascii="宋体" w:hAnsi="宋体" w:cs="宋体"/>
                <w:b/>
                <w:color w:val="auto"/>
                <w:kern w:val="1"/>
                <w:sz w:val="24"/>
                <w:szCs w:val="24"/>
                <w:highlight w:val="none"/>
              </w:rPr>
              <w:t>大写：</w:t>
            </w:r>
          </w:p>
          <w:p w14:paraId="2785AB6D">
            <w:pPr>
              <w:keepNext w:val="0"/>
              <w:keepLines w:val="0"/>
              <w:suppressLineNumbers w:val="0"/>
              <w:spacing w:before="0" w:beforeAutospacing="0" w:after="0" w:afterAutospacing="0" w:line="360" w:lineRule="auto"/>
              <w:ind w:left="0" w:right="0"/>
              <w:rPr>
                <w:rFonts w:hint="default" w:ascii="宋体" w:hAnsi="宋体" w:cs="宋体"/>
                <w:b/>
                <w:color w:val="auto"/>
                <w:kern w:val="2"/>
                <w:sz w:val="24"/>
                <w:szCs w:val="24"/>
                <w:highlight w:val="none"/>
              </w:rPr>
            </w:pPr>
            <w:r>
              <w:rPr>
                <w:rFonts w:hint="eastAsia" w:ascii="宋体" w:hAnsi="宋体" w:cs="宋体"/>
                <w:b/>
                <w:color w:val="auto"/>
                <w:kern w:val="1"/>
                <w:sz w:val="24"/>
                <w:szCs w:val="24"/>
                <w:highlight w:val="none"/>
              </w:rPr>
              <w:t>小写：</w:t>
            </w:r>
            <w:r>
              <w:rPr>
                <w:rFonts w:hint="eastAsia" w:ascii="宋体" w:hAnsi="宋体" w:cs="宋体"/>
                <w:b/>
                <w:color w:val="auto"/>
                <w:kern w:val="1"/>
                <w:sz w:val="24"/>
                <w:szCs w:val="24"/>
                <w:highlight w:val="none"/>
                <w:u w:val="single"/>
              </w:rPr>
              <w:t xml:space="preserve">     </w:t>
            </w:r>
          </w:p>
        </w:tc>
      </w:tr>
      <w:tr w14:paraId="0DBDC5E8">
        <w:tblPrEx>
          <w:tblCellMar>
            <w:top w:w="0" w:type="dxa"/>
            <w:left w:w="108" w:type="dxa"/>
            <w:bottom w:w="0" w:type="dxa"/>
            <w:right w:w="108" w:type="dxa"/>
          </w:tblCellMar>
        </w:tblPrEx>
        <w:trPr>
          <w:trHeight w:val="23" w:hRule="atLeast"/>
          <w:jc w:val="center"/>
        </w:trPr>
        <w:tc>
          <w:tcPr>
            <w:tcW w:w="2688" w:type="dxa"/>
            <w:tcBorders>
              <w:top w:val="single" w:color="000000" w:sz="4" w:space="0"/>
              <w:left w:val="single" w:color="000000" w:sz="4" w:space="0"/>
              <w:right w:val="single" w:color="000000" w:sz="4" w:space="0"/>
            </w:tcBorders>
            <w:noWrap w:val="0"/>
            <w:vAlign w:val="center"/>
          </w:tcPr>
          <w:p w14:paraId="69D4C116">
            <w:pPr>
              <w:keepNext w:val="0"/>
              <w:keepLines w:val="0"/>
              <w:suppressLineNumbers w:val="0"/>
              <w:spacing w:before="0" w:beforeAutospacing="0" w:afterAutospacing="0" w:line="360" w:lineRule="auto"/>
              <w:ind w:left="0" w:right="0"/>
              <w:jc w:val="center"/>
              <w:rPr>
                <w:rFonts w:hint="eastAsia" w:ascii="宋体" w:hAnsi="宋体" w:cs="宋体"/>
                <w:b/>
                <w:color w:val="auto"/>
                <w:kern w:val="1"/>
                <w:sz w:val="24"/>
                <w:szCs w:val="24"/>
                <w:highlight w:val="none"/>
                <w:lang w:val="zh-CN"/>
              </w:rPr>
            </w:pPr>
            <w:r>
              <w:rPr>
                <w:rFonts w:hint="eastAsia" w:ascii="宋体" w:hAnsi="宋体" w:cs="宋体"/>
                <w:b/>
                <w:color w:val="auto"/>
                <w:kern w:val="1"/>
                <w:sz w:val="24"/>
                <w:szCs w:val="24"/>
                <w:highlight w:val="none"/>
                <w:lang w:val="zh-CN"/>
              </w:rPr>
              <w:t>其中：勘察费</w:t>
            </w:r>
          </w:p>
        </w:tc>
        <w:tc>
          <w:tcPr>
            <w:tcW w:w="6569" w:type="dxa"/>
            <w:tcBorders>
              <w:top w:val="single" w:color="000000" w:sz="4" w:space="0"/>
              <w:left w:val="single" w:color="000000" w:sz="4" w:space="0"/>
              <w:bottom w:val="single" w:color="000000" w:sz="4" w:space="0"/>
              <w:right w:val="single" w:color="000000" w:sz="4" w:space="0"/>
            </w:tcBorders>
            <w:noWrap w:val="0"/>
            <w:vAlign w:val="center"/>
          </w:tcPr>
          <w:p w14:paraId="2257ED32">
            <w:pPr>
              <w:keepNext w:val="0"/>
              <w:keepLines w:val="0"/>
              <w:suppressLineNumbers w:val="0"/>
              <w:spacing w:before="0" w:beforeAutospacing="0" w:after="0" w:afterAutospacing="0" w:line="360" w:lineRule="auto"/>
              <w:ind w:left="0" w:right="0"/>
              <w:rPr>
                <w:rFonts w:hint="eastAsia" w:ascii="宋体" w:hAnsi="宋体" w:cs="宋体"/>
                <w:b/>
                <w:color w:val="auto"/>
                <w:kern w:val="1"/>
                <w:sz w:val="24"/>
                <w:szCs w:val="24"/>
                <w:highlight w:val="none"/>
                <w:lang w:val="zh-CN"/>
              </w:rPr>
            </w:pPr>
            <w:r>
              <w:rPr>
                <w:rFonts w:hint="eastAsia" w:ascii="宋体" w:hAnsi="宋体" w:cs="宋体"/>
                <w:b/>
                <w:color w:val="auto"/>
                <w:kern w:val="1"/>
                <w:sz w:val="24"/>
                <w:szCs w:val="24"/>
                <w:highlight w:val="none"/>
                <w:lang w:val="zh-CN"/>
              </w:rPr>
              <w:t>勘察费</w:t>
            </w:r>
            <w:r>
              <w:rPr>
                <w:rFonts w:hint="eastAsia" w:ascii="宋体" w:hAnsi="宋体" w:cs="宋体"/>
                <w:b/>
                <w:color w:val="auto"/>
                <w:kern w:val="1"/>
                <w:sz w:val="24"/>
                <w:szCs w:val="24"/>
                <w:highlight w:val="none"/>
              </w:rPr>
              <w:t>投标报价：</w:t>
            </w:r>
            <w:r>
              <w:rPr>
                <w:rFonts w:hint="eastAsia" w:ascii="宋体" w:hAnsi="宋体" w:cs="宋体"/>
                <w:b/>
                <w:color w:val="auto"/>
                <w:kern w:val="1"/>
                <w:sz w:val="24"/>
                <w:szCs w:val="24"/>
                <w:highlight w:val="none"/>
                <w:u w:val="single"/>
              </w:rPr>
              <w:t xml:space="preserve">     </w:t>
            </w:r>
            <w:r>
              <w:rPr>
                <w:rFonts w:hint="eastAsia" w:ascii="宋体" w:hAnsi="宋体" w:cs="宋体"/>
                <w:b/>
                <w:color w:val="auto"/>
                <w:kern w:val="1"/>
                <w:sz w:val="24"/>
                <w:szCs w:val="24"/>
                <w:highlight w:val="none"/>
              </w:rPr>
              <w:t>万</w:t>
            </w:r>
            <w:r>
              <w:rPr>
                <w:rFonts w:hint="eastAsia" w:ascii="宋体" w:hAnsi="宋体" w:cs="宋体"/>
                <w:b/>
                <w:color w:val="auto"/>
                <w:kern w:val="1"/>
                <w:sz w:val="24"/>
                <w:szCs w:val="24"/>
                <w:highlight w:val="none"/>
                <w:lang w:val="zh-CN"/>
              </w:rPr>
              <w:t>元</w:t>
            </w:r>
          </w:p>
          <w:p w14:paraId="216270B9">
            <w:pPr>
              <w:keepNext w:val="0"/>
              <w:keepLines w:val="0"/>
              <w:suppressLineNumbers w:val="0"/>
              <w:spacing w:before="0" w:beforeAutospacing="0" w:after="0" w:afterAutospacing="0" w:line="360" w:lineRule="auto"/>
              <w:ind w:left="0" w:right="0"/>
              <w:rPr>
                <w:rFonts w:hint="eastAsia" w:ascii="宋体" w:hAnsi="宋体" w:cs="宋体"/>
                <w:b/>
                <w:color w:val="auto"/>
                <w:kern w:val="1"/>
                <w:sz w:val="24"/>
                <w:szCs w:val="24"/>
                <w:highlight w:val="none"/>
              </w:rPr>
            </w:pPr>
            <w:r>
              <w:rPr>
                <w:rFonts w:hint="eastAsia" w:ascii="宋体" w:hAnsi="宋体" w:cs="宋体"/>
                <w:b/>
                <w:color w:val="auto"/>
                <w:kern w:val="1"/>
                <w:sz w:val="24"/>
                <w:szCs w:val="24"/>
                <w:highlight w:val="none"/>
              </w:rPr>
              <w:t>勘察费投标下浮率：</w:t>
            </w:r>
            <w:r>
              <w:rPr>
                <w:rFonts w:hint="eastAsia" w:ascii="宋体" w:hAnsi="宋体" w:cs="宋体"/>
                <w:b/>
                <w:color w:val="auto"/>
                <w:kern w:val="1"/>
                <w:sz w:val="24"/>
                <w:szCs w:val="24"/>
                <w:highlight w:val="none"/>
                <w:u w:val="single"/>
              </w:rPr>
              <w:t xml:space="preserve">     </w:t>
            </w:r>
            <w:r>
              <w:rPr>
                <w:rFonts w:hint="eastAsia" w:ascii="宋体" w:hAnsi="宋体" w:cs="宋体"/>
                <w:b/>
                <w:color w:val="auto"/>
                <w:kern w:val="1"/>
                <w:sz w:val="24"/>
                <w:szCs w:val="24"/>
                <w:highlight w:val="none"/>
              </w:rPr>
              <w:t>%</w:t>
            </w:r>
          </w:p>
          <w:p w14:paraId="623C7DCA">
            <w:pPr>
              <w:pStyle w:val="2"/>
              <w:keepNext w:val="0"/>
              <w:keepLines w:val="0"/>
              <w:suppressLineNumbers w:val="0"/>
              <w:spacing w:before="0" w:beforeAutospacing="0" w:after="0" w:afterAutospacing="0" w:line="360" w:lineRule="auto"/>
              <w:ind w:left="0" w:right="0"/>
              <w:rPr>
                <w:rFonts w:hint="default"/>
                <w:color w:val="auto"/>
                <w:kern w:val="2"/>
                <w:highlight w:val="none"/>
              </w:rPr>
            </w:pPr>
            <w:r>
              <w:rPr>
                <w:rFonts w:hint="eastAsia" w:cs="宋体"/>
                <w:b/>
                <w:color w:val="auto"/>
                <w:kern w:val="1"/>
                <w:sz w:val="24"/>
                <w:szCs w:val="24"/>
                <w:highlight w:val="none"/>
                <w:lang w:val="en-US"/>
              </w:rPr>
              <w:t>注：勘察费投标下浮率=[1-（勘察费投标报价÷勘察费最高投标限价）]×100%</w:t>
            </w:r>
          </w:p>
        </w:tc>
      </w:tr>
      <w:tr w14:paraId="3E6544B0">
        <w:tblPrEx>
          <w:tblCellMar>
            <w:top w:w="0" w:type="dxa"/>
            <w:left w:w="108" w:type="dxa"/>
            <w:bottom w:w="0" w:type="dxa"/>
            <w:right w:w="108" w:type="dxa"/>
          </w:tblCellMar>
        </w:tblPrEx>
        <w:trPr>
          <w:trHeight w:val="23" w:hRule="atLeast"/>
          <w:jc w:val="center"/>
        </w:trPr>
        <w:tc>
          <w:tcPr>
            <w:tcW w:w="2688" w:type="dxa"/>
            <w:tcBorders>
              <w:top w:val="single" w:color="000000" w:sz="4" w:space="0"/>
              <w:left w:val="single" w:color="000000" w:sz="4" w:space="0"/>
              <w:right w:val="single" w:color="000000" w:sz="4" w:space="0"/>
            </w:tcBorders>
            <w:noWrap w:val="0"/>
            <w:vAlign w:val="center"/>
          </w:tcPr>
          <w:p w14:paraId="114DEF14">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lang w:val="zh-CN"/>
              </w:rPr>
            </w:pPr>
            <w:r>
              <w:rPr>
                <w:rFonts w:hint="eastAsia" w:ascii="宋体" w:hAnsi="宋体" w:cs="宋体"/>
                <w:b/>
                <w:color w:val="auto"/>
                <w:kern w:val="1"/>
                <w:sz w:val="24"/>
                <w:szCs w:val="24"/>
                <w:highlight w:val="none"/>
                <w:lang w:val="zh-CN"/>
              </w:rPr>
              <w:t>其中：设计费</w:t>
            </w:r>
          </w:p>
        </w:tc>
        <w:tc>
          <w:tcPr>
            <w:tcW w:w="6569" w:type="dxa"/>
            <w:tcBorders>
              <w:top w:val="single" w:color="000000" w:sz="4" w:space="0"/>
              <w:left w:val="single" w:color="000000" w:sz="4" w:space="0"/>
              <w:bottom w:val="single" w:color="000000" w:sz="4" w:space="0"/>
              <w:right w:val="single" w:color="000000" w:sz="4" w:space="0"/>
            </w:tcBorders>
            <w:noWrap w:val="0"/>
            <w:vAlign w:val="center"/>
          </w:tcPr>
          <w:p w14:paraId="14F20492">
            <w:pPr>
              <w:pStyle w:val="2"/>
              <w:keepNext w:val="0"/>
              <w:keepLines w:val="0"/>
              <w:suppressLineNumbers w:val="0"/>
              <w:spacing w:before="0" w:beforeAutospacing="0" w:after="0" w:afterAutospacing="0" w:line="360" w:lineRule="auto"/>
              <w:ind w:left="0" w:right="0"/>
              <w:rPr>
                <w:rFonts w:hint="eastAsia" w:cs="宋体"/>
                <w:b/>
                <w:color w:val="auto"/>
                <w:kern w:val="1"/>
                <w:sz w:val="24"/>
                <w:szCs w:val="24"/>
                <w:highlight w:val="none"/>
              </w:rPr>
            </w:pPr>
            <w:r>
              <w:rPr>
                <w:rFonts w:hint="eastAsia" w:cs="宋体"/>
                <w:b/>
                <w:color w:val="auto"/>
                <w:kern w:val="1"/>
                <w:sz w:val="24"/>
                <w:szCs w:val="24"/>
                <w:highlight w:val="none"/>
              </w:rPr>
              <w:t>设计费投标报价：</w:t>
            </w:r>
            <w:r>
              <w:rPr>
                <w:rFonts w:hint="eastAsia" w:cs="宋体"/>
                <w:b/>
                <w:color w:val="auto"/>
                <w:kern w:val="1"/>
                <w:sz w:val="24"/>
                <w:szCs w:val="24"/>
                <w:highlight w:val="none"/>
                <w:u w:val="single"/>
              </w:rPr>
              <w:t xml:space="preserve">     </w:t>
            </w:r>
            <w:r>
              <w:rPr>
                <w:rFonts w:hint="eastAsia" w:cs="宋体"/>
                <w:b/>
                <w:color w:val="auto"/>
                <w:kern w:val="1"/>
                <w:sz w:val="24"/>
                <w:szCs w:val="24"/>
                <w:highlight w:val="none"/>
              </w:rPr>
              <w:t>万元</w:t>
            </w:r>
          </w:p>
          <w:p w14:paraId="0BA2B216">
            <w:pPr>
              <w:keepNext w:val="0"/>
              <w:keepLines w:val="0"/>
              <w:suppressLineNumbers w:val="0"/>
              <w:spacing w:before="0" w:beforeAutospacing="0" w:after="0" w:afterAutospacing="0" w:line="360" w:lineRule="auto"/>
              <w:ind w:left="0" w:right="0"/>
              <w:rPr>
                <w:rFonts w:hint="eastAsia" w:ascii="宋体" w:hAnsi="宋体" w:cs="宋体"/>
                <w:b/>
                <w:color w:val="auto"/>
                <w:kern w:val="1"/>
                <w:sz w:val="24"/>
                <w:szCs w:val="24"/>
                <w:highlight w:val="none"/>
                <w:lang w:val="zh-CN"/>
              </w:rPr>
            </w:pPr>
            <w:r>
              <w:rPr>
                <w:rFonts w:hint="eastAsia" w:ascii="宋体" w:hAnsi="宋体" w:cs="宋体"/>
                <w:b/>
                <w:color w:val="auto"/>
                <w:kern w:val="1"/>
                <w:sz w:val="24"/>
                <w:szCs w:val="24"/>
                <w:highlight w:val="none"/>
                <w:lang w:val="zh-CN"/>
              </w:rPr>
              <w:t>设计费</w:t>
            </w:r>
            <w:r>
              <w:rPr>
                <w:rFonts w:hint="eastAsia" w:ascii="宋体" w:hAnsi="宋体" w:cs="宋体"/>
                <w:b/>
                <w:color w:val="auto"/>
                <w:kern w:val="1"/>
                <w:sz w:val="24"/>
                <w:szCs w:val="24"/>
                <w:highlight w:val="none"/>
              </w:rPr>
              <w:t>投标下浮率：</w:t>
            </w:r>
            <w:r>
              <w:rPr>
                <w:rFonts w:hint="eastAsia" w:ascii="宋体" w:hAnsi="宋体" w:cs="宋体"/>
                <w:b/>
                <w:color w:val="auto"/>
                <w:kern w:val="1"/>
                <w:sz w:val="24"/>
                <w:szCs w:val="24"/>
                <w:highlight w:val="none"/>
                <w:u w:val="single"/>
              </w:rPr>
              <w:t xml:space="preserve">     </w:t>
            </w:r>
            <w:r>
              <w:rPr>
                <w:rFonts w:hint="eastAsia" w:ascii="宋体" w:hAnsi="宋体" w:cs="宋体"/>
                <w:b/>
                <w:color w:val="auto"/>
                <w:kern w:val="1"/>
                <w:sz w:val="24"/>
                <w:szCs w:val="24"/>
                <w:highlight w:val="none"/>
              </w:rPr>
              <w:t>%</w:t>
            </w:r>
          </w:p>
          <w:p w14:paraId="09DC1564">
            <w:pPr>
              <w:pStyle w:val="2"/>
              <w:keepNext w:val="0"/>
              <w:keepLines w:val="0"/>
              <w:suppressLineNumbers w:val="0"/>
              <w:spacing w:before="0" w:beforeAutospacing="0" w:after="0" w:afterAutospacing="0" w:line="360" w:lineRule="auto"/>
              <w:ind w:left="0" w:right="0"/>
              <w:rPr>
                <w:rFonts w:hint="default"/>
                <w:color w:val="auto"/>
                <w:kern w:val="2"/>
                <w:highlight w:val="none"/>
              </w:rPr>
            </w:pPr>
            <w:r>
              <w:rPr>
                <w:rFonts w:hint="eastAsia" w:cs="宋体"/>
                <w:b/>
                <w:color w:val="auto"/>
                <w:kern w:val="1"/>
                <w:sz w:val="24"/>
                <w:szCs w:val="24"/>
                <w:highlight w:val="none"/>
                <w:lang w:val="en-US"/>
              </w:rPr>
              <w:t>注：设计费投标下浮率=[1-（设计费投标报价÷设计费最高投标限价）]×100%</w:t>
            </w:r>
          </w:p>
        </w:tc>
      </w:tr>
      <w:tr w14:paraId="07BD50E1">
        <w:tblPrEx>
          <w:tblCellMar>
            <w:top w:w="0" w:type="dxa"/>
            <w:left w:w="108" w:type="dxa"/>
            <w:bottom w:w="0" w:type="dxa"/>
            <w:right w:w="108" w:type="dxa"/>
          </w:tblCellMar>
        </w:tblPrEx>
        <w:trPr>
          <w:trHeight w:val="23" w:hRule="atLeast"/>
          <w:jc w:val="center"/>
        </w:trPr>
        <w:tc>
          <w:tcPr>
            <w:tcW w:w="2688" w:type="dxa"/>
            <w:tcBorders>
              <w:top w:val="single" w:color="000000" w:sz="4" w:space="0"/>
              <w:left w:val="single" w:color="000000" w:sz="4" w:space="0"/>
              <w:right w:val="single" w:color="000000" w:sz="4" w:space="0"/>
            </w:tcBorders>
            <w:noWrap w:val="0"/>
            <w:vAlign w:val="center"/>
          </w:tcPr>
          <w:p w14:paraId="19CF9B46">
            <w:pPr>
              <w:keepNext w:val="0"/>
              <w:keepLines w:val="0"/>
              <w:suppressLineNumbers w:val="0"/>
              <w:spacing w:before="0" w:beforeAutospacing="0" w:after="0" w:afterAutospacing="0" w:line="360" w:lineRule="auto"/>
              <w:ind w:left="0" w:right="0"/>
              <w:rPr>
                <w:rFonts w:hint="eastAsia" w:ascii="宋体" w:hAnsi="宋体" w:cs="宋体"/>
                <w:b/>
                <w:color w:val="auto"/>
                <w:kern w:val="1"/>
                <w:sz w:val="24"/>
                <w:szCs w:val="24"/>
                <w:highlight w:val="none"/>
              </w:rPr>
            </w:pPr>
            <w:r>
              <w:rPr>
                <w:rFonts w:hint="eastAsia" w:ascii="宋体" w:hAnsi="宋体" w:cs="宋体"/>
                <w:b/>
                <w:color w:val="auto"/>
                <w:kern w:val="1"/>
                <w:sz w:val="24"/>
                <w:szCs w:val="24"/>
                <w:highlight w:val="none"/>
              </w:rPr>
              <w:t>其中：建安工程费</w:t>
            </w:r>
          </w:p>
        </w:tc>
        <w:tc>
          <w:tcPr>
            <w:tcW w:w="6569" w:type="dxa"/>
            <w:tcBorders>
              <w:top w:val="single" w:color="000000" w:sz="4" w:space="0"/>
              <w:left w:val="single" w:color="000000" w:sz="4" w:space="0"/>
              <w:bottom w:val="single" w:color="000000" w:sz="4" w:space="0"/>
              <w:right w:val="single" w:color="000000" w:sz="4" w:space="0"/>
            </w:tcBorders>
            <w:noWrap w:val="0"/>
            <w:vAlign w:val="center"/>
          </w:tcPr>
          <w:p w14:paraId="70C165C9">
            <w:pPr>
              <w:keepNext w:val="0"/>
              <w:keepLines w:val="0"/>
              <w:suppressLineNumbers w:val="0"/>
              <w:spacing w:before="0" w:beforeAutospacing="0" w:after="0" w:afterAutospacing="0" w:line="360" w:lineRule="auto"/>
              <w:ind w:left="0" w:right="0"/>
              <w:rPr>
                <w:rFonts w:hint="eastAsia" w:ascii="宋体" w:hAnsi="宋体" w:cs="宋体"/>
                <w:b/>
                <w:color w:val="auto"/>
                <w:kern w:val="1"/>
                <w:sz w:val="24"/>
                <w:szCs w:val="24"/>
                <w:highlight w:val="none"/>
              </w:rPr>
            </w:pPr>
            <w:r>
              <w:rPr>
                <w:rFonts w:hint="eastAsia" w:ascii="宋体" w:hAnsi="宋体" w:cs="宋体"/>
                <w:b/>
                <w:color w:val="auto"/>
                <w:kern w:val="1"/>
                <w:sz w:val="24"/>
                <w:szCs w:val="24"/>
                <w:highlight w:val="none"/>
              </w:rPr>
              <w:t>建安工程费投标报价：</w:t>
            </w:r>
            <w:r>
              <w:rPr>
                <w:rFonts w:hint="eastAsia" w:ascii="宋体" w:hAnsi="宋体" w:cs="宋体"/>
                <w:b/>
                <w:color w:val="auto"/>
                <w:kern w:val="1"/>
                <w:sz w:val="24"/>
                <w:szCs w:val="24"/>
                <w:highlight w:val="none"/>
                <w:u w:val="single"/>
              </w:rPr>
              <w:t xml:space="preserve">     </w:t>
            </w:r>
            <w:r>
              <w:rPr>
                <w:rFonts w:hint="eastAsia" w:ascii="宋体" w:hAnsi="宋体" w:cs="宋体"/>
                <w:b/>
                <w:color w:val="auto"/>
                <w:kern w:val="1"/>
                <w:sz w:val="24"/>
                <w:szCs w:val="24"/>
                <w:highlight w:val="none"/>
              </w:rPr>
              <w:t>万元</w:t>
            </w:r>
          </w:p>
          <w:p w14:paraId="5CFADCD0">
            <w:pPr>
              <w:keepNext w:val="0"/>
              <w:keepLines w:val="0"/>
              <w:suppressLineNumbers w:val="0"/>
              <w:spacing w:before="0" w:beforeAutospacing="0" w:after="0" w:afterAutospacing="0" w:line="360" w:lineRule="auto"/>
              <w:ind w:left="0" w:right="0"/>
              <w:rPr>
                <w:rFonts w:hint="eastAsia" w:ascii="宋体" w:hAnsi="宋体" w:cs="宋体"/>
                <w:b/>
                <w:color w:val="auto"/>
                <w:kern w:val="1"/>
                <w:sz w:val="24"/>
                <w:szCs w:val="24"/>
                <w:highlight w:val="none"/>
              </w:rPr>
            </w:pPr>
            <w:r>
              <w:rPr>
                <w:rFonts w:hint="eastAsia" w:ascii="宋体" w:hAnsi="宋体" w:cs="宋体"/>
                <w:b/>
                <w:color w:val="auto"/>
                <w:kern w:val="1"/>
                <w:sz w:val="24"/>
                <w:szCs w:val="24"/>
                <w:highlight w:val="none"/>
              </w:rPr>
              <w:t>建安工程费投标下浮率：</w:t>
            </w:r>
            <w:r>
              <w:rPr>
                <w:rFonts w:hint="eastAsia" w:ascii="宋体" w:hAnsi="宋体" w:cs="宋体"/>
                <w:b/>
                <w:color w:val="auto"/>
                <w:kern w:val="1"/>
                <w:sz w:val="24"/>
                <w:szCs w:val="24"/>
                <w:highlight w:val="none"/>
                <w:u w:val="single"/>
              </w:rPr>
              <w:t xml:space="preserve">     %</w:t>
            </w:r>
          </w:p>
          <w:p w14:paraId="19B8CB01">
            <w:pPr>
              <w:pStyle w:val="2"/>
              <w:keepNext w:val="0"/>
              <w:keepLines w:val="0"/>
              <w:suppressLineNumbers w:val="0"/>
              <w:spacing w:before="0" w:beforeAutospacing="0" w:after="0" w:afterAutospacing="0" w:line="360" w:lineRule="auto"/>
              <w:ind w:left="0" w:right="0"/>
              <w:rPr>
                <w:rFonts w:hint="eastAsia" w:cs="宋体"/>
                <w:b/>
                <w:color w:val="auto"/>
                <w:kern w:val="1"/>
                <w:sz w:val="24"/>
                <w:szCs w:val="24"/>
                <w:highlight w:val="none"/>
                <w:lang w:val="en-US"/>
              </w:rPr>
            </w:pPr>
            <w:r>
              <w:rPr>
                <w:rFonts w:hint="eastAsia" w:cs="宋体"/>
                <w:b/>
                <w:color w:val="auto"/>
                <w:kern w:val="1"/>
                <w:sz w:val="24"/>
                <w:szCs w:val="24"/>
                <w:highlight w:val="none"/>
                <w:lang w:val="en-US"/>
              </w:rPr>
              <w:t>注：建安工程费投标下浮率=[1-（建安工程费投标报价÷建安工程费最高投标限价）]×100%</w:t>
            </w:r>
          </w:p>
        </w:tc>
      </w:tr>
      <w:tr w14:paraId="15D2B729">
        <w:tblPrEx>
          <w:tblCellMar>
            <w:top w:w="0" w:type="dxa"/>
            <w:left w:w="108" w:type="dxa"/>
            <w:bottom w:w="0" w:type="dxa"/>
            <w:right w:w="108" w:type="dxa"/>
          </w:tblCellMar>
        </w:tblPrEx>
        <w:trPr>
          <w:trHeight w:val="23" w:hRule="atLeast"/>
          <w:jc w:val="center"/>
        </w:trPr>
        <w:tc>
          <w:tcPr>
            <w:tcW w:w="2688" w:type="dxa"/>
            <w:tcBorders>
              <w:top w:val="single" w:color="000000" w:sz="4" w:space="0"/>
              <w:left w:val="single" w:color="000000" w:sz="4" w:space="0"/>
              <w:bottom w:val="single" w:color="000000" w:sz="4" w:space="0"/>
              <w:right w:val="single" w:color="000000" w:sz="4" w:space="0"/>
            </w:tcBorders>
            <w:noWrap w:val="0"/>
            <w:vAlign w:val="center"/>
          </w:tcPr>
          <w:p w14:paraId="3872C47B">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rPr>
            </w:pPr>
            <w:r>
              <w:rPr>
                <w:rFonts w:hint="eastAsia" w:ascii="宋体" w:hAnsi="宋体" w:cs="宋体"/>
                <w:b/>
                <w:color w:val="auto"/>
                <w:kern w:val="1"/>
                <w:sz w:val="24"/>
                <w:szCs w:val="24"/>
                <w:highlight w:val="none"/>
              </w:rPr>
              <w:t>法 定 代 表 人</w:t>
            </w:r>
          </w:p>
          <w:p w14:paraId="716D6B12">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lang w:val="zh-CN"/>
              </w:rPr>
            </w:pPr>
            <w:r>
              <w:rPr>
                <w:rFonts w:hint="eastAsia" w:ascii="宋体" w:hAnsi="宋体" w:cs="宋体"/>
                <w:b/>
                <w:color w:val="auto"/>
                <w:kern w:val="1"/>
                <w:sz w:val="24"/>
                <w:szCs w:val="24"/>
                <w:highlight w:val="none"/>
              </w:rPr>
              <w:t>（签名或盖章）</w:t>
            </w:r>
          </w:p>
        </w:tc>
        <w:tc>
          <w:tcPr>
            <w:tcW w:w="6569" w:type="dxa"/>
            <w:tcBorders>
              <w:top w:val="single" w:color="000000" w:sz="4" w:space="0"/>
              <w:left w:val="single" w:color="000000" w:sz="4" w:space="0"/>
              <w:bottom w:val="single" w:color="000000" w:sz="4" w:space="0"/>
              <w:right w:val="single" w:color="000000" w:sz="4" w:space="0"/>
            </w:tcBorders>
            <w:noWrap w:val="0"/>
            <w:vAlign w:val="center"/>
          </w:tcPr>
          <w:p w14:paraId="2D52290C">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rPr>
            </w:pPr>
          </w:p>
        </w:tc>
      </w:tr>
      <w:tr w14:paraId="348888F8">
        <w:tblPrEx>
          <w:tblCellMar>
            <w:top w:w="0" w:type="dxa"/>
            <w:left w:w="108" w:type="dxa"/>
            <w:bottom w:w="0" w:type="dxa"/>
            <w:right w:w="108" w:type="dxa"/>
          </w:tblCellMar>
        </w:tblPrEx>
        <w:trPr>
          <w:trHeight w:val="23" w:hRule="atLeast"/>
          <w:jc w:val="center"/>
        </w:trPr>
        <w:tc>
          <w:tcPr>
            <w:tcW w:w="2688" w:type="dxa"/>
            <w:tcBorders>
              <w:top w:val="single" w:color="000000" w:sz="4" w:space="0"/>
              <w:left w:val="single" w:color="000000" w:sz="4" w:space="0"/>
              <w:bottom w:val="single" w:color="000000" w:sz="4" w:space="0"/>
              <w:right w:val="single" w:color="000000" w:sz="4" w:space="0"/>
            </w:tcBorders>
            <w:noWrap w:val="0"/>
            <w:vAlign w:val="center"/>
          </w:tcPr>
          <w:p w14:paraId="5E8C09A5">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rPr>
            </w:pPr>
            <w:r>
              <w:rPr>
                <w:rFonts w:hint="eastAsia" w:ascii="宋体" w:hAnsi="宋体" w:cs="宋体"/>
                <w:b/>
                <w:color w:val="auto"/>
                <w:kern w:val="1"/>
                <w:sz w:val="24"/>
                <w:szCs w:val="24"/>
                <w:highlight w:val="none"/>
              </w:rPr>
              <w:t>授 权 委 托 人</w:t>
            </w:r>
          </w:p>
          <w:p w14:paraId="2EDE1093">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lang w:val="zh-CN"/>
              </w:rPr>
            </w:pPr>
            <w:r>
              <w:rPr>
                <w:rFonts w:hint="eastAsia" w:ascii="宋体" w:hAnsi="宋体" w:cs="宋体"/>
                <w:b/>
                <w:color w:val="auto"/>
                <w:kern w:val="1"/>
                <w:sz w:val="24"/>
                <w:szCs w:val="24"/>
                <w:highlight w:val="none"/>
              </w:rPr>
              <w:t>（签名或盖章）</w:t>
            </w:r>
          </w:p>
        </w:tc>
        <w:tc>
          <w:tcPr>
            <w:tcW w:w="6569" w:type="dxa"/>
            <w:tcBorders>
              <w:top w:val="single" w:color="000000" w:sz="4" w:space="0"/>
              <w:left w:val="single" w:color="000000" w:sz="4" w:space="0"/>
              <w:bottom w:val="single" w:color="000000" w:sz="4" w:space="0"/>
              <w:right w:val="single" w:color="000000" w:sz="4" w:space="0"/>
            </w:tcBorders>
            <w:noWrap w:val="0"/>
            <w:vAlign w:val="center"/>
          </w:tcPr>
          <w:p w14:paraId="3DCEC31C">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rPr>
            </w:pPr>
          </w:p>
        </w:tc>
      </w:tr>
      <w:tr w14:paraId="78994642">
        <w:tblPrEx>
          <w:tblCellMar>
            <w:top w:w="0" w:type="dxa"/>
            <w:left w:w="108" w:type="dxa"/>
            <w:bottom w:w="0" w:type="dxa"/>
            <w:right w:w="108" w:type="dxa"/>
          </w:tblCellMar>
        </w:tblPrEx>
        <w:trPr>
          <w:trHeight w:val="23" w:hRule="atLeast"/>
          <w:jc w:val="center"/>
        </w:trPr>
        <w:tc>
          <w:tcPr>
            <w:tcW w:w="2688" w:type="dxa"/>
            <w:tcBorders>
              <w:top w:val="single" w:color="000000" w:sz="4" w:space="0"/>
              <w:left w:val="single" w:color="000000" w:sz="4" w:space="0"/>
              <w:bottom w:val="single" w:color="000000" w:sz="4" w:space="0"/>
              <w:right w:val="single" w:color="000000" w:sz="4" w:space="0"/>
            </w:tcBorders>
            <w:noWrap w:val="0"/>
            <w:vAlign w:val="center"/>
          </w:tcPr>
          <w:p w14:paraId="1E04CE96">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lang w:val="zh-CN"/>
              </w:rPr>
            </w:pPr>
            <w:r>
              <w:rPr>
                <w:rFonts w:hint="eastAsia" w:ascii="宋体" w:hAnsi="宋体" w:cs="宋体"/>
                <w:b/>
                <w:color w:val="auto"/>
                <w:kern w:val="1"/>
                <w:sz w:val="24"/>
                <w:szCs w:val="24"/>
                <w:highlight w:val="none"/>
                <w:lang w:val="zh-CN"/>
              </w:rPr>
              <w:t>投  标  单  位</w:t>
            </w:r>
          </w:p>
          <w:p w14:paraId="518F1FEB">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lang w:val="zh-CN"/>
              </w:rPr>
            </w:pPr>
            <w:r>
              <w:rPr>
                <w:rFonts w:hint="eastAsia" w:ascii="宋体" w:hAnsi="宋体" w:cs="宋体"/>
                <w:b/>
                <w:color w:val="auto"/>
                <w:kern w:val="1"/>
                <w:sz w:val="24"/>
                <w:szCs w:val="24"/>
                <w:highlight w:val="none"/>
                <w:lang w:val="zh-CN"/>
              </w:rPr>
              <w:t>（盖章）</w:t>
            </w:r>
          </w:p>
        </w:tc>
        <w:tc>
          <w:tcPr>
            <w:tcW w:w="6569" w:type="dxa"/>
            <w:tcBorders>
              <w:top w:val="single" w:color="000000" w:sz="4" w:space="0"/>
              <w:left w:val="single" w:color="000000" w:sz="4" w:space="0"/>
              <w:bottom w:val="single" w:color="000000" w:sz="4" w:space="0"/>
              <w:right w:val="single" w:color="000000" w:sz="4" w:space="0"/>
            </w:tcBorders>
            <w:noWrap w:val="0"/>
            <w:vAlign w:val="center"/>
          </w:tcPr>
          <w:p w14:paraId="5ADB74DC">
            <w:pPr>
              <w:keepNext w:val="0"/>
              <w:keepLines w:val="0"/>
              <w:suppressLineNumbers w:val="0"/>
              <w:spacing w:before="0" w:beforeAutospacing="0" w:after="0" w:afterAutospacing="0" w:line="360" w:lineRule="auto"/>
              <w:ind w:left="0" w:right="0"/>
              <w:jc w:val="center"/>
              <w:rPr>
                <w:rFonts w:hint="default" w:ascii="宋体" w:hAnsi="宋体" w:cs="宋体"/>
                <w:b/>
                <w:color w:val="auto"/>
                <w:kern w:val="2"/>
                <w:sz w:val="24"/>
                <w:szCs w:val="24"/>
                <w:highlight w:val="none"/>
              </w:rPr>
            </w:pPr>
          </w:p>
        </w:tc>
      </w:tr>
    </w:tbl>
    <w:p w14:paraId="40C8FD27">
      <w:pPr>
        <w:pStyle w:val="2"/>
        <w:spacing w:after="0" w:line="240" w:lineRule="auto"/>
        <w:rPr>
          <w:rFonts w:cs="宋体"/>
          <w:b/>
          <w:color w:val="auto"/>
          <w:sz w:val="21"/>
          <w:szCs w:val="21"/>
          <w:highlight w:val="none"/>
        </w:rPr>
      </w:pPr>
      <w:r>
        <w:rPr>
          <w:rFonts w:hint="eastAsia" w:cs="宋体"/>
          <w:b/>
          <w:color w:val="auto"/>
          <w:sz w:val="21"/>
          <w:szCs w:val="21"/>
          <w:highlight w:val="none"/>
        </w:rPr>
        <w:t>注：</w:t>
      </w:r>
    </w:p>
    <w:p w14:paraId="404C2378">
      <w:pPr>
        <w:pStyle w:val="2"/>
        <w:spacing w:after="0" w:line="240" w:lineRule="auto"/>
        <w:rPr>
          <w:rFonts w:cs="宋体"/>
          <w:b/>
          <w:color w:val="auto"/>
          <w:sz w:val="21"/>
          <w:szCs w:val="21"/>
          <w:highlight w:val="none"/>
        </w:rPr>
      </w:pPr>
      <w:r>
        <w:rPr>
          <w:rFonts w:hint="eastAsia" w:cs="宋体"/>
          <w:b/>
          <w:color w:val="auto"/>
          <w:sz w:val="21"/>
          <w:szCs w:val="21"/>
          <w:highlight w:val="none"/>
        </w:rPr>
        <w:t>（1）联合体投标的，可由主办方签署、盖章。</w:t>
      </w:r>
    </w:p>
    <w:p w14:paraId="477CC2BE">
      <w:pPr>
        <w:pStyle w:val="2"/>
        <w:spacing w:after="0" w:line="240" w:lineRule="auto"/>
        <w:rPr>
          <w:rFonts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rPr>
        <w:t>2</w:t>
      </w:r>
      <w:r>
        <w:rPr>
          <w:rFonts w:hint="eastAsia" w:cs="宋体"/>
          <w:b/>
          <w:color w:val="auto"/>
          <w:sz w:val="21"/>
          <w:szCs w:val="21"/>
          <w:highlight w:val="none"/>
        </w:rPr>
        <w:t>）投标总报价的大写金额和小写金额不一致的，以大写金额为准。</w:t>
      </w:r>
    </w:p>
    <w:p w14:paraId="3DD70070">
      <w:pPr>
        <w:pStyle w:val="2"/>
        <w:spacing w:after="0" w:line="240" w:lineRule="auto"/>
        <w:rPr>
          <w:rFonts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rPr>
        <w:t>3</w:t>
      </w:r>
      <w:r>
        <w:rPr>
          <w:rFonts w:hint="eastAsia" w:cs="宋体"/>
          <w:b/>
          <w:color w:val="auto"/>
          <w:sz w:val="21"/>
          <w:szCs w:val="21"/>
          <w:highlight w:val="none"/>
        </w:rPr>
        <w:t>）</w:t>
      </w:r>
      <w:r>
        <w:rPr>
          <w:rFonts w:hint="eastAsia" w:cs="宋体"/>
          <w:b/>
          <w:color w:val="auto"/>
          <w:sz w:val="21"/>
          <w:szCs w:val="21"/>
          <w:highlight w:val="none"/>
          <w:lang w:val="en-US"/>
        </w:rPr>
        <w:t>投标总报价为</w:t>
      </w:r>
      <w:r>
        <w:rPr>
          <w:rFonts w:hint="eastAsia" w:cs="宋体"/>
          <w:b/>
          <w:color w:val="auto"/>
          <w:sz w:val="21"/>
          <w:szCs w:val="21"/>
          <w:highlight w:val="none"/>
        </w:rPr>
        <w:t>完成本次招标内容及《勘察设计任务书》内的全部内容</w:t>
      </w:r>
      <w:r>
        <w:rPr>
          <w:rFonts w:hint="eastAsia" w:cs="宋体"/>
          <w:b/>
          <w:color w:val="auto"/>
          <w:sz w:val="21"/>
          <w:szCs w:val="21"/>
          <w:highlight w:val="none"/>
          <w:lang w:val="en-US"/>
        </w:rPr>
        <w:t>的</w:t>
      </w:r>
      <w:r>
        <w:rPr>
          <w:rFonts w:hint="eastAsia" w:cs="宋体"/>
          <w:b/>
          <w:color w:val="auto"/>
          <w:sz w:val="21"/>
          <w:szCs w:val="21"/>
          <w:highlight w:val="none"/>
        </w:rPr>
        <w:t>费用。</w:t>
      </w:r>
    </w:p>
    <w:p w14:paraId="6576B911">
      <w:pPr>
        <w:pStyle w:val="2"/>
        <w:spacing w:after="0" w:line="240" w:lineRule="auto"/>
        <w:rPr>
          <w:rFonts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rPr>
        <w:t>4</w:t>
      </w:r>
      <w:r>
        <w:rPr>
          <w:rFonts w:hint="eastAsia" w:cs="宋体"/>
          <w:b/>
          <w:color w:val="auto"/>
          <w:sz w:val="21"/>
          <w:szCs w:val="21"/>
          <w:highlight w:val="none"/>
        </w:rPr>
        <w:t>）</w:t>
      </w:r>
      <w:r>
        <w:rPr>
          <w:rFonts w:hint="eastAsia" w:cs="宋体"/>
          <w:b/>
          <w:color w:val="auto"/>
          <w:sz w:val="21"/>
          <w:szCs w:val="21"/>
          <w:highlight w:val="none"/>
          <w:lang w:val="en-US"/>
        </w:rPr>
        <w:t>投标人须按招标文件要求报价，且不超过最高投标限价，</w:t>
      </w:r>
      <w:r>
        <w:rPr>
          <w:rFonts w:hint="eastAsia" w:cs="宋体"/>
          <w:b/>
          <w:color w:val="auto"/>
          <w:sz w:val="21"/>
          <w:szCs w:val="21"/>
          <w:highlight w:val="none"/>
        </w:rPr>
        <w:t>否则视为无效标。</w:t>
      </w:r>
    </w:p>
    <w:p w14:paraId="13936169">
      <w:pPr>
        <w:pStyle w:val="2"/>
        <w:spacing w:after="0" w:line="240" w:lineRule="auto"/>
        <w:rPr>
          <w:rFonts w:hint="eastAsia" w:cs="宋体"/>
          <w:b/>
          <w:color w:val="auto"/>
          <w:sz w:val="21"/>
          <w:szCs w:val="21"/>
          <w:highlight w:val="none"/>
        </w:rPr>
      </w:pPr>
      <w:r>
        <w:rPr>
          <w:rFonts w:hint="eastAsia" w:cs="宋体"/>
          <w:b/>
          <w:color w:val="auto"/>
          <w:sz w:val="21"/>
          <w:szCs w:val="21"/>
          <w:highlight w:val="none"/>
        </w:rPr>
        <w:t>（5）本表中的报价以万元为单位，精确到分位。</w:t>
      </w:r>
    </w:p>
    <w:p w14:paraId="0440EF74">
      <w:pPr>
        <w:pStyle w:val="2"/>
        <w:spacing w:after="0" w:line="240" w:lineRule="auto"/>
        <w:rPr>
          <w:rFonts w:cs="宋体"/>
          <w:b/>
          <w:color w:val="auto"/>
          <w:sz w:val="21"/>
          <w:szCs w:val="21"/>
          <w:highlight w:val="none"/>
          <w:lang w:val="en-US"/>
        </w:rPr>
      </w:pPr>
      <w:r>
        <w:rPr>
          <w:rFonts w:hint="eastAsia" w:cs="宋体"/>
          <w:b/>
          <w:color w:val="auto"/>
          <w:sz w:val="21"/>
          <w:szCs w:val="21"/>
          <w:highlight w:val="none"/>
        </w:rPr>
        <w:t>（6）报价下浮率以百分比计，小数点后保留二位小数，第三位小数四舍五入。</w:t>
      </w:r>
    </w:p>
    <w:p w14:paraId="4DAA49C6">
      <w:pPr>
        <w:spacing w:after="0" w:line="360" w:lineRule="auto"/>
        <w:rPr>
          <w:rFonts w:ascii="宋体" w:hAnsi="宋体" w:cs="Cambria Math"/>
          <w:b/>
          <w:color w:val="auto"/>
          <w:kern w:val="1"/>
          <w:sz w:val="24"/>
          <w:highlight w:val="none"/>
        </w:rPr>
      </w:pPr>
      <w:r>
        <w:rPr>
          <w:rFonts w:ascii="宋体" w:hAnsi="宋体"/>
          <w:color w:val="auto"/>
          <w:highlight w:val="none"/>
        </w:rPr>
        <w:br w:type="page"/>
      </w:r>
      <w:r>
        <w:rPr>
          <w:rFonts w:hint="eastAsia" w:ascii="宋体" w:hAnsi="宋体" w:cs="Cambria Math"/>
          <w:b/>
          <w:color w:val="auto"/>
          <w:kern w:val="1"/>
          <w:sz w:val="24"/>
          <w:highlight w:val="none"/>
        </w:rPr>
        <w:t>格式2：</w:t>
      </w:r>
    </w:p>
    <w:p w14:paraId="46397A94">
      <w:pPr>
        <w:autoSpaceDE w:val="0"/>
        <w:autoSpaceDN w:val="0"/>
        <w:adjustRightInd w:val="0"/>
        <w:spacing w:after="0" w:line="360" w:lineRule="auto"/>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勘察费</w:t>
      </w:r>
      <w:r>
        <w:rPr>
          <w:rFonts w:hint="eastAsia" w:ascii="宋体" w:hAnsi="宋体" w:cs="宋体"/>
          <w:b/>
          <w:bCs/>
          <w:color w:val="auto"/>
          <w:sz w:val="28"/>
          <w:szCs w:val="28"/>
          <w:highlight w:val="none"/>
        </w:rPr>
        <w:t>分项</w:t>
      </w:r>
      <w:r>
        <w:rPr>
          <w:rFonts w:hint="eastAsia" w:ascii="宋体" w:hAnsi="宋体" w:cs="宋体"/>
          <w:b/>
          <w:bCs/>
          <w:color w:val="auto"/>
          <w:sz w:val="28"/>
          <w:szCs w:val="28"/>
          <w:highlight w:val="none"/>
          <w:lang w:val="zh-CN"/>
        </w:rPr>
        <w:t>报价表</w:t>
      </w:r>
    </w:p>
    <w:tbl>
      <w:tblPr>
        <w:tblStyle w:val="36"/>
        <w:tblW w:w="9818" w:type="dxa"/>
        <w:jc w:val="center"/>
        <w:tblLayout w:type="fixed"/>
        <w:tblCellMar>
          <w:top w:w="0" w:type="dxa"/>
          <w:left w:w="108" w:type="dxa"/>
          <w:bottom w:w="0" w:type="dxa"/>
          <w:right w:w="108" w:type="dxa"/>
        </w:tblCellMar>
      </w:tblPr>
      <w:tblGrid>
        <w:gridCol w:w="687"/>
        <w:gridCol w:w="1878"/>
        <w:gridCol w:w="687"/>
        <w:gridCol w:w="1052"/>
        <w:gridCol w:w="1086"/>
        <w:gridCol w:w="1008"/>
        <w:gridCol w:w="962"/>
        <w:gridCol w:w="1160"/>
        <w:gridCol w:w="1298"/>
      </w:tblGrid>
      <w:tr w14:paraId="3DC2B6B4">
        <w:tblPrEx>
          <w:tblCellMar>
            <w:top w:w="0" w:type="dxa"/>
            <w:left w:w="108" w:type="dxa"/>
            <w:bottom w:w="0" w:type="dxa"/>
            <w:right w:w="108" w:type="dxa"/>
          </w:tblCellMar>
        </w:tblPrEx>
        <w:trPr>
          <w:trHeight w:val="92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080F782">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序号</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42F84001">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项目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86EC655">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单位名称</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8148996">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暂定工程量</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386385C1">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单价最高投标限价（元）</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A97DC00">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总价最高投标限价（万元）</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3ABC3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投标</w:t>
            </w:r>
          </w:p>
          <w:p w14:paraId="503896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单价（元）</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5171E98">
            <w:pPr>
              <w:keepNext w:val="0"/>
              <w:keepLines w:val="0"/>
              <w:widowControl/>
              <w:suppressLineNumbers w:val="0"/>
              <w:spacing w:before="0" w:beforeAutospacing="0" w:afterAutospacing="0"/>
              <w:ind w:left="0" w:right="0"/>
              <w:jc w:val="center"/>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合计（万元）</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C24480E">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备注</w:t>
            </w:r>
          </w:p>
        </w:tc>
      </w:tr>
      <w:tr w14:paraId="0AA87C88">
        <w:tblPrEx>
          <w:tblCellMar>
            <w:top w:w="0" w:type="dxa"/>
            <w:left w:w="108" w:type="dxa"/>
            <w:bottom w:w="0" w:type="dxa"/>
            <w:right w:w="108" w:type="dxa"/>
          </w:tblCellMar>
        </w:tblPrEx>
        <w:trPr>
          <w:trHeight w:val="88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27BDD64">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00C46A3">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岩土工程勘察费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D34F2C7">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m</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DD88245">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3500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312BCDD8">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125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942C136">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43.75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5D94159">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419B5A1">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A849A29">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r>
      <w:tr w14:paraId="57BF67DA">
        <w:tblPrEx>
          <w:tblCellMar>
            <w:top w:w="0" w:type="dxa"/>
            <w:left w:w="108" w:type="dxa"/>
            <w:bottom w:w="0" w:type="dxa"/>
            <w:right w:w="108" w:type="dxa"/>
          </w:tblCellMar>
        </w:tblPrEx>
        <w:trPr>
          <w:trHeight w:val="88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B9751CD">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2</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0661CE0">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超前钻费用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6CC0AC5">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m</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3E90A3F">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18000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2ADCCC89">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105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30B73E8">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189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EF82484">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9EDEAC1">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22BD33A">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r>
      <w:tr w14:paraId="25D8371C">
        <w:tblPrEx>
          <w:tblCellMar>
            <w:top w:w="0" w:type="dxa"/>
            <w:left w:w="108" w:type="dxa"/>
            <w:bottom w:w="0" w:type="dxa"/>
            <w:right w:w="108" w:type="dxa"/>
          </w:tblCellMar>
        </w:tblPrEx>
        <w:trPr>
          <w:trHeight w:val="88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625FF25">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9CD808B">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工程物探费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C5408FD">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787B27D">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22000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4F364E31">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458E4CF">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3.3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6599B69">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D87F3EE">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8440187">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r>
      <w:tr w14:paraId="78D45E1E">
        <w:tblPrEx>
          <w:tblCellMar>
            <w:top w:w="0" w:type="dxa"/>
            <w:left w:w="108" w:type="dxa"/>
            <w:bottom w:w="0" w:type="dxa"/>
            <w:right w:w="108" w:type="dxa"/>
          </w:tblCellMar>
        </w:tblPrEx>
        <w:trPr>
          <w:trHeight w:val="88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14F7612">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4</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1FDF8FA8">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地形测绘及工程测量</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C167E33">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项</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52F45214">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4AC970F5">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450000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D6A368D">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45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724FF80">
            <w:pPr>
              <w:keepNext w:val="0"/>
              <w:keepLines w:val="0"/>
              <w:widowControl/>
              <w:suppressLineNumbers w:val="0"/>
              <w:spacing w:before="0" w:beforeAutospacing="0" w:afterAutospacing="0"/>
              <w:ind w:left="0" w:right="0"/>
              <w:jc w:val="center"/>
              <w:textAlignment w:val="center"/>
              <w:rPr>
                <w:rFonts w:hint="eastAsia" w:ascii="宋体" w:hAnsi="宋体" w:cs="宋体"/>
                <w:color w:val="auto"/>
                <w:kern w:val="0"/>
                <w:sz w:val="22"/>
                <w:highlight w:val="none"/>
                <w:lang w:bidi="ar"/>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195AF8C">
            <w:pPr>
              <w:keepNext w:val="0"/>
              <w:keepLines w:val="0"/>
              <w:widowControl/>
              <w:suppressLineNumbers w:val="0"/>
              <w:spacing w:before="0" w:beforeAutospacing="0" w:afterAutospacing="0"/>
              <w:ind w:left="0" w:right="0"/>
              <w:jc w:val="center"/>
              <w:textAlignment w:val="center"/>
              <w:rPr>
                <w:rFonts w:hint="eastAsia" w:ascii="宋体" w:hAnsi="宋体" w:cs="宋体"/>
                <w:color w:val="auto"/>
                <w:kern w:val="0"/>
                <w:sz w:val="22"/>
                <w:highlight w:val="none"/>
                <w:lang w:bidi="ar"/>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EBAAFA0">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p>
        </w:tc>
      </w:tr>
      <w:tr w14:paraId="1C1BDBCA">
        <w:tblPrEx>
          <w:tblCellMar>
            <w:top w:w="0" w:type="dxa"/>
            <w:left w:w="108" w:type="dxa"/>
            <w:bottom w:w="0" w:type="dxa"/>
            <w:right w:w="108" w:type="dxa"/>
          </w:tblCellMar>
        </w:tblPrEx>
        <w:trPr>
          <w:trHeight w:val="88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A43A23E">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5</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5B45BE7">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抽水试验</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91EFAE6">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个</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1496E85B">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2</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715A06A3">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10000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0DC5BEE">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79F6E2C">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DE31D7E">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5EF54FA">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r>
      <w:tr w14:paraId="59FCA632">
        <w:tblPrEx>
          <w:tblCellMar>
            <w:top w:w="0" w:type="dxa"/>
            <w:left w:w="108" w:type="dxa"/>
            <w:bottom w:w="0" w:type="dxa"/>
            <w:right w:w="108" w:type="dxa"/>
          </w:tblCellMar>
        </w:tblPrEx>
        <w:trPr>
          <w:trHeight w:val="88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E54D2C0">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6</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1924DBF7">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剪切波速</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3E3BBBC">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个</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094DC5CE">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3</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55A8256E">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2500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1EA4978">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0.75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EDD7A5E">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475E169">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5658340">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r>
      <w:tr w14:paraId="17F0E1A2">
        <w:tblPrEx>
          <w:tblCellMar>
            <w:top w:w="0" w:type="dxa"/>
            <w:left w:w="108" w:type="dxa"/>
            <w:bottom w:w="0" w:type="dxa"/>
            <w:right w:w="108" w:type="dxa"/>
          </w:tblCellMar>
        </w:tblPrEx>
        <w:trPr>
          <w:trHeight w:val="88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0DC2399">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7</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40155A1F">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土壤氡浓度测试</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62D6B83">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点</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7079F7AF">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180</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2255074D">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120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D5AAA2B">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2.16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B8F3D9B">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46F11E3">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FB76AF6">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r>
      <w:tr w14:paraId="4D182377">
        <w:tblPrEx>
          <w:tblCellMar>
            <w:top w:w="0" w:type="dxa"/>
            <w:left w:w="108" w:type="dxa"/>
            <w:bottom w:w="0" w:type="dxa"/>
            <w:right w:w="108" w:type="dxa"/>
          </w:tblCellMar>
        </w:tblPrEx>
        <w:trPr>
          <w:trHeight w:val="88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A5DB999">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8</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0EDA139">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噪声测试</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EB31E29">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点</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14:paraId="4CBEA51D">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4</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14:paraId="6C806638">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3000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CFFD722">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1.2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81945A7">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CEC9C8F">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834622B">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r>
      <w:tr w14:paraId="4B0FDF3E">
        <w:tblPrEx>
          <w:tblCellMar>
            <w:top w:w="0" w:type="dxa"/>
            <w:left w:w="108" w:type="dxa"/>
            <w:bottom w:w="0" w:type="dxa"/>
            <w:right w:w="108" w:type="dxa"/>
          </w:tblCellMar>
        </w:tblPrEx>
        <w:trPr>
          <w:trHeight w:val="880" w:hRule="atLeast"/>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E6E7492">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10</w:t>
            </w:r>
          </w:p>
        </w:tc>
        <w:tc>
          <w:tcPr>
            <w:tcW w:w="2520" w:type="dxa"/>
            <w:gridSpan w:val="2"/>
            <w:tcBorders>
              <w:top w:val="single" w:color="000000" w:sz="4" w:space="0"/>
              <w:left w:val="single" w:color="000000" w:sz="4" w:space="0"/>
              <w:bottom w:val="single" w:color="000000" w:sz="4" w:space="0"/>
              <w:right w:val="single" w:color="000000" w:sz="4" w:space="0"/>
            </w:tcBorders>
            <w:noWrap w:val="0"/>
            <w:vAlign w:val="center"/>
          </w:tcPr>
          <w:p w14:paraId="117B3F24">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kern w:val="0"/>
                <w:sz w:val="22"/>
                <w:highlight w:val="none"/>
                <w:lang w:bidi="ar"/>
              </w:rPr>
              <w:t>勘察费小计(万元)</w:t>
            </w:r>
          </w:p>
        </w:tc>
        <w:tc>
          <w:tcPr>
            <w:tcW w:w="3090" w:type="dxa"/>
            <w:gridSpan w:val="3"/>
            <w:tcBorders>
              <w:top w:val="single" w:color="000000" w:sz="4" w:space="0"/>
              <w:left w:val="single" w:color="000000" w:sz="4" w:space="0"/>
              <w:bottom w:val="single" w:color="000000" w:sz="4" w:space="0"/>
              <w:right w:val="single" w:color="000000" w:sz="4" w:space="0"/>
            </w:tcBorders>
            <w:noWrap w:val="0"/>
            <w:vAlign w:val="center"/>
          </w:tcPr>
          <w:p w14:paraId="5EE3E30F">
            <w:pPr>
              <w:keepNext w:val="0"/>
              <w:keepLines w:val="0"/>
              <w:widowControl/>
              <w:suppressLineNumbers w:val="0"/>
              <w:spacing w:before="0" w:beforeAutospacing="0" w:afterAutospacing="0"/>
              <w:ind w:left="0" w:right="0"/>
              <w:jc w:val="center"/>
              <w:textAlignment w:val="center"/>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287.16</w:t>
            </w:r>
          </w:p>
        </w:tc>
        <w:tc>
          <w:tcPr>
            <w:tcW w:w="3360" w:type="dxa"/>
            <w:gridSpan w:val="3"/>
            <w:tcBorders>
              <w:top w:val="single" w:color="000000" w:sz="4" w:space="0"/>
              <w:left w:val="single" w:color="000000" w:sz="4" w:space="0"/>
              <w:bottom w:val="single" w:color="000000" w:sz="4" w:space="0"/>
              <w:right w:val="single" w:color="000000" w:sz="4" w:space="0"/>
            </w:tcBorders>
            <w:noWrap w:val="0"/>
            <w:vAlign w:val="center"/>
          </w:tcPr>
          <w:p w14:paraId="41C7624E">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p>
        </w:tc>
      </w:tr>
    </w:tbl>
    <w:p w14:paraId="17805766">
      <w:pPr>
        <w:pStyle w:val="2"/>
        <w:spacing w:after="0" w:line="240" w:lineRule="auto"/>
        <w:ind w:firstLine="420" w:firstLineChars="200"/>
        <w:rPr>
          <w:rFonts w:hint="eastAsia"/>
          <w:color w:val="auto"/>
          <w:sz w:val="21"/>
          <w:szCs w:val="21"/>
          <w:highlight w:val="none"/>
        </w:rPr>
      </w:pPr>
      <w:bookmarkStart w:id="409" w:name="OLE_LINK2"/>
      <w:bookmarkStart w:id="410" w:name="OLE_LINK3"/>
      <w:r>
        <w:rPr>
          <w:rFonts w:hint="eastAsia"/>
          <w:color w:val="auto"/>
          <w:sz w:val="21"/>
          <w:szCs w:val="21"/>
          <w:highlight w:val="none"/>
        </w:rPr>
        <w:t>注：1、勘察费各单项投标报价的单价与数量的乘积和合计不一致的，以单价为准，各项单价投标报价精确到小数点后两位。勘察费各项投标报价</w:t>
      </w:r>
      <w:r>
        <w:rPr>
          <w:rFonts w:hint="eastAsia"/>
          <w:color w:val="auto"/>
          <w:sz w:val="21"/>
          <w:szCs w:val="21"/>
          <w:highlight w:val="none"/>
          <w:lang w:val="en-US"/>
        </w:rPr>
        <w:t>超过其</w:t>
      </w:r>
      <w:r>
        <w:rPr>
          <w:rFonts w:hint="eastAsia"/>
          <w:color w:val="auto"/>
          <w:sz w:val="21"/>
          <w:szCs w:val="21"/>
          <w:highlight w:val="none"/>
        </w:rPr>
        <w:t>单价最高投标限价及总价最高投标限价的为无效标，各单价最高投标限价及总价最高投标限价以《</w:t>
      </w:r>
      <w:r>
        <w:rPr>
          <w:rFonts w:hint="eastAsia"/>
          <w:color w:val="auto"/>
          <w:sz w:val="21"/>
          <w:szCs w:val="21"/>
          <w:highlight w:val="none"/>
          <w:lang w:bidi="ar"/>
        </w:rPr>
        <w:t>勘察费最高限价表</w:t>
      </w:r>
      <w:r>
        <w:rPr>
          <w:rFonts w:hint="eastAsia"/>
          <w:color w:val="auto"/>
          <w:sz w:val="21"/>
          <w:szCs w:val="21"/>
          <w:highlight w:val="none"/>
        </w:rPr>
        <w:t>》及分项报价表列明为准。</w:t>
      </w:r>
    </w:p>
    <w:p w14:paraId="0472087E">
      <w:pPr>
        <w:pStyle w:val="2"/>
        <w:spacing w:after="0" w:line="240" w:lineRule="auto"/>
        <w:ind w:firstLine="422" w:firstLineChars="200"/>
        <w:rPr>
          <w:b/>
          <w:bCs/>
          <w:color w:val="auto"/>
          <w:sz w:val="21"/>
          <w:szCs w:val="21"/>
          <w:highlight w:val="none"/>
        </w:rPr>
      </w:pPr>
      <w:r>
        <w:rPr>
          <w:rFonts w:hint="eastAsia"/>
          <w:b/>
          <w:bCs/>
          <w:color w:val="auto"/>
          <w:sz w:val="21"/>
          <w:szCs w:val="21"/>
          <w:highlight w:val="none"/>
        </w:rPr>
        <w:t>2、投标人应注意元及万元的填写要求，勘察费投标报价小计精确到分位。</w:t>
      </w:r>
      <w:bookmarkEnd w:id="409"/>
      <w:bookmarkEnd w:id="410"/>
    </w:p>
    <w:p w14:paraId="7F631C52">
      <w:pPr>
        <w:tabs>
          <w:tab w:val="left" w:pos="7655"/>
        </w:tabs>
        <w:spacing w:line="320" w:lineRule="exact"/>
        <w:ind w:right="492"/>
        <w:jc w:val="center"/>
        <w:rPr>
          <w:rFonts w:ascii="宋体" w:hAnsi="宋体" w:cs="宋体"/>
          <w:color w:val="auto"/>
          <w:spacing w:val="18"/>
          <w:kern w:val="1"/>
          <w:szCs w:val="21"/>
          <w:highlight w:val="none"/>
          <w:lang w:val="zh-CN"/>
        </w:rPr>
      </w:pPr>
      <w:r>
        <w:rPr>
          <w:rFonts w:hint="eastAsia" w:ascii="宋体" w:hAnsi="宋体" w:cs="宋体"/>
          <w:color w:val="auto"/>
          <w:spacing w:val="18"/>
          <w:kern w:val="1"/>
          <w:szCs w:val="21"/>
          <w:highlight w:val="none"/>
          <w:lang w:val="zh-CN"/>
        </w:rPr>
        <w:t xml:space="preserve">                           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(盖公章) </w:t>
      </w:r>
    </w:p>
    <w:p w14:paraId="2C8C4010">
      <w:pPr>
        <w:pStyle w:val="32"/>
        <w:spacing w:after="0" w:line="240" w:lineRule="auto"/>
        <w:jc w:val="left"/>
        <w:rPr>
          <w:rFonts w:hint="eastAsia" w:ascii="宋体" w:hAnsi="宋体" w:eastAsia="宋体" w:cs="宋体"/>
          <w:color w:val="auto"/>
          <w:highlight w:val="none"/>
        </w:rPr>
      </w:pPr>
      <w:r>
        <w:rPr>
          <w:rFonts w:hint="eastAsia" w:ascii="宋体" w:hAnsi="宋体" w:eastAsia="宋体" w:cs="宋体"/>
          <w:color w:val="auto"/>
          <w:spacing w:val="18"/>
          <w:kern w:val="1"/>
          <w:highlight w:val="none"/>
        </w:rPr>
        <w:t xml:space="preserve">                              </w:t>
      </w:r>
      <w:r>
        <w:rPr>
          <w:rFonts w:hint="eastAsia" w:ascii="宋体" w:hAnsi="宋体" w:eastAsia="宋体" w:cs="宋体"/>
          <w:color w:val="auto"/>
          <w:spacing w:val="18"/>
          <w:kern w:val="1"/>
          <w:highlight w:val="none"/>
          <w:lang w:val="zh-CN"/>
        </w:rPr>
        <w:t>日期：</w:t>
      </w:r>
      <w:r>
        <w:rPr>
          <w:rFonts w:hint="eastAsia" w:ascii="宋体" w:hAnsi="宋体" w:eastAsia="宋体" w:cs="宋体"/>
          <w:color w:val="auto"/>
          <w:spacing w:val="18"/>
          <w:kern w:val="1"/>
          <w:highlight w:val="none"/>
          <w:u w:val="single"/>
        </w:rPr>
        <w:t xml:space="preserve">   </w:t>
      </w:r>
      <w:r>
        <w:rPr>
          <w:rFonts w:hint="eastAsia" w:ascii="宋体" w:hAnsi="宋体" w:eastAsia="宋体" w:cs="宋体"/>
          <w:color w:val="auto"/>
          <w:spacing w:val="18"/>
          <w:kern w:val="1"/>
          <w:highlight w:val="none"/>
          <w:u w:val="single"/>
          <w:lang w:val="zh-CN"/>
        </w:rPr>
        <w:t>年</w:t>
      </w:r>
      <w:r>
        <w:rPr>
          <w:rFonts w:hint="eastAsia" w:ascii="宋体" w:hAnsi="宋体" w:eastAsia="宋体" w:cs="宋体"/>
          <w:color w:val="auto"/>
          <w:spacing w:val="18"/>
          <w:kern w:val="1"/>
          <w:highlight w:val="none"/>
          <w:u w:val="single"/>
        </w:rPr>
        <w:t xml:space="preserve">   </w:t>
      </w:r>
      <w:r>
        <w:rPr>
          <w:rFonts w:hint="eastAsia" w:ascii="宋体" w:hAnsi="宋体" w:eastAsia="宋体" w:cs="宋体"/>
          <w:color w:val="auto"/>
          <w:spacing w:val="18"/>
          <w:kern w:val="1"/>
          <w:highlight w:val="none"/>
          <w:u w:val="single"/>
          <w:lang w:val="zh-CN"/>
        </w:rPr>
        <w:t>月</w:t>
      </w:r>
      <w:r>
        <w:rPr>
          <w:rFonts w:hint="eastAsia" w:ascii="宋体" w:hAnsi="宋体" w:eastAsia="宋体" w:cs="宋体"/>
          <w:color w:val="auto"/>
          <w:spacing w:val="18"/>
          <w:kern w:val="1"/>
          <w:highlight w:val="none"/>
          <w:u w:val="single"/>
        </w:rPr>
        <w:t xml:space="preserve">   </w:t>
      </w:r>
      <w:r>
        <w:rPr>
          <w:rFonts w:hint="eastAsia" w:ascii="宋体" w:hAnsi="宋体" w:eastAsia="宋体" w:cs="宋体"/>
          <w:color w:val="auto"/>
          <w:spacing w:val="18"/>
          <w:kern w:val="1"/>
          <w:highlight w:val="none"/>
          <w:lang w:val="zh-CN"/>
        </w:rPr>
        <w:t>日</w:t>
      </w:r>
    </w:p>
    <w:p w14:paraId="0D52A2D7">
      <w:pPr>
        <w:jc w:val="center"/>
        <w:rPr>
          <w:rFonts w:ascii="宋体" w:hAnsi="宋体" w:cs="宋体"/>
          <w:b/>
          <w:color w:val="auto"/>
          <w:kern w:val="1"/>
          <w:sz w:val="28"/>
          <w:szCs w:val="28"/>
          <w:highlight w:val="none"/>
          <w:lang w:val="zh-CN"/>
        </w:rPr>
      </w:pPr>
      <w:r>
        <w:rPr>
          <w:rFonts w:hint="eastAsia" w:ascii="宋体" w:hAnsi="宋体"/>
          <w:color w:val="auto"/>
          <w:highlight w:val="none"/>
        </w:rPr>
        <w:t xml:space="preserve"> </w:t>
      </w:r>
      <w:r>
        <w:rPr>
          <w:rFonts w:ascii="宋体" w:hAnsi="宋体" w:cs="宋体"/>
          <w:color w:val="auto"/>
          <w:kern w:val="1"/>
          <w:szCs w:val="21"/>
          <w:highlight w:val="none"/>
        </w:rPr>
        <w:br w:type="page"/>
      </w:r>
      <w:r>
        <w:rPr>
          <w:rFonts w:hint="eastAsia" w:ascii="宋体" w:hAnsi="宋体" w:cs="宋体"/>
          <w:b/>
          <w:color w:val="auto"/>
          <w:kern w:val="1"/>
          <w:sz w:val="28"/>
          <w:szCs w:val="28"/>
          <w:highlight w:val="none"/>
          <w:lang w:val="zh-CN"/>
        </w:rPr>
        <w:t>设计费分项报价表</w:t>
      </w:r>
    </w:p>
    <w:tbl>
      <w:tblPr>
        <w:tblStyle w:val="36"/>
        <w:tblW w:w="10254" w:type="dxa"/>
        <w:jc w:val="center"/>
        <w:tblLayout w:type="fixed"/>
        <w:tblCellMar>
          <w:top w:w="0" w:type="dxa"/>
          <w:left w:w="0" w:type="dxa"/>
          <w:bottom w:w="0" w:type="dxa"/>
          <w:right w:w="0" w:type="dxa"/>
        </w:tblCellMar>
      </w:tblPr>
      <w:tblGrid>
        <w:gridCol w:w="768"/>
        <w:gridCol w:w="1912"/>
        <w:gridCol w:w="1343"/>
        <w:gridCol w:w="1332"/>
        <w:gridCol w:w="1332"/>
        <w:gridCol w:w="3567"/>
      </w:tblGrid>
      <w:tr w14:paraId="253A02D0">
        <w:tblPrEx>
          <w:tblCellMar>
            <w:top w:w="0" w:type="dxa"/>
            <w:left w:w="0" w:type="dxa"/>
            <w:bottom w:w="0" w:type="dxa"/>
            <w:right w:w="0" w:type="dxa"/>
          </w:tblCellMar>
        </w:tblPrEx>
        <w:trPr>
          <w:trHeight w:val="580" w:hRule="atLeast"/>
          <w:tblHeader/>
          <w:jc w:val="center"/>
        </w:trPr>
        <w:tc>
          <w:tcPr>
            <w:tcW w:w="768" w:type="dxa"/>
            <w:tcBorders>
              <w:top w:val="single" w:color="auto" w:sz="8" w:space="0"/>
              <w:left w:val="single" w:color="auto" w:sz="8" w:space="0"/>
              <w:bottom w:val="single" w:color="auto" w:sz="8" w:space="0"/>
              <w:right w:val="single" w:color="auto" w:sz="8" w:space="0"/>
            </w:tcBorders>
            <w:noWrap w:val="0"/>
            <w:vAlign w:val="center"/>
          </w:tcPr>
          <w:p w14:paraId="7726B29D">
            <w:pPr>
              <w:pStyle w:val="9"/>
              <w:keepNext w:val="0"/>
              <w:keepLines w:val="0"/>
              <w:suppressLineNumbers w:val="0"/>
              <w:spacing w:before="0" w:beforeAutospacing="0" w:afterAutospacing="0"/>
              <w:ind w:left="0" w:right="0" w:firstLine="0" w:firstLineChars="0"/>
              <w:jc w:val="center"/>
              <w:rPr>
                <w:rFonts w:hint="default" w:ascii="宋体" w:hAnsi="宋体" w:cs="宋体"/>
                <w:bCs/>
                <w:color w:val="auto"/>
                <w:kern w:val="2"/>
                <w:szCs w:val="21"/>
                <w:highlight w:val="none"/>
              </w:rPr>
            </w:pPr>
            <w:r>
              <w:rPr>
                <w:rFonts w:hint="eastAsia" w:ascii="宋体" w:hAnsi="宋体" w:cs="宋体"/>
                <w:bCs/>
                <w:color w:val="auto"/>
                <w:kern w:val="2"/>
                <w:szCs w:val="21"/>
                <w:highlight w:val="none"/>
              </w:rPr>
              <w:t>序号</w:t>
            </w:r>
          </w:p>
        </w:tc>
        <w:tc>
          <w:tcPr>
            <w:tcW w:w="1912" w:type="dxa"/>
            <w:tcBorders>
              <w:top w:val="single" w:color="auto" w:sz="8" w:space="0"/>
              <w:left w:val="nil"/>
              <w:bottom w:val="single" w:color="auto" w:sz="8" w:space="0"/>
              <w:right w:val="single" w:color="auto" w:sz="8" w:space="0"/>
            </w:tcBorders>
            <w:noWrap w:val="0"/>
            <w:vAlign w:val="center"/>
          </w:tcPr>
          <w:p w14:paraId="4C02A516">
            <w:pPr>
              <w:pStyle w:val="9"/>
              <w:keepNext w:val="0"/>
              <w:keepLines w:val="0"/>
              <w:suppressLineNumbers w:val="0"/>
              <w:spacing w:before="0" w:beforeAutospacing="0" w:afterAutospacing="0"/>
              <w:ind w:left="0" w:right="0" w:firstLine="630" w:firstLineChars="300"/>
              <w:rPr>
                <w:rFonts w:hint="default" w:ascii="宋体" w:hAnsi="宋体" w:cs="宋体"/>
                <w:bCs/>
                <w:color w:val="auto"/>
                <w:kern w:val="2"/>
                <w:szCs w:val="21"/>
                <w:highlight w:val="none"/>
              </w:rPr>
            </w:pPr>
            <w:r>
              <w:rPr>
                <w:rFonts w:hint="eastAsia" w:ascii="宋体" w:hAnsi="宋体" w:cs="宋体"/>
                <w:bCs/>
                <w:color w:val="auto"/>
                <w:kern w:val="2"/>
                <w:szCs w:val="21"/>
                <w:highlight w:val="none"/>
              </w:rPr>
              <w:t>内容</w:t>
            </w:r>
          </w:p>
        </w:tc>
        <w:tc>
          <w:tcPr>
            <w:tcW w:w="1343" w:type="dxa"/>
            <w:tcBorders>
              <w:top w:val="single" w:color="auto" w:sz="8" w:space="0"/>
              <w:left w:val="nil"/>
              <w:bottom w:val="single" w:color="auto" w:sz="8" w:space="0"/>
              <w:right w:val="single" w:color="auto" w:sz="8" w:space="0"/>
            </w:tcBorders>
            <w:noWrap w:val="0"/>
            <w:vAlign w:val="center"/>
          </w:tcPr>
          <w:p w14:paraId="6CD2DF7E">
            <w:pPr>
              <w:pStyle w:val="9"/>
              <w:keepNext w:val="0"/>
              <w:keepLines w:val="0"/>
              <w:suppressLineNumbers w:val="0"/>
              <w:spacing w:before="0" w:beforeAutospacing="0" w:afterAutospacing="0"/>
              <w:ind w:left="0" w:right="0" w:firstLine="0" w:firstLineChars="0"/>
              <w:jc w:val="center"/>
              <w:rPr>
                <w:rFonts w:hint="default" w:ascii="宋体" w:hAnsi="宋体" w:cs="宋体"/>
                <w:bCs/>
                <w:color w:val="auto"/>
                <w:kern w:val="2"/>
                <w:szCs w:val="21"/>
                <w:highlight w:val="none"/>
              </w:rPr>
            </w:pPr>
            <w:r>
              <w:rPr>
                <w:rFonts w:hint="eastAsia" w:ascii="宋体" w:hAnsi="宋体" w:cs="宋体"/>
                <w:bCs/>
                <w:color w:val="auto"/>
                <w:kern w:val="2"/>
                <w:szCs w:val="21"/>
                <w:highlight w:val="none"/>
              </w:rPr>
              <w:t>暂定计费额（万元）</w:t>
            </w:r>
          </w:p>
        </w:tc>
        <w:tc>
          <w:tcPr>
            <w:tcW w:w="1332" w:type="dxa"/>
            <w:tcBorders>
              <w:top w:val="single" w:color="auto" w:sz="8" w:space="0"/>
              <w:left w:val="nil"/>
              <w:bottom w:val="single" w:color="auto" w:sz="8" w:space="0"/>
              <w:right w:val="single" w:color="auto" w:sz="8" w:space="0"/>
            </w:tcBorders>
            <w:shd w:val="clear" w:color="auto" w:fill="auto"/>
            <w:noWrap w:val="0"/>
            <w:vAlign w:val="center"/>
          </w:tcPr>
          <w:p w14:paraId="0AB207F7">
            <w:pPr>
              <w:keepNext w:val="0"/>
              <w:keepLines w:val="0"/>
              <w:widowControl/>
              <w:suppressLineNumbers w:val="0"/>
              <w:spacing w:before="0" w:beforeAutospacing="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highlight w:val="none"/>
                <w:lang w:bidi="ar"/>
              </w:rPr>
              <w:t>总价最高投标限价（万元）</w:t>
            </w:r>
          </w:p>
        </w:tc>
        <w:tc>
          <w:tcPr>
            <w:tcW w:w="1332" w:type="dxa"/>
            <w:tcBorders>
              <w:top w:val="single" w:color="auto" w:sz="8" w:space="0"/>
              <w:left w:val="nil"/>
              <w:bottom w:val="single" w:color="auto" w:sz="8" w:space="0"/>
              <w:right w:val="single" w:color="auto" w:sz="8" w:space="0"/>
            </w:tcBorders>
            <w:shd w:val="clear" w:color="auto" w:fill="auto"/>
            <w:noWrap w:val="0"/>
            <w:vAlign w:val="center"/>
          </w:tcPr>
          <w:p w14:paraId="4C51EE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投标</w:t>
            </w:r>
          </w:p>
          <w:p w14:paraId="5276BF91">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宋体" w:hAnsi="宋体" w:cs="宋体"/>
                <w:bCs w:val="0"/>
                <w:color w:val="auto"/>
                <w:kern w:val="0"/>
                <w:sz w:val="22"/>
                <w:szCs w:val="22"/>
                <w:highlight w:val="none"/>
                <w:lang w:bidi="ar"/>
              </w:rPr>
            </w:pPr>
            <w:r>
              <w:rPr>
                <w:rFonts w:hint="eastAsia" w:ascii="宋体" w:hAnsi="宋体" w:cs="宋体"/>
                <w:color w:val="auto"/>
                <w:kern w:val="0"/>
                <w:sz w:val="22"/>
                <w:highlight w:val="none"/>
                <w:lang w:bidi="ar"/>
              </w:rPr>
              <w:t>价（</w:t>
            </w:r>
            <w:r>
              <w:rPr>
                <w:rFonts w:hint="eastAsia" w:ascii="宋体" w:hAnsi="宋体" w:cs="宋体"/>
                <w:color w:val="auto"/>
                <w:kern w:val="0"/>
                <w:sz w:val="22"/>
                <w:highlight w:val="none"/>
                <w:lang w:val="en-US" w:eastAsia="zh-CN" w:bidi="ar"/>
              </w:rPr>
              <w:t>万</w:t>
            </w:r>
            <w:r>
              <w:rPr>
                <w:rFonts w:hint="eastAsia" w:ascii="宋体" w:hAnsi="宋体" w:cs="宋体"/>
                <w:color w:val="auto"/>
                <w:kern w:val="0"/>
                <w:sz w:val="22"/>
                <w:highlight w:val="none"/>
                <w:lang w:bidi="ar"/>
              </w:rPr>
              <w:t>元）</w:t>
            </w:r>
          </w:p>
        </w:tc>
        <w:tc>
          <w:tcPr>
            <w:tcW w:w="3567" w:type="dxa"/>
            <w:tcBorders>
              <w:top w:val="single" w:color="auto" w:sz="8" w:space="0"/>
              <w:left w:val="nil"/>
              <w:bottom w:val="single" w:color="auto" w:sz="8" w:space="0"/>
              <w:right w:val="single" w:color="auto" w:sz="8" w:space="0"/>
            </w:tcBorders>
            <w:noWrap w:val="0"/>
            <w:vAlign w:val="center"/>
          </w:tcPr>
          <w:p w14:paraId="090D1F00">
            <w:pPr>
              <w:pStyle w:val="9"/>
              <w:keepNext w:val="0"/>
              <w:keepLines w:val="0"/>
              <w:suppressLineNumbers w:val="0"/>
              <w:spacing w:before="0" w:beforeAutospacing="0" w:afterAutospacing="0"/>
              <w:ind w:left="0" w:right="0" w:firstLine="1680" w:firstLineChars="800"/>
              <w:rPr>
                <w:rFonts w:hint="default" w:ascii="宋体" w:hAnsi="宋体" w:cs="宋体"/>
                <w:bCs/>
                <w:color w:val="auto"/>
                <w:kern w:val="2"/>
                <w:szCs w:val="21"/>
                <w:highlight w:val="none"/>
              </w:rPr>
            </w:pPr>
            <w:r>
              <w:rPr>
                <w:rFonts w:hint="eastAsia" w:ascii="宋体" w:hAnsi="宋体" w:cs="宋体"/>
                <w:bCs/>
                <w:color w:val="auto"/>
                <w:kern w:val="2"/>
                <w:szCs w:val="21"/>
                <w:highlight w:val="none"/>
              </w:rPr>
              <w:t>备注</w:t>
            </w:r>
          </w:p>
        </w:tc>
      </w:tr>
      <w:tr w14:paraId="2BF64DE4">
        <w:tblPrEx>
          <w:tblCellMar>
            <w:top w:w="0" w:type="dxa"/>
            <w:left w:w="0" w:type="dxa"/>
            <w:bottom w:w="0" w:type="dxa"/>
            <w:right w:w="0" w:type="dxa"/>
          </w:tblCellMar>
        </w:tblPrEx>
        <w:trPr>
          <w:trHeight w:val="580" w:hRule="atLeast"/>
          <w:jc w:val="center"/>
        </w:trPr>
        <w:tc>
          <w:tcPr>
            <w:tcW w:w="768" w:type="dxa"/>
            <w:tcBorders>
              <w:top w:val="single" w:color="auto" w:sz="8" w:space="0"/>
              <w:left w:val="single" w:color="auto" w:sz="8" w:space="0"/>
              <w:bottom w:val="single" w:color="auto" w:sz="8" w:space="0"/>
              <w:right w:val="single" w:color="auto" w:sz="8" w:space="0"/>
            </w:tcBorders>
            <w:noWrap w:val="0"/>
            <w:vAlign w:val="center"/>
          </w:tcPr>
          <w:p w14:paraId="20C70329">
            <w:pPr>
              <w:pStyle w:val="9"/>
              <w:keepNext w:val="0"/>
              <w:keepLines w:val="0"/>
              <w:suppressLineNumbers w:val="0"/>
              <w:spacing w:before="0" w:beforeAutospacing="0" w:afterAutospacing="0"/>
              <w:ind w:left="0" w:right="0" w:firstLine="210" w:firstLineChars="100"/>
              <w:jc w:val="center"/>
              <w:rPr>
                <w:rFonts w:hint="default" w:ascii="宋体" w:hAnsi="宋体" w:cs="宋体"/>
                <w:bCs/>
                <w:color w:val="auto"/>
                <w:kern w:val="2"/>
                <w:szCs w:val="21"/>
                <w:highlight w:val="none"/>
              </w:rPr>
            </w:pPr>
            <w:r>
              <w:rPr>
                <w:rFonts w:hint="eastAsia" w:ascii="宋体" w:hAnsi="宋体" w:cs="宋体"/>
                <w:bCs/>
                <w:color w:val="auto"/>
                <w:kern w:val="2"/>
                <w:szCs w:val="21"/>
                <w:highlight w:val="none"/>
              </w:rPr>
              <w:t>1</w:t>
            </w:r>
          </w:p>
        </w:tc>
        <w:tc>
          <w:tcPr>
            <w:tcW w:w="1912" w:type="dxa"/>
            <w:tcBorders>
              <w:top w:val="single" w:color="auto" w:sz="8" w:space="0"/>
              <w:left w:val="nil"/>
              <w:bottom w:val="single" w:color="auto" w:sz="8" w:space="0"/>
              <w:right w:val="single" w:color="auto" w:sz="8" w:space="0"/>
            </w:tcBorders>
            <w:noWrap w:val="0"/>
            <w:vAlign w:val="center"/>
          </w:tcPr>
          <w:p w14:paraId="414B5DD0">
            <w:pPr>
              <w:pStyle w:val="9"/>
              <w:keepNext w:val="0"/>
              <w:keepLines w:val="0"/>
              <w:suppressLineNumbers w:val="0"/>
              <w:spacing w:before="0" w:beforeAutospacing="0" w:afterAutospacing="0"/>
              <w:ind w:left="0" w:right="0" w:firstLine="0" w:firstLineChars="0"/>
              <w:jc w:val="center"/>
              <w:rPr>
                <w:rFonts w:hint="default" w:ascii="宋体" w:hAnsi="宋体" w:cs="宋体"/>
                <w:bCs/>
                <w:color w:val="auto"/>
                <w:kern w:val="2"/>
                <w:szCs w:val="21"/>
                <w:highlight w:val="none"/>
              </w:rPr>
            </w:pPr>
            <w:r>
              <w:rPr>
                <w:rFonts w:hint="eastAsia" w:ascii="宋体" w:hAnsi="宋体" w:cs="宋体"/>
                <w:bCs/>
                <w:color w:val="auto"/>
                <w:kern w:val="2"/>
                <w:szCs w:val="21"/>
                <w:highlight w:val="none"/>
              </w:rPr>
              <w:t>基本设计费（不含燃气工程、永电、永水、临水临电等费用）</w:t>
            </w:r>
          </w:p>
        </w:tc>
        <w:tc>
          <w:tcPr>
            <w:tcW w:w="1343" w:type="dxa"/>
            <w:tcBorders>
              <w:top w:val="single" w:color="auto" w:sz="8" w:space="0"/>
              <w:left w:val="nil"/>
              <w:bottom w:val="single" w:color="auto" w:sz="8" w:space="0"/>
              <w:right w:val="single" w:color="auto" w:sz="8" w:space="0"/>
            </w:tcBorders>
            <w:noWrap w:val="0"/>
            <w:vAlign w:val="center"/>
          </w:tcPr>
          <w:p w14:paraId="43F67ECA">
            <w:pPr>
              <w:keepNext w:val="0"/>
              <w:keepLines w:val="0"/>
              <w:widowControl/>
              <w:suppressLineNumbers w:val="0"/>
              <w:spacing w:before="0" w:beforeAutospacing="0" w:afterAutospacing="0"/>
              <w:ind w:left="0" w:right="0"/>
              <w:jc w:val="center"/>
              <w:rPr>
                <w:rFonts w:hint="default" w:ascii="宋体" w:hAnsi="宋体"/>
                <w:color w:val="auto"/>
                <w:kern w:val="2"/>
                <w:highlight w:val="none"/>
              </w:rPr>
            </w:pPr>
          </w:p>
        </w:tc>
        <w:tc>
          <w:tcPr>
            <w:tcW w:w="1332" w:type="dxa"/>
            <w:tcBorders>
              <w:top w:val="single" w:color="auto" w:sz="8" w:space="0"/>
              <w:left w:val="nil"/>
              <w:bottom w:val="single" w:color="auto" w:sz="8" w:space="0"/>
              <w:right w:val="single" w:color="auto" w:sz="8" w:space="0"/>
            </w:tcBorders>
            <w:noWrap w:val="0"/>
            <w:vAlign w:val="center"/>
          </w:tcPr>
          <w:p w14:paraId="565B4AF3">
            <w:pPr>
              <w:keepNext w:val="0"/>
              <w:keepLines w:val="0"/>
              <w:widowControl/>
              <w:suppressLineNumbers w:val="0"/>
              <w:spacing w:before="0" w:beforeAutospacing="0" w:afterAutospacing="0"/>
              <w:ind w:left="0" w:right="0"/>
              <w:jc w:val="center"/>
              <w:rPr>
                <w:rFonts w:hint="default"/>
                <w:color w:val="auto"/>
                <w:kern w:val="2"/>
                <w:highlight w:val="none"/>
                <w:lang w:val="en-US" w:eastAsia="zh-CN"/>
              </w:rPr>
            </w:pPr>
            <w:r>
              <w:rPr>
                <w:rFonts w:hint="eastAsia"/>
                <w:color w:val="auto"/>
                <w:kern w:val="2"/>
                <w:highlight w:val="none"/>
                <w:lang w:val="en-US" w:eastAsia="zh-CN"/>
              </w:rPr>
              <w:t>717.75</w:t>
            </w:r>
          </w:p>
        </w:tc>
        <w:tc>
          <w:tcPr>
            <w:tcW w:w="1332" w:type="dxa"/>
            <w:tcBorders>
              <w:top w:val="single" w:color="auto" w:sz="8" w:space="0"/>
              <w:left w:val="nil"/>
              <w:bottom w:val="single" w:color="auto" w:sz="8" w:space="0"/>
              <w:right w:val="single" w:color="auto" w:sz="8" w:space="0"/>
            </w:tcBorders>
            <w:noWrap w:val="0"/>
            <w:vAlign w:val="center"/>
          </w:tcPr>
          <w:p w14:paraId="60D6CB5B">
            <w:pPr>
              <w:keepNext w:val="0"/>
              <w:keepLines w:val="0"/>
              <w:widowControl/>
              <w:suppressLineNumbers w:val="0"/>
              <w:spacing w:before="0" w:beforeAutospacing="0" w:afterAutospacing="0"/>
              <w:ind w:left="0" w:right="0"/>
              <w:jc w:val="center"/>
              <w:rPr>
                <w:rFonts w:hint="default" w:ascii="宋体" w:hAnsi="宋体" w:cs="宋体"/>
                <w:color w:val="auto"/>
                <w:kern w:val="2"/>
                <w:szCs w:val="21"/>
                <w:highlight w:val="none"/>
              </w:rPr>
            </w:pPr>
          </w:p>
        </w:tc>
        <w:tc>
          <w:tcPr>
            <w:tcW w:w="3567" w:type="dxa"/>
            <w:tcBorders>
              <w:top w:val="single" w:color="auto" w:sz="8" w:space="0"/>
              <w:left w:val="nil"/>
              <w:bottom w:val="single" w:color="auto" w:sz="8" w:space="0"/>
              <w:right w:val="single" w:color="auto" w:sz="8" w:space="0"/>
            </w:tcBorders>
            <w:noWrap w:val="0"/>
            <w:vAlign w:val="center"/>
          </w:tcPr>
          <w:p w14:paraId="78C32373">
            <w:pPr>
              <w:keepNext w:val="0"/>
              <w:keepLines w:val="0"/>
              <w:widowControl/>
              <w:suppressLineNumbers w:val="0"/>
              <w:spacing w:before="0" w:beforeAutospacing="0" w:afterAutospacing="0"/>
              <w:ind w:left="0" w:right="0"/>
              <w:jc w:val="left"/>
              <w:textAlignment w:val="center"/>
              <w:rPr>
                <w:rFonts w:hint="default" w:ascii="宋体" w:hAnsi="宋体" w:cs="宋体"/>
                <w:bCs/>
                <w:color w:val="auto"/>
                <w:kern w:val="2"/>
                <w:szCs w:val="21"/>
                <w:highlight w:val="none"/>
              </w:rPr>
            </w:pPr>
            <w:r>
              <w:rPr>
                <w:rFonts w:hint="eastAsia" w:ascii="宋体" w:hAnsi="宋体" w:cs="宋体"/>
                <w:color w:val="auto"/>
                <w:kern w:val="2"/>
                <w:szCs w:val="21"/>
                <w:highlight w:val="none"/>
                <w:lang w:bidi="ar"/>
              </w:rPr>
              <w:t>除永久供电工程、永久供水工程、临时施工供电、临时施工供水工程、燃气工程设计外，合同内总价包干</w:t>
            </w:r>
            <w:r>
              <w:rPr>
                <w:rFonts w:hint="eastAsia" w:ascii="宋体" w:hAnsi="宋体" w:eastAsia="宋体" w:cs="宋体"/>
                <w:i w:val="0"/>
                <w:iCs w:val="0"/>
                <w:color w:val="auto"/>
                <w:kern w:val="0"/>
                <w:sz w:val="21"/>
                <w:szCs w:val="21"/>
                <w:highlight w:val="none"/>
                <w:u w:val="none"/>
                <w:lang w:val="en-US" w:eastAsia="zh-CN" w:bidi="ar"/>
              </w:rPr>
              <w:t>。</w:t>
            </w:r>
          </w:p>
        </w:tc>
      </w:tr>
      <w:tr w14:paraId="48CB2E2D">
        <w:tblPrEx>
          <w:tblCellMar>
            <w:top w:w="0" w:type="dxa"/>
            <w:left w:w="0" w:type="dxa"/>
            <w:bottom w:w="0" w:type="dxa"/>
            <w:right w:w="0" w:type="dxa"/>
          </w:tblCellMar>
        </w:tblPrEx>
        <w:trPr>
          <w:trHeight w:val="580" w:hRule="atLeast"/>
          <w:jc w:val="center"/>
        </w:trPr>
        <w:tc>
          <w:tcPr>
            <w:tcW w:w="768" w:type="dxa"/>
            <w:tcBorders>
              <w:top w:val="single" w:color="auto" w:sz="8" w:space="0"/>
              <w:left w:val="single" w:color="auto" w:sz="8" w:space="0"/>
              <w:bottom w:val="single" w:color="auto" w:sz="8" w:space="0"/>
              <w:right w:val="single" w:color="auto" w:sz="8" w:space="0"/>
            </w:tcBorders>
            <w:noWrap w:val="0"/>
            <w:vAlign w:val="center"/>
          </w:tcPr>
          <w:p w14:paraId="5ECA22FC">
            <w:pPr>
              <w:pStyle w:val="9"/>
              <w:keepNext w:val="0"/>
              <w:keepLines w:val="0"/>
              <w:suppressLineNumbers w:val="0"/>
              <w:spacing w:before="0" w:beforeAutospacing="0" w:afterAutospacing="0"/>
              <w:ind w:left="0" w:right="0" w:firstLine="210" w:firstLineChars="100"/>
              <w:jc w:val="center"/>
              <w:rPr>
                <w:rFonts w:hint="default" w:ascii="宋体" w:hAnsi="宋体" w:cs="宋体"/>
                <w:bCs/>
                <w:color w:val="auto"/>
                <w:kern w:val="2"/>
                <w:szCs w:val="21"/>
                <w:highlight w:val="none"/>
              </w:rPr>
            </w:pPr>
            <w:r>
              <w:rPr>
                <w:rFonts w:hint="eastAsia" w:ascii="宋体" w:hAnsi="宋体" w:cs="宋体"/>
                <w:bCs/>
                <w:color w:val="auto"/>
                <w:kern w:val="2"/>
                <w:szCs w:val="21"/>
                <w:highlight w:val="none"/>
              </w:rPr>
              <w:t>2</w:t>
            </w:r>
          </w:p>
        </w:tc>
        <w:tc>
          <w:tcPr>
            <w:tcW w:w="1912" w:type="dxa"/>
            <w:tcBorders>
              <w:top w:val="single" w:color="auto" w:sz="8" w:space="0"/>
              <w:left w:val="nil"/>
              <w:bottom w:val="single" w:color="auto" w:sz="8" w:space="0"/>
              <w:right w:val="single" w:color="auto" w:sz="8" w:space="0"/>
            </w:tcBorders>
            <w:noWrap w:val="0"/>
            <w:vAlign w:val="center"/>
          </w:tcPr>
          <w:p w14:paraId="219345DA">
            <w:pPr>
              <w:pStyle w:val="9"/>
              <w:keepNext w:val="0"/>
              <w:keepLines w:val="0"/>
              <w:suppressLineNumbers w:val="0"/>
              <w:spacing w:before="0" w:beforeAutospacing="0" w:afterAutospacing="0"/>
              <w:ind w:left="0" w:right="0" w:firstLine="0" w:firstLineChars="0"/>
              <w:jc w:val="center"/>
              <w:rPr>
                <w:rFonts w:hint="default" w:ascii="宋体" w:hAnsi="宋体" w:cs="宋体"/>
                <w:bCs/>
                <w:color w:val="auto"/>
                <w:kern w:val="2"/>
                <w:szCs w:val="21"/>
                <w:highlight w:val="none"/>
              </w:rPr>
            </w:pPr>
            <w:r>
              <w:rPr>
                <w:rFonts w:hint="eastAsia" w:ascii="宋体" w:hAnsi="宋体" w:cs="宋体"/>
                <w:bCs/>
                <w:color w:val="auto"/>
                <w:kern w:val="2"/>
                <w:szCs w:val="21"/>
                <w:highlight w:val="none"/>
              </w:rPr>
              <w:t>永久供电工程设计费</w:t>
            </w:r>
          </w:p>
        </w:tc>
        <w:tc>
          <w:tcPr>
            <w:tcW w:w="1343" w:type="dxa"/>
            <w:tcBorders>
              <w:top w:val="single" w:color="auto" w:sz="8" w:space="0"/>
              <w:left w:val="nil"/>
              <w:bottom w:val="single" w:color="auto" w:sz="8" w:space="0"/>
              <w:right w:val="single" w:color="auto" w:sz="8" w:space="0"/>
            </w:tcBorders>
            <w:noWrap w:val="0"/>
            <w:vAlign w:val="center"/>
          </w:tcPr>
          <w:p w14:paraId="64B11E57">
            <w:pPr>
              <w:keepNext w:val="0"/>
              <w:keepLines w:val="0"/>
              <w:widowControl/>
              <w:suppressLineNumbers w:val="0"/>
              <w:spacing w:before="0" w:beforeAutospacing="0" w:afterAutospacing="0"/>
              <w:ind w:left="0" w:right="0"/>
              <w:jc w:val="center"/>
              <w:rPr>
                <w:rFonts w:hint="default" w:ascii="宋体" w:hAnsi="宋体"/>
                <w:color w:val="auto"/>
                <w:kern w:val="2"/>
                <w:highlight w:val="none"/>
              </w:rPr>
            </w:pPr>
            <w:r>
              <w:rPr>
                <w:rFonts w:hint="eastAsia" w:ascii="宋体" w:hAnsi="宋体"/>
                <w:color w:val="auto"/>
                <w:kern w:val="2"/>
                <w:highlight w:val="none"/>
              </w:rPr>
              <w:t>100</w:t>
            </w:r>
          </w:p>
        </w:tc>
        <w:tc>
          <w:tcPr>
            <w:tcW w:w="1332" w:type="dxa"/>
            <w:tcBorders>
              <w:top w:val="single" w:color="auto" w:sz="8" w:space="0"/>
              <w:left w:val="nil"/>
              <w:bottom w:val="single" w:color="auto" w:sz="8" w:space="0"/>
              <w:right w:val="single" w:color="auto" w:sz="8" w:space="0"/>
            </w:tcBorders>
            <w:noWrap w:val="0"/>
            <w:vAlign w:val="center"/>
          </w:tcPr>
          <w:p w14:paraId="252D8432">
            <w:pPr>
              <w:keepNext w:val="0"/>
              <w:keepLines w:val="0"/>
              <w:widowControl/>
              <w:suppressLineNumbers w:val="0"/>
              <w:spacing w:before="0" w:beforeAutospacing="0" w:afterAutospacing="0"/>
              <w:ind w:left="0" w:right="0"/>
              <w:jc w:val="center"/>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4.50</w:t>
            </w:r>
          </w:p>
        </w:tc>
        <w:tc>
          <w:tcPr>
            <w:tcW w:w="1332" w:type="dxa"/>
            <w:tcBorders>
              <w:top w:val="single" w:color="auto" w:sz="8" w:space="0"/>
              <w:left w:val="nil"/>
              <w:bottom w:val="single" w:color="auto" w:sz="8" w:space="0"/>
              <w:right w:val="single" w:color="auto" w:sz="8" w:space="0"/>
            </w:tcBorders>
            <w:noWrap w:val="0"/>
            <w:vAlign w:val="center"/>
          </w:tcPr>
          <w:p w14:paraId="13DC4D04">
            <w:pPr>
              <w:keepNext w:val="0"/>
              <w:keepLines w:val="0"/>
              <w:widowControl/>
              <w:suppressLineNumbers w:val="0"/>
              <w:spacing w:before="0" w:beforeAutospacing="0" w:afterAutospacing="0"/>
              <w:ind w:left="0" w:right="0"/>
              <w:jc w:val="center"/>
              <w:rPr>
                <w:rFonts w:hint="default" w:ascii="宋体" w:hAnsi="宋体" w:cs="宋体"/>
                <w:color w:val="auto"/>
                <w:kern w:val="2"/>
                <w:szCs w:val="21"/>
                <w:highlight w:val="none"/>
              </w:rPr>
            </w:pPr>
          </w:p>
        </w:tc>
        <w:tc>
          <w:tcPr>
            <w:tcW w:w="3567" w:type="dxa"/>
            <w:tcBorders>
              <w:top w:val="single" w:color="auto" w:sz="8" w:space="0"/>
              <w:left w:val="nil"/>
              <w:bottom w:val="single" w:color="auto" w:sz="8" w:space="0"/>
              <w:right w:val="single" w:color="auto" w:sz="8" w:space="0"/>
            </w:tcBorders>
            <w:noWrap w:val="0"/>
            <w:vAlign w:val="center"/>
          </w:tcPr>
          <w:p w14:paraId="2E8663D4">
            <w:pPr>
              <w:keepNext w:val="0"/>
              <w:keepLines w:val="0"/>
              <w:widowControl/>
              <w:suppressLineNumbers w:val="0"/>
              <w:spacing w:before="0" w:beforeAutospacing="0" w:afterAutospacing="0"/>
              <w:ind w:left="0" w:right="0"/>
              <w:jc w:val="left"/>
              <w:textAlignment w:val="center"/>
              <w:rPr>
                <w:rFonts w:hint="default" w:ascii="宋体" w:hAnsi="宋体" w:cs="宋体"/>
                <w:bCs/>
                <w:color w:val="auto"/>
                <w:kern w:val="2"/>
                <w:szCs w:val="21"/>
                <w:highlight w:val="none"/>
              </w:rPr>
            </w:pPr>
            <w:r>
              <w:rPr>
                <w:rFonts w:hint="eastAsia" w:ascii="宋体" w:hAnsi="宋体" w:eastAsia="宋体" w:cs="宋体"/>
                <w:i w:val="0"/>
                <w:iCs w:val="0"/>
                <w:color w:val="auto"/>
                <w:kern w:val="0"/>
                <w:sz w:val="21"/>
                <w:szCs w:val="21"/>
                <w:highlight w:val="none"/>
                <w:u w:val="none"/>
                <w:lang w:val="en-US" w:eastAsia="zh-CN" w:bidi="ar"/>
              </w:rPr>
              <w:t>1.专业系数为1.0，复杂系数为0.85，附加系数为1.0。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2.结算计费标准照此执行，同时计取合同约定下浮率0及投标下浮率。</w:t>
            </w:r>
          </w:p>
        </w:tc>
      </w:tr>
      <w:tr w14:paraId="230E8E54">
        <w:tblPrEx>
          <w:tblCellMar>
            <w:top w:w="0" w:type="dxa"/>
            <w:left w:w="0" w:type="dxa"/>
            <w:bottom w:w="0" w:type="dxa"/>
            <w:right w:w="0" w:type="dxa"/>
          </w:tblCellMar>
        </w:tblPrEx>
        <w:trPr>
          <w:trHeight w:val="580" w:hRule="atLeast"/>
          <w:jc w:val="center"/>
        </w:trPr>
        <w:tc>
          <w:tcPr>
            <w:tcW w:w="768" w:type="dxa"/>
            <w:tcBorders>
              <w:top w:val="single" w:color="auto" w:sz="8" w:space="0"/>
              <w:left w:val="single" w:color="auto" w:sz="8" w:space="0"/>
              <w:bottom w:val="single" w:color="auto" w:sz="8" w:space="0"/>
              <w:right w:val="single" w:color="auto" w:sz="8" w:space="0"/>
            </w:tcBorders>
            <w:noWrap w:val="0"/>
            <w:vAlign w:val="center"/>
          </w:tcPr>
          <w:p w14:paraId="151ACDAC">
            <w:pPr>
              <w:pStyle w:val="9"/>
              <w:keepNext w:val="0"/>
              <w:keepLines w:val="0"/>
              <w:suppressLineNumbers w:val="0"/>
              <w:spacing w:before="0" w:beforeAutospacing="0" w:afterAutospacing="0"/>
              <w:ind w:left="0" w:right="0"/>
              <w:rPr>
                <w:rFonts w:hint="default" w:ascii="宋体" w:hAnsi="宋体" w:cs="宋体"/>
                <w:bCs/>
                <w:color w:val="auto"/>
                <w:kern w:val="2"/>
                <w:szCs w:val="21"/>
                <w:highlight w:val="none"/>
              </w:rPr>
            </w:pPr>
            <w:r>
              <w:rPr>
                <w:rFonts w:hint="eastAsia" w:ascii="宋体" w:hAnsi="宋体" w:cs="宋体"/>
                <w:bCs/>
                <w:color w:val="auto"/>
                <w:kern w:val="2"/>
                <w:szCs w:val="21"/>
                <w:highlight w:val="none"/>
              </w:rPr>
              <w:t>3</w:t>
            </w:r>
          </w:p>
        </w:tc>
        <w:tc>
          <w:tcPr>
            <w:tcW w:w="1912" w:type="dxa"/>
            <w:tcBorders>
              <w:top w:val="single" w:color="auto" w:sz="8" w:space="0"/>
              <w:left w:val="nil"/>
              <w:bottom w:val="single" w:color="auto" w:sz="8" w:space="0"/>
              <w:right w:val="single" w:color="auto" w:sz="8" w:space="0"/>
            </w:tcBorders>
            <w:noWrap w:val="0"/>
            <w:vAlign w:val="center"/>
          </w:tcPr>
          <w:p w14:paraId="48C3EB90">
            <w:pPr>
              <w:pStyle w:val="9"/>
              <w:keepNext w:val="0"/>
              <w:keepLines w:val="0"/>
              <w:suppressLineNumbers w:val="0"/>
              <w:spacing w:before="0" w:beforeAutospacing="0" w:afterAutospacing="0"/>
              <w:ind w:left="0" w:right="0" w:firstLine="0" w:firstLineChars="0"/>
              <w:rPr>
                <w:rFonts w:hint="default" w:ascii="宋体" w:hAnsi="宋体" w:cs="宋体"/>
                <w:bCs/>
                <w:color w:val="auto"/>
                <w:kern w:val="2"/>
                <w:szCs w:val="21"/>
                <w:highlight w:val="none"/>
              </w:rPr>
            </w:pPr>
            <w:r>
              <w:rPr>
                <w:rFonts w:hint="eastAsia" w:ascii="宋体" w:hAnsi="宋体" w:cs="宋体"/>
                <w:bCs/>
                <w:color w:val="auto"/>
                <w:kern w:val="2"/>
                <w:szCs w:val="21"/>
                <w:highlight w:val="none"/>
              </w:rPr>
              <w:t>永久供水工程设计费</w:t>
            </w:r>
          </w:p>
        </w:tc>
        <w:tc>
          <w:tcPr>
            <w:tcW w:w="1343" w:type="dxa"/>
            <w:tcBorders>
              <w:top w:val="single" w:color="auto" w:sz="8" w:space="0"/>
              <w:left w:val="nil"/>
              <w:bottom w:val="single" w:color="auto" w:sz="8" w:space="0"/>
              <w:right w:val="single" w:color="auto" w:sz="8" w:space="0"/>
            </w:tcBorders>
            <w:noWrap w:val="0"/>
            <w:vAlign w:val="center"/>
          </w:tcPr>
          <w:p w14:paraId="614473E1">
            <w:pPr>
              <w:keepNext w:val="0"/>
              <w:keepLines w:val="0"/>
              <w:widowControl/>
              <w:suppressLineNumbers w:val="0"/>
              <w:spacing w:before="0" w:beforeAutospacing="0" w:afterAutospacing="0"/>
              <w:ind w:left="0" w:right="0"/>
              <w:jc w:val="center"/>
              <w:rPr>
                <w:rFonts w:hint="default" w:ascii="宋体" w:hAnsi="宋体"/>
                <w:color w:val="auto"/>
                <w:kern w:val="2"/>
                <w:highlight w:val="none"/>
              </w:rPr>
            </w:pPr>
            <w:r>
              <w:rPr>
                <w:rFonts w:hint="eastAsia" w:ascii="宋体" w:hAnsi="宋体"/>
                <w:color w:val="auto"/>
                <w:kern w:val="2"/>
                <w:highlight w:val="none"/>
              </w:rPr>
              <w:t>100</w:t>
            </w:r>
          </w:p>
        </w:tc>
        <w:tc>
          <w:tcPr>
            <w:tcW w:w="1332" w:type="dxa"/>
            <w:tcBorders>
              <w:top w:val="single" w:color="auto" w:sz="8" w:space="0"/>
              <w:left w:val="nil"/>
              <w:bottom w:val="single" w:color="auto" w:sz="8" w:space="0"/>
              <w:right w:val="single" w:color="auto" w:sz="8" w:space="0"/>
            </w:tcBorders>
            <w:noWrap w:val="0"/>
            <w:vAlign w:val="center"/>
          </w:tcPr>
          <w:p w14:paraId="4DCD3388">
            <w:pPr>
              <w:keepNext w:val="0"/>
              <w:keepLines w:val="0"/>
              <w:widowControl/>
              <w:suppressLineNumbers w:val="0"/>
              <w:spacing w:before="0" w:beforeAutospacing="0" w:afterAutospacing="0"/>
              <w:ind w:left="0" w:right="0"/>
              <w:jc w:val="center"/>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3.83</w:t>
            </w:r>
          </w:p>
        </w:tc>
        <w:tc>
          <w:tcPr>
            <w:tcW w:w="1332" w:type="dxa"/>
            <w:tcBorders>
              <w:top w:val="single" w:color="auto" w:sz="8" w:space="0"/>
              <w:left w:val="nil"/>
              <w:bottom w:val="single" w:color="auto" w:sz="8" w:space="0"/>
              <w:right w:val="single" w:color="auto" w:sz="8" w:space="0"/>
            </w:tcBorders>
            <w:noWrap w:val="0"/>
            <w:vAlign w:val="center"/>
          </w:tcPr>
          <w:p w14:paraId="00CDC189">
            <w:pPr>
              <w:keepNext w:val="0"/>
              <w:keepLines w:val="0"/>
              <w:widowControl/>
              <w:suppressLineNumbers w:val="0"/>
              <w:spacing w:before="0" w:beforeAutospacing="0" w:afterAutospacing="0"/>
              <w:ind w:left="0" w:right="0"/>
              <w:jc w:val="center"/>
              <w:rPr>
                <w:rFonts w:hint="default" w:ascii="宋体" w:hAnsi="宋体" w:cs="宋体"/>
                <w:color w:val="auto"/>
                <w:kern w:val="2"/>
                <w:szCs w:val="21"/>
                <w:highlight w:val="none"/>
              </w:rPr>
            </w:pPr>
          </w:p>
        </w:tc>
        <w:tc>
          <w:tcPr>
            <w:tcW w:w="3567" w:type="dxa"/>
            <w:tcBorders>
              <w:top w:val="single" w:color="auto" w:sz="8" w:space="0"/>
              <w:left w:val="nil"/>
              <w:bottom w:val="single" w:color="auto" w:sz="8" w:space="0"/>
              <w:right w:val="single" w:color="auto" w:sz="8" w:space="0"/>
            </w:tcBorders>
            <w:noWrap w:val="0"/>
            <w:vAlign w:val="center"/>
          </w:tcPr>
          <w:p w14:paraId="243DC9E8">
            <w:pPr>
              <w:keepNext w:val="0"/>
              <w:keepLines w:val="0"/>
              <w:widowControl/>
              <w:suppressLineNumbers w:val="0"/>
              <w:spacing w:before="0" w:beforeAutospacing="0" w:afterAutospacing="0"/>
              <w:ind w:left="0" w:right="0"/>
              <w:jc w:val="left"/>
              <w:textAlignment w:val="center"/>
              <w:rPr>
                <w:rFonts w:hint="default" w:ascii="宋体" w:hAnsi="宋体" w:cs="宋体"/>
                <w:bCs/>
                <w:color w:val="auto"/>
                <w:kern w:val="2"/>
                <w:szCs w:val="21"/>
                <w:highlight w:val="none"/>
              </w:rPr>
            </w:pPr>
            <w:r>
              <w:rPr>
                <w:rFonts w:hint="eastAsia" w:ascii="宋体" w:hAnsi="宋体" w:eastAsia="宋体" w:cs="宋体"/>
                <w:i w:val="0"/>
                <w:iCs w:val="0"/>
                <w:color w:val="auto"/>
                <w:kern w:val="0"/>
                <w:sz w:val="21"/>
                <w:szCs w:val="21"/>
                <w:highlight w:val="none"/>
                <w:u w:val="none"/>
                <w:lang w:val="en-US" w:eastAsia="zh-CN" w:bidi="ar"/>
              </w:rPr>
              <w:t>1.专业系数为1.0，复杂系数为1.0 ，附加系数为1.0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2.结算计费标准照此执行，同时计取合同约定下浮率0及投标下浮率。</w:t>
            </w:r>
          </w:p>
        </w:tc>
      </w:tr>
      <w:tr w14:paraId="38225A28">
        <w:tblPrEx>
          <w:tblCellMar>
            <w:top w:w="0" w:type="dxa"/>
            <w:left w:w="0" w:type="dxa"/>
            <w:bottom w:w="0" w:type="dxa"/>
            <w:right w:w="0" w:type="dxa"/>
          </w:tblCellMar>
        </w:tblPrEx>
        <w:trPr>
          <w:trHeight w:val="580" w:hRule="atLeast"/>
          <w:jc w:val="center"/>
        </w:trPr>
        <w:tc>
          <w:tcPr>
            <w:tcW w:w="768" w:type="dxa"/>
            <w:tcBorders>
              <w:top w:val="single" w:color="auto" w:sz="8" w:space="0"/>
              <w:left w:val="single" w:color="auto" w:sz="8" w:space="0"/>
              <w:bottom w:val="single" w:color="auto" w:sz="8" w:space="0"/>
              <w:right w:val="single" w:color="auto" w:sz="8" w:space="0"/>
            </w:tcBorders>
            <w:noWrap w:val="0"/>
            <w:vAlign w:val="center"/>
          </w:tcPr>
          <w:p w14:paraId="4CC2014E">
            <w:pPr>
              <w:pStyle w:val="9"/>
              <w:keepNext w:val="0"/>
              <w:keepLines w:val="0"/>
              <w:suppressLineNumbers w:val="0"/>
              <w:spacing w:before="0" w:beforeAutospacing="0" w:afterAutospacing="0"/>
              <w:ind w:left="0" w:right="0"/>
              <w:rPr>
                <w:rFonts w:hint="default" w:ascii="宋体" w:hAnsi="宋体" w:cs="宋体"/>
                <w:bCs/>
                <w:color w:val="auto"/>
                <w:kern w:val="2"/>
                <w:szCs w:val="21"/>
                <w:highlight w:val="none"/>
              </w:rPr>
            </w:pPr>
            <w:r>
              <w:rPr>
                <w:rFonts w:hint="eastAsia" w:ascii="宋体" w:hAnsi="宋体" w:cs="宋体"/>
                <w:bCs/>
                <w:color w:val="auto"/>
                <w:kern w:val="2"/>
                <w:szCs w:val="21"/>
                <w:highlight w:val="none"/>
              </w:rPr>
              <w:t>4</w:t>
            </w:r>
          </w:p>
        </w:tc>
        <w:tc>
          <w:tcPr>
            <w:tcW w:w="1912" w:type="dxa"/>
            <w:tcBorders>
              <w:top w:val="single" w:color="auto" w:sz="8" w:space="0"/>
              <w:left w:val="nil"/>
              <w:bottom w:val="single" w:color="auto" w:sz="8" w:space="0"/>
              <w:right w:val="single" w:color="auto" w:sz="8" w:space="0"/>
            </w:tcBorders>
            <w:noWrap w:val="0"/>
            <w:vAlign w:val="center"/>
          </w:tcPr>
          <w:p w14:paraId="308F82C5">
            <w:pPr>
              <w:pStyle w:val="9"/>
              <w:keepNext w:val="0"/>
              <w:keepLines w:val="0"/>
              <w:suppressLineNumbers w:val="0"/>
              <w:spacing w:before="0" w:beforeAutospacing="0" w:afterAutospacing="0"/>
              <w:ind w:left="0" w:right="0" w:firstLine="0" w:firstLineChars="0"/>
              <w:jc w:val="center"/>
              <w:rPr>
                <w:rFonts w:hint="default" w:ascii="宋体" w:hAnsi="宋体" w:cs="宋体"/>
                <w:bCs/>
                <w:color w:val="auto"/>
                <w:kern w:val="2"/>
                <w:szCs w:val="21"/>
                <w:highlight w:val="none"/>
              </w:rPr>
            </w:pPr>
            <w:r>
              <w:rPr>
                <w:rFonts w:hint="eastAsia" w:ascii="宋体" w:hAnsi="宋体" w:cs="宋体"/>
                <w:bCs/>
                <w:color w:val="auto"/>
                <w:kern w:val="2"/>
                <w:szCs w:val="21"/>
                <w:highlight w:val="none"/>
              </w:rPr>
              <w:t>临时施工供电工程设计费</w:t>
            </w:r>
          </w:p>
        </w:tc>
        <w:tc>
          <w:tcPr>
            <w:tcW w:w="1343" w:type="dxa"/>
            <w:tcBorders>
              <w:top w:val="single" w:color="auto" w:sz="8" w:space="0"/>
              <w:left w:val="nil"/>
              <w:bottom w:val="single" w:color="auto" w:sz="8" w:space="0"/>
              <w:right w:val="single" w:color="auto" w:sz="8" w:space="0"/>
            </w:tcBorders>
            <w:noWrap w:val="0"/>
            <w:vAlign w:val="center"/>
          </w:tcPr>
          <w:p w14:paraId="5545FEF6">
            <w:pPr>
              <w:keepNext w:val="0"/>
              <w:keepLines w:val="0"/>
              <w:widowControl/>
              <w:suppressLineNumbers w:val="0"/>
              <w:spacing w:before="0" w:beforeAutospacing="0" w:afterAutospacing="0"/>
              <w:ind w:left="0" w:right="0"/>
              <w:jc w:val="center"/>
              <w:rPr>
                <w:rFonts w:hint="default" w:ascii="宋体" w:hAnsi="宋体"/>
                <w:color w:val="auto"/>
                <w:kern w:val="2"/>
                <w:highlight w:val="none"/>
              </w:rPr>
            </w:pPr>
            <w:r>
              <w:rPr>
                <w:rFonts w:hint="eastAsia" w:ascii="宋体" w:hAnsi="宋体"/>
                <w:color w:val="auto"/>
                <w:kern w:val="2"/>
                <w:highlight w:val="none"/>
              </w:rPr>
              <w:t>60</w:t>
            </w:r>
          </w:p>
        </w:tc>
        <w:tc>
          <w:tcPr>
            <w:tcW w:w="1332" w:type="dxa"/>
            <w:tcBorders>
              <w:top w:val="single" w:color="auto" w:sz="8" w:space="0"/>
              <w:left w:val="nil"/>
              <w:bottom w:val="single" w:color="auto" w:sz="8" w:space="0"/>
              <w:right w:val="single" w:color="auto" w:sz="8" w:space="0"/>
            </w:tcBorders>
            <w:noWrap w:val="0"/>
            <w:vAlign w:val="center"/>
          </w:tcPr>
          <w:p w14:paraId="72A2D83E">
            <w:pPr>
              <w:keepNext w:val="0"/>
              <w:keepLines w:val="0"/>
              <w:widowControl/>
              <w:suppressLineNumbers w:val="0"/>
              <w:spacing w:before="0" w:beforeAutospacing="0" w:afterAutospacing="0"/>
              <w:ind w:left="0" w:right="0"/>
              <w:jc w:val="center"/>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2.70</w:t>
            </w:r>
          </w:p>
        </w:tc>
        <w:tc>
          <w:tcPr>
            <w:tcW w:w="1332" w:type="dxa"/>
            <w:tcBorders>
              <w:top w:val="single" w:color="auto" w:sz="8" w:space="0"/>
              <w:left w:val="nil"/>
              <w:bottom w:val="single" w:color="auto" w:sz="8" w:space="0"/>
              <w:right w:val="single" w:color="auto" w:sz="8" w:space="0"/>
            </w:tcBorders>
            <w:noWrap w:val="0"/>
            <w:vAlign w:val="center"/>
          </w:tcPr>
          <w:p w14:paraId="0C9E1AAE">
            <w:pPr>
              <w:keepNext w:val="0"/>
              <w:keepLines w:val="0"/>
              <w:widowControl/>
              <w:suppressLineNumbers w:val="0"/>
              <w:spacing w:before="0" w:beforeAutospacing="0" w:afterAutospacing="0"/>
              <w:ind w:left="0" w:right="0"/>
              <w:jc w:val="center"/>
              <w:rPr>
                <w:rFonts w:hint="default" w:ascii="宋体" w:hAnsi="宋体" w:cs="宋体"/>
                <w:color w:val="auto"/>
                <w:kern w:val="2"/>
                <w:szCs w:val="21"/>
                <w:highlight w:val="none"/>
              </w:rPr>
            </w:pPr>
          </w:p>
        </w:tc>
        <w:tc>
          <w:tcPr>
            <w:tcW w:w="3567" w:type="dxa"/>
            <w:tcBorders>
              <w:top w:val="single" w:color="auto" w:sz="8" w:space="0"/>
              <w:left w:val="nil"/>
              <w:bottom w:val="single" w:color="auto" w:sz="8" w:space="0"/>
              <w:right w:val="single" w:color="auto" w:sz="8" w:space="0"/>
            </w:tcBorders>
            <w:noWrap w:val="0"/>
            <w:vAlign w:val="center"/>
          </w:tcPr>
          <w:p w14:paraId="4662FC16">
            <w:pPr>
              <w:keepNext w:val="0"/>
              <w:keepLines w:val="0"/>
              <w:widowControl/>
              <w:suppressLineNumbers w:val="0"/>
              <w:spacing w:before="0" w:beforeAutospacing="0" w:afterAutospacing="0"/>
              <w:ind w:left="0" w:right="0"/>
              <w:jc w:val="left"/>
              <w:textAlignment w:val="center"/>
              <w:rPr>
                <w:rFonts w:hint="default" w:ascii="宋体" w:hAnsi="宋体" w:cs="宋体"/>
                <w:bCs/>
                <w:color w:val="auto"/>
                <w:kern w:val="2"/>
                <w:szCs w:val="21"/>
                <w:highlight w:val="none"/>
              </w:rPr>
            </w:pPr>
            <w:r>
              <w:rPr>
                <w:rFonts w:hint="eastAsia" w:ascii="宋体" w:hAnsi="宋体" w:eastAsia="宋体" w:cs="宋体"/>
                <w:i w:val="0"/>
                <w:iCs w:val="0"/>
                <w:color w:val="auto"/>
                <w:kern w:val="0"/>
                <w:sz w:val="21"/>
                <w:szCs w:val="21"/>
                <w:highlight w:val="none"/>
                <w:u w:val="none"/>
                <w:lang w:val="en-US" w:eastAsia="zh-CN" w:bidi="ar"/>
              </w:rPr>
              <w:t>1.专业系数为1.0，复杂系数为0.</w:t>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，附加系数为1.0。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2.结算计费标准照此执行，同时计取合同约定下浮率0及投标下浮率。</w:t>
            </w:r>
          </w:p>
        </w:tc>
      </w:tr>
      <w:tr w14:paraId="31E819E6">
        <w:tblPrEx>
          <w:tblCellMar>
            <w:top w:w="0" w:type="dxa"/>
            <w:left w:w="0" w:type="dxa"/>
            <w:bottom w:w="0" w:type="dxa"/>
            <w:right w:w="0" w:type="dxa"/>
          </w:tblCellMar>
        </w:tblPrEx>
        <w:trPr>
          <w:trHeight w:val="1409" w:hRule="atLeast"/>
          <w:jc w:val="center"/>
        </w:trPr>
        <w:tc>
          <w:tcPr>
            <w:tcW w:w="768" w:type="dxa"/>
            <w:tcBorders>
              <w:top w:val="single" w:color="auto" w:sz="8" w:space="0"/>
              <w:left w:val="single" w:color="auto" w:sz="8" w:space="0"/>
              <w:bottom w:val="single" w:color="auto" w:sz="8" w:space="0"/>
              <w:right w:val="single" w:color="auto" w:sz="8" w:space="0"/>
            </w:tcBorders>
            <w:noWrap w:val="0"/>
            <w:vAlign w:val="center"/>
          </w:tcPr>
          <w:p w14:paraId="63ED3EA1">
            <w:pPr>
              <w:pStyle w:val="9"/>
              <w:keepNext w:val="0"/>
              <w:keepLines w:val="0"/>
              <w:suppressLineNumbers w:val="0"/>
              <w:spacing w:before="0" w:beforeAutospacing="0" w:afterAutospacing="0"/>
              <w:ind w:left="0" w:right="0"/>
              <w:rPr>
                <w:rFonts w:hint="default" w:ascii="宋体" w:hAnsi="宋体" w:cs="宋体"/>
                <w:bCs/>
                <w:color w:val="auto"/>
                <w:kern w:val="2"/>
                <w:szCs w:val="21"/>
                <w:highlight w:val="none"/>
              </w:rPr>
            </w:pPr>
            <w:r>
              <w:rPr>
                <w:rFonts w:hint="eastAsia" w:ascii="宋体" w:hAnsi="宋体" w:cs="宋体"/>
                <w:bCs/>
                <w:color w:val="auto"/>
                <w:kern w:val="2"/>
                <w:szCs w:val="21"/>
                <w:highlight w:val="none"/>
              </w:rPr>
              <w:t>5</w:t>
            </w:r>
          </w:p>
        </w:tc>
        <w:tc>
          <w:tcPr>
            <w:tcW w:w="1912" w:type="dxa"/>
            <w:tcBorders>
              <w:top w:val="single" w:color="auto" w:sz="8" w:space="0"/>
              <w:left w:val="nil"/>
              <w:bottom w:val="single" w:color="auto" w:sz="8" w:space="0"/>
              <w:right w:val="single" w:color="auto" w:sz="8" w:space="0"/>
            </w:tcBorders>
            <w:noWrap w:val="0"/>
            <w:vAlign w:val="center"/>
          </w:tcPr>
          <w:p w14:paraId="1C7C1FC4">
            <w:pPr>
              <w:pStyle w:val="9"/>
              <w:keepNext w:val="0"/>
              <w:keepLines w:val="0"/>
              <w:suppressLineNumbers w:val="0"/>
              <w:spacing w:before="0" w:beforeAutospacing="0" w:afterAutospacing="0"/>
              <w:ind w:left="0" w:right="0" w:firstLine="0" w:firstLineChars="0"/>
              <w:jc w:val="center"/>
              <w:rPr>
                <w:rFonts w:hint="default" w:ascii="宋体" w:hAnsi="宋体" w:cs="宋体"/>
                <w:bCs/>
                <w:color w:val="auto"/>
                <w:kern w:val="2"/>
                <w:szCs w:val="21"/>
                <w:highlight w:val="none"/>
              </w:rPr>
            </w:pPr>
            <w:r>
              <w:rPr>
                <w:rFonts w:hint="eastAsia" w:ascii="宋体" w:hAnsi="宋体" w:cs="宋体"/>
                <w:bCs/>
                <w:color w:val="auto"/>
                <w:kern w:val="2"/>
                <w:szCs w:val="21"/>
                <w:highlight w:val="none"/>
              </w:rPr>
              <w:t>临时施工供水工程设计费</w:t>
            </w:r>
          </w:p>
        </w:tc>
        <w:tc>
          <w:tcPr>
            <w:tcW w:w="1343" w:type="dxa"/>
            <w:tcBorders>
              <w:top w:val="single" w:color="auto" w:sz="8" w:space="0"/>
              <w:left w:val="nil"/>
              <w:bottom w:val="single" w:color="auto" w:sz="8" w:space="0"/>
              <w:right w:val="single" w:color="auto" w:sz="8" w:space="0"/>
            </w:tcBorders>
            <w:noWrap w:val="0"/>
            <w:vAlign w:val="center"/>
          </w:tcPr>
          <w:p w14:paraId="15669873">
            <w:pPr>
              <w:keepNext w:val="0"/>
              <w:keepLines w:val="0"/>
              <w:widowControl/>
              <w:suppressLineNumbers w:val="0"/>
              <w:spacing w:before="0" w:beforeAutospacing="0" w:afterAutospacing="0"/>
              <w:ind w:left="0" w:right="0"/>
              <w:jc w:val="center"/>
              <w:rPr>
                <w:rFonts w:hint="default" w:ascii="宋体" w:hAnsi="宋体"/>
                <w:color w:val="auto"/>
                <w:kern w:val="2"/>
                <w:highlight w:val="none"/>
              </w:rPr>
            </w:pPr>
            <w:r>
              <w:rPr>
                <w:rFonts w:hint="eastAsia" w:ascii="宋体" w:hAnsi="宋体"/>
                <w:color w:val="auto"/>
                <w:kern w:val="2"/>
                <w:highlight w:val="none"/>
              </w:rPr>
              <w:t>19</w:t>
            </w:r>
          </w:p>
        </w:tc>
        <w:tc>
          <w:tcPr>
            <w:tcW w:w="1332" w:type="dxa"/>
            <w:tcBorders>
              <w:top w:val="single" w:color="auto" w:sz="8" w:space="0"/>
              <w:left w:val="nil"/>
              <w:bottom w:val="single" w:color="auto" w:sz="8" w:space="0"/>
              <w:right w:val="single" w:color="auto" w:sz="8" w:space="0"/>
            </w:tcBorders>
            <w:noWrap w:val="0"/>
            <w:vAlign w:val="center"/>
          </w:tcPr>
          <w:p w14:paraId="5F3018A7">
            <w:pPr>
              <w:keepNext w:val="0"/>
              <w:keepLines w:val="0"/>
              <w:widowControl/>
              <w:suppressLineNumbers w:val="0"/>
              <w:spacing w:before="0" w:beforeAutospacing="0" w:afterAutospacing="0"/>
              <w:ind w:left="0" w:right="0"/>
              <w:jc w:val="center"/>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0.77</w:t>
            </w:r>
          </w:p>
        </w:tc>
        <w:tc>
          <w:tcPr>
            <w:tcW w:w="1332" w:type="dxa"/>
            <w:tcBorders>
              <w:top w:val="single" w:color="auto" w:sz="8" w:space="0"/>
              <w:left w:val="nil"/>
              <w:bottom w:val="single" w:color="auto" w:sz="8" w:space="0"/>
              <w:right w:val="single" w:color="auto" w:sz="8" w:space="0"/>
            </w:tcBorders>
            <w:noWrap w:val="0"/>
            <w:vAlign w:val="center"/>
          </w:tcPr>
          <w:p w14:paraId="2E7101A0">
            <w:pPr>
              <w:keepNext w:val="0"/>
              <w:keepLines w:val="0"/>
              <w:widowControl/>
              <w:suppressLineNumbers w:val="0"/>
              <w:spacing w:before="0" w:beforeAutospacing="0" w:afterAutospacing="0"/>
              <w:ind w:left="0" w:right="0"/>
              <w:jc w:val="center"/>
              <w:rPr>
                <w:rFonts w:hint="default" w:ascii="宋体" w:hAnsi="宋体" w:cs="宋体"/>
                <w:color w:val="auto"/>
                <w:kern w:val="2"/>
                <w:szCs w:val="21"/>
                <w:highlight w:val="none"/>
              </w:rPr>
            </w:pPr>
          </w:p>
        </w:tc>
        <w:tc>
          <w:tcPr>
            <w:tcW w:w="3567" w:type="dxa"/>
            <w:tcBorders>
              <w:top w:val="single" w:color="auto" w:sz="8" w:space="0"/>
              <w:left w:val="nil"/>
              <w:bottom w:val="single" w:color="auto" w:sz="8" w:space="0"/>
              <w:right w:val="single" w:color="auto" w:sz="8" w:space="0"/>
            </w:tcBorders>
            <w:noWrap w:val="0"/>
            <w:vAlign w:val="center"/>
          </w:tcPr>
          <w:p w14:paraId="0A64C631">
            <w:pPr>
              <w:keepNext w:val="0"/>
              <w:keepLines w:val="0"/>
              <w:widowControl/>
              <w:suppressLineNumbers w:val="0"/>
              <w:spacing w:before="0" w:beforeAutospacing="0" w:afterAutospacing="0"/>
              <w:ind w:left="0" w:right="0"/>
              <w:jc w:val="left"/>
              <w:textAlignment w:val="center"/>
              <w:rPr>
                <w:rFonts w:hint="default" w:ascii="宋体" w:hAnsi="宋体" w:cs="宋体"/>
                <w:bCs/>
                <w:color w:val="auto"/>
                <w:kern w:val="2"/>
                <w:szCs w:val="21"/>
                <w:highlight w:val="none"/>
              </w:rPr>
            </w:pPr>
            <w:r>
              <w:rPr>
                <w:rFonts w:hint="eastAsia" w:ascii="宋体" w:hAnsi="宋体" w:eastAsia="宋体" w:cs="宋体"/>
                <w:i w:val="0"/>
                <w:iCs w:val="0"/>
                <w:color w:val="auto"/>
                <w:kern w:val="0"/>
                <w:sz w:val="21"/>
                <w:szCs w:val="21"/>
                <w:highlight w:val="none"/>
                <w:u w:val="none"/>
                <w:lang w:val="en-US" w:eastAsia="zh-CN" w:bidi="ar"/>
              </w:rPr>
              <w:t>1.专业系数为1.0，复杂系数为1.0，附加系数为1.0。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2.结算计费标准照此执行，同时计取合同约定下浮率0及投标下浮率。</w:t>
            </w:r>
          </w:p>
        </w:tc>
      </w:tr>
      <w:tr w14:paraId="05A4E215">
        <w:tblPrEx>
          <w:tblCellMar>
            <w:top w:w="0" w:type="dxa"/>
            <w:left w:w="0" w:type="dxa"/>
            <w:bottom w:w="0" w:type="dxa"/>
            <w:right w:w="0" w:type="dxa"/>
          </w:tblCellMar>
        </w:tblPrEx>
        <w:trPr>
          <w:trHeight w:val="580" w:hRule="atLeast"/>
          <w:jc w:val="center"/>
        </w:trPr>
        <w:tc>
          <w:tcPr>
            <w:tcW w:w="768" w:type="dxa"/>
            <w:tcBorders>
              <w:top w:val="single" w:color="auto" w:sz="8" w:space="0"/>
              <w:left w:val="single" w:color="auto" w:sz="8" w:space="0"/>
              <w:bottom w:val="single" w:color="auto" w:sz="8" w:space="0"/>
              <w:right w:val="single" w:color="auto" w:sz="8" w:space="0"/>
            </w:tcBorders>
            <w:noWrap w:val="0"/>
            <w:vAlign w:val="center"/>
          </w:tcPr>
          <w:p w14:paraId="2069AF71">
            <w:pPr>
              <w:pStyle w:val="9"/>
              <w:keepNext w:val="0"/>
              <w:keepLines w:val="0"/>
              <w:suppressLineNumbers w:val="0"/>
              <w:spacing w:before="0" w:beforeAutospacing="0" w:afterAutospacing="0"/>
              <w:ind w:left="0" w:right="0"/>
              <w:rPr>
                <w:rFonts w:hint="default" w:ascii="宋体" w:hAnsi="宋体" w:cs="宋体"/>
                <w:bCs/>
                <w:color w:val="auto"/>
                <w:kern w:val="2"/>
                <w:szCs w:val="21"/>
                <w:highlight w:val="none"/>
              </w:rPr>
            </w:pPr>
            <w:r>
              <w:rPr>
                <w:rFonts w:hint="eastAsia" w:ascii="宋体" w:hAnsi="宋体" w:cs="宋体"/>
                <w:bCs/>
                <w:color w:val="auto"/>
                <w:kern w:val="2"/>
                <w:szCs w:val="21"/>
                <w:highlight w:val="none"/>
              </w:rPr>
              <w:t>6</w:t>
            </w:r>
          </w:p>
        </w:tc>
        <w:tc>
          <w:tcPr>
            <w:tcW w:w="1912" w:type="dxa"/>
            <w:tcBorders>
              <w:top w:val="single" w:color="auto" w:sz="8" w:space="0"/>
              <w:left w:val="nil"/>
              <w:bottom w:val="single" w:color="auto" w:sz="8" w:space="0"/>
              <w:right w:val="single" w:color="auto" w:sz="8" w:space="0"/>
            </w:tcBorders>
            <w:noWrap w:val="0"/>
            <w:vAlign w:val="center"/>
          </w:tcPr>
          <w:p w14:paraId="29E3B83B">
            <w:pPr>
              <w:pStyle w:val="9"/>
              <w:keepNext w:val="0"/>
              <w:keepLines w:val="0"/>
              <w:suppressLineNumbers w:val="0"/>
              <w:spacing w:before="0" w:beforeAutospacing="0" w:afterAutospacing="0"/>
              <w:ind w:left="0" w:right="0" w:firstLine="0" w:firstLineChars="0"/>
              <w:jc w:val="center"/>
              <w:rPr>
                <w:rFonts w:hint="default" w:ascii="宋体" w:hAnsi="宋体" w:cs="宋体"/>
                <w:bCs/>
                <w:color w:val="auto"/>
                <w:kern w:val="2"/>
                <w:szCs w:val="21"/>
                <w:highlight w:val="none"/>
              </w:rPr>
            </w:pPr>
            <w:r>
              <w:rPr>
                <w:rFonts w:hint="eastAsia" w:ascii="宋体" w:hAnsi="宋体" w:cs="宋体"/>
                <w:bCs/>
                <w:color w:val="auto"/>
                <w:kern w:val="2"/>
                <w:szCs w:val="21"/>
                <w:highlight w:val="none"/>
              </w:rPr>
              <w:t>燃气工程设计费</w:t>
            </w:r>
          </w:p>
        </w:tc>
        <w:tc>
          <w:tcPr>
            <w:tcW w:w="1343" w:type="dxa"/>
            <w:tcBorders>
              <w:top w:val="single" w:color="auto" w:sz="8" w:space="0"/>
              <w:left w:val="nil"/>
              <w:bottom w:val="single" w:color="auto" w:sz="8" w:space="0"/>
              <w:right w:val="single" w:color="auto" w:sz="8" w:space="0"/>
            </w:tcBorders>
            <w:noWrap w:val="0"/>
            <w:vAlign w:val="center"/>
          </w:tcPr>
          <w:p w14:paraId="13197DE4">
            <w:pPr>
              <w:keepNext w:val="0"/>
              <w:keepLines w:val="0"/>
              <w:widowControl/>
              <w:suppressLineNumbers w:val="0"/>
              <w:spacing w:before="0" w:beforeAutospacing="0" w:afterAutospacing="0"/>
              <w:ind w:left="0" w:right="0"/>
              <w:jc w:val="center"/>
              <w:rPr>
                <w:rFonts w:hint="default" w:ascii="宋体" w:hAnsi="宋体"/>
                <w:color w:val="auto"/>
                <w:kern w:val="2"/>
                <w:highlight w:val="none"/>
              </w:rPr>
            </w:pPr>
            <w:r>
              <w:rPr>
                <w:rFonts w:hint="eastAsia" w:ascii="宋体" w:hAnsi="宋体"/>
                <w:color w:val="auto"/>
                <w:kern w:val="2"/>
                <w:highlight w:val="none"/>
              </w:rPr>
              <w:t>100</w:t>
            </w:r>
          </w:p>
        </w:tc>
        <w:tc>
          <w:tcPr>
            <w:tcW w:w="1332" w:type="dxa"/>
            <w:tcBorders>
              <w:top w:val="single" w:color="auto" w:sz="8" w:space="0"/>
              <w:left w:val="nil"/>
              <w:bottom w:val="single" w:color="auto" w:sz="8" w:space="0"/>
              <w:right w:val="single" w:color="auto" w:sz="8" w:space="0"/>
            </w:tcBorders>
            <w:noWrap w:val="0"/>
            <w:vAlign w:val="center"/>
          </w:tcPr>
          <w:p w14:paraId="0FB81628">
            <w:pPr>
              <w:keepNext w:val="0"/>
              <w:keepLines w:val="0"/>
              <w:widowControl/>
              <w:suppressLineNumbers w:val="0"/>
              <w:spacing w:before="0" w:beforeAutospacing="0" w:afterAutospacing="0"/>
              <w:ind w:left="0" w:right="0"/>
              <w:jc w:val="center"/>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4.50</w:t>
            </w:r>
          </w:p>
        </w:tc>
        <w:tc>
          <w:tcPr>
            <w:tcW w:w="1332" w:type="dxa"/>
            <w:tcBorders>
              <w:top w:val="single" w:color="auto" w:sz="8" w:space="0"/>
              <w:left w:val="nil"/>
              <w:bottom w:val="single" w:color="auto" w:sz="8" w:space="0"/>
              <w:right w:val="single" w:color="auto" w:sz="8" w:space="0"/>
            </w:tcBorders>
            <w:noWrap w:val="0"/>
            <w:vAlign w:val="center"/>
          </w:tcPr>
          <w:p w14:paraId="52A64DE5">
            <w:pPr>
              <w:keepNext w:val="0"/>
              <w:keepLines w:val="0"/>
              <w:widowControl/>
              <w:suppressLineNumbers w:val="0"/>
              <w:spacing w:before="0" w:beforeAutospacing="0" w:afterAutospacing="0"/>
              <w:ind w:left="0" w:right="0"/>
              <w:jc w:val="center"/>
              <w:rPr>
                <w:rFonts w:hint="default" w:ascii="宋体" w:hAnsi="宋体" w:cs="宋体"/>
                <w:color w:val="auto"/>
                <w:kern w:val="2"/>
                <w:szCs w:val="21"/>
                <w:highlight w:val="none"/>
              </w:rPr>
            </w:pPr>
          </w:p>
        </w:tc>
        <w:tc>
          <w:tcPr>
            <w:tcW w:w="3567" w:type="dxa"/>
            <w:tcBorders>
              <w:top w:val="single" w:color="auto" w:sz="8" w:space="0"/>
              <w:left w:val="nil"/>
              <w:bottom w:val="single" w:color="auto" w:sz="8" w:space="0"/>
              <w:right w:val="single" w:color="auto" w:sz="8" w:space="0"/>
            </w:tcBorders>
            <w:noWrap w:val="0"/>
            <w:vAlign w:val="center"/>
          </w:tcPr>
          <w:p w14:paraId="3AC2BEDD">
            <w:pPr>
              <w:keepNext w:val="0"/>
              <w:keepLines w:val="0"/>
              <w:widowControl/>
              <w:suppressLineNumbers w:val="0"/>
              <w:spacing w:before="0" w:beforeAutospacing="0" w:afterAutospacing="0"/>
              <w:ind w:left="0" w:right="0"/>
              <w:jc w:val="left"/>
              <w:textAlignment w:val="center"/>
              <w:rPr>
                <w:rFonts w:hint="default" w:ascii="宋体" w:hAnsi="宋体" w:cs="宋体"/>
                <w:bCs/>
                <w:color w:val="auto"/>
                <w:kern w:val="2"/>
                <w:szCs w:val="21"/>
                <w:highlight w:val="none"/>
              </w:rPr>
            </w:pPr>
            <w:r>
              <w:rPr>
                <w:rFonts w:hint="eastAsia" w:ascii="宋体" w:hAnsi="宋体" w:eastAsia="宋体" w:cs="宋体"/>
                <w:i w:val="0"/>
                <w:iCs w:val="0"/>
                <w:color w:val="auto"/>
                <w:kern w:val="0"/>
                <w:sz w:val="21"/>
                <w:szCs w:val="21"/>
                <w:highlight w:val="none"/>
                <w:u w:val="none"/>
                <w:lang w:val="en-US" w:eastAsia="zh-CN" w:bidi="ar"/>
              </w:rPr>
              <w:t>1.专业系数为1.0，复杂系数为1.0，附加系数为1.0。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2.结算计费标准照此执行，同时计取合同约定下浮率0及投标下浮率。</w:t>
            </w:r>
          </w:p>
        </w:tc>
      </w:tr>
      <w:tr w14:paraId="786F7E39">
        <w:tblPrEx>
          <w:tblCellMar>
            <w:top w:w="0" w:type="dxa"/>
            <w:left w:w="0" w:type="dxa"/>
            <w:bottom w:w="0" w:type="dxa"/>
            <w:right w:w="0" w:type="dxa"/>
          </w:tblCellMar>
        </w:tblPrEx>
        <w:trPr>
          <w:trHeight w:val="1737" w:hRule="atLeast"/>
          <w:jc w:val="center"/>
        </w:trPr>
        <w:tc>
          <w:tcPr>
            <w:tcW w:w="768" w:type="dxa"/>
            <w:tcBorders>
              <w:top w:val="single" w:color="auto" w:sz="8" w:space="0"/>
              <w:left w:val="single" w:color="auto" w:sz="8" w:space="0"/>
              <w:bottom w:val="single" w:color="auto" w:sz="8" w:space="0"/>
              <w:right w:val="single" w:color="auto" w:sz="8" w:space="0"/>
            </w:tcBorders>
            <w:noWrap w:val="0"/>
            <w:vAlign w:val="center"/>
          </w:tcPr>
          <w:p w14:paraId="5488DF19">
            <w:pPr>
              <w:pStyle w:val="9"/>
              <w:keepNext w:val="0"/>
              <w:keepLines w:val="0"/>
              <w:suppressLineNumbers w:val="0"/>
              <w:spacing w:before="0" w:beforeAutospacing="0" w:afterAutospacing="0"/>
              <w:ind w:left="0" w:right="0"/>
              <w:rPr>
                <w:rFonts w:hint="eastAsia" w:ascii="宋体" w:hAnsi="宋体" w:eastAsia="宋体" w:cs="宋体"/>
                <w:bCs/>
                <w:color w:val="auto"/>
                <w:kern w:val="2"/>
                <w:szCs w:val="21"/>
                <w:highlight w:val="none"/>
                <w:lang w:val="en-US" w:eastAsia="zh-CN"/>
              </w:rPr>
            </w:pPr>
            <w:r>
              <w:rPr>
                <w:rFonts w:hint="eastAsia" w:ascii="宋体" w:hAnsi="宋体" w:cs="宋体"/>
                <w:bCs/>
                <w:color w:val="auto"/>
                <w:kern w:val="2"/>
                <w:szCs w:val="21"/>
                <w:highlight w:val="none"/>
                <w:lang w:val="en-US" w:eastAsia="zh-CN"/>
              </w:rPr>
              <w:t>7</w:t>
            </w:r>
          </w:p>
        </w:tc>
        <w:tc>
          <w:tcPr>
            <w:tcW w:w="1912" w:type="dxa"/>
            <w:tcBorders>
              <w:top w:val="single" w:color="auto" w:sz="8" w:space="0"/>
              <w:left w:val="nil"/>
              <w:bottom w:val="single" w:color="auto" w:sz="8" w:space="0"/>
              <w:right w:val="single" w:color="auto" w:sz="8" w:space="0"/>
            </w:tcBorders>
            <w:noWrap w:val="0"/>
            <w:vAlign w:val="center"/>
          </w:tcPr>
          <w:p w14:paraId="728056C1">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公寓装修</w:t>
            </w:r>
          </w:p>
        </w:tc>
        <w:tc>
          <w:tcPr>
            <w:tcW w:w="1343" w:type="dxa"/>
            <w:tcBorders>
              <w:top w:val="single" w:color="auto" w:sz="8" w:space="0"/>
              <w:left w:val="nil"/>
              <w:bottom w:val="single" w:color="auto" w:sz="8" w:space="0"/>
              <w:right w:val="single" w:color="auto" w:sz="8" w:space="0"/>
            </w:tcBorders>
            <w:noWrap w:val="0"/>
            <w:vAlign w:val="center"/>
          </w:tcPr>
          <w:p w14:paraId="5EF04B93">
            <w:pPr>
              <w:keepNext w:val="0"/>
              <w:keepLines w:val="0"/>
              <w:widowControl/>
              <w:suppressLineNumbers w:val="0"/>
              <w:spacing w:before="0" w:beforeAutospacing="0" w:afterAutospacing="0"/>
              <w:ind w:left="0" w:right="0"/>
              <w:jc w:val="center"/>
              <w:rPr>
                <w:rFonts w:hint="default" w:ascii="宋体" w:hAnsi="宋体" w:eastAsia="宋体"/>
                <w:color w:val="auto"/>
                <w:kern w:val="2"/>
                <w:highlight w:val="none"/>
                <w:lang w:val="en-US" w:eastAsia="zh-CN"/>
              </w:rPr>
            </w:pPr>
            <w:r>
              <w:rPr>
                <w:rFonts w:hint="eastAsia" w:ascii="宋体" w:hAnsi="宋体"/>
                <w:color w:val="auto"/>
                <w:kern w:val="2"/>
                <w:highlight w:val="none"/>
                <w:lang w:val="en-US" w:eastAsia="zh-CN"/>
              </w:rPr>
              <w:t>2000</w:t>
            </w:r>
          </w:p>
        </w:tc>
        <w:tc>
          <w:tcPr>
            <w:tcW w:w="1332" w:type="dxa"/>
            <w:tcBorders>
              <w:top w:val="single" w:color="auto" w:sz="8" w:space="0"/>
              <w:left w:val="nil"/>
              <w:bottom w:val="single" w:color="auto" w:sz="8" w:space="0"/>
              <w:right w:val="single" w:color="auto" w:sz="8" w:space="0"/>
            </w:tcBorders>
            <w:noWrap w:val="0"/>
            <w:vAlign w:val="center"/>
          </w:tcPr>
          <w:p w14:paraId="5652BFE5">
            <w:pPr>
              <w:keepNext w:val="0"/>
              <w:keepLines w:val="0"/>
              <w:widowControl/>
              <w:suppressLineNumbers w:val="0"/>
              <w:spacing w:before="0" w:beforeAutospacing="0" w:afterAutospacing="0"/>
              <w:ind w:left="0" w:right="0"/>
              <w:jc w:val="center"/>
              <w:rPr>
                <w:rFonts w:hint="default" w:ascii="宋体" w:hAnsi="宋体" w:eastAsia="宋体" w:cs="宋体"/>
                <w:color w:val="auto"/>
                <w:kern w:val="2"/>
                <w:szCs w:val="21"/>
                <w:highlight w:val="none"/>
                <w:lang w:val="en-US" w:eastAsia="zh-CN"/>
              </w:rPr>
            </w:pPr>
            <w:r>
              <w:rPr>
                <w:rFonts w:hint="eastAsia" w:ascii="宋体" w:hAnsi="宋体" w:cs="宋体"/>
                <w:color w:val="auto"/>
                <w:kern w:val="2"/>
                <w:szCs w:val="21"/>
                <w:highlight w:val="none"/>
                <w:lang w:val="en-US" w:eastAsia="zh-CN"/>
              </w:rPr>
              <w:t>122.99</w:t>
            </w:r>
          </w:p>
        </w:tc>
        <w:tc>
          <w:tcPr>
            <w:tcW w:w="1332" w:type="dxa"/>
            <w:tcBorders>
              <w:top w:val="single" w:color="auto" w:sz="8" w:space="0"/>
              <w:left w:val="nil"/>
              <w:bottom w:val="single" w:color="auto" w:sz="8" w:space="0"/>
              <w:right w:val="single" w:color="auto" w:sz="8" w:space="0"/>
            </w:tcBorders>
            <w:noWrap w:val="0"/>
            <w:vAlign w:val="center"/>
          </w:tcPr>
          <w:p w14:paraId="73098FB0">
            <w:pPr>
              <w:keepNext w:val="0"/>
              <w:keepLines w:val="0"/>
              <w:widowControl/>
              <w:suppressLineNumbers w:val="0"/>
              <w:spacing w:before="0" w:beforeAutospacing="0" w:afterAutospacing="0"/>
              <w:ind w:left="0" w:right="0"/>
              <w:jc w:val="center"/>
              <w:rPr>
                <w:rFonts w:hint="default" w:ascii="宋体" w:hAnsi="宋体" w:cs="宋体"/>
                <w:color w:val="auto"/>
                <w:kern w:val="2"/>
                <w:szCs w:val="21"/>
                <w:highlight w:val="none"/>
              </w:rPr>
            </w:pPr>
          </w:p>
        </w:tc>
        <w:tc>
          <w:tcPr>
            <w:tcW w:w="3567" w:type="dxa"/>
            <w:tcBorders>
              <w:top w:val="single" w:color="auto" w:sz="8" w:space="0"/>
              <w:left w:val="nil"/>
              <w:bottom w:val="single" w:color="auto" w:sz="8" w:space="0"/>
              <w:right w:val="single" w:color="auto" w:sz="8" w:space="0"/>
            </w:tcBorders>
            <w:noWrap w:val="0"/>
            <w:vAlign w:val="center"/>
          </w:tcPr>
          <w:p w14:paraId="24BAE8E0">
            <w:pPr>
              <w:pStyle w:val="9"/>
              <w:keepNext w:val="0"/>
              <w:keepLines w:val="0"/>
              <w:suppressLineNumbers w:val="0"/>
              <w:spacing w:before="0" w:beforeAutospacing="0" w:afterAutospacing="0"/>
              <w:ind w:left="0" w:right="0" w:firstLine="0" w:firstLineChars="0"/>
              <w:rPr>
                <w:rFonts w:hint="eastAsia" w:ascii="宋体" w:hAnsi="宋体" w:cs="宋体"/>
                <w:bCs/>
                <w:color w:val="auto"/>
                <w:kern w:val="2"/>
                <w:szCs w:val="21"/>
                <w:highlight w:val="none"/>
              </w:rPr>
            </w:pPr>
            <w:r>
              <w:rPr>
                <w:rFonts w:hint="eastAsia" w:ascii="宋体" w:hAnsi="宋体" w:cs="宋体"/>
                <w:bCs/>
                <w:color w:val="auto"/>
                <w:kern w:val="2"/>
                <w:szCs w:val="21"/>
                <w:highlight w:val="none"/>
              </w:rPr>
              <w:t>1.专业系数为1.0，复杂系数为1.15，附加系数为1.5。</w:t>
            </w:r>
          </w:p>
          <w:p w14:paraId="16EA0AD1">
            <w:pPr>
              <w:pStyle w:val="9"/>
              <w:keepNext w:val="0"/>
              <w:keepLines w:val="0"/>
              <w:suppressLineNumbers w:val="0"/>
              <w:spacing w:before="0" w:beforeAutospacing="0" w:afterAutospacing="0"/>
              <w:ind w:left="0" w:right="0" w:firstLine="0" w:firstLineChars="0"/>
              <w:rPr>
                <w:rFonts w:hint="default" w:ascii="宋体" w:hAnsi="宋体" w:cs="宋体"/>
                <w:bCs/>
                <w:color w:val="auto"/>
                <w:kern w:val="2"/>
                <w:szCs w:val="21"/>
                <w:highlight w:val="none"/>
              </w:rPr>
            </w:pPr>
            <w:r>
              <w:rPr>
                <w:rFonts w:hint="eastAsia" w:ascii="宋体" w:hAnsi="宋体" w:cs="宋体"/>
                <w:bCs/>
                <w:color w:val="auto"/>
                <w:kern w:val="2"/>
                <w:szCs w:val="21"/>
                <w:highlight w:val="none"/>
              </w:rPr>
              <w:t>2.结算计费标准照此执行，该项不计取合同约定下浮率，但记取投标下浮率。</w:t>
            </w:r>
          </w:p>
        </w:tc>
      </w:tr>
      <w:tr w14:paraId="07EA4916">
        <w:tblPrEx>
          <w:tblCellMar>
            <w:top w:w="0" w:type="dxa"/>
            <w:left w:w="0" w:type="dxa"/>
            <w:bottom w:w="0" w:type="dxa"/>
            <w:right w:w="0" w:type="dxa"/>
          </w:tblCellMar>
        </w:tblPrEx>
        <w:trPr>
          <w:trHeight w:val="580" w:hRule="atLeast"/>
          <w:jc w:val="center"/>
        </w:trPr>
        <w:tc>
          <w:tcPr>
            <w:tcW w:w="4023" w:type="dxa"/>
            <w:gridSpan w:val="3"/>
            <w:tcBorders>
              <w:top w:val="single" w:color="auto" w:sz="8" w:space="0"/>
              <w:left w:val="single" w:color="auto" w:sz="8" w:space="0"/>
              <w:bottom w:val="single" w:color="auto" w:sz="8" w:space="0"/>
              <w:right w:val="single" w:color="auto" w:sz="8" w:space="0"/>
            </w:tcBorders>
            <w:noWrap w:val="0"/>
            <w:vAlign w:val="center"/>
          </w:tcPr>
          <w:p w14:paraId="513BBBC9">
            <w:pPr>
              <w:pStyle w:val="9"/>
              <w:keepNext w:val="0"/>
              <w:keepLines w:val="0"/>
              <w:suppressLineNumbers w:val="0"/>
              <w:spacing w:before="0" w:beforeAutospacing="0" w:afterAutospacing="0"/>
              <w:ind w:left="0" w:right="0" w:firstLine="843" w:firstLineChars="400"/>
              <w:rPr>
                <w:rFonts w:hint="default" w:ascii="宋体" w:hAnsi="宋体" w:cs="宋体"/>
                <w:b/>
                <w:color w:val="auto"/>
                <w:kern w:val="2"/>
                <w:szCs w:val="21"/>
                <w:highlight w:val="none"/>
              </w:rPr>
            </w:pPr>
            <w:r>
              <w:rPr>
                <w:rFonts w:hint="eastAsia" w:ascii="宋体" w:hAnsi="宋体" w:cs="仿宋_GB2312"/>
                <w:b/>
                <w:color w:val="auto"/>
                <w:kern w:val="2"/>
                <w:szCs w:val="21"/>
                <w:highlight w:val="none"/>
              </w:rPr>
              <w:t>工程设计费合计</w:t>
            </w:r>
          </w:p>
        </w:tc>
        <w:tc>
          <w:tcPr>
            <w:tcW w:w="1332" w:type="dxa"/>
            <w:tcBorders>
              <w:top w:val="single" w:color="auto" w:sz="8" w:space="0"/>
              <w:left w:val="nil"/>
              <w:bottom w:val="single" w:color="auto" w:sz="8" w:space="0"/>
              <w:right w:val="single" w:color="auto" w:sz="8" w:space="0"/>
            </w:tcBorders>
            <w:noWrap w:val="0"/>
            <w:vAlign w:val="center"/>
          </w:tcPr>
          <w:p w14:paraId="4EE5A10F">
            <w:pPr>
              <w:pStyle w:val="9"/>
              <w:keepNext w:val="0"/>
              <w:keepLines w:val="0"/>
              <w:suppressLineNumbers w:val="0"/>
              <w:spacing w:before="0" w:beforeAutospacing="0" w:afterAutospacing="0"/>
              <w:ind w:left="0" w:right="0" w:firstLine="0" w:firstLineChars="0"/>
              <w:jc w:val="center"/>
              <w:rPr>
                <w:rFonts w:hint="default" w:ascii="宋体" w:hAnsi="宋体" w:eastAsia="宋体" w:cs="宋体"/>
                <w:bCs/>
                <w:color w:val="auto"/>
                <w:kern w:val="2"/>
                <w:szCs w:val="21"/>
                <w:highlight w:val="none"/>
                <w:lang w:val="en-US" w:eastAsia="zh-CN"/>
              </w:rPr>
            </w:pPr>
            <w:r>
              <w:rPr>
                <w:rFonts w:hint="eastAsia" w:ascii="宋体" w:hAnsi="宋体" w:cs="宋体"/>
                <w:bCs/>
                <w:color w:val="auto"/>
                <w:kern w:val="2"/>
                <w:szCs w:val="21"/>
                <w:highlight w:val="none"/>
                <w:lang w:val="en-US" w:eastAsia="zh-CN"/>
              </w:rPr>
              <w:t>857.04</w:t>
            </w:r>
          </w:p>
        </w:tc>
        <w:tc>
          <w:tcPr>
            <w:tcW w:w="1332" w:type="dxa"/>
            <w:tcBorders>
              <w:top w:val="single" w:color="auto" w:sz="8" w:space="0"/>
              <w:left w:val="nil"/>
              <w:bottom w:val="single" w:color="auto" w:sz="8" w:space="0"/>
              <w:right w:val="single" w:color="auto" w:sz="8" w:space="0"/>
            </w:tcBorders>
            <w:noWrap w:val="0"/>
            <w:vAlign w:val="center"/>
          </w:tcPr>
          <w:p w14:paraId="411A50A5">
            <w:pPr>
              <w:pStyle w:val="9"/>
              <w:keepNext w:val="0"/>
              <w:keepLines w:val="0"/>
              <w:suppressLineNumbers w:val="0"/>
              <w:spacing w:before="0" w:beforeAutospacing="0" w:afterAutospacing="0"/>
              <w:ind w:left="0" w:right="0" w:firstLine="0" w:firstLineChars="0"/>
              <w:jc w:val="center"/>
              <w:rPr>
                <w:rFonts w:hint="default" w:ascii="宋体" w:hAnsi="宋体" w:cs="宋体"/>
                <w:bCs/>
                <w:color w:val="auto"/>
                <w:kern w:val="2"/>
                <w:szCs w:val="21"/>
                <w:highlight w:val="none"/>
              </w:rPr>
            </w:pPr>
          </w:p>
        </w:tc>
        <w:tc>
          <w:tcPr>
            <w:tcW w:w="3567" w:type="dxa"/>
            <w:tcBorders>
              <w:top w:val="single" w:color="auto" w:sz="8" w:space="0"/>
              <w:left w:val="nil"/>
              <w:bottom w:val="single" w:color="auto" w:sz="8" w:space="0"/>
              <w:right w:val="single" w:color="auto" w:sz="8" w:space="0"/>
            </w:tcBorders>
            <w:noWrap w:val="0"/>
            <w:vAlign w:val="center"/>
          </w:tcPr>
          <w:p w14:paraId="47DFE973">
            <w:pPr>
              <w:pStyle w:val="9"/>
              <w:keepNext w:val="0"/>
              <w:keepLines w:val="0"/>
              <w:suppressLineNumbers w:val="0"/>
              <w:spacing w:before="0" w:beforeAutospacing="0" w:afterAutospacing="0"/>
              <w:ind w:left="0" w:right="0"/>
              <w:rPr>
                <w:rFonts w:hint="default" w:ascii="宋体" w:hAnsi="宋体" w:cs="宋体"/>
                <w:bCs/>
                <w:color w:val="auto"/>
                <w:kern w:val="2"/>
                <w:szCs w:val="21"/>
                <w:highlight w:val="none"/>
              </w:rPr>
            </w:pPr>
          </w:p>
        </w:tc>
      </w:tr>
    </w:tbl>
    <w:p w14:paraId="41D4832D">
      <w:pPr>
        <w:adjustRightInd w:val="0"/>
        <w:snapToGrid w:val="0"/>
        <w:ind w:right="-758" w:rightChars="-361" w:firstLine="420" w:firstLineChars="200"/>
        <w:jc w:val="left"/>
        <w:rPr>
          <w:rFonts w:ascii="宋体" w:hAnsi="宋体" w:cs="仿宋_GB2312"/>
          <w:color w:val="auto"/>
          <w:szCs w:val="21"/>
          <w:highlight w:val="none"/>
        </w:rPr>
      </w:pPr>
      <w:r>
        <w:rPr>
          <w:rFonts w:hint="eastAsia" w:ascii="宋体" w:hAnsi="宋体" w:cs="仿宋_GB2312"/>
          <w:color w:val="auto"/>
          <w:kern w:val="2"/>
          <w:szCs w:val="21"/>
          <w:highlight w:val="none"/>
        </w:rPr>
        <w:t>注：</w:t>
      </w:r>
    </w:p>
    <w:p w14:paraId="5029952D">
      <w:pPr>
        <w:adjustRightInd w:val="0"/>
        <w:snapToGrid w:val="0"/>
        <w:ind w:right="-758" w:rightChars="-361" w:firstLine="420" w:firstLineChars="200"/>
        <w:jc w:val="left"/>
        <w:rPr>
          <w:rFonts w:ascii="宋体" w:hAnsi="宋体" w:cs="仿宋_GB2312"/>
          <w:bCs/>
          <w:color w:val="auto"/>
          <w:szCs w:val="21"/>
          <w:highlight w:val="none"/>
        </w:rPr>
      </w:pPr>
      <w:r>
        <w:rPr>
          <w:rFonts w:hint="eastAsia" w:ascii="宋体" w:hAnsi="宋体" w:cs="仿宋_GB2312"/>
          <w:bCs/>
          <w:color w:val="auto"/>
          <w:kern w:val="2"/>
          <w:szCs w:val="21"/>
          <w:highlight w:val="none"/>
        </w:rPr>
        <w:t>1、设计总包、现场服务费用等费用含在基本设计费投标报价中，不单独报价。</w:t>
      </w:r>
    </w:p>
    <w:p w14:paraId="516A6C71">
      <w:pPr>
        <w:adjustRightInd w:val="0"/>
        <w:snapToGrid w:val="0"/>
        <w:ind w:right="-50" w:rightChars="-24" w:firstLine="420" w:firstLineChars="200"/>
        <w:jc w:val="left"/>
        <w:rPr>
          <w:rFonts w:ascii="宋体" w:hAnsi="宋体" w:cs="仿宋_GB2312"/>
          <w:bCs/>
          <w:color w:val="auto"/>
          <w:szCs w:val="21"/>
          <w:highlight w:val="none"/>
        </w:rPr>
      </w:pPr>
      <w:r>
        <w:rPr>
          <w:rFonts w:hint="eastAsia" w:ascii="宋体" w:hAnsi="宋体" w:cs="仿宋_GB2312"/>
          <w:bCs/>
          <w:color w:val="auto"/>
          <w:kern w:val="2"/>
          <w:szCs w:val="21"/>
          <w:highlight w:val="none"/>
        </w:rPr>
        <w:t>2、中标人需按总报价的金额完成本次招标内容及《勘察设计任务书》内的全部内容，不得增加费用。</w:t>
      </w:r>
    </w:p>
    <w:p w14:paraId="4875104A">
      <w:pPr>
        <w:adjustRightInd w:val="0"/>
        <w:snapToGrid w:val="0"/>
        <w:ind w:right="-50" w:rightChars="-24" w:firstLine="420" w:firstLineChars="200"/>
        <w:jc w:val="left"/>
        <w:rPr>
          <w:rFonts w:ascii="宋体" w:hAnsi="宋体" w:cs="仿宋_GB2312"/>
          <w:bCs/>
          <w:color w:val="auto"/>
          <w:szCs w:val="21"/>
          <w:highlight w:val="none"/>
        </w:rPr>
      </w:pPr>
      <w:r>
        <w:rPr>
          <w:rFonts w:hint="eastAsia" w:ascii="宋体" w:hAnsi="宋体" w:cs="仿宋_GB2312"/>
          <w:bCs/>
          <w:color w:val="auto"/>
          <w:kern w:val="2"/>
          <w:szCs w:val="21"/>
          <w:highlight w:val="none"/>
        </w:rPr>
        <w:t>3、</w:t>
      </w:r>
      <w:r>
        <w:rPr>
          <w:rFonts w:hint="eastAsia" w:ascii="宋体" w:hAnsi="宋体" w:cs="仿宋_GB2312"/>
          <w:b/>
          <w:color w:val="auto"/>
          <w:kern w:val="2"/>
          <w:szCs w:val="21"/>
          <w:highlight w:val="none"/>
        </w:rPr>
        <w:t>设计费投标总报价的最高投标限价为</w:t>
      </w:r>
      <w:r>
        <w:rPr>
          <w:rFonts w:hint="eastAsia" w:ascii="宋体" w:hAnsi="宋体" w:cs="仿宋_GB2312"/>
          <w:b/>
          <w:color w:val="auto"/>
          <w:kern w:val="2"/>
          <w:szCs w:val="21"/>
          <w:highlight w:val="none"/>
          <w:u w:val="single"/>
        </w:rPr>
        <w:t xml:space="preserve"> 857.04万元</w:t>
      </w:r>
      <w:r>
        <w:rPr>
          <w:rFonts w:hint="eastAsia" w:ascii="宋体" w:hAnsi="宋体" w:cs="仿宋_GB2312"/>
          <w:b/>
          <w:color w:val="auto"/>
          <w:kern w:val="2"/>
          <w:szCs w:val="21"/>
          <w:highlight w:val="none"/>
        </w:rPr>
        <w:t>，设计费投标总报价不得超过设计费最高投标限价，否则由评标委员按否决其投标处理。</w:t>
      </w:r>
    </w:p>
    <w:p w14:paraId="4A77BC42">
      <w:pPr>
        <w:adjustRightInd w:val="0"/>
        <w:snapToGrid w:val="0"/>
        <w:ind w:firstLine="420" w:firstLineChars="200"/>
        <w:jc w:val="left"/>
        <w:rPr>
          <w:rFonts w:ascii="宋体" w:hAnsi="宋体" w:cs="仿宋_GB2312"/>
          <w:bCs/>
          <w:color w:val="auto"/>
          <w:kern w:val="2"/>
          <w:szCs w:val="21"/>
          <w:highlight w:val="none"/>
        </w:rPr>
      </w:pPr>
      <w:r>
        <w:rPr>
          <w:rFonts w:hint="eastAsia" w:ascii="宋体" w:hAnsi="宋体" w:cs="宋体"/>
          <w:bCs/>
          <w:color w:val="auto"/>
          <w:kern w:val="2"/>
          <w:szCs w:val="21"/>
          <w:highlight w:val="none"/>
        </w:rPr>
        <w:t>4、</w:t>
      </w:r>
      <w:r>
        <w:rPr>
          <w:rFonts w:hint="eastAsia" w:ascii="宋体" w:hAnsi="宋体" w:cs="仿宋_GB2312"/>
          <w:bCs/>
          <w:color w:val="auto"/>
          <w:kern w:val="2"/>
          <w:szCs w:val="21"/>
          <w:highlight w:val="none"/>
        </w:rPr>
        <w:t>本表费用按国家发展计划委员会、建设部2002年颁布的《工程勘察设计收费标准》进行计算。</w:t>
      </w:r>
    </w:p>
    <w:p w14:paraId="434F0F65">
      <w:pPr>
        <w:adjustRightInd w:val="0"/>
        <w:snapToGrid w:val="0"/>
        <w:ind w:firstLine="420" w:firstLineChars="200"/>
        <w:jc w:val="left"/>
        <w:rPr>
          <w:rFonts w:ascii="宋体" w:hAnsi="宋体" w:cs="仿宋_GB2312"/>
          <w:bCs/>
          <w:color w:val="auto"/>
          <w:kern w:val="2"/>
          <w:szCs w:val="21"/>
          <w:highlight w:val="none"/>
        </w:rPr>
      </w:pPr>
      <w:r>
        <w:rPr>
          <w:rFonts w:hint="eastAsia" w:ascii="宋体" w:hAnsi="宋体" w:cs="仿宋_GB2312"/>
          <w:bCs/>
          <w:color w:val="auto"/>
          <w:kern w:val="2"/>
          <w:szCs w:val="21"/>
          <w:highlight w:val="none"/>
        </w:rPr>
        <w:t>5、设计费用合计金额应与经济标投标书中设计费金额一致。</w:t>
      </w:r>
    </w:p>
    <w:p w14:paraId="2C88F474">
      <w:pPr>
        <w:adjustRightInd w:val="0"/>
        <w:snapToGrid w:val="0"/>
        <w:ind w:firstLine="420" w:firstLineChars="200"/>
        <w:jc w:val="left"/>
        <w:rPr>
          <w:rFonts w:ascii="宋体" w:hAnsi="宋体" w:cs="仿宋_GB2312"/>
          <w:bCs/>
          <w:color w:val="auto"/>
          <w:kern w:val="2"/>
          <w:szCs w:val="21"/>
          <w:highlight w:val="none"/>
        </w:rPr>
      </w:pPr>
      <w:r>
        <w:rPr>
          <w:rFonts w:hint="eastAsia" w:ascii="宋体" w:hAnsi="宋体" w:cs="仿宋_GB2312"/>
          <w:bCs/>
          <w:color w:val="auto"/>
          <w:kern w:val="2"/>
          <w:szCs w:val="21"/>
          <w:highlight w:val="none"/>
        </w:rPr>
        <w:t>6、设计费合计总报价以万元为单位，</w:t>
      </w:r>
      <w:r>
        <w:rPr>
          <w:rFonts w:hint="eastAsia" w:cs="宋体"/>
          <w:b/>
          <w:color w:val="auto"/>
          <w:szCs w:val="21"/>
          <w:highlight w:val="none"/>
        </w:rPr>
        <w:t>精确到分位</w:t>
      </w:r>
      <w:r>
        <w:rPr>
          <w:rFonts w:hint="eastAsia" w:ascii="宋体" w:hAnsi="宋体" w:cs="仿宋_GB2312"/>
          <w:bCs/>
          <w:color w:val="auto"/>
          <w:kern w:val="2"/>
          <w:szCs w:val="21"/>
          <w:highlight w:val="none"/>
        </w:rPr>
        <w:t>。</w:t>
      </w:r>
    </w:p>
    <w:p w14:paraId="48C578F5">
      <w:pPr>
        <w:pStyle w:val="2"/>
        <w:rPr>
          <w:color w:val="auto"/>
          <w:highlight w:val="none"/>
        </w:rPr>
      </w:pPr>
    </w:p>
    <w:p w14:paraId="40856ED0">
      <w:pPr>
        <w:rPr>
          <w:rFonts w:ascii="宋体" w:hAnsi="宋体" w:cs="宋体"/>
          <w:b/>
          <w:color w:val="auto"/>
          <w:kern w:val="1"/>
          <w:sz w:val="28"/>
          <w:szCs w:val="28"/>
          <w:highlight w:val="none"/>
        </w:rPr>
      </w:pPr>
    </w:p>
    <w:p w14:paraId="4559B176">
      <w:pPr>
        <w:tabs>
          <w:tab w:val="left" w:pos="7655"/>
        </w:tabs>
        <w:spacing w:line="320" w:lineRule="exact"/>
        <w:ind w:right="492"/>
        <w:jc w:val="center"/>
        <w:rPr>
          <w:rFonts w:ascii="宋体" w:hAnsi="宋体" w:cs="宋体"/>
          <w:color w:val="auto"/>
          <w:spacing w:val="18"/>
          <w:kern w:val="1"/>
          <w:szCs w:val="21"/>
          <w:highlight w:val="none"/>
          <w:lang w:val="zh-CN"/>
        </w:rPr>
      </w:pP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(盖公章) </w:t>
      </w:r>
    </w:p>
    <w:p w14:paraId="66F035ED">
      <w:pPr>
        <w:tabs>
          <w:tab w:val="left" w:pos="7655"/>
        </w:tabs>
        <w:spacing w:line="320" w:lineRule="exact"/>
        <w:ind w:right="492"/>
        <w:jc w:val="center"/>
        <w:rPr>
          <w:rFonts w:ascii="宋体" w:hAnsi="宋体" w:cs="宋体"/>
          <w:b/>
          <w:color w:val="auto"/>
          <w:kern w:val="1"/>
          <w:szCs w:val="21"/>
          <w:highlight w:val="none"/>
        </w:rPr>
      </w:pP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u w:val="single"/>
          <w:lang w:val="zh-CN"/>
        </w:rPr>
        <w:t>年</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u w:val="single"/>
          <w:lang w:val="zh-CN"/>
        </w:rPr>
        <w:t>月</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日</w:t>
      </w:r>
    </w:p>
    <w:p w14:paraId="5F9CEA82">
      <w:pPr>
        <w:pStyle w:val="2"/>
        <w:spacing w:line="360" w:lineRule="auto"/>
        <w:rPr>
          <w:rFonts w:hint="eastAsia" w:cs="宋体"/>
          <w:b/>
          <w:color w:val="auto"/>
          <w:kern w:val="1"/>
          <w:sz w:val="24"/>
          <w:highlight w:val="none"/>
        </w:rPr>
      </w:pPr>
    </w:p>
    <w:p w14:paraId="6F2C291C">
      <w:pPr>
        <w:pStyle w:val="2"/>
        <w:spacing w:line="360" w:lineRule="auto"/>
        <w:rPr>
          <w:rFonts w:hint="eastAsia" w:cs="宋体"/>
          <w:b/>
          <w:color w:val="auto"/>
          <w:kern w:val="1"/>
          <w:sz w:val="24"/>
          <w:highlight w:val="none"/>
        </w:rPr>
      </w:pPr>
    </w:p>
    <w:p w14:paraId="0B06F484">
      <w:pPr>
        <w:pStyle w:val="2"/>
        <w:spacing w:line="360" w:lineRule="auto"/>
        <w:rPr>
          <w:rFonts w:hint="eastAsia" w:cs="宋体"/>
          <w:b/>
          <w:color w:val="auto"/>
          <w:kern w:val="1"/>
          <w:sz w:val="24"/>
          <w:highlight w:val="none"/>
        </w:rPr>
      </w:pPr>
    </w:p>
    <w:p w14:paraId="436AEFE7">
      <w:pPr>
        <w:pStyle w:val="2"/>
        <w:spacing w:line="360" w:lineRule="auto"/>
        <w:rPr>
          <w:rFonts w:hint="eastAsia" w:cs="宋体"/>
          <w:b/>
          <w:color w:val="auto"/>
          <w:kern w:val="1"/>
          <w:sz w:val="24"/>
          <w:highlight w:val="none"/>
        </w:rPr>
      </w:pPr>
    </w:p>
    <w:p w14:paraId="75F7426E">
      <w:pPr>
        <w:pStyle w:val="2"/>
        <w:spacing w:line="360" w:lineRule="auto"/>
        <w:rPr>
          <w:rFonts w:hint="eastAsia" w:cs="宋体"/>
          <w:b/>
          <w:color w:val="auto"/>
          <w:kern w:val="1"/>
          <w:sz w:val="24"/>
          <w:highlight w:val="none"/>
        </w:rPr>
      </w:pPr>
    </w:p>
    <w:p w14:paraId="4F9E150D">
      <w:pPr>
        <w:pStyle w:val="2"/>
        <w:spacing w:line="360" w:lineRule="auto"/>
        <w:rPr>
          <w:rFonts w:hint="eastAsia" w:cs="宋体"/>
          <w:b/>
          <w:color w:val="auto"/>
          <w:kern w:val="1"/>
          <w:sz w:val="24"/>
          <w:highlight w:val="none"/>
        </w:rPr>
      </w:pPr>
    </w:p>
    <w:p w14:paraId="7CC408AC">
      <w:pPr>
        <w:pStyle w:val="2"/>
        <w:spacing w:line="360" w:lineRule="auto"/>
        <w:rPr>
          <w:rFonts w:hint="eastAsia" w:cs="宋体"/>
          <w:b/>
          <w:color w:val="auto"/>
          <w:kern w:val="1"/>
          <w:sz w:val="24"/>
          <w:highlight w:val="none"/>
        </w:rPr>
      </w:pPr>
    </w:p>
    <w:p w14:paraId="2C91AD92">
      <w:pPr>
        <w:pStyle w:val="2"/>
        <w:spacing w:line="360" w:lineRule="auto"/>
        <w:rPr>
          <w:rFonts w:hint="eastAsia" w:cs="宋体"/>
          <w:b/>
          <w:color w:val="auto"/>
          <w:kern w:val="1"/>
          <w:sz w:val="24"/>
          <w:highlight w:val="none"/>
        </w:rPr>
      </w:pPr>
    </w:p>
    <w:p w14:paraId="45A161C6">
      <w:pPr>
        <w:pStyle w:val="2"/>
        <w:spacing w:line="360" w:lineRule="auto"/>
        <w:rPr>
          <w:rFonts w:hint="eastAsia" w:cs="宋体"/>
          <w:b/>
          <w:color w:val="auto"/>
          <w:kern w:val="1"/>
          <w:sz w:val="24"/>
          <w:highlight w:val="none"/>
        </w:rPr>
      </w:pPr>
    </w:p>
    <w:p w14:paraId="70FC1285">
      <w:pPr>
        <w:pStyle w:val="2"/>
        <w:spacing w:line="360" w:lineRule="auto"/>
        <w:rPr>
          <w:rFonts w:hint="eastAsia" w:cs="宋体"/>
          <w:b/>
          <w:color w:val="auto"/>
          <w:kern w:val="1"/>
          <w:sz w:val="24"/>
          <w:highlight w:val="none"/>
        </w:rPr>
      </w:pPr>
    </w:p>
    <w:p w14:paraId="6EF067B5">
      <w:pPr>
        <w:pStyle w:val="2"/>
        <w:spacing w:line="360" w:lineRule="auto"/>
        <w:rPr>
          <w:rFonts w:hint="eastAsia" w:cs="宋体"/>
          <w:b/>
          <w:color w:val="auto"/>
          <w:kern w:val="1"/>
          <w:sz w:val="24"/>
          <w:highlight w:val="none"/>
        </w:rPr>
      </w:pPr>
    </w:p>
    <w:p w14:paraId="4DEF6EDD">
      <w:pPr>
        <w:pStyle w:val="2"/>
        <w:spacing w:line="360" w:lineRule="auto"/>
        <w:rPr>
          <w:rFonts w:hint="eastAsia" w:cs="宋体"/>
          <w:b/>
          <w:color w:val="auto"/>
          <w:kern w:val="1"/>
          <w:sz w:val="24"/>
          <w:highlight w:val="none"/>
        </w:rPr>
      </w:pPr>
    </w:p>
    <w:p w14:paraId="463215DE">
      <w:pPr>
        <w:pStyle w:val="2"/>
        <w:spacing w:line="360" w:lineRule="auto"/>
        <w:rPr>
          <w:rFonts w:hint="eastAsia" w:cs="宋体"/>
          <w:b/>
          <w:color w:val="auto"/>
          <w:kern w:val="1"/>
          <w:sz w:val="24"/>
          <w:highlight w:val="none"/>
        </w:rPr>
      </w:pPr>
    </w:p>
    <w:p w14:paraId="105F00A8">
      <w:pPr>
        <w:pStyle w:val="2"/>
        <w:spacing w:line="360" w:lineRule="auto"/>
        <w:rPr>
          <w:rFonts w:hint="eastAsia" w:cs="宋体"/>
          <w:b/>
          <w:color w:val="auto"/>
          <w:kern w:val="1"/>
          <w:sz w:val="24"/>
          <w:highlight w:val="none"/>
        </w:rPr>
      </w:pPr>
    </w:p>
    <w:p w14:paraId="6A33971D">
      <w:pPr>
        <w:pStyle w:val="2"/>
        <w:spacing w:line="360" w:lineRule="auto"/>
        <w:rPr>
          <w:rFonts w:hint="eastAsia" w:cs="宋体"/>
          <w:b/>
          <w:color w:val="auto"/>
          <w:kern w:val="1"/>
          <w:sz w:val="24"/>
          <w:highlight w:val="none"/>
        </w:rPr>
      </w:pPr>
    </w:p>
    <w:p w14:paraId="73A6D1F2">
      <w:pPr>
        <w:pStyle w:val="2"/>
        <w:spacing w:line="360" w:lineRule="auto"/>
        <w:rPr>
          <w:rFonts w:hint="eastAsia" w:cs="宋体"/>
          <w:b/>
          <w:color w:val="auto"/>
          <w:kern w:val="1"/>
          <w:sz w:val="24"/>
          <w:highlight w:val="none"/>
        </w:rPr>
      </w:pPr>
    </w:p>
    <w:p w14:paraId="45013687">
      <w:pPr>
        <w:pStyle w:val="2"/>
        <w:spacing w:line="360" w:lineRule="auto"/>
        <w:rPr>
          <w:rFonts w:hint="eastAsia" w:cs="宋体"/>
          <w:b/>
          <w:color w:val="auto"/>
          <w:kern w:val="1"/>
          <w:sz w:val="24"/>
          <w:highlight w:val="none"/>
        </w:rPr>
      </w:pPr>
    </w:p>
    <w:p w14:paraId="0B924565">
      <w:pPr>
        <w:pStyle w:val="2"/>
        <w:spacing w:line="360" w:lineRule="auto"/>
        <w:rPr>
          <w:rFonts w:hint="eastAsia" w:cs="宋体"/>
          <w:b/>
          <w:color w:val="auto"/>
          <w:kern w:val="1"/>
          <w:sz w:val="24"/>
          <w:highlight w:val="none"/>
        </w:rPr>
      </w:pPr>
    </w:p>
    <w:p w14:paraId="7BEEE54A">
      <w:pPr>
        <w:pStyle w:val="2"/>
        <w:spacing w:line="360" w:lineRule="auto"/>
        <w:rPr>
          <w:rFonts w:cs="宋体"/>
          <w:b/>
          <w:color w:val="auto"/>
          <w:kern w:val="1"/>
          <w:sz w:val="24"/>
          <w:highlight w:val="none"/>
        </w:rPr>
      </w:pPr>
      <w:r>
        <w:rPr>
          <w:rFonts w:hint="eastAsia" w:cs="宋体"/>
          <w:b/>
          <w:color w:val="auto"/>
          <w:kern w:val="1"/>
          <w:sz w:val="24"/>
          <w:highlight w:val="none"/>
        </w:rPr>
        <w:t>格式</w:t>
      </w:r>
      <w:r>
        <w:rPr>
          <w:rFonts w:hint="eastAsia" w:cs="宋体"/>
          <w:b/>
          <w:color w:val="auto"/>
          <w:kern w:val="1"/>
          <w:sz w:val="24"/>
          <w:highlight w:val="none"/>
          <w:lang w:val="en-US"/>
        </w:rPr>
        <w:t>3</w:t>
      </w:r>
      <w:r>
        <w:rPr>
          <w:rFonts w:hint="eastAsia" w:cs="宋体"/>
          <w:b/>
          <w:color w:val="auto"/>
          <w:kern w:val="1"/>
          <w:sz w:val="24"/>
          <w:highlight w:val="none"/>
        </w:rPr>
        <w:t>：</w:t>
      </w:r>
    </w:p>
    <w:p w14:paraId="7387B0A0">
      <w:pPr>
        <w:pStyle w:val="34"/>
        <w:spacing w:line="360" w:lineRule="auto"/>
        <w:ind w:left="-2" w:firstLine="2"/>
        <w:jc w:val="center"/>
        <w:rPr>
          <w:rFonts w:ascii="宋体" w:hAnsi="宋体" w:cs="宋体"/>
          <w:b/>
          <w:bCs/>
          <w:color w:val="auto"/>
          <w:sz w:val="28"/>
          <w:szCs w:val="28"/>
          <w:highlight w:val="none"/>
          <w:lang w:val="zh-CN"/>
        </w:rPr>
      </w:pPr>
      <w:bookmarkStart w:id="411" w:name="_Hlk56677631"/>
      <w:r>
        <w:rPr>
          <w:rFonts w:hint="eastAsia" w:ascii="宋体" w:hAnsi="宋体" w:cs="宋体"/>
          <w:b/>
          <w:bCs/>
          <w:color w:val="auto"/>
          <w:sz w:val="28"/>
          <w:szCs w:val="28"/>
          <w:highlight w:val="none"/>
          <w:lang w:val="zh-CN"/>
        </w:rPr>
        <w:t>参与编制</w:t>
      </w:r>
      <w:bookmarkStart w:id="412" w:name="_Hlk69828595"/>
      <w:r>
        <w:rPr>
          <w:rFonts w:hint="eastAsia" w:ascii="宋体" w:hAnsi="宋体" w:cs="宋体"/>
          <w:b/>
          <w:bCs/>
          <w:color w:val="auto"/>
          <w:sz w:val="28"/>
          <w:szCs w:val="28"/>
          <w:highlight w:val="none"/>
          <w:lang w:val="zh-CN"/>
        </w:rPr>
        <w:t>工程总承包实施方案经济投标文件</w:t>
      </w:r>
      <w:bookmarkEnd w:id="412"/>
      <w:r>
        <w:rPr>
          <w:rFonts w:hint="eastAsia" w:ascii="宋体" w:hAnsi="宋体" w:cs="宋体"/>
          <w:b/>
          <w:bCs/>
          <w:color w:val="auto"/>
          <w:sz w:val="28"/>
          <w:szCs w:val="28"/>
          <w:highlight w:val="none"/>
          <w:lang w:val="zh-CN"/>
        </w:rPr>
        <w:t>人员名单</w:t>
      </w:r>
      <w:bookmarkEnd w:id="411"/>
    </w:p>
    <w:tbl>
      <w:tblPr>
        <w:tblStyle w:val="36"/>
        <w:tblW w:w="9453" w:type="dxa"/>
        <w:jc w:val="center"/>
        <w:tblLayout w:type="fixed"/>
        <w:tblCellMar>
          <w:top w:w="0" w:type="dxa"/>
          <w:left w:w="108" w:type="dxa"/>
          <w:bottom w:w="0" w:type="dxa"/>
          <w:right w:w="108" w:type="dxa"/>
        </w:tblCellMar>
      </w:tblPr>
      <w:tblGrid>
        <w:gridCol w:w="1182"/>
        <w:gridCol w:w="1375"/>
        <w:gridCol w:w="3221"/>
        <w:gridCol w:w="3675"/>
      </w:tblGrid>
      <w:tr w14:paraId="199EA57D">
        <w:tblPrEx>
          <w:tblCellMar>
            <w:top w:w="0" w:type="dxa"/>
            <w:left w:w="108" w:type="dxa"/>
            <w:bottom w:w="0" w:type="dxa"/>
            <w:right w:w="108" w:type="dxa"/>
          </w:tblCellMar>
        </w:tblPrEx>
        <w:trPr>
          <w:trHeight w:val="462" w:hRule="atLeast"/>
          <w:jc w:val="center"/>
        </w:trPr>
        <w:tc>
          <w:tcPr>
            <w:tcW w:w="1182" w:type="dxa"/>
            <w:tcBorders>
              <w:top w:val="single" w:color="000000" w:sz="4" w:space="0"/>
              <w:left w:val="single" w:color="000000" w:sz="4" w:space="0"/>
              <w:bottom w:val="single" w:color="000000" w:sz="6" w:space="0"/>
              <w:right w:val="single" w:color="000000" w:sz="6" w:space="0"/>
            </w:tcBorders>
            <w:noWrap w:val="0"/>
            <w:vAlign w:val="center"/>
          </w:tcPr>
          <w:p w14:paraId="7AE4CEDB">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rPr>
              <w:t>姓名</w:t>
            </w:r>
          </w:p>
        </w:tc>
        <w:tc>
          <w:tcPr>
            <w:tcW w:w="1375" w:type="dxa"/>
            <w:tcBorders>
              <w:top w:val="single" w:color="000000" w:sz="4" w:space="0"/>
              <w:left w:val="single" w:color="000000" w:sz="6" w:space="0"/>
              <w:bottom w:val="single" w:color="000000" w:sz="6" w:space="0"/>
              <w:right w:val="single" w:color="000000" w:sz="6" w:space="0"/>
            </w:tcBorders>
            <w:noWrap w:val="0"/>
            <w:vAlign w:val="center"/>
          </w:tcPr>
          <w:p w14:paraId="6E32C25A">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rPr>
              <w:t>职务</w:t>
            </w:r>
          </w:p>
        </w:tc>
        <w:tc>
          <w:tcPr>
            <w:tcW w:w="3221" w:type="dxa"/>
            <w:tcBorders>
              <w:top w:val="single" w:color="000000" w:sz="4" w:space="0"/>
              <w:left w:val="single" w:color="000000" w:sz="6" w:space="0"/>
              <w:bottom w:val="single" w:color="000000" w:sz="6" w:space="0"/>
              <w:right w:val="single" w:color="000000" w:sz="6" w:space="0"/>
            </w:tcBorders>
            <w:noWrap w:val="0"/>
            <w:vAlign w:val="center"/>
          </w:tcPr>
          <w:p w14:paraId="26B83F24">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rPr>
              <w:t>所承担工作</w:t>
            </w:r>
          </w:p>
        </w:tc>
        <w:tc>
          <w:tcPr>
            <w:tcW w:w="3675" w:type="dxa"/>
            <w:tcBorders>
              <w:top w:val="single" w:color="000000" w:sz="4" w:space="0"/>
              <w:left w:val="single" w:color="000000" w:sz="6" w:space="0"/>
              <w:bottom w:val="single" w:color="000000" w:sz="6" w:space="0"/>
              <w:right w:val="single" w:color="000000" w:sz="4" w:space="0"/>
            </w:tcBorders>
            <w:noWrap w:val="0"/>
            <w:vAlign w:val="center"/>
          </w:tcPr>
          <w:p w14:paraId="798CDBCA">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r>
              <w:rPr>
                <w:rFonts w:hint="eastAsia" w:ascii="宋体" w:hAnsi="宋体" w:cs="宋体"/>
                <w:color w:val="auto"/>
                <w:kern w:val="1"/>
                <w:szCs w:val="21"/>
                <w:highlight w:val="none"/>
              </w:rPr>
              <w:t>本人签名栏</w:t>
            </w:r>
          </w:p>
        </w:tc>
      </w:tr>
      <w:tr w14:paraId="722BD207">
        <w:tblPrEx>
          <w:tblCellMar>
            <w:top w:w="0" w:type="dxa"/>
            <w:left w:w="108" w:type="dxa"/>
            <w:bottom w:w="0" w:type="dxa"/>
            <w:right w:w="108" w:type="dxa"/>
          </w:tblCellMar>
        </w:tblPrEx>
        <w:trPr>
          <w:trHeight w:val="468" w:hRule="atLeast"/>
          <w:jc w:val="center"/>
        </w:trPr>
        <w:tc>
          <w:tcPr>
            <w:tcW w:w="1182" w:type="dxa"/>
            <w:tcBorders>
              <w:top w:val="single" w:color="000000" w:sz="6" w:space="0"/>
              <w:left w:val="single" w:color="000000" w:sz="4" w:space="0"/>
              <w:bottom w:val="single" w:color="000000" w:sz="6" w:space="0"/>
              <w:right w:val="single" w:color="000000" w:sz="6" w:space="0"/>
            </w:tcBorders>
            <w:noWrap w:val="0"/>
            <w:vAlign w:val="center"/>
          </w:tcPr>
          <w:p w14:paraId="25B337A3">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1375" w:type="dxa"/>
            <w:tcBorders>
              <w:top w:val="single" w:color="000000" w:sz="6" w:space="0"/>
              <w:left w:val="single" w:color="000000" w:sz="6" w:space="0"/>
              <w:bottom w:val="single" w:color="000000" w:sz="6" w:space="0"/>
              <w:right w:val="single" w:color="000000" w:sz="6" w:space="0"/>
            </w:tcBorders>
            <w:noWrap w:val="0"/>
            <w:vAlign w:val="center"/>
          </w:tcPr>
          <w:p w14:paraId="01CE3B04">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221" w:type="dxa"/>
            <w:tcBorders>
              <w:top w:val="single" w:color="000000" w:sz="6" w:space="0"/>
              <w:left w:val="single" w:color="000000" w:sz="6" w:space="0"/>
              <w:bottom w:val="single" w:color="000000" w:sz="6" w:space="0"/>
              <w:right w:val="single" w:color="000000" w:sz="6" w:space="0"/>
            </w:tcBorders>
            <w:noWrap w:val="0"/>
            <w:vAlign w:val="center"/>
          </w:tcPr>
          <w:p w14:paraId="1B7D5CB1">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675" w:type="dxa"/>
            <w:tcBorders>
              <w:top w:val="single" w:color="000000" w:sz="6" w:space="0"/>
              <w:left w:val="single" w:color="000000" w:sz="6" w:space="0"/>
              <w:bottom w:val="single" w:color="000000" w:sz="6" w:space="0"/>
              <w:right w:val="single" w:color="000000" w:sz="4" w:space="0"/>
            </w:tcBorders>
            <w:noWrap w:val="0"/>
            <w:vAlign w:val="center"/>
          </w:tcPr>
          <w:p w14:paraId="7F0A45F3">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4411C082">
        <w:tblPrEx>
          <w:tblCellMar>
            <w:top w:w="0" w:type="dxa"/>
            <w:left w:w="108" w:type="dxa"/>
            <w:bottom w:w="0" w:type="dxa"/>
            <w:right w:w="108" w:type="dxa"/>
          </w:tblCellMar>
        </w:tblPrEx>
        <w:trPr>
          <w:trHeight w:val="446" w:hRule="atLeast"/>
          <w:jc w:val="center"/>
        </w:trPr>
        <w:tc>
          <w:tcPr>
            <w:tcW w:w="1182" w:type="dxa"/>
            <w:tcBorders>
              <w:top w:val="single" w:color="000000" w:sz="6" w:space="0"/>
              <w:left w:val="single" w:color="000000" w:sz="4" w:space="0"/>
              <w:bottom w:val="single" w:color="000000" w:sz="6" w:space="0"/>
              <w:right w:val="single" w:color="000000" w:sz="6" w:space="0"/>
            </w:tcBorders>
            <w:noWrap w:val="0"/>
            <w:vAlign w:val="center"/>
          </w:tcPr>
          <w:p w14:paraId="3E829435">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1375" w:type="dxa"/>
            <w:tcBorders>
              <w:top w:val="single" w:color="000000" w:sz="6" w:space="0"/>
              <w:left w:val="single" w:color="000000" w:sz="6" w:space="0"/>
              <w:bottom w:val="single" w:color="000000" w:sz="6" w:space="0"/>
              <w:right w:val="single" w:color="000000" w:sz="6" w:space="0"/>
            </w:tcBorders>
            <w:noWrap w:val="0"/>
            <w:vAlign w:val="center"/>
          </w:tcPr>
          <w:p w14:paraId="34A257BC">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221" w:type="dxa"/>
            <w:tcBorders>
              <w:top w:val="single" w:color="000000" w:sz="6" w:space="0"/>
              <w:left w:val="single" w:color="000000" w:sz="6" w:space="0"/>
              <w:bottom w:val="single" w:color="000000" w:sz="6" w:space="0"/>
              <w:right w:val="single" w:color="000000" w:sz="6" w:space="0"/>
            </w:tcBorders>
            <w:noWrap w:val="0"/>
            <w:vAlign w:val="center"/>
          </w:tcPr>
          <w:p w14:paraId="0FF423A0">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675" w:type="dxa"/>
            <w:tcBorders>
              <w:top w:val="single" w:color="000000" w:sz="6" w:space="0"/>
              <w:left w:val="single" w:color="000000" w:sz="6" w:space="0"/>
              <w:bottom w:val="single" w:color="000000" w:sz="6" w:space="0"/>
              <w:right w:val="single" w:color="000000" w:sz="4" w:space="0"/>
            </w:tcBorders>
            <w:noWrap w:val="0"/>
            <w:vAlign w:val="center"/>
          </w:tcPr>
          <w:p w14:paraId="0A4DF7D1">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62964881">
        <w:tblPrEx>
          <w:tblCellMar>
            <w:top w:w="0" w:type="dxa"/>
            <w:left w:w="108" w:type="dxa"/>
            <w:bottom w:w="0" w:type="dxa"/>
            <w:right w:w="108" w:type="dxa"/>
          </w:tblCellMar>
        </w:tblPrEx>
        <w:trPr>
          <w:trHeight w:val="446" w:hRule="atLeast"/>
          <w:jc w:val="center"/>
        </w:trPr>
        <w:tc>
          <w:tcPr>
            <w:tcW w:w="1182" w:type="dxa"/>
            <w:tcBorders>
              <w:top w:val="single" w:color="000000" w:sz="6" w:space="0"/>
              <w:left w:val="single" w:color="000000" w:sz="4" w:space="0"/>
              <w:bottom w:val="single" w:color="000000" w:sz="6" w:space="0"/>
              <w:right w:val="single" w:color="000000" w:sz="6" w:space="0"/>
            </w:tcBorders>
            <w:noWrap w:val="0"/>
            <w:vAlign w:val="center"/>
          </w:tcPr>
          <w:p w14:paraId="356E890B">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1375" w:type="dxa"/>
            <w:tcBorders>
              <w:top w:val="single" w:color="000000" w:sz="6" w:space="0"/>
              <w:left w:val="single" w:color="000000" w:sz="6" w:space="0"/>
              <w:bottom w:val="single" w:color="000000" w:sz="6" w:space="0"/>
              <w:right w:val="single" w:color="000000" w:sz="6" w:space="0"/>
            </w:tcBorders>
            <w:noWrap w:val="0"/>
            <w:vAlign w:val="center"/>
          </w:tcPr>
          <w:p w14:paraId="379DB522">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221" w:type="dxa"/>
            <w:tcBorders>
              <w:top w:val="single" w:color="000000" w:sz="6" w:space="0"/>
              <w:left w:val="single" w:color="000000" w:sz="6" w:space="0"/>
              <w:bottom w:val="single" w:color="000000" w:sz="6" w:space="0"/>
              <w:right w:val="single" w:color="000000" w:sz="6" w:space="0"/>
            </w:tcBorders>
            <w:noWrap w:val="0"/>
            <w:vAlign w:val="center"/>
          </w:tcPr>
          <w:p w14:paraId="2DF2F742">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675" w:type="dxa"/>
            <w:tcBorders>
              <w:top w:val="single" w:color="000000" w:sz="6" w:space="0"/>
              <w:left w:val="single" w:color="000000" w:sz="6" w:space="0"/>
              <w:bottom w:val="single" w:color="000000" w:sz="6" w:space="0"/>
              <w:right w:val="single" w:color="000000" w:sz="4" w:space="0"/>
            </w:tcBorders>
            <w:noWrap w:val="0"/>
            <w:vAlign w:val="center"/>
          </w:tcPr>
          <w:p w14:paraId="71C6BCC7">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5F56431B">
        <w:tblPrEx>
          <w:tblCellMar>
            <w:top w:w="0" w:type="dxa"/>
            <w:left w:w="108" w:type="dxa"/>
            <w:bottom w:w="0" w:type="dxa"/>
            <w:right w:w="108" w:type="dxa"/>
          </w:tblCellMar>
        </w:tblPrEx>
        <w:trPr>
          <w:trHeight w:val="446" w:hRule="atLeast"/>
          <w:jc w:val="center"/>
        </w:trPr>
        <w:tc>
          <w:tcPr>
            <w:tcW w:w="1182" w:type="dxa"/>
            <w:tcBorders>
              <w:top w:val="single" w:color="000000" w:sz="6" w:space="0"/>
              <w:left w:val="single" w:color="000000" w:sz="4" w:space="0"/>
              <w:bottom w:val="single" w:color="000000" w:sz="6" w:space="0"/>
              <w:right w:val="single" w:color="000000" w:sz="6" w:space="0"/>
            </w:tcBorders>
            <w:noWrap w:val="0"/>
            <w:vAlign w:val="center"/>
          </w:tcPr>
          <w:p w14:paraId="1148CC28">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1375" w:type="dxa"/>
            <w:tcBorders>
              <w:top w:val="single" w:color="000000" w:sz="6" w:space="0"/>
              <w:left w:val="single" w:color="000000" w:sz="6" w:space="0"/>
              <w:bottom w:val="single" w:color="000000" w:sz="6" w:space="0"/>
              <w:right w:val="single" w:color="000000" w:sz="6" w:space="0"/>
            </w:tcBorders>
            <w:noWrap w:val="0"/>
            <w:vAlign w:val="center"/>
          </w:tcPr>
          <w:p w14:paraId="08F5A713">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221" w:type="dxa"/>
            <w:tcBorders>
              <w:top w:val="single" w:color="000000" w:sz="6" w:space="0"/>
              <w:left w:val="single" w:color="000000" w:sz="6" w:space="0"/>
              <w:bottom w:val="single" w:color="000000" w:sz="6" w:space="0"/>
              <w:right w:val="single" w:color="000000" w:sz="6" w:space="0"/>
            </w:tcBorders>
            <w:noWrap w:val="0"/>
            <w:vAlign w:val="center"/>
          </w:tcPr>
          <w:p w14:paraId="4AE1DF68">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675" w:type="dxa"/>
            <w:tcBorders>
              <w:top w:val="single" w:color="000000" w:sz="6" w:space="0"/>
              <w:left w:val="single" w:color="000000" w:sz="6" w:space="0"/>
              <w:bottom w:val="single" w:color="000000" w:sz="6" w:space="0"/>
              <w:right w:val="single" w:color="000000" w:sz="4" w:space="0"/>
            </w:tcBorders>
            <w:noWrap w:val="0"/>
            <w:vAlign w:val="center"/>
          </w:tcPr>
          <w:p w14:paraId="6328EFC6">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6D585AC1">
        <w:tblPrEx>
          <w:tblCellMar>
            <w:top w:w="0" w:type="dxa"/>
            <w:left w:w="108" w:type="dxa"/>
            <w:bottom w:w="0" w:type="dxa"/>
            <w:right w:w="108" w:type="dxa"/>
          </w:tblCellMar>
        </w:tblPrEx>
        <w:trPr>
          <w:trHeight w:val="446" w:hRule="atLeast"/>
          <w:jc w:val="center"/>
        </w:trPr>
        <w:tc>
          <w:tcPr>
            <w:tcW w:w="1182" w:type="dxa"/>
            <w:tcBorders>
              <w:top w:val="single" w:color="000000" w:sz="6" w:space="0"/>
              <w:left w:val="single" w:color="000000" w:sz="4" w:space="0"/>
              <w:bottom w:val="single" w:color="000000" w:sz="6" w:space="0"/>
              <w:right w:val="single" w:color="000000" w:sz="6" w:space="0"/>
            </w:tcBorders>
            <w:noWrap w:val="0"/>
            <w:vAlign w:val="center"/>
          </w:tcPr>
          <w:p w14:paraId="256A1F40">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1375" w:type="dxa"/>
            <w:tcBorders>
              <w:top w:val="single" w:color="000000" w:sz="6" w:space="0"/>
              <w:left w:val="single" w:color="000000" w:sz="6" w:space="0"/>
              <w:bottom w:val="single" w:color="000000" w:sz="6" w:space="0"/>
              <w:right w:val="single" w:color="000000" w:sz="6" w:space="0"/>
            </w:tcBorders>
            <w:noWrap w:val="0"/>
            <w:vAlign w:val="center"/>
          </w:tcPr>
          <w:p w14:paraId="5C2774BA">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221" w:type="dxa"/>
            <w:tcBorders>
              <w:top w:val="single" w:color="000000" w:sz="6" w:space="0"/>
              <w:left w:val="single" w:color="000000" w:sz="6" w:space="0"/>
              <w:bottom w:val="single" w:color="000000" w:sz="6" w:space="0"/>
              <w:right w:val="single" w:color="000000" w:sz="6" w:space="0"/>
            </w:tcBorders>
            <w:noWrap w:val="0"/>
            <w:vAlign w:val="center"/>
          </w:tcPr>
          <w:p w14:paraId="24E95717">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675" w:type="dxa"/>
            <w:tcBorders>
              <w:top w:val="single" w:color="000000" w:sz="6" w:space="0"/>
              <w:left w:val="single" w:color="000000" w:sz="6" w:space="0"/>
              <w:bottom w:val="single" w:color="000000" w:sz="6" w:space="0"/>
              <w:right w:val="single" w:color="000000" w:sz="4" w:space="0"/>
            </w:tcBorders>
            <w:noWrap w:val="0"/>
            <w:vAlign w:val="center"/>
          </w:tcPr>
          <w:p w14:paraId="34A8EF77">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5F005054">
        <w:tblPrEx>
          <w:tblCellMar>
            <w:top w:w="0" w:type="dxa"/>
            <w:left w:w="108" w:type="dxa"/>
            <w:bottom w:w="0" w:type="dxa"/>
            <w:right w:w="108" w:type="dxa"/>
          </w:tblCellMar>
        </w:tblPrEx>
        <w:trPr>
          <w:trHeight w:val="446" w:hRule="atLeast"/>
          <w:jc w:val="center"/>
        </w:trPr>
        <w:tc>
          <w:tcPr>
            <w:tcW w:w="1182" w:type="dxa"/>
            <w:tcBorders>
              <w:top w:val="single" w:color="000000" w:sz="6" w:space="0"/>
              <w:left w:val="single" w:color="000000" w:sz="4" w:space="0"/>
              <w:bottom w:val="single" w:color="000000" w:sz="6" w:space="0"/>
              <w:right w:val="single" w:color="000000" w:sz="6" w:space="0"/>
            </w:tcBorders>
            <w:noWrap w:val="0"/>
            <w:vAlign w:val="center"/>
          </w:tcPr>
          <w:p w14:paraId="435924B3">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1375" w:type="dxa"/>
            <w:tcBorders>
              <w:top w:val="single" w:color="000000" w:sz="6" w:space="0"/>
              <w:left w:val="single" w:color="000000" w:sz="6" w:space="0"/>
              <w:bottom w:val="single" w:color="000000" w:sz="6" w:space="0"/>
              <w:right w:val="single" w:color="000000" w:sz="6" w:space="0"/>
            </w:tcBorders>
            <w:noWrap w:val="0"/>
            <w:vAlign w:val="center"/>
          </w:tcPr>
          <w:p w14:paraId="124B58CC">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221" w:type="dxa"/>
            <w:tcBorders>
              <w:top w:val="single" w:color="000000" w:sz="6" w:space="0"/>
              <w:left w:val="single" w:color="000000" w:sz="6" w:space="0"/>
              <w:bottom w:val="single" w:color="000000" w:sz="6" w:space="0"/>
              <w:right w:val="single" w:color="000000" w:sz="6" w:space="0"/>
            </w:tcBorders>
            <w:noWrap w:val="0"/>
            <w:vAlign w:val="center"/>
          </w:tcPr>
          <w:p w14:paraId="12D83B25">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675" w:type="dxa"/>
            <w:tcBorders>
              <w:top w:val="single" w:color="000000" w:sz="6" w:space="0"/>
              <w:left w:val="single" w:color="000000" w:sz="6" w:space="0"/>
              <w:bottom w:val="single" w:color="000000" w:sz="6" w:space="0"/>
              <w:right w:val="single" w:color="000000" w:sz="4" w:space="0"/>
            </w:tcBorders>
            <w:noWrap w:val="0"/>
            <w:vAlign w:val="center"/>
          </w:tcPr>
          <w:p w14:paraId="41026520">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0BC04C14">
        <w:tblPrEx>
          <w:tblCellMar>
            <w:top w:w="0" w:type="dxa"/>
            <w:left w:w="108" w:type="dxa"/>
            <w:bottom w:w="0" w:type="dxa"/>
            <w:right w:w="108" w:type="dxa"/>
          </w:tblCellMar>
        </w:tblPrEx>
        <w:trPr>
          <w:trHeight w:val="452" w:hRule="atLeast"/>
          <w:jc w:val="center"/>
        </w:trPr>
        <w:tc>
          <w:tcPr>
            <w:tcW w:w="1182" w:type="dxa"/>
            <w:tcBorders>
              <w:top w:val="single" w:color="000000" w:sz="6" w:space="0"/>
              <w:left w:val="single" w:color="000000" w:sz="4" w:space="0"/>
              <w:bottom w:val="single" w:color="000000" w:sz="6" w:space="0"/>
              <w:right w:val="single" w:color="000000" w:sz="6" w:space="0"/>
            </w:tcBorders>
            <w:noWrap w:val="0"/>
            <w:vAlign w:val="center"/>
          </w:tcPr>
          <w:p w14:paraId="584ABAC1">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1375" w:type="dxa"/>
            <w:tcBorders>
              <w:top w:val="single" w:color="000000" w:sz="6" w:space="0"/>
              <w:left w:val="single" w:color="000000" w:sz="6" w:space="0"/>
              <w:bottom w:val="single" w:color="000000" w:sz="6" w:space="0"/>
              <w:right w:val="single" w:color="000000" w:sz="6" w:space="0"/>
            </w:tcBorders>
            <w:noWrap w:val="0"/>
            <w:vAlign w:val="center"/>
          </w:tcPr>
          <w:p w14:paraId="6EB5D92C">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221" w:type="dxa"/>
            <w:tcBorders>
              <w:top w:val="single" w:color="000000" w:sz="6" w:space="0"/>
              <w:left w:val="single" w:color="000000" w:sz="6" w:space="0"/>
              <w:bottom w:val="single" w:color="000000" w:sz="6" w:space="0"/>
              <w:right w:val="single" w:color="000000" w:sz="6" w:space="0"/>
            </w:tcBorders>
            <w:noWrap w:val="0"/>
            <w:vAlign w:val="center"/>
          </w:tcPr>
          <w:p w14:paraId="4A165978">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675" w:type="dxa"/>
            <w:tcBorders>
              <w:top w:val="single" w:color="000000" w:sz="6" w:space="0"/>
              <w:left w:val="single" w:color="000000" w:sz="6" w:space="0"/>
              <w:bottom w:val="single" w:color="000000" w:sz="6" w:space="0"/>
              <w:right w:val="single" w:color="000000" w:sz="4" w:space="0"/>
            </w:tcBorders>
            <w:noWrap w:val="0"/>
            <w:vAlign w:val="center"/>
          </w:tcPr>
          <w:p w14:paraId="346BCAAA">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r>
      <w:tr w14:paraId="697AC33A">
        <w:tblPrEx>
          <w:tblCellMar>
            <w:top w:w="0" w:type="dxa"/>
            <w:left w:w="108" w:type="dxa"/>
            <w:bottom w:w="0" w:type="dxa"/>
            <w:right w:w="108" w:type="dxa"/>
          </w:tblCellMar>
        </w:tblPrEx>
        <w:trPr>
          <w:trHeight w:val="472" w:hRule="atLeast"/>
          <w:jc w:val="center"/>
        </w:trPr>
        <w:tc>
          <w:tcPr>
            <w:tcW w:w="1182" w:type="dxa"/>
            <w:tcBorders>
              <w:top w:val="single" w:color="000000" w:sz="6" w:space="0"/>
              <w:left w:val="single" w:color="000000" w:sz="4" w:space="0"/>
              <w:bottom w:val="single" w:color="000000" w:sz="4" w:space="0"/>
              <w:right w:val="single" w:color="000000" w:sz="6" w:space="0"/>
            </w:tcBorders>
            <w:noWrap w:val="0"/>
            <w:vAlign w:val="center"/>
          </w:tcPr>
          <w:p w14:paraId="506C1F65">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1375" w:type="dxa"/>
            <w:tcBorders>
              <w:top w:val="single" w:color="000000" w:sz="6" w:space="0"/>
              <w:left w:val="single" w:color="000000" w:sz="6" w:space="0"/>
              <w:bottom w:val="single" w:color="000000" w:sz="4" w:space="0"/>
              <w:right w:val="single" w:color="000000" w:sz="6" w:space="0"/>
            </w:tcBorders>
            <w:noWrap w:val="0"/>
            <w:vAlign w:val="center"/>
          </w:tcPr>
          <w:p w14:paraId="20CC5678">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221" w:type="dxa"/>
            <w:tcBorders>
              <w:top w:val="single" w:color="000000" w:sz="6" w:space="0"/>
              <w:left w:val="single" w:color="000000" w:sz="6" w:space="0"/>
              <w:bottom w:val="single" w:color="000000" w:sz="4" w:space="0"/>
              <w:right w:val="single" w:color="000000" w:sz="6" w:space="0"/>
            </w:tcBorders>
            <w:noWrap w:val="0"/>
            <w:vAlign w:val="center"/>
          </w:tcPr>
          <w:p w14:paraId="6823BADC">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c>
          <w:tcPr>
            <w:tcW w:w="3675" w:type="dxa"/>
            <w:tcBorders>
              <w:top w:val="single" w:color="000000" w:sz="6" w:space="0"/>
              <w:left w:val="single" w:color="000000" w:sz="6" w:space="0"/>
              <w:bottom w:val="single" w:color="000000" w:sz="4" w:space="0"/>
              <w:right w:val="single" w:color="000000" w:sz="4" w:space="0"/>
            </w:tcBorders>
            <w:noWrap w:val="0"/>
            <w:vAlign w:val="center"/>
          </w:tcPr>
          <w:p w14:paraId="64EAFDEE">
            <w:pPr>
              <w:keepNext w:val="0"/>
              <w:keepLines w:val="0"/>
              <w:suppressLineNumbers w:val="0"/>
              <w:tabs>
                <w:tab w:val="left" w:pos="0"/>
                <w:tab w:val="left" w:pos="720"/>
              </w:tabs>
              <w:spacing w:before="0" w:beforeAutospacing="0" w:after="0" w:afterAutospacing="0" w:line="360" w:lineRule="auto"/>
              <w:ind w:left="0" w:right="0"/>
              <w:jc w:val="center"/>
              <w:rPr>
                <w:rFonts w:hint="default" w:ascii="宋体" w:hAnsi="宋体" w:cs="宋体"/>
                <w:color w:val="auto"/>
                <w:kern w:val="2"/>
                <w:szCs w:val="21"/>
                <w:highlight w:val="none"/>
              </w:rPr>
            </w:pPr>
          </w:p>
        </w:tc>
      </w:tr>
    </w:tbl>
    <w:p w14:paraId="16F405E1">
      <w:pPr>
        <w:tabs>
          <w:tab w:val="left" w:pos="720"/>
        </w:tabs>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rPr>
        <w:t>注：参与编制标书所有人员名单应包括编制投标报价、负责清样校对、负责打印及复印等所有人员在内的人员名单。</w:t>
      </w:r>
    </w:p>
    <w:p w14:paraId="515ABFB9">
      <w:pPr>
        <w:spacing w:line="360" w:lineRule="auto"/>
        <w:rPr>
          <w:rFonts w:ascii="宋体" w:hAnsi="宋体" w:cs="宋体"/>
          <w:b/>
          <w:color w:val="auto"/>
          <w:kern w:val="1"/>
          <w:sz w:val="36"/>
          <w:szCs w:val="36"/>
          <w:highlight w:val="none"/>
        </w:rPr>
      </w:pPr>
    </w:p>
    <w:p w14:paraId="7944ACA0">
      <w:pPr>
        <w:spacing w:line="360" w:lineRule="auto"/>
        <w:jc w:val="left"/>
        <w:rPr>
          <w:rFonts w:ascii="宋体" w:hAnsi="宋体" w:cs="宋体"/>
          <w:b/>
          <w:color w:val="auto"/>
          <w:kern w:val="1"/>
          <w:sz w:val="24"/>
          <w:highlight w:val="none"/>
          <w:lang w:val="zh-CN"/>
        </w:rPr>
      </w:pPr>
      <w:r>
        <w:rPr>
          <w:rFonts w:ascii="宋体" w:hAnsi="宋体" w:cs="宋体"/>
          <w:b/>
          <w:color w:val="auto"/>
          <w:kern w:val="1"/>
          <w:sz w:val="36"/>
          <w:szCs w:val="36"/>
          <w:highlight w:val="none"/>
        </w:rPr>
        <w:br w:type="page"/>
      </w:r>
      <w:r>
        <w:rPr>
          <w:rFonts w:hint="eastAsia" w:ascii="宋体" w:hAnsi="宋体" w:cs="宋体"/>
          <w:b/>
          <w:color w:val="auto"/>
          <w:kern w:val="1"/>
          <w:sz w:val="24"/>
          <w:highlight w:val="none"/>
          <w:lang w:val="zh-CN"/>
        </w:rPr>
        <w:t>格式</w:t>
      </w:r>
      <w:r>
        <w:rPr>
          <w:rFonts w:hint="eastAsia" w:ascii="宋体" w:hAnsi="宋体" w:cs="宋体"/>
          <w:b/>
          <w:color w:val="auto"/>
          <w:kern w:val="1"/>
          <w:sz w:val="24"/>
          <w:highlight w:val="none"/>
        </w:rPr>
        <w:t>4</w:t>
      </w:r>
      <w:r>
        <w:rPr>
          <w:rFonts w:hint="eastAsia" w:ascii="宋体" w:hAnsi="宋体" w:cs="宋体"/>
          <w:b/>
          <w:color w:val="auto"/>
          <w:kern w:val="1"/>
          <w:sz w:val="24"/>
          <w:highlight w:val="none"/>
          <w:lang w:val="zh-CN"/>
        </w:rPr>
        <w:t xml:space="preserve">： </w:t>
      </w:r>
    </w:p>
    <w:p w14:paraId="05C534C0">
      <w:pPr>
        <w:pStyle w:val="2"/>
        <w:spacing w:line="360" w:lineRule="auto"/>
        <w:rPr>
          <w:color w:val="auto"/>
          <w:highlight w:val="none"/>
        </w:rPr>
      </w:pPr>
    </w:p>
    <w:p w14:paraId="2061F0EC">
      <w:pPr>
        <w:pStyle w:val="34"/>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投标人认为应该提供的其他资料</w:t>
      </w:r>
    </w:p>
    <w:p w14:paraId="7B9E60A1">
      <w:pPr>
        <w:pStyle w:val="34"/>
        <w:spacing w:line="360" w:lineRule="auto"/>
        <w:ind w:firstLine="0"/>
        <w:rPr>
          <w:rFonts w:ascii="宋体" w:hAnsi="宋体" w:cs="宋体"/>
          <w:b/>
          <w:bCs/>
          <w:color w:val="auto"/>
          <w:sz w:val="28"/>
          <w:szCs w:val="28"/>
          <w:highlight w:val="none"/>
          <w:lang w:val="zh-CN"/>
        </w:rPr>
      </w:pPr>
    </w:p>
    <w:p w14:paraId="568944C7">
      <w:pPr>
        <w:pStyle w:val="34"/>
        <w:spacing w:line="360" w:lineRule="auto"/>
        <w:ind w:left="-2" w:firstLine="632"/>
        <w:jc w:val="center"/>
        <w:rPr>
          <w:rFonts w:ascii="宋体" w:hAnsi="宋体" w:cs="宋体"/>
          <w:b/>
          <w:bCs/>
          <w:color w:val="auto"/>
          <w:sz w:val="28"/>
          <w:szCs w:val="28"/>
          <w:highlight w:val="none"/>
          <w:lang w:val="zh-CN"/>
        </w:rPr>
      </w:pPr>
    </w:p>
    <w:p w14:paraId="4BFDA753">
      <w:pPr>
        <w:pStyle w:val="3"/>
        <w:numPr>
          <w:ilvl w:val="0"/>
          <w:numId w:val="8"/>
        </w:numPr>
        <w:spacing w:line="360" w:lineRule="auto"/>
        <w:jc w:val="center"/>
        <w:rPr>
          <w:rFonts w:hint="eastAsia" w:ascii="宋体" w:hAnsi="宋体" w:cs="方正大标宋简体"/>
          <w:color w:val="auto"/>
          <w:sz w:val="32"/>
          <w:szCs w:val="32"/>
          <w:highlight w:val="none"/>
          <w:lang w:bidi="ar"/>
        </w:rPr>
      </w:pPr>
      <w:bookmarkStart w:id="413" w:name="_Toc19024"/>
      <w:bookmarkStart w:id="414" w:name="_Toc9619"/>
      <w:bookmarkStart w:id="415" w:name="_Toc5889"/>
      <w:r>
        <w:rPr>
          <w:rFonts w:hint="eastAsia" w:ascii="宋体" w:hAnsi="宋体" w:cs="方正大标宋简体"/>
          <w:color w:val="auto"/>
          <w:sz w:val="32"/>
          <w:szCs w:val="32"/>
          <w:highlight w:val="none"/>
          <w:lang w:bidi="ar"/>
        </w:rPr>
        <w:br w:type="page"/>
      </w:r>
      <w:bookmarkEnd w:id="413"/>
      <w:bookmarkEnd w:id="414"/>
      <w:bookmarkEnd w:id="415"/>
      <w:bookmarkStart w:id="416" w:name="_Toc169076300"/>
      <w:r>
        <w:rPr>
          <w:rFonts w:hint="eastAsia" w:ascii="宋体" w:hAnsi="宋体" w:cs="方正大标宋简体"/>
          <w:color w:val="auto"/>
          <w:sz w:val="32"/>
          <w:szCs w:val="32"/>
          <w:highlight w:val="none"/>
          <w:lang w:bidi="ar"/>
        </w:rPr>
        <w:t>其他资料</w:t>
      </w:r>
      <w:bookmarkEnd w:id="416"/>
    </w:p>
    <w:p w14:paraId="21D73E1B">
      <w:pPr>
        <w:spacing w:after="0" w:line="240" w:lineRule="auto"/>
        <w:jc w:val="center"/>
        <w:rPr>
          <w:rFonts w:hint="eastAsia"/>
          <w:color w:val="auto"/>
          <w:highlight w:val="none"/>
        </w:rPr>
      </w:pPr>
      <w:r>
        <w:rPr>
          <w:rFonts w:hint="eastAsia" w:ascii="宋体" w:hAnsi="宋体"/>
          <w:b/>
          <w:color w:val="auto"/>
          <w:sz w:val="36"/>
          <w:szCs w:val="36"/>
          <w:highlight w:val="none"/>
          <w:lang w:bidi="ar"/>
        </w:rPr>
        <w:t>勘察费最高限价表</w:t>
      </w:r>
    </w:p>
    <w:tbl>
      <w:tblPr>
        <w:tblStyle w:val="36"/>
        <w:tblW w:w="10143" w:type="dxa"/>
        <w:tblInd w:w="57" w:type="dxa"/>
        <w:tblLayout w:type="fixed"/>
        <w:tblCellMar>
          <w:top w:w="0" w:type="dxa"/>
          <w:left w:w="108" w:type="dxa"/>
          <w:bottom w:w="0" w:type="dxa"/>
          <w:right w:w="108" w:type="dxa"/>
        </w:tblCellMar>
      </w:tblPr>
      <w:tblGrid>
        <w:gridCol w:w="675"/>
        <w:gridCol w:w="1845"/>
        <w:gridCol w:w="1328"/>
        <w:gridCol w:w="1519"/>
        <w:gridCol w:w="1935"/>
        <w:gridCol w:w="1566"/>
        <w:gridCol w:w="1275"/>
      </w:tblGrid>
      <w:tr w14:paraId="2446C426">
        <w:tblPrEx>
          <w:tblCellMar>
            <w:top w:w="0" w:type="dxa"/>
            <w:left w:w="108" w:type="dxa"/>
            <w:bottom w:w="0" w:type="dxa"/>
            <w:right w:w="108" w:type="dxa"/>
          </w:tblCellMar>
        </w:tblPrEx>
        <w:trPr>
          <w:trHeight w:val="92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5E06BA7">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序号</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F1F15B7">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项目</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DE1249A">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单位名称</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3F38EFB0">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暂定工程量</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08A8AF85">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单价最高投标限价（元）</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064AC28E">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总价最高投标限价（万元）</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C91DBF0">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备注</w:t>
            </w:r>
          </w:p>
        </w:tc>
      </w:tr>
      <w:tr w14:paraId="7A743F7B">
        <w:tblPrEx>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BB5FC09">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1</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2FA9E55">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岩土工程勘察费</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C988B1C">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m</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24B2C573">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3500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13B34E03">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125</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503A11F2">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43.75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C4CED05">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r>
      <w:tr w14:paraId="7144ABB4">
        <w:tblPrEx>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284F371">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2</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CAE82F6">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超前钻费用</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18F170FD">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m</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5E505045">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18000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2029ED40">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105</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ECA1CE0">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189</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AEEF8FA">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r>
      <w:tr w14:paraId="3D32A767">
        <w:tblPrEx>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7B625467">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3</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0D89F90">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工程物探费</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77BA9F9A">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096F9EFC">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22000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6ACCF06A">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1.5</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5B75E8FF">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3.3</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47816E3">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r>
      <w:tr w14:paraId="08D0ADE1">
        <w:tblPrEx>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1DF387D">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4</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48E21455">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地形测绘及工程测量</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2B6F7A93">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项</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16BCF723">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1</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79ED6D06">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450000</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0A6A6A1">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45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A477656">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p>
        </w:tc>
      </w:tr>
      <w:tr w14:paraId="01EFA700">
        <w:tblPrEx>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7BFA5E1">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5</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ACCBA1F">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抽水试验</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162A4B7">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个</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1CE82B53">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2</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7FF93430">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10000</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1050999">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BED276D">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r>
      <w:tr w14:paraId="4D4BCE48">
        <w:tblPrEx>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35752763">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6</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9CD9D2E">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剪切波速</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6878BA45">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个</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1D780E41">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3</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1BC6FB9E">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2500</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0A5A5ECB">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0.75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6D7253C">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r>
      <w:tr w14:paraId="2155EE08">
        <w:tblPrEx>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A349614">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7</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6404D26">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土壤氡浓度测试</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36ACBFD3">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点</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23D89600">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180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38377537">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120</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1B96A5F2">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2.16</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DE9BC30">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r>
      <w:tr w14:paraId="0400E429">
        <w:tblPrEx>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A0353E4">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8</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3F57952">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噪声测试</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14:paraId="00F426A5">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点</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66C4BD6B">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4</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5A0DB62F">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3000</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42E003F">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1.2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8FC9032">
            <w:pPr>
              <w:keepNext w:val="0"/>
              <w:keepLines w:val="0"/>
              <w:suppressLineNumbers w:val="0"/>
              <w:spacing w:before="0" w:beforeAutospacing="0" w:afterAutospacing="0"/>
              <w:ind w:left="0" w:right="0"/>
              <w:rPr>
                <w:rFonts w:hint="default" w:ascii="宋体" w:hAnsi="宋体" w:cs="宋体"/>
                <w:color w:val="auto"/>
                <w:kern w:val="2"/>
                <w:sz w:val="22"/>
                <w:highlight w:val="none"/>
              </w:rPr>
            </w:pPr>
          </w:p>
        </w:tc>
      </w:tr>
      <w:tr w14:paraId="2F710127">
        <w:tblPrEx>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0AD0BFA">
            <w:pPr>
              <w:keepNext w:val="0"/>
              <w:keepLines w:val="0"/>
              <w:widowControl/>
              <w:suppressLineNumbers w:val="0"/>
              <w:spacing w:before="0" w:beforeAutospacing="0" w:afterAutospacing="0"/>
              <w:ind w:left="0" w:right="0"/>
              <w:jc w:val="center"/>
              <w:textAlignment w:val="center"/>
              <w:rPr>
                <w:rFonts w:hint="default" w:ascii="宋体" w:hAnsi="宋体" w:cs="宋体"/>
                <w:color w:val="auto"/>
                <w:kern w:val="2"/>
                <w:sz w:val="22"/>
                <w:highlight w:val="none"/>
              </w:rPr>
            </w:pPr>
            <w:r>
              <w:rPr>
                <w:rFonts w:hint="eastAsia" w:ascii="宋体" w:hAnsi="宋体" w:cs="宋体"/>
                <w:color w:val="auto"/>
                <w:kern w:val="0"/>
                <w:sz w:val="22"/>
                <w:highlight w:val="none"/>
                <w:lang w:bidi="ar"/>
              </w:rPr>
              <w:t>10</w:t>
            </w:r>
          </w:p>
        </w:tc>
        <w:tc>
          <w:tcPr>
            <w:tcW w:w="3173" w:type="dxa"/>
            <w:gridSpan w:val="2"/>
            <w:tcBorders>
              <w:top w:val="single" w:color="000000" w:sz="4" w:space="0"/>
              <w:left w:val="single" w:color="000000" w:sz="4" w:space="0"/>
              <w:bottom w:val="single" w:color="000000" w:sz="4" w:space="0"/>
              <w:right w:val="single" w:color="000000" w:sz="4" w:space="0"/>
            </w:tcBorders>
            <w:noWrap w:val="0"/>
            <w:vAlign w:val="center"/>
          </w:tcPr>
          <w:p w14:paraId="4BCCF56B">
            <w:pPr>
              <w:keepNext w:val="0"/>
              <w:keepLines w:val="0"/>
              <w:widowControl/>
              <w:suppressLineNumbers w:val="0"/>
              <w:spacing w:before="0" w:beforeAutospacing="0" w:afterAutospacing="0"/>
              <w:ind w:left="0" w:right="0"/>
              <w:jc w:val="center"/>
              <w:textAlignment w:val="center"/>
              <w:rPr>
                <w:rFonts w:hint="default" w:ascii="宋体" w:hAnsi="宋体" w:cs="宋体"/>
                <w:b/>
                <w:bCs/>
                <w:color w:val="auto"/>
                <w:kern w:val="2"/>
                <w:sz w:val="22"/>
                <w:highlight w:val="none"/>
              </w:rPr>
            </w:pPr>
            <w:r>
              <w:rPr>
                <w:rFonts w:hint="eastAsia" w:ascii="宋体" w:hAnsi="宋体" w:cs="宋体"/>
                <w:b/>
                <w:bCs/>
                <w:color w:val="auto"/>
                <w:kern w:val="0"/>
                <w:sz w:val="22"/>
                <w:highlight w:val="none"/>
                <w:lang w:bidi="ar"/>
              </w:rPr>
              <w:t>勘察费小计(万元)</w:t>
            </w:r>
          </w:p>
        </w:tc>
        <w:tc>
          <w:tcPr>
            <w:tcW w:w="6295" w:type="dxa"/>
            <w:gridSpan w:val="4"/>
            <w:tcBorders>
              <w:top w:val="single" w:color="000000" w:sz="4" w:space="0"/>
              <w:left w:val="single" w:color="000000" w:sz="4" w:space="0"/>
              <w:bottom w:val="single" w:color="000000" w:sz="4" w:space="0"/>
              <w:right w:val="single" w:color="000000" w:sz="4" w:space="0"/>
            </w:tcBorders>
            <w:noWrap w:val="0"/>
            <w:vAlign w:val="center"/>
          </w:tcPr>
          <w:p w14:paraId="2AEFE040">
            <w:pPr>
              <w:keepNext w:val="0"/>
              <w:keepLines w:val="0"/>
              <w:widowControl/>
              <w:suppressLineNumbers w:val="0"/>
              <w:spacing w:before="0" w:beforeAutospacing="0" w:afterAutospacing="0"/>
              <w:ind w:left="0" w:right="0"/>
              <w:jc w:val="center"/>
              <w:textAlignment w:val="center"/>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287.16</w:t>
            </w:r>
          </w:p>
        </w:tc>
      </w:tr>
    </w:tbl>
    <w:p w14:paraId="18DA96AD">
      <w:pPr>
        <w:jc w:val="center"/>
        <w:rPr>
          <w:rFonts w:ascii="宋体" w:hAnsi="宋体"/>
          <w:b/>
          <w:color w:val="auto"/>
          <w:sz w:val="36"/>
          <w:szCs w:val="36"/>
          <w:highlight w:val="none"/>
          <w:lang w:bidi="ar"/>
        </w:rPr>
      </w:pPr>
    </w:p>
    <w:p w14:paraId="382CF1A8">
      <w:pPr>
        <w:pStyle w:val="4"/>
        <w:rPr>
          <w:color w:val="auto"/>
          <w:highlight w:val="none"/>
        </w:rPr>
      </w:pPr>
    </w:p>
    <w:sectPr>
      <w:headerReference r:id="rId24" w:type="default"/>
      <w:footerReference r:id="rId25" w:type="default"/>
      <w:pgSz w:w="11907" w:h="16840"/>
      <w:pgMar w:top="1134" w:right="1134" w:bottom="1134" w:left="1134" w:header="851"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宋体..胭..">
    <w:altName w:val="宋体"/>
    <w:panose1 w:val="00000000000000000000"/>
    <w:charset w:val="86"/>
    <w:family w:val="roman"/>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6" w:usb3="00000000" w:csb0="00060007" w:csb1="0000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C4704">
    <w:pPr>
      <w:pStyle w:val="22"/>
      <w:tabs>
        <w:tab w:val="left" w:pos="8311"/>
        <w:tab w:val="clear" w:pos="4153"/>
        <w:tab w:val="clear" w:pos="8306"/>
      </w:tabs>
    </w:pP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437BF">
    <w:pPr>
      <w:pStyle w:val="24"/>
      <w:pBdr>
        <w:bottom w:val="none" w:color="auto" w:sz="0" w:space="0"/>
      </w:pBdr>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254000"/>
              <wp:effectExtent l="0" t="0" r="0" b="0"/>
              <wp:wrapNone/>
              <wp:docPr id="4" name="Text Box 9"/>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827958F">
                          <w:pPr>
                            <w:pStyle w:val="22"/>
                          </w:pPr>
                          <w:r>
                            <w:fldChar w:fldCharType="begin"/>
                          </w:r>
                          <w:r>
                            <w:instrText xml:space="preserve"> PAGE  \* MERGEFORMAT </w:instrText>
                          </w:r>
                          <w:r>
                            <w:fldChar w:fldCharType="separate"/>
                          </w:r>
                          <w:r>
                            <w:t>57</w:t>
                          </w:r>
                          <w: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20pt;width:9.05pt;mso-position-horizontal:center;mso-position-horizontal-relative:margin;mso-wrap-style:none;z-index:251665408;mso-width-relative:page;mso-height-relative:page;" filled="f" stroked="f" coordsize="21600,21600" o:gfxdata="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5rffXPAAAAAwEAAA8AAAAAAAAAAQAgAAAAIgAAAGRycy9kb3ducmV2LnhtbFBL&#10;AQIUABQAAAAIAIdO4kBZ7qSy/wEAAA8EAAAOAAAAAAAAAAEAIAAAAB4BAABkcnMvZTJvRG9jLnht&#10;bFBLBQYAAAAABgAGAFkBAACPBQAAAAA=&#10;">
              <v:fill on="f" focussize="0,0"/>
              <v:stroke on="f"/>
              <v:imagedata o:title=""/>
              <o:lock v:ext="edit" aspectratio="f"/>
              <v:textbox inset="0mm,0mm,0mm,0mm" style="mso-fit-shape-to-text:t;">
                <w:txbxContent>
                  <w:p w14:paraId="1827958F">
                    <w:pPr>
                      <w:pStyle w:val="2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A6AF4">
    <w:pPr>
      <w:pStyle w:val="24"/>
      <w:pBdr>
        <w:bottom w:val="none" w:color="auto" w:sz="0" w:space="0"/>
      </w:pBdr>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254000"/>
              <wp:effectExtent l="0" t="0" r="0" b="0"/>
              <wp:wrapNone/>
              <wp:docPr id="1"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44C92B0">
                          <w:pPr>
                            <w:pStyle w:val="22"/>
                          </w:pPr>
                          <w:r>
                            <w:fldChar w:fldCharType="begin"/>
                          </w:r>
                          <w:r>
                            <w:instrText xml:space="preserve"> PAGE  \* MERGEFORMAT </w:instrText>
                          </w:r>
                          <w:r>
                            <w:fldChar w:fldCharType="separate"/>
                          </w:r>
                          <w:r>
                            <w:t>65</w:t>
                          </w:r>
                          <w:r>
                            <w:fldChar w:fldCharType="end"/>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20pt;width:9.05pt;mso-position-horizontal:center;mso-position-horizontal-relative:margin;mso-wrap-style:none;z-index:251663360;mso-width-relative:page;mso-height-relative:page;" filled="f" stroked="f" coordsize="21600,21600" o:gfxdata="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mt99c8AAAADAQAADwAAAAAAAAABACAAAAAiAAAAZHJzL2Rvd25yZXYueG1sUEsB&#10;AhQAFAAAAAgAh07iQAMWnZH+AQAAEAQAAA4AAAAAAAAAAQAgAAAAHgEAAGRycy9lMm9Eb2MueG1s&#10;UEsFBgAAAAAGAAYAWQEAAI4FAAAAAA==&#10;">
              <v:fill on="f" focussize="0,0"/>
              <v:stroke on="f"/>
              <v:imagedata o:title=""/>
              <o:lock v:ext="edit" aspectratio="f"/>
              <v:textbox inset="0mm,0mm,0mm,0mm" style="mso-fit-shape-to-text:t;">
                <w:txbxContent>
                  <w:p w14:paraId="744C92B0">
                    <w:pPr>
                      <w:pStyle w:val="2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217AD">
    <w:pPr>
      <w:pStyle w:val="22"/>
      <w:tabs>
        <w:tab w:val="left" w:pos="8311"/>
        <w:tab w:val="clear" w:pos="4153"/>
        <w:tab w:val="clear" w:pos="830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410F5">
    <w:pPr>
      <w:pStyle w:val="22"/>
      <w:tabs>
        <w:tab w:val="left" w:pos="8311"/>
        <w:tab w:val="clear" w:pos="4153"/>
        <w:tab w:val="clear" w:pos="8306"/>
      </w:tabs>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292100" cy="191770"/>
              <wp:effectExtent l="0" t="0" r="0" b="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2100" cy="191770"/>
                      </a:xfrm>
                      <a:prstGeom prst="rect">
                        <a:avLst/>
                      </a:prstGeom>
                      <a:noFill/>
                      <a:ln>
                        <a:noFill/>
                      </a:ln>
                      <a:effectLst/>
                    </wps:spPr>
                    <wps:txbx>
                      <w:txbxContent>
                        <w:p w14:paraId="70EDB140">
                          <w:pPr>
                            <w:pStyle w:val="22"/>
                          </w:pPr>
                          <w:r>
                            <w:fldChar w:fldCharType="begin"/>
                          </w:r>
                          <w:r>
                            <w:instrText xml:space="preserve"> PAGE \* Arabic </w:instrText>
                          </w:r>
                          <w:r>
                            <w:fldChar w:fldCharType="separate"/>
                          </w:r>
                          <w:r>
                            <w:t>23</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0pt;height:15.1pt;width:23pt;mso-position-horizontal:center;mso-position-horizontal-relative:margin;z-index:251666432;mso-width-relative:page;mso-height-relative:page;" filled="f" stroked="f" coordsize="21600,21600" o:gfxdata="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HamvTAAAAAwEAAA8AAAAAAAAAAQAgAAAAIgAAAGRycy9kb3ducmV2&#10;LnhtbFBLAQIUABQAAAAIAIdO4kBOMXxwAQIAABEEAAAOAAAAAAAAAAEAIAAAACIBAABkcnMvZTJv&#10;RG9jLnhtbFBLBQYAAAAABgAGAFkBAACVBQAAAAA=&#10;">
              <v:fill on="f" focussize="0,0"/>
              <v:stroke on="f"/>
              <v:imagedata o:title=""/>
              <o:lock v:ext="edit" aspectratio="f"/>
              <v:textbox inset="0mm,0mm,0mm,0mm">
                <w:txbxContent>
                  <w:p w14:paraId="70EDB140">
                    <w:pPr>
                      <w:pStyle w:val="22"/>
                    </w:pPr>
                    <w:r>
                      <w:fldChar w:fldCharType="begin"/>
                    </w:r>
                    <w:r>
                      <w:instrText xml:space="preserve"> PAGE \* Arabic </w:instrText>
                    </w:r>
                    <w:r>
                      <w:fldChar w:fldCharType="separate"/>
                    </w:r>
                    <w:r>
                      <w:t>23</w:t>
                    </w:r>
                    <w:r>
                      <w:fldChar w:fldCharType="end"/>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1972B">
    <w:pPr>
      <w:pStyle w:val="22"/>
      <w:tabs>
        <w:tab w:val="left" w:pos="9455"/>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54000"/>
              <wp:effectExtent l="0" t="0" r="0" b="0"/>
              <wp:wrapNone/>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79C95CB">
                          <w:pPr>
                            <w:pStyle w:val="22"/>
                          </w:pPr>
                          <w:r>
                            <w:fldChar w:fldCharType="begin"/>
                          </w:r>
                          <w:r>
                            <w:instrText xml:space="preserve"> PAGE \* Arabic </w:instrText>
                          </w:r>
                          <w:r>
                            <w:fldChar w:fldCharType="separate"/>
                          </w:r>
                          <w:r>
                            <w:t>26</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20pt;width:9.05pt;mso-position-horizontal:center;mso-position-horizontal-relative:margin;mso-wrap-style:none;z-index:251659264;mso-width-relative:page;mso-height-relative:page;" filled="f" stroked="f" coordsize="21600,21600" o:gfxdata="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mt99c8AAAADAQAADwAAAAAAAAABACAAAAAiAAAAZHJzL2Rvd25yZXYueG1sUEsB&#10;AhQAFAAAAAgAh07iQFfXbbb+AQAAEAQAAA4AAAAAAAAAAQAgAAAAHgEAAGRycy9lMm9Eb2MueG1s&#10;UEsFBgAAAAAGAAYAWQEAAI4FAAAAAA==&#10;">
              <v:fill on="f" focussize="0,0"/>
              <v:stroke on="f"/>
              <v:imagedata o:title=""/>
              <o:lock v:ext="edit" aspectratio="f"/>
              <v:textbox inset="0mm,0mm,0mm,0mm" style="mso-fit-shape-to-text:t;">
                <w:txbxContent>
                  <w:p w14:paraId="179C95CB">
                    <w:pPr>
                      <w:pStyle w:val="22"/>
                    </w:pPr>
                    <w:r>
                      <w:fldChar w:fldCharType="begin"/>
                    </w:r>
                    <w:r>
                      <w:instrText xml:space="preserve"> PAGE \* Arabic </w:instrText>
                    </w:r>
                    <w:r>
                      <w:fldChar w:fldCharType="separate"/>
                    </w:r>
                    <w:r>
                      <w:t>26</w:t>
                    </w:r>
                    <w:r>
                      <w:fldChar w:fldCharType="end"/>
                    </w:r>
                  </w:p>
                </w:txbxContent>
              </v:textbox>
            </v:shape>
          </w:pict>
        </mc:Fallback>
      </mc:AlternateConten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707EE">
    <w:pPr>
      <w:pStyle w:val="24"/>
      <w:pBdr>
        <w:bottom w:val="none" w:color="auto" w:sz="0" w:space="0"/>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254000"/>
              <wp:effectExtent l="0" t="0" r="0" b="0"/>
              <wp:wrapNone/>
              <wp:docPr id="1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5E585B9">
                          <w:pPr>
                            <w:pStyle w:val="22"/>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20pt;width:9.05pt;mso-position-horizontal:center;mso-position-horizontal-relative:margin;mso-wrap-style:none;z-index:251660288;mso-width-relative:page;mso-height-relative:page;" filled="f" stroked="f" coordsize="21600,21600" o:gfxdata="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mt99c8AAAADAQAADwAAAAAAAAABACAAAAAiAAAAZHJzL2Rvd25yZXYueG1sUEsB&#10;AhQAFAAAAAgAh07iQC4QKuP+AQAAEAQAAA4AAAAAAAAAAQAgAAAAHgEAAGRycy9lMm9Eb2MueG1s&#10;UEsFBgAAAAAGAAYAWQEAAI4FAAAAAA==&#10;">
              <v:fill on="f" focussize="0,0"/>
              <v:stroke on="f"/>
              <v:imagedata o:title=""/>
              <o:lock v:ext="edit" aspectratio="f"/>
              <v:textbox inset="0mm,0mm,0mm,0mm" style="mso-fit-shape-to-text:t;">
                <w:txbxContent>
                  <w:p w14:paraId="15E585B9">
                    <w:pPr>
                      <w:pStyle w:val="2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EDCB2">
    <w:pPr>
      <w:pStyle w:val="24"/>
      <w:pBdr>
        <w:bottom w:val="none" w:color="auto" w:sz="0" w:space="0"/>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54000"/>
              <wp:effectExtent l="0" t="0" r="0" b="0"/>
              <wp:wrapNone/>
              <wp:docPr id="9"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6DF2068">
                          <w:pPr>
                            <w:pStyle w:val="22"/>
                          </w:pPr>
                          <w:r>
                            <w:fldChar w:fldCharType="begin"/>
                          </w:r>
                          <w:r>
                            <w:instrText xml:space="preserve"> PAGE  \* MERGEFORMAT </w:instrText>
                          </w:r>
                          <w:r>
                            <w:fldChar w:fldCharType="separate"/>
                          </w:r>
                          <w:r>
                            <w:t>39</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20pt;width:9.05pt;mso-position-horizontal:center;mso-position-horizontal-relative:margin;mso-wrap-style:none;z-index:251661312;mso-width-relative:page;mso-height-relative:page;" filled="f" stroked="f" coordsize="21600,21600" o:gfxdata="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5rffXPAAAAAwEAAA8AAAAAAAAAAQAgAAAAIgAAAGRycy9kb3ducmV2LnhtbFBL&#10;AQIUABQAAAAIAIdO4kCOAyCu/wEAAA8EAAAOAAAAAAAAAAEAIAAAAB4BAABkcnMvZTJvRG9jLnht&#10;bFBLBQYAAAAABgAGAFkBAACPBQAAAAA=&#10;">
              <v:fill on="f" focussize="0,0"/>
              <v:stroke on="f"/>
              <v:imagedata o:title=""/>
              <o:lock v:ext="edit" aspectratio="f"/>
              <v:textbox inset="0mm,0mm,0mm,0mm" style="mso-fit-shape-to-text:t;">
                <w:txbxContent>
                  <w:p w14:paraId="06DF2068">
                    <w:pPr>
                      <w:pStyle w:val="2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F32D7">
    <w:pPr>
      <w:pStyle w:val="22"/>
      <w:jc w:val="center"/>
    </w:pPr>
    <w:r>
      <w:fldChar w:fldCharType="begin"/>
    </w:r>
    <w:r>
      <w:instrText xml:space="preserve">PAGE   \* MERGEFORMAT</w:instrText>
    </w:r>
    <w:r>
      <w:fldChar w:fldCharType="separate"/>
    </w:r>
    <w:r>
      <w:rPr>
        <w:lang w:val="zh-CN"/>
      </w:rPr>
      <w:t>51</w:t>
    </w:r>
    <w:r>
      <w:fldChar w:fldCharType="end"/>
    </w:r>
  </w:p>
  <w:p w14:paraId="3A3F5D27">
    <w:pPr>
      <w:pStyle w:val="24"/>
      <w:pBdr>
        <w:bottom w:val="none" w:color="auto" w:sz="0" w:space="0"/>
      </w:pBdr>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9F9E5">
    <w:pPr>
      <w:pStyle w:val="24"/>
      <w:pBdr>
        <w:bottom w:val="none" w:color="auto" w:sz="0" w:space="0"/>
      </w:pBdr>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254000"/>
              <wp:effectExtent l="0" t="0" r="0" b="0"/>
              <wp:wrapNone/>
              <wp:docPr id="6" name="Text Box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227FD7F">
                          <w:pPr>
                            <w:pStyle w:val="22"/>
                          </w:pPr>
                          <w:r>
                            <w:fldChar w:fldCharType="begin"/>
                          </w:r>
                          <w:r>
                            <w:instrText xml:space="preserve"> PAGE  \* MERGEFORMAT </w:instrText>
                          </w:r>
                          <w:r>
                            <w:fldChar w:fldCharType="separate"/>
                          </w:r>
                          <w:r>
                            <w:t>52</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20pt;width:9.05pt;mso-position-horizontal:center;mso-position-horizontal-relative:margin;mso-wrap-style:none;z-index:251662336;mso-width-relative:page;mso-height-relative:page;" filled="f" stroked="f" coordsize="21600,21600" o:gfxdata="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5rffXPAAAAAwEAAA8AAAAAAAAAAQAgAAAAIgAAAGRycy9kb3ducmV2LnhtbFBL&#10;AQIUABQAAAAIAIdO4kCEzf2S/wEAAA8EAAAOAAAAAAAAAAEAIAAAAB4BAABkcnMvZTJvRG9jLnht&#10;bFBLBQYAAAAABgAGAFkBAACPBQAAAAA=&#10;">
              <v:fill on="f" focussize="0,0"/>
              <v:stroke on="f"/>
              <v:imagedata o:title=""/>
              <o:lock v:ext="edit" aspectratio="f"/>
              <v:textbox inset="0mm,0mm,0mm,0mm" style="mso-fit-shape-to-text:t;">
                <w:txbxContent>
                  <w:p w14:paraId="0227FD7F">
                    <w:pPr>
                      <w:pStyle w:val="2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3756E">
    <w:pPr>
      <w:pStyle w:val="24"/>
      <w:pBdr>
        <w:bottom w:val="none" w:color="auto" w:sz="0" w:space="0"/>
      </w:pBdr>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254000"/>
              <wp:effectExtent l="0" t="0" r="0" b="0"/>
              <wp:wrapNone/>
              <wp:docPr id="5" name="Text Box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7E8E15E">
                          <w:pPr>
                            <w:pStyle w:val="22"/>
                          </w:pPr>
                          <w:r>
                            <w:fldChar w:fldCharType="begin"/>
                          </w:r>
                          <w:r>
                            <w:instrText xml:space="preserve"> PAGE  \* MERGEFORMAT </w:instrText>
                          </w:r>
                          <w:r>
                            <w:fldChar w:fldCharType="separate"/>
                          </w:r>
                          <w:r>
                            <w:t>54</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20pt;width:9.05pt;mso-position-horizontal:center;mso-position-horizontal-relative:margin;mso-wrap-style:none;z-index:251664384;mso-width-relative:page;mso-height-relative:page;" filled="f" stroked="f" coordsize="21600,21600" o:gfxdata="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mt99c8AAAADAQAADwAAAAAAAAABACAAAAAiAAAAZHJzL2Rvd25yZXYueG1sUEsB&#10;AhQAFAAAAAgAh07iQCAp4+f+AQAADwQAAA4AAAAAAAAAAQAgAAAAHgEAAGRycy9lMm9Eb2MueG1s&#10;UEsFBgAAAAAGAAYAWQEAAI4FAAAAAA==&#10;">
              <v:fill on="f" focussize="0,0"/>
              <v:stroke on="f"/>
              <v:imagedata o:title=""/>
              <o:lock v:ext="edit" aspectratio="f"/>
              <v:textbox inset="0mm,0mm,0mm,0mm" style="mso-fit-shape-to-text:t;">
                <w:txbxContent>
                  <w:p w14:paraId="77E8E15E">
                    <w:pPr>
                      <w:pStyle w:val="2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0DE7F">
    <w:pPr>
      <w:pStyle w:val="24"/>
      <w:pBdr>
        <w:bottom w:val="none" w:color="auto" w:sz="0" w:space="0"/>
      </w:pBdr>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336D4">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8628E">
    <w:pPr>
      <w:pStyle w:val="22"/>
      <w:tabs>
        <w:tab w:val="left" w:pos="8311"/>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E8B94">
    <w:pPr>
      <w:pStyle w:val="24"/>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C48D1">
    <w:pPr>
      <w:pStyle w:val="24"/>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93BA4">
    <w:pPr>
      <w:pStyle w:val="24"/>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B6D1F">
    <w:pPr>
      <w:pStyle w:val="24"/>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90A09">
    <w:pPr>
      <w:pStyle w:val="24"/>
      <w:pBdr>
        <w:bottom w:val="none" w:color="auto" w:sz="0" w:space="0"/>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EA01A">
    <w:pPr>
      <w:pStyle w:val="24"/>
      <w:pBdr>
        <w:bottom w:val="none" w:color="auto" w:sz="0" w:space="0"/>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7BC00">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B0DDC"/>
    <w:multiLevelType w:val="singleLevel"/>
    <w:tmpl w:val="B57B0DDC"/>
    <w:lvl w:ilvl="0" w:tentative="0">
      <w:start w:val="2"/>
      <w:numFmt w:val="decimal"/>
      <w:lvlText w:val="%1."/>
      <w:lvlJc w:val="left"/>
      <w:pPr>
        <w:tabs>
          <w:tab w:val="left" w:pos="312"/>
        </w:tabs>
      </w:pPr>
    </w:lvl>
  </w:abstractNum>
  <w:abstractNum w:abstractNumId="1">
    <w:nsid w:val="BBFEFAFE"/>
    <w:multiLevelType w:val="singleLevel"/>
    <w:tmpl w:val="BBFEFAFE"/>
    <w:lvl w:ilvl="0" w:tentative="0">
      <w:start w:val="1"/>
      <w:numFmt w:val="decimal"/>
      <w:suff w:val="nothing"/>
      <w:lvlText w:val="%1、"/>
      <w:lvlJc w:val="left"/>
    </w:lvl>
  </w:abstractNum>
  <w:abstractNum w:abstractNumId="2">
    <w:nsid w:val="BD2ADDAB"/>
    <w:multiLevelType w:val="singleLevel"/>
    <w:tmpl w:val="BD2ADDAB"/>
    <w:lvl w:ilvl="0" w:tentative="0">
      <w:start w:val="4"/>
      <w:numFmt w:val="decimal"/>
      <w:suff w:val="space"/>
      <w:lvlText w:val="%1."/>
      <w:lvlJc w:val="left"/>
    </w:lvl>
  </w:abstractNum>
  <w:abstractNum w:abstractNumId="3">
    <w:nsid w:val="CB2AC93C"/>
    <w:multiLevelType w:val="singleLevel"/>
    <w:tmpl w:val="CB2AC93C"/>
    <w:lvl w:ilvl="0" w:tentative="0">
      <w:start w:val="8"/>
      <w:numFmt w:val="chineseCounting"/>
      <w:suff w:val="space"/>
      <w:lvlText w:val="第%1章"/>
      <w:lvlJc w:val="left"/>
      <w:rPr>
        <w:rFonts w:hint="eastAsia"/>
      </w:rPr>
    </w:lvl>
  </w:abstractNum>
  <w:abstractNum w:abstractNumId="4">
    <w:nsid w:val="4453FBC9"/>
    <w:multiLevelType w:val="singleLevel"/>
    <w:tmpl w:val="4453FBC9"/>
    <w:lvl w:ilvl="0" w:tentative="0">
      <w:start w:val="2"/>
      <w:numFmt w:val="decimal"/>
      <w:lvlText w:val="%1."/>
      <w:lvlJc w:val="left"/>
      <w:pPr>
        <w:tabs>
          <w:tab w:val="left" w:pos="312"/>
        </w:tabs>
      </w:pPr>
    </w:lvl>
  </w:abstractNum>
  <w:abstractNum w:abstractNumId="5">
    <w:nsid w:val="5ADF538E"/>
    <w:multiLevelType w:val="singleLevel"/>
    <w:tmpl w:val="5ADF538E"/>
    <w:lvl w:ilvl="0" w:tentative="0">
      <w:start w:val="2"/>
      <w:numFmt w:val="decimal"/>
      <w:suff w:val="nothing"/>
      <w:lvlText w:val="%1、"/>
      <w:lvlJc w:val="left"/>
    </w:lvl>
  </w:abstractNum>
  <w:abstractNum w:abstractNumId="6">
    <w:nsid w:val="63FA3DEB"/>
    <w:multiLevelType w:val="multilevel"/>
    <w:tmpl w:val="63FA3DEB"/>
    <w:lvl w:ilvl="0" w:tentative="0">
      <w:start w:val="1"/>
      <w:numFmt w:val="japaneseCounting"/>
      <w:lvlText w:val="第%1章"/>
      <w:lvlJc w:val="left"/>
      <w:pPr>
        <w:ind w:left="1635" w:hanging="16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76125DC"/>
    <w:multiLevelType w:val="singleLevel"/>
    <w:tmpl w:val="676125DC"/>
    <w:lvl w:ilvl="0" w:tentative="0">
      <w:start w:val="1"/>
      <w:numFmt w:val="decimal"/>
      <w:suff w:val="nothing"/>
      <w:lvlText w:val="%1、"/>
      <w:lvlJc w:val="left"/>
    </w:lvl>
  </w:abstractNum>
  <w:num w:numId="1">
    <w:abstractNumId w:val="6"/>
  </w:num>
  <w:num w:numId="2">
    <w:abstractNumId w:val="7"/>
  </w:num>
  <w:num w:numId="3">
    <w:abstractNumId w:val="1"/>
  </w:num>
  <w:num w:numId="4">
    <w:abstractNumId w:val="2"/>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gutterAtTop/>
  <w:trackRevisions w:val="1"/>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NTI5OGIzZTlhZGNmYmY1YjYyYWNmNmQ4YzJhN2MifQ=="/>
  </w:docVars>
  <w:rsids>
    <w:rsidRoot w:val="002C1B37"/>
    <w:rsid w:val="00000BFA"/>
    <w:rsid w:val="00001300"/>
    <w:rsid w:val="0000145B"/>
    <w:rsid w:val="000026BF"/>
    <w:rsid w:val="00004106"/>
    <w:rsid w:val="000049BA"/>
    <w:rsid w:val="00004ABE"/>
    <w:rsid w:val="00005740"/>
    <w:rsid w:val="000058B7"/>
    <w:rsid w:val="00005C8A"/>
    <w:rsid w:val="00006044"/>
    <w:rsid w:val="000061DE"/>
    <w:rsid w:val="00006782"/>
    <w:rsid w:val="000068FA"/>
    <w:rsid w:val="00007526"/>
    <w:rsid w:val="00007593"/>
    <w:rsid w:val="00007F73"/>
    <w:rsid w:val="000106B6"/>
    <w:rsid w:val="00010BC2"/>
    <w:rsid w:val="00012561"/>
    <w:rsid w:val="00013549"/>
    <w:rsid w:val="00014FC9"/>
    <w:rsid w:val="0001595D"/>
    <w:rsid w:val="000200DE"/>
    <w:rsid w:val="00020454"/>
    <w:rsid w:val="00020854"/>
    <w:rsid w:val="00021E1B"/>
    <w:rsid w:val="00022978"/>
    <w:rsid w:val="00022E29"/>
    <w:rsid w:val="0002481C"/>
    <w:rsid w:val="00025D1A"/>
    <w:rsid w:val="00025F53"/>
    <w:rsid w:val="00030922"/>
    <w:rsid w:val="00030E0B"/>
    <w:rsid w:val="00032872"/>
    <w:rsid w:val="000332EC"/>
    <w:rsid w:val="000334E8"/>
    <w:rsid w:val="00034A3E"/>
    <w:rsid w:val="00035A59"/>
    <w:rsid w:val="00036018"/>
    <w:rsid w:val="0003789A"/>
    <w:rsid w:val="00040350"/>
    <w:rsid w:val="00040BAC"/>
    <w:rsid w:val="00041ED8"/>
    <w:rsid w:val="00042265"/>
    <w:rsid w:val="00042AFF"/>
    <w:rsid w:val="00042FCA"/>
    <w:rsid w:val="00043448"/>
    <w:rsid w:val="00043AB8"/>
    <w:rsid w:val="00043B82"/>
    <w:rsid w:val="00043EFB"/>
    <w:rsid w:val="0004420C"/>
    <w:rsid w:val="000443F5"/>
    <w:rsid w:val="00044463"/>
    <w:rsid w:val="000459BB"/>
    <w:rsid w:val="000462DF"/>
    <w:rsid w:val="000465DD"/>
    <w:rsid w:val="000513CE"/>
    <w:rsid w:val="0005173A"/>
    <w:rsid w:val="000528A0"/>
    <w:rsid w:val="000528BF"/>
    <w:rsid w:val="00052DB8"/>
    <w:rsid w:val="00053946"/>
    <w:rsid w:val="00053FDD"/>
    <w:rsid w:val="000542A4"/>
    <w:rsid w:val="000550FD"/>
    <w:rsid w:val="00056609"/>
    <w:rsid w:val="00056D4F"/>
    <w:rsid w:val="0006022F"/>
    <w:rsid w:val="0006113C"/>
    <w:rsid w:val="0006120C"/>
    <w:rsid w:val="0006276F"/>
    <w:rsid w:val="00065F65"/>
    <w:rsid w:val="00067C50"/>
    <w:rsid w:val="00067DB7"/>
    <w:rsid w:val="00070089"/>
    <w:rsid w:val="00072D86"/>
    <w:rsid w:val="000734DF"/>
    <w:rsid w:val="00073AE4"/>
    <w:rsid w:val="00075F9F"/>
    <w:rsid w:val="0007645D"/>
    <w:rsid w:val="00076904"/>
    <w:rsid w:val="00076E2A"/>
    <w:rsid w:val="000775A1"/>
    <w:rsid w:val="000801C7"/>
    <w:rsid w:val="00081CE3"/>
    <w:rsid w:val="00082169"/>
    <w:rsid w:val="00082413"/>
    <w:rsid w:val="000835A5"/>
    <w:rsid w:val="00083918"/>
    <w:rsid w:val="0008391B"/>
    <w:rsid w:val="000853A5"/>
    <w:rsid w:val="000856E1"/>
    <w:rsid w:val="00086BE3"/>
    <w:rsid w:val="000875B5"/>
    <w:rsid w:val="00087983"/>
    <w:rsid w:val="00092BE4"/>
    <w:rsid w:val="00092F27"/>
    <w:rsid w:val="000949FA"/>
    <w:rsid w:val="00094CF6"/>
    <w:rsid w:val="000953B4"/>
    <w:rsid w:val="0009728A"/>
    <w:rsid w:val="00097311"/>
    <w:rsid w:val="000A0F40"/>
    <w:rsid w:val="000A1349"/>
    <w:rsid w:val="000A17AF"/>
    <w:rsid w:val="000A35ED"/>
    <w:rsid w:val="000A363E"/>
    <w:rsid w:val="000A48F6"/>
    <w:rsid w:val="000A67ED"/>
    <w:rsid w:val="000A6898"/>
    <w:rsid w:val="000B0901"/>
    <w:rsid w:val="000B0ED3"/>
    <w:rsid w:val="000B1A6A"/>
    <w:rsid w:val="000B2113"/>
    <w:rsid w:val="000B298E"/>
    <w:rsid w:val="000B35C2"/>
    <w:rsid w:val="000B4043"/>
    <w:rsid w:val="000B4BE9"/>
    <w:rsid w:val="000B4C41"/>
    <w:rsid w:val="000B7D60"/>
    <w:rsid w:val="000C09D0"/>
    <w:rsid w:val="000C0F10"/>
    <w:rsid w:val="000C1F52"/>
    <w:rsid w:val="000C22D9"/>
    <w:rsid w:val="000C23EA"/>
    <w:rsid w:val="000C2E96"/>
    <w:rsid w:val="000C301D"/>
    <w:rsid w:val="000C3274"/>
    <w:rsid w:val="000C3AD5"/>
    <w:rsid w:val="000C3E2A"/>
    <w:rsid w:val="000C6D7D"/>
    <w:rsid w:val="000C75FA"/>
    <w:rsid w:val="000C7F2D"/>
    <w:rsid w:val="000D1B24"/>
    <w:rsid w:val="000D21A1"/>
    <w:rsid w:val="000D220A"/>
    <w:rsid w:val="000D37A1"/>
    <w:rsid w:val="000D39D7"/>
    <w:rsid w:val="000D43A7"/>
    <w:rsid w:val="000D43BF"/>
    <w:rsid w:val="000D4E5F"/>
    <w:rsid w:val="000D6B94"/>
    <w:rsid w:val="000E0A3D"/>
    <w:rsid w:val="000E0B5F"/>
    <w:rsid w:val="000E1235"/>
    <w:rsid w:val="000E15EE"/>
    <w:rsid w:val="000E16F2"/>
    <w:rsid w:val="000E2CFE"/>
    <w:rsid w:val="000E3146"/>
    <w:rsid w:val="000E6F67"/>
    <w:rsid w:val="000E7227"/>
    <w:rsid w:val="000E7AB9"/>
    <w:rsid w:val="000F0A11"/>
    <w:rsid w:val="000F0FA6"/>
    <w:rsid w:val="000F1425"/>
    <w:rsid w:val="000F1FB8"/>
    <w:rsid w:val="000F2228"/>
    <w:rsid w:val="000F4451"/>
    <w:rsid w:val="000F5993"/>
    <w:rsid w:val="000F6103"/>
    <w:rsid w:val="00100750"/>
    <w:rsid w:val="00101427"/>
    <w:rsid w:val="0010269C"/>
    <w:rsid w:val="00102F05"/>
    <w:rsid w:val="00104F67"/>
    <w:rsid w:val="00106918"/>
    <w:rsid w:val="00110B51"/>
    <w:rsid w:val="001119AC"/>
    <w:rsid w:val="00111ED2"/>
    <w:rsid w:val="0011390B"/>
    <w:rsid w:val="00115288"/>
    <w:rsid w:val="00115D9F"/>
    <w:rsid w:val="001160B2"/>
    <w:rsid w:val="0011709F"/>
    <w:rsid w:val="00117DD7"/>
    <w:rsid w:val="00120BE4"/>
    <w:rsid w:val="00122BEC"/>
    <w:rsid w:val="0012530C"/>
    <w:rsid w:val="00125FCA"/>
    <w:rsid w:val="001262AD"/>
    <w:rsid w:val="001268F1"/>
    <w:rsid w:val="001274AA"/>
    <w:rsid w:val="0012774C"/>
    <w:rsid w:val="00127A3B"/>
    <w:rsid w:val="00130591"/>
    <w:rsid w:val="00130B44"/>
    <w:rsid w:val="00131E67"/>
    <w:rsid w:val="00132FEC"/>
    <w:rsid w:val="00135DE3"/>
    <w:rsid w:val="001361B7"/>
    <w:rsid w:val="001379F9"/>
    <w:rsid w:val="00140BA4"/>
    <w:rsid w:val="001420ED"/>
    <w:rsid w:val="0014329B"/>
    <w:rsid w:val="00143CB7"/>
    <w:rsid w:val="001450C7"/>
    <w:rsid w:val="001455D0"/>
    <w:rsid w:val="00145942"/>
    <w:rsid w:val="00145987"/>
    <w:rsid w:val="00146310"/>
    <w:rsid w:val="00146EC7"/>
    <w:rsid w:val="00147ED7"/>
    <w:rsid w:val="001508A7"/>
    <w:rsid w:val="0015113E"/>
    <w:rsid w:val="00151797"/>
    <w:rsid w:val="00152FCE"/>
    <w:rsid w:val="001545C4"/>
    <w:rsid w:val="00154C92"/>
    <w:rsid w:val="001555AD"/>
    <w:rsid w:val="00155F5A"/>
    <w:rsid w:val="00156791"/>
    <w:rsid w:val="001604FD"/>
    <w:rsid w:val="001609C2"/>
    <w:rsid w:val="001609F0"/>
    <w:rsid w:val="00160FF9"/>
    <w:rsid w:val="00161A54"/>
    <w:rsid w:val="0016248D"/>
    <w:rsid w:val="00163DB2"/>
    <w:rsid w:val="00165E2F"/>
    <w:rsid w:val="00166155"/>
    <w:rsid w:val="0016671C"/>
    <w:rsid w:val="00166D94"/>
    <w:rsid w:val="00166DB7"/>
    <w:rsid w:val="00167C06"/>
    <w:rsid w:val="00167F81"/>
    <w:rsid w:val="0017042F"/>
    <w:rsid w:val="001775E9"/>
    <w:rsid w:val="00183E9A"/>
    <w:rsid w:val="001840E1"/>
    <w:rsid w:val="00184F30"/>
    <w:rsid w:val="001859C1"/>
    <w:rsid w:val="00187293"/>
    <w:rsid w:val="001872E3"/>
    <w:rsid w:val="0018767B"/>
    <w:rsid w:val="00190204"/>
    <w:rsid w:val="00190252"/>
    <w:rsid w:val="00191EDB"/>
    <w:rsid w:val="00195146"/>
    <w:rsid w:val="00196BAF"/>
    <w:rsid w:val="001972B2"/>
    <w:rsid w:val="001974D4"/>
    <w:rsid w:val="00197658"/>
    <w:rsid w:val="001977F0"/>
    <w:rsid w:val="00197E3E"/>
    <w:rsid w:val="00197EE3"/>
    <w:rsid w:val="001A0E97"/>
    <w:rsid w:val="001A2006"/>
    <w:rsid w:val="001A2626"/>
    <w:rsid w:val="001A28CA"/>
    <w:rsid w:val="001A5530"/>
    <w:rsid w:val="001B032F"/>
    <w:rsid w:val="001B2D7C"/>
    <w:rsid w:val="001B403A"/>
    <w:rsid w:val="001B4DF8"/>
    <w:rsid w:val="001B6AF4"/>
    <w:rsid w:val="001C08A4"/>
    <w:rsid w:val="001C0A08"/>
    <w:rsid w:val="001C0CC7"/>
    <w:rsid w:val="001C1013"/>
    <w:rsid w:val="001C2F05"/>
    <w:rsid w:val="001C32B8"/>
    <w:rsid w:val="001C3C37"/>
    <w:rsid w:val="001C419B"/>
    <w:rsid w:val="001C4548"/>
    <w:rsid w:val="001C6485"/>
    <w:rsid w:val="001C71B1"/>
    <w:rsid w:val="001D1628"/>
    <w:rsid w:val="001D1FA7"/>
    <w:rsid w:val="001D2A3E"/>
    <w:rsid w:val="001D3343"/>
    <w:rsid w:val="001D34E0"/>
    <w:rsid w:val="001D448C"/>
    <w:rsid w:val="001D4D67"/>
    <w:rsid w:val="001D592E"/>
    <w:rsid w:val="001D652E"/>
    <w:rsid w:val="001D71BC"/>
    <w:rsid w:val="001D7380"/>
    <w:rsid w:val="001E2B1E"/>
    <w:rsid w:val="001E2B30"/>
    <w:rsid w:val="001E32EE"/>
    <w:rsid w:val="001E3528"/>
    <w:rsid w:val="001E3B9E"/>
    <w:rsid w:val="001E47D9"/>
    <w:rsid w:val="001E792A"/>
    <w:rsid w:val="001E7CE3"/>
    <w:rsid w:val="001F0207"/>
    <w:rsid w:val="001F121E"/>
    <w:rsid w:val="001F2387"/>
    <w:rsid w:val="001F397E"/>
    <w:rsid w:val="001F405F"/>
    <w:rsid w:val="001F43E3"/>
    <w:rsid w:val="001F5C0F"/>
    <w:rsid w:val="001F6F1E"/>
    <w:rsid w:val="00200095"/>
    <w:rsid w:val="0020015C"/>
    <w:rsid w:val="00200617"/>
    <w:rsid w:val="00206A78"/>
    <w:rsid w:val="00207D1C"/>
    <w:rsid w:val="00207DC9"/>
    <w:rsid w:val="00210A9C"/>
    <w:rsid w:val="0021107E"/>
    <w:rsid w:val="00211A77"/>
    <w:rsid w:val="002124BD"/>
    <w:rsid w:val="002144AF"/>
    <w:rsid w:val="0021542A"/>
    <w:rsid w:val="0021554C"/>
    <w:rsid w:val="002164A6"/>
    <w:rsid w:val="00216E1E"/>
    <w:rsid w:val="002208AD"/>
    <w:rsid w:val="00221920"/>
    <w:rsid w:val="00221B05"/>
    <w:rsid w:val="002223E1"/>
    <w:rsid w:val="00223331"/>
    <w:rsid w:val="0022370F"/>
    <w:rsid w:val="00224107"/>
    <w:rsid w:val="0022438E"/>
    <w:rsid w:val="00224AD2"/>
    <w:rsid w:val="00224CF0"/>
    <w:rsid w:val="002268F9"/>
    <w:rsid w:val="00227E3E"/>
    <w:rsid w:val="00231625"/>
    <w:rsid w:val="0023242C"/>
    <w:rsid w:val="00233413"/>
    <w:rsid w:val="00233BE7"/>
    <w:rsid w:val="0023407A"/>
    <w:rsid w:val="002347A0"/>
    <w:rsid w:val="002359F0"/>
    <w:rsid w:val="00235A01"/>
    <w:rsid w:val="00236EBC"/>
    <w:rsid w:val="00237A2A"/>
    <w:rsid w:val="00237F38"/>
    <w:rsid w:val="002413CD"/>
    <w:rsid w:val="00241E04"/>
    <w:rsid w:val="002422B4"/>
    <w:rsid w:val="002423E2"/>
    <w:rsid w:val="00243226"/>
    <w:rsid w:val="00243DAE"/>
    <w:rsid w:val="00246022"/>
    <w:rsid w:val="00247B1F"/>
    <w:rsid w:val="00247D0C"/>
    <w:rsid w:val="002505A4"/>
    <w:rsid w:val="00250BCC"/>
    <w:rsid w:val="00252A63"/>
    <w:rsid w:val="00252F9A"/>
    <w:rsid w:val="002536D6"/>
    <w:rsid w:val="002545B0"/>
    <w:rsid w:val="00255761"/>
    <w:rsid w:val="0025601D"/>
    <w:rsid w:val="002569D6"/>
    <w:rsid w:val="0025743A"/>
    <w:rsid w:val="0025763B"/>
    <w:rsid w:val="00260228"/>
    <w:rsid w:val="00261118"/>
    <w:rsid w:val="00261A21"/>
    <w:rsid w:val="00261BF0"/>
    <w:rsid w:val="00261EAD"/>
    <w:rsid w:val="0026263B"/>
    <w:rsid w:val="0026356A"/>
    <w:rsid w:val="00264393"/>
    <w:rsid w:val="0026566A"/>
    <w:rsid w:val="002659E4"/>
    <w:rsid w:val="00266F9F"/>
    <w:rsid w:val="002676DC"/>
    <w:rsid w:val="00270FE1"/>
    <w:rsid w:val="002717EA"/>
    <w:rsid w:val="00271EEC"/>
    <w:rsid w:val="0027207F"/>
    <w:rsid w:val="0027316E"/>
    <w:rsid w:val="002740A2"/>
    <w:rsid w:val="00274272"/>
    <w:rsid w:val="002743F8"/>
    <w:rsid w:val="00274F8C"/>
    <w:rsid w:val="002758B2"/>
    <w:rsid w:val="0028214F"/>
    <w:rsid w:val="002827CD"/>
    <w:rsid w:val="0028535F"/>
    <w:rsid w:val="0028649C"/>
    <w:rsid w:val="00287188"/>
    <w:rsid w:val="00287BFC"/>
    <w:rsid w:val="00287FC4"/>
    <w:rsid w:val="00290EAC"/>
    <w:rsid w:val="00291C1A"/>
    <w:rsid w:val="002920F0"/>
    <w:rsid w:val="0029265B"/>
    <w:rsid w:val="002935C8"/>
    <w:rsid w:val="0029485D"/>
    <w:rsid w:val="002948B9"/>
    <w:rsid w:val="00294B2F"/>
    <w:rsid w:val="002958E2"/>
    <w:rsid w:val="00295C86"/>
    <w:rsid w:val="0029686D"/>
    <w:rsid w:val="0029764E"/>
    <w:rsid w:val="00297AD3"/>
    <w:rsid w:val="002A0228"/>
    <w:rsid w:val="002A0CB0"/>
    <w:rsid w:val="002A142B"/>
    <w:rsid w:val="002A1531"/>
    <w:rsid w:val="002A23AB"/>
    <w:rsid w:val="002A2DEC"/>
    <w:rsid w:val="002A30C0"/>
    <w:rsid w:val="002A334E"/>
    <w:rsid w:val="002A44A1"/>
    <w:rsid w:val="002A4B98"/>
    <w:rsid w:val="002A65C7"/>
    <w:rsid w:val="002A67E1"/>
    <w:rsid w:val="002A78EC"/>
    <w:rsid w:val="002A7FF6"/>
    <w:rsid w:val="002B115C"/>
    <w:rsid w:val="002B1951"/>
    <w:rsid w:val="002B2C5F"/>
    <w:rsid w:val="002B4367"/>
    <w:rsid w:val="002B6916"/>
    <w:rsid w:val="002B7935"/>
    <w:rsid w:val="002C1B37"/>
    <w:rsid w:val="002C21D4"/>
    <w:rsid w:val="002C21DB"/>
    <w:rsid w:val="002C4915"/>
    <w:rsid w:val="002C6AF1"/>
    <w:rsid w:val="002C6D2F"/>
    <w:rsid w:val="002D2298"/>
    <w:rsid w:val="002D46AA"/>
    <w:rsid w:val="002D48C4"/>
    <w:rsid w:val="002D505F"/>
    <w:rsid w:val="002D667B"/>
    <w:rsid w:val="002D78C2"/>
    <w:rsid w:val="002E0C02"/>
    <w:rsid w:val="002E148F"/>
    <w:rsid w:val="002E235F"/>
    <w:rsid w:val="002E4E23"/>
    <w:rsid w:val="002E4F1E"/>
    <w:rsid w:val="002E5593"/>
    <w:rsid w:val="002E5E2B"/>
    <w:rsid w:val="002E6B18"/>
    <w:rsid w:val="002E6C25"/>
    <w:rsid w:val="002E75A5"/>
    <w:rsid w:val="002F0FFF"/>
    <w:rsid w:val="002F3748"/>
    <w:rsid w:val="002F4C46"/>
    <w:rsid w:val="002F510B"/>
    <w:rsid w:val="002F5DDB"/>
    <w:rsid w:val="002F6D43"/>
    <w:rsid w:val="002F6F9A"/>
    <w:rsid w:val="002F7412"/>
    <w:rsid w:val="002F7698"/>
    <w:rsid w:val="002F7C8E"/>
    <w:rsid w:val="00300B77"/>
    <w:rsid w:val="0030180E"/>
    <w:rsid w:val="0030262C"/>
    <w:rsid w:val="00302996"/>
    <w:rsid w:val="00302C15"/>
    <w:rsid w:val="003030F2"/>
    <w:rsid w:val="003059DA"/>
    <w:rsid w:val="00306BBE"/>
    <w:rsid w:val="00307F23"/>
    <w:rsid w:val="003103FF"/>
    <w:rsid w:val="00311BFC"/>
    <w:rsid w:val="003131ED"/>
    <w:rsid w:val="003135B2"/>
    <w:rsid w:val="00313A12"/>
    <w:rsid w:val="00313B14"/>
    <w:rsid w:val="00314ADF"/>
    <w:rsid w:val="00314DF7"/>
    <w:rsid w:val="00315455"/>
    <w:rsid w:val="0031714A"/>
    <w:rsid w:val="00317C58"/>
    <w:rsid w:val="003201D2"/>
    <w:rsid w:val="003209AF"/>
    <w:rsid w:val="0032153B"/>
    <w:rsid w:val="00321B46"/>
    <w:rsid w:val="003231D7"/>
    <w:rsid w:val="003259D2"/>
    <w:rsid w:val="00326399"/>
    <w:rsid w:val="00326593"/>
    <w:rsid w:val="0032711F"/>
    <w:rsid w:val="003276B1"/>
    <w:rsid w:val="00330265"/>
    <w:rsid w:val="00330AB8"/>
    <w:rsid w:val="0033299F"/>
    <w:rsid w:val="00333BAE"/>
    <w:rsid w:val="00333DD7"/>
    <w:rsid w:val="00334289"/>
    <w:rsid w:val="003357DF"/>
    <w:rsid w:val="00335BCD"/>
    <w:rsid w:val="0033602E"/>
    <w:rsid w:val="0033667B"/>
    <w:rsid w:val="0033690B"/>
    <w:rsid w:val="00337656"/>
    <w:rsid w:val="00337788"/>
    <w:rsid w:val="00340034"/>
    <w:rsid w:val="00341CD0"/>
    <w:rsid w:val="00342ED6"/>
    <w:rsid w:val="0034392C"/>
    <w:rsid w:val="00343E82"/>
    <w:rsid w:val="0034402B"/>
    <w:rsid w:val="00344360"/>
    <w:rsid w:val="00344718"/>
    <w:rsid w:val="00347B1A"/>
    <w:rsid w:val="00350C90"/>
    <w:rsid w:val="00351562"/>
    <w:rsid w:val="00351BFF"/>
    <w:rsid w:val="0035451D"/>
    <w:rsid w:val="00354EE0"/>
    <w:rsid w:val="00355AD3"/>
    <w:rsid w:val="00355B7B"/>
    <w:rsid w:val="00356345"/>
    <w:rsid w:val="003567C2"/>
    <w:rsid w:val="00356FE2"/>
    <w:rsid w:val="0035710D"/>
    <w:rsid w:val="00357BCE"/>
    <w:rsid w:val="00360A4B"/>
    <w:rsid w:val="00361258"/>
    <w:rsid w:val="003616C0"/>
    <w:rsid w:val="00361CBA"/>
    <w:rsid w:val="00361E81"/>
    <w:rsid w:val="00362803"/>
    <w:rsid w:val="00362872"/>
    <w:rsid w:val="00362D5B"/>
    <w:rsid w:val="00363257"/>
    <w:rsid w:val="00363F07"/>
    <w:rsid w:val="00364D92"/>
    <w:rsid w:val="003656A0"/>
    <w:rsid w:val="00365A33"/>
    <w:rsid w:val="00366A4C"/>
    <w:rsid w:val="00366F77"/>
    <w:rsid w:val="00367192"/>
    <w:rsid w:val="003672DA"/>
    <w:rsid w:val="00367B85"/>
    <w:rsid w:val="00370356"/>
    <w:rsid w:val="00370E8C"/>
    <w:rsid w:val="00375217"/>
    <w:rsid w:val="003758E8"/>
    <w:rsid w:val="00375DDC"/>
    <w:rsid w:val="0037622A"/>
    <w:rsid w:val="00376C67"/>
    <w:rsid w:val="003770C2"/>
    <w:rsid w:val="003772C8"/>
    <w:rsid w:val="00381C41"/>
    <w:rsid w:val="00382117"/>
    <w:rsid w:val="003822B1"/>
    <w:rsid w:val="00382721"/>
    <w:rsid w:val="00382A62"/>
    <w:rsid w:val="00383099"/>
    <w:rsid w:val="00383CA4"/>
    <w:rsid w:val="00384DCD"/>
    <w:rsid w:val="00384F6C"/>
    <w:rsid w:val="00386AB6"/>
    <w:rsid w:val="00386BC9"/>
    <w:rsid w:val="0038764A"/>
    <w:rsid w:val="003879A7"/>
    <w:rsid w:val="0039183C"/>
    <w:rsid w:val="00392861"/>
    <w:rsid w:val="00392DDB"/>
    <w:rsid w:val="003937AF"/>
    <w:rsid w:val="00394488"/>
    <w:rsid w:val="003949E6"/>
    <w:rsid w:val="00395CD7"/>
    <w:rsid w:val="00396BA0"/>
    <w:rsid w:val="00396F04"/>
    <w:rsid w:val="003A03F7"/>
    <w:rsid w:val="003A160D"/>
    <w:rsid w:val="003A291E"/>
    <w:rsid w:val="003A3332"/>
    <w:rsid w:val="003A3D8F"/>
    <w:rsid w:val="003A4B35"/>
    <w:rsid w:val="003A552C"/>
    <w:rsid w:val="003A6652"/>
    <w:rsid w:val="003A7A79"/>
    <w:rsid w:val="003A7F28"/>
    <w:rsid w:val="003B0254"/>
    <w:rsid w:val="003B077B"/>
    <w:rsid w:val="003B371C"/>
    <w:rsid w:val="003B3FA5"/>
    <w:rsid w:val="003B42B3"/>
    <w:rsid w:val="003B6BB7"/>
    <w:rsid w:val="003B7659"/>
    <w:rsid w:val="003B792E"/>
    <w:rsid w:val="003C0615"/>
    <w:rsid w:val="003C0DB4"/>
    <w:rsid w:val="003C1A65"/>
    <w:rsid w:val="003C1F1C"/>
    <w:rsid w:val="003C2BD7"/>
    <w:rsid w:val="003C387A"/>
    <w:rsid w:val="003C3CCC"/>
    <w:rsid w:val="003C5698"/>
    <w:rsid w:val="003C6FAD"/>
    <w:rsid w:val="003C729F"/>
    <w:rsid w:val="003C78C6"/>
    <w:rsid w:val="003C7D8F"/>
    <w:rsid w:val="003D0FBD"/>
    <w:rsid w:val="003D1A07"/>
    <w:rsid w:val="003D4BE1"/>
    <w:rsid w:val="003D4D42"/>
    <w:rsid w:val="003D5A68"/>
    <w:rsid w:val="003D6959"/>
    <w:rsid w:val="003E097F"/>
    <w:rsid w:val="003E09B3"/>
    <w:rsid w:val="003E21FD"/>
    <w:rsid w:val="003E26D5"/>
    <w:rsid w:val="003E3DA6"/>
    <w:rsid w:val="003E43BB"/>
    <w:rsid w:val="003E4ADB"/>
    <w:rsid w:val="003E61C7"/>
    <w:rsid w:val="003E6348"/>
    <w:rsid w:val="003E6B5C"/>
    <w:rsid w:val="003E7C81"/>
    <w:rsid w:val="003F026E"/>
    <w:rsid w:val="003F11D7"/>
    <w:rsid w:val="003F158E"/>
    <w:rsid w:val="003F2132"/>
    <w:rsid w:val="003F2381"/>
    <w:rsid w:val="003F2502"/>
    <w:rsid w:val="003F2947"/>
    <w:rsid w:val="003F478A"/>
    <w:rsid w:val="003F5434"/>
    <w:rsid w:val="003F5C64"/>
    <w:rsid w:val="003F5F8C"/>
    <w:rsid w:val="003F6953"/>
    <w:rsid w:val="003F6EF3"/>
    <w:rsid w:val="003F7629"/>
    <w:rsid w:val="003F770C"/>
    <w:rsid w:val="003F7921"/>
    <w:rsid w:val="00400168"/>
    <w:rsid w:val="0040110E"/>
    <w:rsid w:val="00402C92"/>
    <w:rsid w:val="00403F90"/>
    <w:rsid w:val="00404AE1"/>
    <w:rsid w:val="004050B2"/>
    <w:rsid w:val="004055E9"/>
    <w:rsid w:val="00405E28"/>
    <w:rsid w:val="00407388"/>
    <w:rsid w:val="0041090B"/>
    <w:rsid w:val="00410E6F"/>
    <w:rsid w:val="00410FFF"/>
    <w:rsid w:val="004126D7"/>
    <w:rsid w:val="004129EB"/>
    <w:rsid w:val="00412F35"/>
    <w:rsid w:val="0041329D"/>
    <w:rsid w:val="0041352B"/>
    <w:rsid w:val="004145F4"/>
    <w:rsid w:val="0041562E"/>
    <w:rsid w:val="004167EC"/>
    <w:rsid w:val="0041756D"/>
    <w:rsid w:val="00420874"/>
    <w:rsid w:val="00420E41"/>
    <w:rsid w:val="00422BFB"/>
    <w:rsid w:val="00422D2F"/>
    <w:rsid w:val="00423F91"/>
    <w:rsid w:val="00424021"/>
    <w:rsid w:val="00425084"/>
    <w:rsid w:val="0042618C"/>
    <w:rsid w:val="00431F09"/>
    <w:rsid w:val="004337BA"/>
    <w:rsid w:val="00434887"/>
    <w:rsid w:val="00435980"/>
    <w:rsid w:val="00437242"/>
    <w:rsid w:val="004431B5"/>
    <w:rsid w:val="00445828"/>
    <w:rsid w:val="00446213"/>
    <w:rsid w:val="00447783"/>
    <w:rsid w:val="0044792B"/>
    <w:rsid w:val="00447A42"/>
    <w:rsid w:val="00447E74"/>
    <w:rsid w:val="00447EC3"/>
    <w:rsid w:val="00450CE3"/>
    <w:rsid w:val="00451603"/>
    <w:rsid w:val="004532C3"/>
    <w:rsid w:val="00453727"/>
    <w:rsid w:val="00455617"/>
    <w:rsid w:val="00455710"/>
    <w:rsid w:val="00455C87"/>
    <w:rsid w:val="00456131"/>
    <w:rsid w:val="004572B0"/>
    <w:rsid w:val="0045734C"/>
    <w:rsid w:val="00463C1E"/>
    <w:rsid w:val="00464B90"/>
    <w:rsid w:val="00466B6E"/>
    <w:rsid w:val="00467A47"/>
    <w:rsid w:val="00467ACE"/>
    <w:rsid w:val="00467AF7"/>
    <w:rsid w:val="004700BE"/>
    <w:rsid w:val="0047070E"/>
    <w:rsid w:val="00470F82"/>
    <w:rsid w:val="0047141C"/>
    <w:rsid w:val="00471DA0"/>
    <w:rsid w:val="00471ED5"/>
    <w:rsid w:val="00472745"/>
    <w:rsid w:val="004727CB"/>
    <w:rsid w:val="00472C6C"/>
    <w:rsid w:val="00473101"/>
    <w:rsid w:val="00475B59"/>
    <w:rsid w:val="004762FC"/>
    <w:rsid w:val="004769BA"/>
    <w:rsid w:val="00477761"/>
    <w:rsid w:val="0048065E"/>
    <w:rsid w:val="0048358C"/>
    <w:rsid w:val="0048484A"/>
    <w:rsid w:val="0048486E"/>
    <w:rsid w:val="00484D87"/>
    <w:rsid w:val="004856F8"/>
    <w:rsid w:val="00485B59"/>
    <w:rsid w:val="00485DDF"/>
    <w:rsid w:val="004874B1"/>
    <w:rsid w:val="0049477E"/>
    <w:rsid w:val="0049494D"/>
    <w:rsid w:val="00494F7B"/>
    <w:rsid w:val="0049519F"/>
    <w:rsid w:val="00495731"/>
    <w:rsid w:val="004968D4"/>
    <w:rsid w:val="0049713E"/>
    <w:rsid w:val="00497BC0"/>
    <w:rsid w:val="004A078E"/>
    <w:rsid w:val="004A0DF7"/>
    <w:rsid w:val="004A220A"/>
    <w:rsid w:val="004A2701"/>
    <w:rsid w:val="004A2C81"/>
    <w:rsid w:val="004A4198"/>
    <w:rsid w:val="004A54E8"/>
    <w:rsid w:val="004A68B0"/>
    <w:rsid w:val="004B03A1"/>
    <w:rsid w:val="004B04DE"/>
    <w:rsid w:val="004B1480"/>
    <w:rsid w:val="004B19A0"/>
    <w:rsid w:val="004B19C8"/>
    <w:rsid w:val="004B1A8A"/>
    <w:rsid w:val="004B1D94"/>
    <w:rsid w:val="004B1E5F"/>
    <w:rsid w:val="004B2358"/>
    <w:rsid w:val="004B3FA0"/>
    <w:rsid w:val="004B49AB"/>
    <w:rsid w:val="004B4D47"/>
    <w:rsid w:val="004B5501"/>
    <w:rsid w:val="004B5EDC"/>
    <w:rsid w:val="004B677F"/>
    <w:rsid w:val="004B7C60"/>
    <w:rsid w:val="004C09D2"/>
    <w:rsid w:val="004C16CC"/>
    <w:rsid w:val="004C1B51"/>
    <w:rsid w:val="004C1CA1"/>
    <w:rsid w:val="004C1EF9"/>
    <w:rsid w:val="004C2160"/>
    <w:rsid w:val="004C23E2"/>
    <w:rsid w:val="004C26BF"/>
    <w:rsid w:val="004C5DA4"/>
    <w:rsid w:val="004C5EFF"/>
    <w:rsid w:val="004D07BA"/>
    <w:rsid w:val="004D0AD6"/>
    <w:rsid w:val="004D0ADA"/>
    <w:rsid w:val="004D0C78"/>
    <w:rsid w:val="004D1621"/>
    <w:rsid w:val="004D1A77"/>
    <w:rsid w:val="004D402A"/>
    <w:rsid w:val="004D5F6B"/>
    <w:rsid w:val="004D6A48"/>
    <w:rsid w:val="004D73D9"/>
    <w:rsid w:val="004E022C"/>
    <w:rsid w:val="004E0B5B"/>
    <w:rsid w:val="004E109B"/>
    <w:rsid w:val="004E262E"/>
    <w:rsid w:val="004E2A7D"/>
    <w:rsid w:val="004E3A4B"/>
    <w:rsid w:val="004E3BD0"/>
    <w:rsid w:val="004E44FC"/>
    <w:rsid w:val="004E51A6"/>
    <w:rsid w:val="004E5AA5"/>
    <w:rsid w:val="004E71E7"/>
    <w:rsid w:val="004F0255"/>
    <w:rsid w:val="004F1B52"/>
    <w:rsid w:val="004F1F19"/>
    <w:rsid w:val="004F2E59"/>
    <w:rsid w:val="004F2F39"/>
    <w:rsid w:val="004F34F2"/>
    <w:rsid w:val="004F4800"/>
    <w:rsid w:val="004F6035"/>
    <w:rsid w:val="00500451"/>
    <w:rsid w:val="00500A54"/>
    <w:rsid w:val="00500EE6"/>
    <w:rsid w:val="00501A31"/>
    <w:rsid w:val="005045E9"/>
    <w:rsid w:val="005049A8"/>
    <w:rsid w:val="00504C45"/>
    <w:rsid w:val="00504D92"/>
    <w:rsid w:val="00505775"/>
    <w:rsid w:val="0050716F"/>
    <w:rsid w:val="00507453"/>
    <w:rsid w:val="0050774F"/>
    <w:rsid w:val="00510869"/>
    <w:rsid w:val="00510B2A"/>
    <w:rsid w:val="005112DA"/>
    <w:rsid w:val="0051179C"/>
    <w:rsid w:val="00511CB7"/>
    <w:rsid w:val="00511F81"/>
    <w:rsid w:val="005122F4"/>
    <w:rsid w:val="00514876"/>
    <w:rsid w:val="00517A61"/>
    <w:rsid w:val="005203F8"/>
    <w:rsid w:val="00520EBB"/>
    <w:rsid w:val="005228E4"/>
    <w:rsid w:val="005229CA"/>
    <w:rsid w:val="00522C13"/>
    <w:rsid w:val="00523B55"/>
    <w:rsid w:val="0052782D"/>
    <w:rsid w:val="00532D4A"/>
    <w:rsid w:val="00533CA6"/>
    <w:rsid w:val="005340E8"/>
    <w:rsid w:val="00535628"/>
    <w:rsid w:val="00535849"/>
    <w:rsid w:val="005359FA"/>
    <w:rsid w:val="00535D4E"/>
    <w:rsid w:val="00535F74"/>
    <w:rsid w:val="005374F1"/>
    <w:rsid w:val="005427B5"/>
    <w:rsid w:val="00544D75"/>
    <w:rsid w:val="005452AA"/>
    <w:rsid w:val="00545474"/>
    <w:rsid w:val="00547355"/>
    <w:rsid w:val="00550B08"/>
    <w:rsid w:val="00550DD5"/>
    <w:rsid w:val="00551309"/>
    <w:rsid w:val="00551B3C"/>
    <w:rsid w:val="00551EA4"/>
    <w:rsid w:val="005528EC"/>
    <w:rsid w:val="00552E67"/>
    <w:rsid w:val="00554562"/>
    <w:rsid w:val="00554D34"/>
    <w:rsid w:val="00555636"/>
    <w:rsid w:val="00556229"/>
    <w:rsid w:val="00560B8B"/>
    <w:rsid w:val="005648CF"/>
    <w:rsid w:val="00564BB8"/>
    <w:rsid w:val="005650DE"/>
    <w:rsid w:val="00566312"/>
    <w:rsid w:val="0057033F"/>
    <w:rsid w:val="00570535"/>
    <w:rsid w:val="005710B7"/>
    <w:rsid w:val="005716FE"/>
    <w:rsid w:val="00571807"/>
    <w:rsid w:val="005719AD"/>
    <w:rsid w:val="0057338B"/>
    <w:rsid w:val="0057349C"/>
    <w:rsid w:val="00573BB0"/>
    <w:rsid w:val="005771CC"/>
    <w:rsid w:val="00577E5D"/>
    <w:rsid w:val="00582AC5"/>
    <w:rsid w:val="00582E87"/>
    <w:rsid w:val="00583483"/>
    <w:rsid w:val="00584655"/>
    <w:rsid w:val="00584965"/>
    <w:rsid w:val="005867FB"/>
    <w:rsid w:val="00590060"/>
    <w:rsid w:val="00590511"/>
    <w:rsid w:val="00591C64"/>
    <w:rsid w:val="00593AD4"/>
    <w:rsid w:val="00593D5A"/>
    <w:rsid w:val="00594E36"/>
    <w:rsid w:val="0059620A"/>
    <w:rsid w:val="005A0B5A"/>
    <w:rsid w:val="005A0F25"/>
    <w:rsid w:val="005A29C4"/>
    <w:rsid w:val="005A2DD9"/>
    <w:rsid w:val="005A37DB"/>
    <w:rsid w:val="005A42A5"/>
    <w:rsid w:val="005A436D"/>
    <w:rsid w:val="005A586D"/>
    <w:rsid w:val="005A785C"/>
    <w:rsid w:val="005A7DE6"/>
    <w:rsid w:val="005B094F"/>
    <w:rsid w:val="005B0B18"/>
    <w:rsid w:val="005B2BAD"/>
    <w:rsid w:val="005B3395"/>
    <w:rsid w:val="005B3FE4"/>
    <w:rsid w:val="005B4858"/>
    <w:rsid w:val="005B601C"/>
    <w:rsid w:val="005C053E"/>
    <w:rsid w:val="005C1733"/>
    <w:rsid w:val="005C1DC5"/>
    <w:rsid w:val="005C23A3"/>
    <w:rsid w:val="005C38BD"/>
    <w:rsid w:val="005C5685"/>
    <w:rsid w:val="005C5BCB"/>
    <w:rsid w:val="005C6377"/>
    <w:rsid w:val="005C76BB"/>
    <w:rsid w:val="005C7F73"/>
    <w:rsid w:val="005D0230"/>
    <w:rsid w:val="005D0A3E"/>
    <w:rsid w:val="005D25FD"/>
    <w:rsid w:val="005D3DD9"/>
    <w:rsid w:val="005D3E0F"/>
    <w:rsid w:val="005D579E"/>
    <w:rsid w:val="005D5B3A"/>
    <w:rsid w:val="005D5BC4"/>
    <w:rsid w:val="005D7011"/>
    <w:rsid w:val="005D7360"/>
    <w:rsid w:val="005D7E1A"/>
    <w:rsid w:val="005E00D9"/>
    <w:rsid w:val="005E067F"/>
    <w:rsid w:val="005E0D3D"/>
    <w:rsid w:val="005E106E"/>
    <w:rsid w:val="005E1578"/>
    <w:rsid w:val="005E16AF"/>
    <w:rsid w:val="005E26E7"/>
    <w:rsid w:val="005E301C"/>
    <w:rsid w:val="005E3B6A"/>
    <w:rsid w:val="005E5157"/>
    <w:rsid w:val="005E5388"/>
    <w:rsid w:val="005E7488"/>
    <w:rsid w:val="005F0CB0"/>
    <w:rsid w:val="005F15A5"/>
    <w:rsid w:val="005F2850"/>
    <w:rsid w:val="005F3E4B"/>
    <w:rsid w:val="005F50E1"/>
    <w:rsid w:val="005F5166"/>
    <w:rsid w:val="005F533D"/>
    <w:rsid w:val="005F73B9"/>
    <w:rsid w:val="005F7C08"/>
    <w:rsid w:val="005F7D0A"/>
    <w:rsid w:val="006016D5"/>
    <w:rsid w:val="00602674"/>
    <w:rsid w:val="006026A5"/>
    <w:rsid w:val="00602B90"/>
    <w:rsid w:val="00602BFF"/>
    <w:rsid w:val="006031ED"/>
    <w:rsid w:val="0060325C"/>
    <w:rsid w:val="0060376C"/>
    <w:rsid w:val="006037F6"/>
    <w:rsid w:val="00604331"/>
    <w:rsid w:val="00605D09"/>
    <w:rsid w:val="00605F80"/>
    <w:rsid w:val="00607D5C"/>
    <w:rsid w:val="00610130"/>
    <w:rsid w:val="0061072A"/>
    <w:rsid w:val="00611023"/>
    <w:rsid w:val="006121C7"/>
    <w:rsid w:val="00612645"/>
    <w:rsid w:val="006134D1"/>
    <w:rsid w:val="00614651"/>
    <w:rsid w:val="00614BC0"/>
    <w:rsid w:val="006158EE"/>
    <w:rsid w:val="00615E93"/>
    <w:rsid w:val="00616BC1"/>
    <w:rsid w:val="0061721D"/>
    <w:rsid w:val="006216EF"/>
    <w:rsid w:val="006234B4"/>
    <w:rsid w:val="0062387E"/>
    <w:rsid w:val="00624113"/>
    <w:rsid w:val="00624FF6"/>
    <w:rsid w:val="00625D6C"/>
    <w:rsid w:val="0062678D"/>
    <w:rsid w:val="006271E3"/>
    <w:rsid w:val="006304BF"/>
    <w:rsid w:val="00631C01"/>
    <w:rsid w:val="0063313D"/>
    <w:rsid w:val="0063410F"/>
    <w:rsid w:val="006348CC"/>
    <w:rsid w:val="006350CB"/>
    <w:rsid w:val="006355D1"/>
    <w:rsid w:val="0063590B"/>
    <w:rsid w:val="00636926"/>
    <w:rsid w:val="00636CA1"/>
    <w:rsid w:val="00636F44"/>
    <w:rsid w:val="006370B1"/>
    <w:rsid w:val="00637426"/>
    <w:rsid w:val="00637C43"/>
    <w:rsid w:val="0064085C"/>
    <w:rsid w:val="00641276"/>
    <w:rsid w:val="00641DA2"/>
    <w:rsid w:val="006424D6"/>
    <w:rsid w:val="006426EA"/>
    <w:rsid w:val="006431C3"/>
    <w:rsid w:val="006440F7"/>
    <w:rsid w:val="006463E6"/>
    <w:rsid w:val="0064694F"/>
    <w:rsid w:val="00646A54"/>
    <w:rsid w:val="00646A81"/>
    <w:rsid w:val="00646FC8"/>
    <w:rsid w:val="00647CEB"/>
    <w:rsid w:val="006503FF"/>
    <w:rsid w:val="0065101C"/>
    <w:rsid w:val="006520AB"/>
    <w:rsid w:val="00652BFE"/>
    <w:rsid w:val="00653C9A"/>
    <w:rsid w:val="00654589"/>
    <w:rsid w:val="00655C6D"/>
    <w:rsid w:val="0065774F"/>
    <w:rsid w:val="00660F8C"/>
    <w:rsid w:val="00664006"/>
    <w:rsid w:val="006650A7"/>
    <w:rsid w:val="006652F7"/>
    <w:rsid w:val="00666F39"/>
    <w:rsid w:val="00667295"/>
    <w:rsid w:val="00667571"/>
    <w:rsid w:val="00667B8A"/>
    <w:rsid w:val="00667EAB"/>
    <w:rsid w:val="00671771"/>
    <w:rsid w:val="00673B3C"/>
    <w:rsid w:val="00675F15"/>
    <w:rsid w:val="00675FFA"/>
    <w:rsid w:val="0067635F"/>
    <w:rsid w:val="006775FA"/>
    <w:rsid w:val="00677CE5"/>
    <w:rsid w:val="00677F48"/>
    <w:rsid w:val="006805B4"/>
    <w:rsid w:val="00681E33"/>
    <w:rsid w:val="00682372"/>
    <w:rsid w:val="00682F99"/>
    <w:rsid w:val="00683426"/>
    <w:rsid w:val="0068387A"/>
    <w:rsid w:val="00684480"/>
    <w:rsid w:val="00684F95"/>
    <w:rsid w:val="00685D5B"/>
    <w:rsid w:val="00686290"/>
    <w:rsid w:val="00686D59"/>
    <w:rsid w:val="00687497"/>
    <w:rsid w:val="00687CCF"/>
    <w:rsid w:val="0069021B"/>
    <w:rsid w:val="006905AF"/>
    <w:rsid w:val="00690923"/>
    <w:rsid w:val="00691FC5"/>
    <w:rsid w:val="00692A06"/>
    <w:rsid w:val="00692C15"/>
    <w:rsid w:val="0069347A"/>
    <w:rsid w:val="00693924"/>
    <w:rsid w:val="00694180"/>
    <w:rsid w:val="00695AAC"/>
    <w:rsid w:val="006968CC"/>
    <w:rsid w:val="006968D8"/>
    <w:rsid w:val="006A20F7"/>
    <w:rsid w:val="006A2C52"/>
    <w:rsid w:val="006A2DDE"/>
    <w:rsid w:val="006A4F85"/>
    <w:rsid w:val="006A53C3"/>
    <w:rsid w:val="006A5578"/>
    <w:rsid w:val="006A5D19"/>
    <w:rsid w:val="006A5FA9"/>
    <w:rsid w:val="006A6073"/>
    <w:rsid w:val="006A64C1"/>
    <w:rsid w:val="006A67A7"/>
    <w:rsid w:val="006A7E38"/>
    <w:rsid w:val="006B0F89"/>
    <w:rsid w:val="006B160B"/>
    <w:rsid w:val="006B1D29"/>
    <w:rsid w:val="006B2428"/>
    <w:rsid w:val="006B3923"/>
    <w:rsid w:val="006B3D7B"/>
    <w:rsid w:val="006B4021"/>
    <w:rsid w:val="006B4482"/>
    <w:rsid w:val="006B46AF"/>
    <w:rsid w:val="006B49D0"/>
    <w:rsid w:val="006B4CC7"/>
    <w:rsid w:val="006B576A"/>
    <w:rsid w:val="006B72C3"/>
    <w:rsid w:val="006C0BE5"/>
    <w:rsid w:val="006C110D"/>
    <w:rsid w:val="006C199B"/>
    <w:rsid w:val="006C1A18"/>
    <w:rsid w:val="006C4796"/>
    <w:rsid w:val="006C480D"/>
    <w:rsid w:val="006C4898"/>
    <w:rsid w:val="006C5ED0"/>
    <w:rsid w:val="006C6073"/>
    <w:rsid w:val="006C67DE"/>
    <w:rsid w:val="006C6E84"/>
    <w:rsid w:val="006C6F65"/>
    <w:rsid w:val="006C7C14"/>
    <w:rsid w:val="006C7FE9"/>
    <w:rsid w:val="006C7FEE"/>
    <w:rsid w:val="006D02B3"/>
    <w:rsid w:val="006D0D23"/>
    <w:rsid w:val="006D181A"/>
    <w:rsid w:val="006D3C7E"/>
    <w:rsid w:val="006D4080"/>
    <w:rsid w:val="006D588A"/>
    <w:rsid w:val="006D5FC1"/>
    <w:rsid w:val="006E0AA1"/>
    <w:rsid w:val="006E0C52"/>
    <w:rsid w:val="006E2F6F"/>
    <w:rsid w:val="006E3CFA"/>
    <w:rsid w:val="006E48FF"/>
    <w:rsid w:val="006E61D8"/>
    <w:rsid w:val="006E6E3D"/>
    <w:rsid w:val="006E7EDB"/>
    <w:rsid w:val="006F0C8B"/>
    <w:rsid w:val="006F11DD"/>
    <w:rsid w:val="006F2C0F"/>
    <w:rsid w:val="006F340A"/>
    <w:rsid w:val="006F41BC"/>
    <w:rsid w:val="006F4A2F"/>
    <w:rsid w:val="006F4C3D"/>
    <w:rsid w:val="006F54DA"/>
    <w:rsid w:val="006F5ACA"/>
    <w:rsid w:val="006F5EFC"/>
    <w:rsid w:val="006F6AF9"/>
    <w:rsid w:val="006F73B7"/>
    <w:rsid w:val="006F77A9"/>
    <w:rsid w:val="00700DC4"/>
    <w:rsid w:val="007016D8"/>
    <w:rsid w:val="00701C48"/>
    <w:rsid w:val="00701FD0"/>
    <w:rsid w:val="007032B0"/>
    <w:rsid w:val="007039E8"/>
    <w:rsid w:val="00703BD6"/>
    <w:rsid w:val="0070560B"/>
    <w:rsid w:val="00705B85"/>
    <w:rsid w:val="0070731D"/>
    <w:rsid w:val="00707742"/>
    <w:rsid w:val="00710170"/>
    <w:rsid w:val="007108FB"/>
    <w:rsid w:val="00711953"/>
    <w:rsid w:val="0071417B"/>
    <w:rsid w:val="007142FA"/>
    <w:rsid w:val="007145D2"/>
    <w:rsid w:val="007155BD"/>
    <w:rsid w:val="00715F9B"/>
    <w:rsid w:val="0071617E"/>
    <w:rsid w:val="00716304"/>
    <w:rsid w:val="00716E73"/>
    <w:rsid w:val="0071769B"/>
    <w:rsid w:val="007179FF"/>
    <w:rsid w:val="0072102A"/>
    <w:rsid w:val="00722537"/>
    <w:rsid w:val="00722BD0"/>
    <w:rsid w:val="00723320"/>
    <w:rsid w:val="00723D83"/>
    <w:rsid w:val="00723E47"/>
    <w:rsid w:val="00725A73"/>
    <w:rsid w:val="007278B1"/>
    <w:rsid w:val="00730217"/>
    <w:rsid w:val="00730FC3"/>
    <w:rsid w:val="0073111D"/>
    <w:rsid w:val="0073159B"/>
    <w:rsid w:val="00732431"/>
    <w:rsid w:val="007327CF"/>
    <w:rsid w:val="00733E8B"/>
    <w:rsid w:val="00734600"/>
    <w:rsid w:val="0073558D"/>
    <w:rsid w:val="00735693"/>
    <w:rsid w:val="007362F5"/>
    <w:rsid w:val="00736599"/>
    <w:rsid w:val="007367A9"/>
    <w:rsid w:val="00736BE3"/>
    <w:rsid w:val="007379AD"/>
    <w:rsid w:val="00737A98"/>
    <w:rsid w:val="00740491"/>
    <w:rsid w:val="0074064B"/>
    <w:rsid w:val="00741478"/>
    <w:rsid w:val="00741B4B"/>
    <w:rsid w:val="00741DD6"/>
    <w:rsid w:val="00741F7B"/>
    <w:rsid w:val="00745205"/>
    <w:rsid w:val="007452B6"/>
    <w:rsid w:val="00746FCF"/>
    <w:rsid w:val="00750EEA"/>
    <w:rsid w:val="00754364"/>
    <w:rsid w:val="00754CD1"/>
    <w:rsid w:val="007550A0"/>
    <w:rsid w:val="00755796"/>
    <w:rsid w:val="0075579E"/>
    <w:rsid w:val="007560A8"/>
    <w:rsid w:val="00756493"/>
    <w:rsid w:val="00757142"/>
    <w:rsid w:val="00757DBE"/>
    <w:rsid w:val="00760D5D"/>
    <w:rsid w:val="0076119E"/>
    <w:rsid w:val="0076143D"/>
    <w:rsid w:val="0076379E"/>
    <w:rsid w:val="00764BEE"/>
    <w:rsid w:val="0076513F"/>
    <w:rsid w:val="00766304"/>
    <w:rsid w:val="00767930"/>
    <w:rsid w:val="00771751"/>
    <w:rsid w:val="007727D2"/>
    <w:rsid w:val="00773B2C"/>
    <w:rsid w:val="00773E30"/>
    <w:rsid w:val="00776407"/>
    <w:rsid w:val="00776498"/>
    <w:rsid w:val="00776992"/>
    <w:rsid w:val="00776A10"/>
    <w:rsid w:val="007807E4"/>
    <w:rsid w:val="00780A45"/>
    <w:rsid w:val="00783249"/>
    <w:rsid w:val="007848AE"/>
    <w:rsid w:val="00786AC3"/>
    <w:rsid w:val="007907FE"/>
    <w:rsid w:val="007912DC"/>
    <w:rsid w:val="007915C8"/>
    <w:rsid w:val="00791D9E"/>
    <w:rsid w:val="00791DA9"/>
    <w:rsid w:val="0079293E"/>
    <w:rsid w:val="00792C86"/>
    <w:rsid w:val="007934F3"/>
    <w:rsid w:val="007942BF"/>
    <w:rsid w:val="007970B9"/>
    <w:rsid w:val="0079720A"/>
    <w:rsid w:val="007978BF"/>
    <w:rsid w:val="00797A27"/>
    <w:rsid w:val="007A1302"/>
    <w:rsid w:val="007A149F"/>
    <w:rsid w:val="007A1D22"/>
    <w:rsid w:val="007A22BC"/>
    <w:rsid w:val="007A2A40"/>
    <w:rsid w:val="007A7536"/>
    <w:rsid w:val="007B01F6"/>
    <w:rsid w:val="007B081D"/>
    <w:rsid w:val="007B0C66"/>
    <w:rsid w:val="007B20D2"/>
    <w:rsid w:val="007B233D"/>
    <w:rsid w:val="007B2553"/>
    <w:rsid w:val="007B33C0"/>
    <w:rsid w:val="007B3CC2"/>
    <w:rsid w:val="007B3FD6"/>
    <w:rsid w:val="007B5233"/>
    <w:rsid w:val="007B6247"/>
    <w:rsid w:val="007B74B8"/>
    <w:rsid w:val="007C00AF"/>
    <w:rsid w:val="007C05F7"/>
    <w:rsid w:val="007C09A2"/>
    <w:rsid w:val="007C1E01"/>
    <w:rsid w:val="007C1EEF"/>
    <w:rsid w:val="007C41A6"/>
    <w:rsid w:val="007C63D4"/>
    <w:rsid w:val="007C737A"/>
    <w:rsid w:val="007D07C8"/>
    <w:rsid w:val="007D1BC0"/>
    <w:rsid w:val="007D1E04"/>
    <w:rsid w:val="007D3A20"/>
    <w:rsid w:val="007D3B5B"/>
    <w:rsid w:val="007D4156"/>
    <w:rsid w:val="007D55B2"/>
    <w:rsid w:val="007D6A55"/>
    <w:rsid w:val="007D6A7D"/>
    <w:rsid w:val="007D7192"/>
    <w:rsid w:val="007D76BF"/>
    <w:rsid w:val="007E0722"/>
    <w:rsid w:val="007E0A45"/>
    <w:rsid w:val="007E1F83"/>
    <w:rsid w:val="007E3129"/>
    <w:rsid w:val="007E39C8"/>
    <w:rsid w:val="007E3D7B"/>
    <w:rsid w:val="007E44CA"/>
    <w:rsid w:val="007E5591"/>
    <w:rsid w:val="007E6561"/>
    <w:rsid w:val="007F07CF"/>
    <w:rsid w:val="007F1A6F"/>
    <w:rsid w:val="007F1AF9"/>
    <w:rsid w:val="007F32DF"/>
    <w:rsid w:val="007F3486"/>
    <w:rsid w:val="007F373E"/>
    <w:rsid w:val="007F3853"/>
    <w:rsid w:val="007F3BF2"/>
    <w:rsid w:val="007F3D36"/>
    <w:rsid w:val="007F4103"/>
    <w:rsid w:val="007F4149"/>
    <w:rsid w:val="007F42FB"/>
    <w:rsid w:val="007F43AE"/>
    <w:rsid w:val="007F5C0E"/>
    <w:rsid w:val="007F6118"/>
    <w:rsid w:val="007F6408"/>
    <w:rsid w:val="007F6680"/>
    <w:rsid w:val="007F6E30"/>
    <w:rsid w:val="007F7264"/>
    <w:rsid w:val="007F7770"/>
    <w:rsid w:val="00800386"/>
    <w:rsid w:val="008008BF"/>
    <w:rsid w:val="00801A19"/>
    <w:rsid w:val="00803162"/>
    <w:rsid w:val="008036EC"/>
    <w:rsid w:val="00803BA2"/>
    <w:rsid w:val="00803D6D"/>
    <w:rsid w:val="008059F8"/>
    <w:rsid w:val="0080608B"/>
    <w:rsid w:val="0080674F"/>
    <w:rsid w:val="00807ABC"/>
    <w:rsid w:val="00807F09"/>
    <w:rsid w:val="008123BB"/>
    <w:rsid w:val="00814D79"/>
    <w:rsid w:val="00816ECE"/>
    <w:rsid w:val="00821273"/>
    <w:rsid w:val="0082167D"/>
    <w:rsid w:val="008222A9"/>
    <w:rsid w:val="00822874"/>
    <w:rsid w:val="00822BE6"/>
    <w:rsid w:val="00822DC8"/>
    <w:rsid w:val="008236C3"/>
    <w:rsid w:val="00825D5A"/>
    <w:rsid w:val="008261B1"/>
    <w:rsid w:val="0083201C"/>
    <w:rsid w:val="00833085"/>
    <w:rsid w:val="0083348A"/>
    <w:rsid w:val="008348DB"/>
    <w:rsid w:val="008353E8"/>
    <w:rsid w:val="00835803"/>
    <w:rsid w:val="00835C5B"/>
    <w:rsid w:val="0083692F"/>
    <w:rsid w:val="00836CB6"/>
    <w:rsid w:val="00840158"/>
    <w:rsid w:val="00841829"/>
    <w:rsid w:val="00845FBE"/>
    <w:rsid w:val="00846EF6"/>
    <w:rsid w:val="0084769C"/>
    <w:rsid w:val="008502BB"/>
    <w:rsid w:val="008507FB"/>
    <w:rsid w:val="00852BB7"/>
    <w:rsid w:val="0085384E"/>
    <w:rsid w:val="00854388"/>
    <w:rsid w:val="0085462E"/>
    <w:rsid w:val="008555A1"/>
    <w:rsid w:val="00855BB6"/>
    <w:rsid w:val="0085616C"/>
    <w:rsid w:val="00856D87"/>
    <w:rsid w:val="00857F71"/>
    <w:rsid w:val="00861F8C"/>
    <w:rsid w:val="00863B00"/>
    <w:rsid w:val="00864BFF"/>
    <w:rsid w:val="00865318"/>
    <w:rsid w:val="00866E44"/>
    <w:rsid w:val="00870C6E"/>
    <w:rsid w:val="00871071"/>
    <w:rsid w:val="008711BC"/>
    <w:rsid w:val="00872894"/>
    <w:rsid w:val="008730FB"/>
    <w:rsid w:val="00874754"/>
    <w:rsid w:val="0087789D"/>
    <w:rsid w:val="00880932"/>
    <w:rsid w:val="008811E5"/>
    <w:rsid w:val="0088317C"/>
    <w:rsid w:val="00883C1A"/>
    <w:rsid w:val="00883CDF"/>
    <w:rsid w:val="008841A5"/>
    <w:rsid w:val="00884875"/>
    <w:rsid w:val="00887581"/>
    <w:rsid w:val="008877BC"/>
    <w:rsid w:val="00887A87"/>
    <w:rsid w:val="00887C32"/>
    <w:rsid w:val="00891034"/>
    <w:rsid w:val="0089229B"/>
    <w:rsid w:val="00892D86"/>
    <w:rsid w:val="0089362F"/>
    <w:rsid w:val="00894700"/>
    <w:rsid w:val="00895C34"/>
    <w:rsid w:val="00896387"/>
    <w:rsid w:val="00897644"/>
    <w:rsid w:val="00897E08"/>
    <w:rsid w:val="008A1CF7"/>
    <w:rsid w:val="008A201B"/>
    <w:rsid w:val="008A22B2"/>
    <w:rsid w:val="008A2802"/>
    <w:rsid w:val="008A4B3A"/>
    <w:rsid w:val="008A585D"/>
    <w:rsid w:val="008A7ABD"/>
    <w:rsid w:val="008A7E7B"/>
    <w:rsid w:val="008B08D6"/>
    <w:rsid w:val="008B32A0"/>
    <w:rsid w:val="008B35D6"/>
    <w:rsid w:val="008B39A6"/>
    <w:rsid w:val="008B4702"/>
    <w:rsid w:val="008B48D9"/>
    <w:rsid w:val="008B5060"/>
    <w:rsid w:val="008B66F7"/>
    <w:rsid w:val="008B775B"/>
    <w:rsid w:val="008C0B82"/>
    <w:rsid w:val="008C2799"/>
    <w:rsid w:val="008C28B6"/>
    <w:rsid w:val="008C2D43"/>
    <w:rsid w:val="008C3822"/>
    <w:rsid w:val="008C3B3F"/>
    <w:rsid w:val="008C4F0F"/>
    <w:rsid w:val="008C534E"/>
    <w:rsid w:val="008C695D"/>
    <w:rsid w:val="008C6B34"/>
    <w:rsid w:val="008C7603"/>
    <w:rsid w:val="008D00C1"/>
    <w:rsid w:val="008D181F"/>
    <w:rsid w:val="008D1878"/>
    <w:rsid w:val="008D1B0B"/>
    <w:rsid w:val="008D2688"/>
    <w:rsid w:val="008D2A0D"/>
    <w:rsid w:val="008D2FD1"/>
    <w:rsid w:val="008D3362"/>
    <w:rsid w:val="008D5057"/>
    <w:rsid w:val="008D507E"/>
    <w:rsid w:val="008D5103"/>
    <w:rsid w:val="008D5B85"/>
    <w:rsid w:val="008D7848"/>
    <w:rsid w:val="008E0A71"/>
    <w:rsid w:val="008E1063"/>
    <w:rsid w:val="008E2797"/>
    <w:rsid w:val="008E386F"/>
    <w:rsid w:val="008E38CE"/>
    <w:rsid w:val="008E3FF7"/>
    <w:rsid w:val="008E47DA"/>
    <w:rsid w:val="008E54ED"/>
    <w:rsid w:val="008E56A3"/>
    <w:rsid w:val="008E5D4C"/>
    <w:rsid w:val="008E5FEC"/>
    <w:rsid w:val="008E6014"/>
    <w:rsid w:val="008E690D"/>
    <w:rsid w:val="008E7953"/>
    <w:rsid w:val="008F180A"/>
    <w:rsid w:val="008F244F"/>
    <w:rsid w:val="008F3240"/>
    <w:rsid w:val="008F3570"/>
    <w:rsid w:val="008F37D4"/>
    <w:rsid w:val="008F5118"/>
    <w:rsid w:val="008F5413"/>
    <w:rsid w:val="008F5B20"/>
    <w:rsid w:val="008F6D9F"/>
    <w:rsid w:val="008F7DDF"/>
    <w:rsid w:val="009005DF"/>
    <w:rsid w:val="00900676"/>
    <w:rsid w:val="00900AF8"/>
    <w:rsid w:val="00901FE5"/>
    <w:rsid w:val="00902377"/>
    <w:rsid w:val="00903230"/>
    <w:rsid w:val="00903EFB"/>
    <w:rsid w:val="0090511C"/>
    <w:rsid w:val="00907174"/>
    <w:rsid w:val="00911AD9"/>
    <w:rsid w:val="00911FC2"/>
    <w:rsid w:val="00912CBD"/>
    <w:rsid w:val="00912D06"/>
    <w:rsid w:val="00915461"/>
    <w:rsid w:val="00915673"/>
    <w:rsid w:val="00915A46"/>
    <w:rsid w:val="009163BD"/>
    <w:rsid w:val="009164A4"/>
    <w:rsid w:val="00916C1E"/>
    <w:rsid w:val="009173E2"/>
    <w:rsid w:val="0092002F"/>
    <w:rsid w:val="00923FEE"/>
    <w:rsid w:val="009254E1"/>
    <w:rsid w:val="00926247"/>
    <w:rsid w:val="00926349"/>
    <w:rsid w:val="00927675"/>
    <w:rsid w:val="00927DDF"/>
    <w:rsid w:val="00927E8B"/>
    <w:rsid w:val="009308F7"/>
    <w:rsid w:val="00931BE8"/>
    <w:rsid w:val="00932263"/>
    <w:rsid w:val="0093232E"/>
    <w:rsid w:val="00932371"/>
    <w:rsid w:val="00932B8D"/>
    <w:rsid w:val="009331BC"/>
    <w:rsid w:val="0093359D"/>
    <w:rsid w:val="009335C3"/>
    <w:rsid w:val="009342C7"/>
    <w:rsid w:val="00934DFE"/>
    <w:rsid w:val="009359A0"/>
    <w:rsid w:val="00935E49"/>
    <w:rsid w:val="00936C8E"/>
    <w:rsid w:val="00940915"/>
    <w:rsid w:val="0094120F"/>
    <w:rsid w:val="00941596"/>
    <w:rsid w:val="009419C1"/>
    <w:rsid w:val="009421AF"/>
    <w:rsid w:val="009460E6"/>
    <w:rsid w:val="00950785"/>
    <w:rsid w:val="00950B24"/>
    <w:rsid w:val="00950B53"/>
    <w:rsid w:val="00951FED"/>
    <w:rsid w:val="009525D1"/>
    <w:rsid w:val="00952ACB"/>
    <w:rsid w:val="00952BD9"/>
    <w:rsid w:val="0095305A"/>
    <w:rsid w:val="009545F8"/>
    <w:rsid w:val="00954E7C"/>
    <w:rsid w:val="00956358"/>
    <w:rsid w:val="00956D76"/>
    <w:rsid w:val="009570B0"/>
    <w:rsid w:val="00957341"/>
    <w:rsid w:val="009606E7"/>
    <w:rsid w:val="0096159B"/>
    <w:rsid w:val="00961694"/>
    <w:rsid w:val="00961728"/>
    <w:rsid w:val="0096175E"/>
    <w:rsid w:val="00962F5C"/>
    <w:rsid w:val="00964A31"/>
    <w:rsid w:val="00965151"/>
    <w:rsid w:val="00965DCD"/>
    <w:rsid w:val="009664EC"/>
    <w:rsid w:val="00967B81"/>
    <w:rsid w:val="00970CFB"/>
    <w:rsid w:val="00972BF2"/>
    <w:rsid w:val="00973075"/>
    <w:rsid w:val="00973311"/>
    <w:rsid w:val="009737FC"/>
    <w:rsid w:val="00973BE6"/>
    <w:rsid w:val="0097436A"/>
    <w:rsid w:val="00974E4B"/>
    <w:rsid w:val="00974E60"/>
    <w:rsid w:val="0097753B"/>
    <w:rsid w:val="00977AE7"/>
    <w:rsid w:val="00977FBD"/>
    <w:rsid w:val="00982B27"/>
    <w:rsid w:val="00983FC5"/>
    <w:rsid w:val="00985AA8"/>
    <w:rsid w:val="00986974"/>
    <w:rsid w:val="00986B52"/>
    <w:rsid w:val="00990512"/>
    <w:rsid w:val="00991486"/>
    <w:rsid w:val="00992577"/>
    <w:rsid w:val="009927E5"/>
    <w:rsid w:val="009927E6"/>
    <w:rsid w:val="0099345A"/>
    <w:rsid w:val="00994149"/>
    <w:rsid w:val="009947D7"/>
    <w:rsid w:val="00994C17"/>
    <w:rsid w:val="009966AA"/>
    <w:rsid w:val="00996B9D"/>
    <w:rsid w:val="00996FC1"/>
    <w:rsid w:val="009A1897"/>
    <w:rsid w:val="009A229B"/>
    <w:rsid w:val="009A2625"/>
    <w:rsid w:val="009A2E64"/>
    <w:rsid w:val="009A3FC1"/>
    <w:rsid w:val="009A4625"/>
    <w:rsid w:val="009A4E14"/>
    <w:rsid w:val="009A5316"/>
    <w:rsid w:val="009A56A4"/>
    <w:rsid w:val="009A5D0A"/>
    <w:rsid w:val="009A67A0"/>
    <w:rsid w:val="009B0961"/>
    <w:rsid w:val="009B11A3"/>
    <w:rsid w:val="009B1535"/>
    <w:rsid w:val="009B23D9"/>
    <w:rsid w:val="009B34C8"/>
    <w:rsid w:val="009B35B4"/>
    <w:rsid w:val="009B43B4"/>
    <w:rsid w:val="009B460A"/>
    <w:rsid w:val="009B61AE"/>
    <w:rsid w:val="009B6763"/>
    <w:rsid w:val="009B74F2"/>
    <w:rsid w:val="009C066F"/>
    <w:rsid w:val="009C08E2"/>
    <w:rsid w:val="009C0D31"/>
    <w:rsid w:val="009C20D9"/>
    <w:rsid w:val="009C4906"/>
    <w:rsid w:val="009C53EE"/>
    <w:rsid w:val="009C5726"/>
    <w:rsid w:val="009C6570"/>
    <w:rsid w:val="009C68F5"/>
    <w:rsid w:val="009C79AC"/>
    <w:rsid w:val="009C7E38"/>
    <w:rsid w:val="009C7E58"/>
    <w:rsid w:val="009D2C24"/>
    <w:rsid w:val="009D368E"/>
    <w:rsid w:val="009D3955"/>
    <w:rsid w:val="009D437B"/>
    <w:rsid w:val="009D6F83"/>
    <w:rsid w:val="009D773B"/>
    <w:rsid w:val="009E088F"/>
    <w:rsid w:val="009E1625"/>
    <w:rsid w:val="009E256F"/>
    <w:rsid w:val="009E2FD2"/>
    <w:rsid w:val="009E33C2"/>
    <w:rsid w:val="009E3ACC"/>
    <w:rsid w:val="009E4D77"/>
    <w:rsid w:val="009E525E"/>
    <w:rsid w:val="009E58C4"/>
    <w:rsid w:val="009E5EDD"/>
    <w:rsid w:val="009E7360"/>
    <w:rsid w:val="009E7393"/>
    <w:rsid w:val="009F0A4A"/>
    <w:rsid w:val="009F0CDA"/>
    <w:rsid w:val="009F19D5"/>
    <w:rsid w:val="009F2BBD"/>
    <w:rsid w:val="009F32DC"/>
    <w:rsid w:val="009F436B"/>
    <w:rsid w:val="009F511A"/>
    <w:rsid w:val="009F5C90"/>
    <w:rsid w:val="009F660A"/>
    <w:rsid w:val="009F69F8"/>
    <w:rsid w:val="009F6AB0"/>
    <w:rsid w:val="009F7C75"/>
    <w:rsid w:val="00A0184B"/>
    <w:rsid w:val="00A01A29"/>
    <w:rsid w:val="00A043C0"/>
    <w:rsid w:val="00A04D7C"/>
    <w:rsid w:val="00A06280"/>
    <w:rsid w:val="00A109CD"/>
    <w:rsid w:val="00A131D6"/>
    <w:rsid w:val="00A13476"/>
    <w:rsid w:val="00A1359C"/>
    <w:rsid w:val="00A1470D"/>
    <w:rsid w:val="00A15BDD"/>
    <w:rsid w:val="00A16C9E"/>
    <w:rsid w:val="00A16E6D"/>
    <w:rsid w:val="00A1713B"/>
    <w:rsid w:val="00A17E4F"/>
    <w:rsid w:val="00A204D7"/>
    <w:rsid w:val="00A20DED"/>
    <w:rsid w:val="00A225B2"/>
    <w:rsid w:val="00A22826"/>
    <w:rsid w:val="00A2392C"/>
    <w:rsid w:val="00A239D1"/>
    <w:rsid w:val="00A23A2D"/>
    <w:rsid w:val="00A23E33"/>
    <w:rsid w:val="00A24692"/>
    <w:rsid w:val="00A25388"/>
    <w:rsid w:val="00A260AE"/>
    <w:rsid w:val="00A27A3C"/>
    <w:rsid w:val="00A301C7"/>
    <w:rsid w:val="00A3043D"/>
    <w:rsid w:val="00A33034"/>
    <w:rsid w:val="00A33198"/>
    <w:rsid w:val="00A33BC1"/>
    <w:rsid w:val="00A343E9"/>
    <w:rsid w:val="00A35C06"/>
    <w:rsid w:val="00A406F0"/>
    <w:rsid w:val="00A40D0C"/>
    <w:rsid w:val="00A41843"/>
    <w:rsid w:val="00A43CBD"/>
    <w:rsid w:val="00A440E4"/>
    <w:rsid w:val="00A444A4"/>
    <w:rsid w:val="00A44997"/>
    <w:rsid w:val="00A46474"/>
    <w:rsid w:val="00A47540"/>
    <w:rsid w:val="00A475A1"/>
    <w:rsid w:val="00A4764E"/>
    <w:rsid w:val="00A513AE"/>
    <w:rsid w:val="00A53304"/>
    <w:rsid w:val="00A53461"/>
    <w:rsid w:val="00A537A4"/>
    <w:rsid w:val="00A53A9C"/>
    <w:rsid w:val="00A54C1C"/>
    <w:rsid w:val="00A56657"/>
    <w:rsid w:val="00A57113"/>
    <w:rsid w:val="00A57429"/>
    <w:rsid w:val="00A6082F"/>
    <w:rsid w:val="00A615ED"/>
    <w:rsid w:val="00A6187D"/>
    <w:rsid w:val="00A62584"/>
    <w:rsid w:val="00A64241"/>
    <w:rsid w:val="00A64899"/>
    <w:rsid w:val="00A66744"/>
    <w:rsid w:val="00A66A78"/>
    <w:rsid w:val="00A70313"/>
    <w:rsid w:val="00A73CDB"/>
    <w:rsid w:val="00A73DA3"/>
    <w:rsid w:val="00A748E2"/>
    <w:rsid w:val="00A761DC"/>
    <w:rsid w:val="00A7697D"/>
    <w:rsid w:val="00A7752A"/>
    <w:rsid w:val="00A77AE2"/>
    <w:rsid w:val="00A80817"/>
    <w:rsid w:val="00A80BBF"/>
    <w:rsid w:val="00A82BD6"/>
    <w:rsid w:val="00A8350D"/>
    <w:rsid w:val="00A83FC8"/>
    <w:rsid w:val="00A85242"/>
    <w:rsid w:val="00A869D0"/>
    <w:rsid w:val="00A9098E"/>
    <w:rsid w:val="00A917F5"/>
    <w:rsid w:val="00A92F53"/>
    <w:rsid w:val="00A94073"/>
    <w:rsid w:val="00A95A89"/>
    <w:rsid w:val="00A95CAE"/>
    <w:rsid w:val="00A96430"/>
    <w:rsid w:val="00AA165A"/>
    <w:rsid w:val="00AA1CCD"/>
    <w:rsid w:val="00AA1DD7"/>
    <w:rsid w:val="00AA236A"/>
    <w:rsid w:val="00AA36FC"/>
    <w:rsid w:val="00AA38C4"/>
    <w:rsid w:val="00AA3FB2"/>
    <w:rsid w:val="00AA592B"/>
    <w:rsid w:val="00AA6167"/>
    <w:rsid w:val="00AA7100"/>
    <w:rsid w:val="00AA75DD"/>
    <w:rsid w:val="00AB0330"/>
    <w:rsid w:val="00AB2819"/>
    <w:rsid w:val="00AB2A54"/>
    <w:rsid w:val="00AB2E44"/>
    <w:rsid w:val="00AB3793"/>
    <w:rsid w:val="00AB3F38"/>
    <w:rsid w:val="00AB425E"/>
    <w:rsid w:val="00AB4265"/>
    <w:rsid w:val="00AB5147"/>
    <w:rsid w:val="00AB5EE6"/>
    <w:rsid w:val="00AB5F1E"/>
    <w:rsid w:val="00AB6E9B"/>
    <w:rsid w:val="00AB6F35"/>
    <w:rsid w:val="00AB75DA"/>
    <w:rsid w:val="00AC0D3E"/>
    <w:rsid w:val="00AC13F9"/>
    <w:rsid w:val="00AC1732"/>
    <w:rsid w:val="00AC2033"/>
    <w:rsid w:val="00AC23CC"/>
    <w:rsid w:val="00AC24B5"/>
    <w:rsid w:val="00AC5682"/>
    <w:rsid w:val="00AC721F"/>
    <w:rsid w:val="00AC762C"/>
    <w:rsid w:val="00AC7720"/>
    <w:rsid w:val="00AD19EC"/>
    <w:rsid w:val="00AD2EF3"/>
    <w:rsid w:val="00AD4ED2"/>
    <w:rsid w:val="00AD624B"/>
    <w:rsid w:val="00AD6D2E"/>
    <w:rsid w:val="00AE1E05"/>
    <w:rsid w:val="00AE29DA"/>
    <w:rsid w:val="00AE2CEE"/>
    <w:rsid w:val="00AE3ACA"/>
    <w:rsid w:val="00AE4F97"/>
    <w:rsid w:val="00AE5EEB"/>
    <w:rsid w:val="00AE63FA"/>
    <w:rsid w:val="00AE6A66"/>
    <w:rsid w:val="00AE7DFB"/>
    <w:rsid w:val="00AF29A8"/>
    <w:rsid w:val="00AF3FCB"/>
    <w:rsid w:val="00AF4ACE"/>
    <w:rsid w:val="00AF4F3F"/>
    <w:rsid w:val="00AF4F6D"/>
    <w:rsid w:val="00B018BF"/>
    <w:rsid w:val="00B01AA4"/>
    <w:rsid w:val="00B01F9F"/>
    <w:rsid w:val="00B028F0"/>
    <w:rsid w:val="00B03A7B"/>
    <w:rsid w:val="00B0419D"/>
    <w:rsid w:val="00B0495E"/>
    <w:rsid w:val="00B05750"/>
    <w:rsid w:val="00B0689C"/>
    <w:rsid w:val="00B06DDC"/>
    <w:rsid w:val="00B07916"/>
    <w:rsid w:val="00B11B7C"/>
    <w:rsid w:val="00B12E1C"/>
    <w:rsid w:val="00B13D45"/>
    <w:rsid w:val="00B1485A"/>
    <w:rsid w:val="00B15403"/>
    <w:rsid w:val="00B167F4"/>
    <w:rsid w:val="00B17756"/>
    <w:rsid w:val="00B21229"/>
    <w:rsid w:val="00B2127D"/>
    <w:rsid w:val="00B21962"/>
    <w:rsid w:val="00B2304E"/>
    <w:rsid w:val="00B24840"/>
    <w:rsid w:val="00B25650"/>
    <w:rsid w:val="00B26019"/>
    <w:rsid w:val="00B26A14"/>
    <w:rsid w:val="00B31044"/>
    <w:rsid w:val="00B3109C"/>
    <w:rsid w:val="00B31F42"/>
    <w:rsid w:val="00B328AE"/>
    <w:rsid w:val="00B35774"/>
    <w:rsid w:val="00B35B0A"/>
    <w:rsid w:val="00B36A73"/>
    <w:rsid w:val="00B3754B"/>
    <w:rsid w:val="00B37688"/>
    <w:rsid w:val="00B3773A"/>
    <w:rsid w:val="00B377CE"/>
    <w:rsid w:val="00B4044B"/>
    <w:rsid w:val="00B4059D"/>
    <w:rsid w:val="00B408C5"/>
    <w:rsid w:val="00B42C1D"/>
    <w:rsid w:val="00B42FC0"/>
    <w:rsid w:val="00B4312B"/>
    <w:rsid w:val="00B43AC4"/>
    <w:rsid w:val="00B4400B"/>
    <w:rsid w:val="00B44216"/>
    <w:rsid w:val="00B44313"/>
    <w:rsid w:val="00B449CF"/>
    <w:rsid w:val="00B44EFA"/>
    <w:rsid w:val="00B46A15"/>
    <w:rsid w:val="00B46CD8"/>
    <w:rsid w:val="00B46D0E"/>
    <w:rsid w:val="00B47428"/>
    <w:rsid w:val="00B477E8"/>
    <w:rsid w:val="00B5018C"/>
    <w:rsid w:val="00B508F6"/>
    <w:rsid w:val="00B52063"/>
    <w:rsid w:val="00B52F5B"/>
    <w:rsid w:val="00B5384C"/>
    <w:rsid w:val="00B5582A"/>
    <w:rsid w:val="00B55ECB"/>
    <w:rsid w:val="00B55EDB"/>
    <w:rsid w:val="00B57076"/>
    <w:rsid w:val="00B57987"/>
    <w:rsid w:val="00B61038"/>
    <w:rsid w:val="00B61AE2"/>
    <w:rsid w:val="00B61F11"/>
    <w:rsid w:val="00B62DD0"/>
    <w:rsid w:val="00B63BB1"/>
    <w:rsid w:val="00B66DEE"/>
    <w:rsid w:val="00B71074"/>
    <w:rsid w:val="00B723D9"/>
    <w:rsid w:val="00B73630"/>
    <w:rsid w:val="00B74AF9"/>
    <w:rsid w:val="00B75F16"/>
    <w:rsid w:val="00B77062"/>
    <w:rsid w:val="00B77EBE"/>
    <w:rsid w:val="00B81C46"/>
    <w:rsid w:val="00B82AA3"/>
    <w:rsid w:val="00B85B1F"/>
    <w:rsid w:val="00B85C96"/>
    <w:rsid w:val="00B85D21"/>
    <w:rsid w:val="00B86A0D"/>
    <w:rsid w:val="00B90557"/>
    <w:rsid w:val="00B90844"/>
    <w:rsid w:val="00B90D19"/>
    <w:rsid w:val="00B918D0"/>
    <w:rsid w:val="00B92524"/>
    <w:rsid w:val="00B93397"/>
    <w:rsid w:val="00B94EB8"/>
    <w:rsid w:val="00B95A24"/>
    <w:rsid w:val="00B966F2"/>
    <w:rsid w:val="00B96DB9"/>
    <w:rsid w:val="00B97480"/>
    <w:rsid w:val="00BA1603"/>
    <w:rsid w:val="00BA186E"/>
    <w:rsid w:val="00BA1B07"/>
    <w:rsid w:val="00BA251A"/>
    <w:rsid w:val="00BA2605"/>
    <w:rsid w:val="00BA31C5"/>
    <w:rsid w:val="00BA3A0D"/>
    <w:rsid w:val="00BA4583"/>
    <w:rsid w:val="00BA51FE"/>
    <w:rsid w:val="00BA561B"/>
    <w:rsid w:val="00BA59FE"/>
    <w:rsid w:val="00BA5C90"/>
    <w:rsid w:val="00BA6295"/>
    <w:rsid w:val="00BA6496"/>
    <w:rsid w:val="00BA6721"/>
    <w:rsid w:val="00BB0C2B"/>
    <w:rsid w:val="00BB1638"/>
    <w:rsid w:val="00BB1EC7"/>
    <w:rsid w:val="00BB2A22"/>
    <w:rsid w:val="00BB2D64"/>
    <w:rsid w:val="00BB2FE5"/>
    <w:rsid w:val="00BB447B"/>
    <w:rsid w:val="00BB51E3"/>
    <w:rsid w:val="00BB56D4"/>
    <w:rsid w:val="00BB5A95"/>
    <w:rsid w:val="00BB6110"/>
    <w:rsid w:val="00BB6CA7"/>
    <w:rsid w:val="00BB7794"/>
    <w:rsid w:val="00BC1181"/>
    <w:rsid w:val="00BC1DCE"/>
    <w:rsid w:val="00BC1FDF"/>
    <w:rsid w:val="00BC2173"/>
    <w:rsid w:val="00BC290C"/>
    <w:rsid w:val="00BC2F1C"/>
    <w:rsid w:val="00BC33EB"/>
    <w:rsid w:val="00BC37B1"/>
    <w:rsid w:val="00BC4790"/>
    <w:rsid w:val="00BC773D"/>
    <w:rsid w:val="00BC7E7D"/>
    <w:rsid w:val="00BD1471"/>
    <w:rsid w:val="00BD1615"/>
    <w:rsid w:val="00BD257D"/>
    <w:rsid w:val="00BD25FD"/>
    <w:rsid w:val="00BD30A3"/>
    <w:rsid w:val="00BD385D"/>
    <w:rsid w:val="00BD38DA"/>
    <w:rsid w:val="00BD4AEA"/>
    <w:rsid w:val="00BD535D"/>
    <w:rsid w:val="00BD53CD"/>
    <w:rsid w:val="00BD56EE"/>
    <w:rsid w:val="00BD5991"/>
    <w:rsid w:val="00BD5CAB"/>
    <w:rsid w:val="00BD6484"/>
    <w:rsid w:val="00BD69A1"/>
    <w:rsid w:val="00BD740A"/>
    <w:rsid w:val="00BE027C"/>
    <w:rsid w:val="00BE1318"/>
    <w:rsid w:val="00BE1BE2"/>
    <w:rsid w:val="00BE4DE2"/>
    <w:rsid w:val="00BE4F11"/>
    <w:rsid w:val="00BE5484"/>
    <w:rsid w:val="00BE678A"/>
    <w:rsid w:val="00BE7A9D"/>
    <w:rsid w:val="00BE7E44"/>
    <w:rsid w:val="00BF0008"/>
    <w:rsid w:val="00BF0518"/>
    <w:rsid w:val="00BF0B7D"/>
    <w:rsid w:val="00BF15BB"/>
    <w:rsid w:val="00BF1D7E"/>
    <w:rsid w:val="00BF1E04"/>
    <w:rsid w:val="00BF1F00"/>
    <w:rsid w:val="00BF2580"/>
    <w:rsid w:val="00BF2810"/>
    <w:rsid w:val="00BF2BBA"/>
    <w:rsid w:val="00BF2C4D"/>
    <w:rsid w:val="00BF2EB9"/>
    <w:rsid w:val="00BF3E6F"/>
    <w:rsid w:val="00BF426D"/>
    <w:rsid w:val="00BF4401"/>
    <w:rsid w:val="00BF463D"/>
    <w:rsid w:val="00BF4776"/>
    <w:rsid w:val="00BF4EAA"/>
    <w:rsid w:val="00BF5760"/>
    <w:rsid w:val="00BF62E8"/>
    <w:rsid w:val="00BF7D85"/>
    <w:rsid w:val="00C003AE"/>
    <w:rsid w:val="00C011DF"/>
    <w:rsid w:val="00C011F6"/>
    <w:rsid w:val="00C01AD1"/>
    <w:rsid w:val="00C01BBE"/>
    <w:rsid w:val="00C0300B"/>
    <w:rsid w:val="00C034B5"/>
    <w:rsid w:val="00C03C3C"/>
    <w:rsid w:val="00C0584C"/>
    <w:rsid w:val="00C068D2"/>
    <w:rsid w:val="00C10099"/>
    <w:rsid w:val="00C1089C"/>
    <w:rsid w:val="00C11C45"/>
    <w:rsid w:val="00C11C48"/>
    <w:rsid w:val="00C11CAF"/>
    <w:rsid w:val="00C15197"/>
    <w:rsid w:val="00C16A58"/>
    <w:rsid w:val="00C1765C"/>
    <w:rsid w:val="00C207A1"/>
    <w:rsid w:val="00C216DE"/>
    <w:rsid w:val="00C22BDA"/>
    <w:rsid w:val="00C22C0E"/>
    <w:rsid w:val="00C22FC5"/>
    <w:rsid w:val="00C23E6E"/>
    <w:rsid w:val="00C24292"/>
    <w:rsid w:val="00C242E4"/>
    <w:rsid w:val="00C24656"/>
    <w:rsid w:val="00C26948"/>
    <w:rsid w:val="00C26B4D"/>
    <w:rsid w:val="00C26F0A"/>
    <w:rsid w:val="00C306C5"/>
    <w:rsid w:val="00C31353"/>
    <w:rsid w:val="00C31467"/>
    <w:rsid w:val="00C318F1"/>
    <w:rsid w:val="00C32581"/>
    <w:rsid w:val="00C33B4F"/>
    <w:rsid w:val="00C33E54"/>
    <w:rsid w:val="00C354B4"/>
    <w:rsid w:val="00C36250"/>
    <w:rsid w:val="00C37516"/>
    <w:rsid w:val="00C37808"/>
    <w:rsid w:val="00C4010B"/>
    <w:rsid w:val="00C40504"/>
    <w:rsid w:val="00C41092"/>
    <w:rsid w:val="00C41B39"/>
    <w:rsid w:val="00C41C44"/>
    <w:rsid w:val="00C42AF3"/>
    <w:rsid w:val="00C43BAD"/>
    <w:rsid w:val="00C44894"/>
    <w:rsid w:val="00C45BF6"/>
    <w:rsid w:val="00C45CB9"/>
    <w:rsid w:val="00C45FDA"/>
    <w:rsid w:val="00C46C60"/>
    <w:rsid w:val="00C46DA7"/>
    <w:rsid w:val="00C47CF7"/>
    <w:rsid w:val="00C506F9"/>
    <w:rsid w:val="00C5105D"/>
    <w:rsid w:val="00C5152D"/>
    <w:rsid w:val="00C51CC3"/>
    <w:rsid w:val="00C5220D"/>
    <w:rsid w:val="00C538AA"/>
    <w:rsid w:val="00C57E62"/>
    <w:rsid w:val="00C614AF"/>
    <w:rsid w:val="00C61D95"/>
    <w:rsid w:val="00C61E90"/>
    <w:rsid w:val="00C626A9"/>
    <w:rsid w:val="00C62E9B"/>
    <w:rsid w:val="00C668F8"/>
    <w:rsid w:val="00C6753D"/>
    <w:rsid w:val="00C706FA"/>
    <w:rsid w:val="00C7193E"/>
    <w:rsid w:val="00C71ACD"/>
    <w:rsid w:val="00C72B3D"/>
    <w:rsid w:val="00C73855"/>
    <w:rsid w:val="00C75B08"/>
    <w:rsid w:val="00C76690"/>
    <w:rsid w:val="00C777BA"/>
    <w:rsid w:val="00C8197E"/>
    <w:rsid w:val="00C82906"/>
    <w:rsid w:val="00C82A51"/>
    <w:rsid w:val="00C82AFB"/>
    <w:rsid w:val="00C85CB7"/>
    <w:rsid w:val="00C8637A"/>
    <w:rsid w:val="00C901B8"/>
    <w:rsid w:val="00C90280"/>
    <w:rsid w:val="00C918CE"/>
    <w:rsid w:val="00C91F76"/>
    <w:rsid w:val="00C939F8"/>
    <w:rsid w:val="00C94A3B"/>
    <w:rsid w:val="00CA0D84"/>
    <w:rsid w:val="00CA16AE"/>
    <w:rsid w:val="00CA1D06"/>
    <w:rsid w:val="00CA217E"/>
    <w:rsid w:val="00CA23A7"/>
    <w:rsid w:val="00CA378A"/>
    <w:rsid w:val="00CA406F"/>
    <w:rsid w:val="00CA40F0"/>
    <w:rsid w:val="00CA4261"/>
    <w:rsid w:val="00CA68E7"/>
    <w:rsid w:val="00CA7DB5"/>
    <w:rsid w:val="00CB04AC"/>
    <w:rsid w:val="00CB06E2"/>
    <w:rsid w:val="00CB1D65"/>
    <w:rsid w:val="00CB2D0F"/>
    <w:rsid w:val="00CB2E36"/>
    <w:rsid w:val="00CB3AB8"/>
    <w:rsid w:val="00CB42C3"/>
    <w:rsid w:val="00CB4A6B"/>
    <w:rsid w:val="00CB681D"/>
    <w:rsid w:val="00CB6D38"/>
    <w:rsid w:val="00CB7C49"/>
    <w:rsid w:val="00CC0466"/>
    <w:rsid w:val="00CC1764"/>
    <w:rsid w:val="00CC1F19"/>
    <w:rsid w:val="00CC296C"/>
    <w:rsid w:val="00CC3AD3"/>
    <w:rsid w:val="00CC4791"/>
    <w:rsid w:val="00CC6609"/>
    <w:rsid w:val="00CC6F98"/>
    <w:rsid w:val="00CC7AAC"/>
    <w:rsid w:val="00CD0692"/>
    <w:rsid w:val="00CD0BC4"/>
    <w:rsid w:val="00CD2579"/>
    <w:rsid w:val="00CD2C68"/>
    <w:rsid w:val="00CD32BF"/>
    <w:rsid w:val="00CD424B"/>
    <w:rsid w:val="00CD42A5"/>
    <w:rsid w:val="00CD503A"/>
    <w:rsid w:val="00CD53B0"/>
    <w:rsid w:val="00CD54CD"/>
    <w:rsid w:val="00CD5ED4"/>
    <w:rsid w:val="00CD5FCE"/>
    <w:rsid w:val="00CD658A"/>
    <w:rsid w:val="00CD680A"/>
    <w:rsid w:val="00CD7724"/>
    <w:rsid w:val="00CD7E8E"/>
    <w:rsid w:val="00CE1827"/>
    <w:rsid w:val="00CE1C43"/>
    <w:rsid w:val="00CE1F9E"/>
    <w:rsid w:val="00CE2198"/>
    <w:rsid w:val="00CE3226"/>
    <w:rsid w:val="00CE343E"/>
    <w:rsid w:val="00CE36CB"/>
    <w:rsid w:val="00CE4A10"/>
    <w:rsid w:val="00CE56AC"/>
    <w:rsid w:val="00CE6515"/>
    <w:rsid w:val="00CE77B2"/>
    <w:rsid w:val="00CF0303"/>
    <w:rsid w:val="00CF054E"/>
    <w:rsid w:val="00CF1E71"/>
    <w:rsid w:val="00CF362B"/>
    <w:rsid w:val="00CF5747"/>
    <w:rsid w:val="00CF6694"/>
    <w:rsid w:val="00CF761E"/>
    <w:rsid w:val="00D00CB0"/>
    <w:rsid w:val="00D01958"/>
    <w:rsid w:val="00D01B48"/>
    <w:rsid w:val="00D031F5"/>
    <w:rsid w:val="00D035B7"/>
    <w:rsid w:val="00D037C3"/>
    <w:rsid w:val="00D06D80"/>
    <w:rsid w:val="00D0741E"/>
    <w:rsid w:val="00D10300"/>
    <w:rsid w:val="00D11912"/>
    <w:rsid w:val="00D11978"/>
    <w:rsid w:val="00D159EA"/>
    <w:rsid w:val="00D1767F"/>
    <w:rsid w:val="00D17ECE"/>
    <w:rsid w:val="00D21B4A"/>
    <w:rsid w:val="00D22019"/>
    <w:rsid w:val="00D2277D"/>
    <w:rsid w:val="00D23951"/>
    <w:rsid w:val="00D254E8"/>
    <w:rsid w:val="00D2552A"/>
    <w:rsid w:val="00D25545"/>
    <w:rsid w:val="00D26E8A"/>
    <w:rsid w:val="00D3097C"/>
    <w:rsid w:val="00D30EA7"/>
    <w:rsid w:val="00D31E4A"/>
    <w:rsid w:val="00D32742"/>
    <w:rsid w:val="00D344DF"/>
    <w:rsid w:val="00D34892"/>
    <w:rsid w:val="00D349BA"/>
    <w:rsid w:val="00D35574"/>
    <w:rsid w:val="00D3694B"/>
    <w:rsid w:val="00D36C75"/>
    <w:rsid w:val="00D400CE"/>
    <w:rsid w:val="00D448A2"/>
    <w:rsid w:val="00D44F56"/>
    <w:rsid w:val="00D4508B"/>
    <w:rsid w:val="00D45BC7"/>
    <w:rsid w:val="00D461D9"/>
    <w:rsid w:val="00D4654A"/>
    <w:rsid w:val="00D50554"/>
    <w:rsid w:val="00D51060"/>
    <w:rsid w:val="00D514AF"/>
    <w:rsid w:val="00D51643"/>
    <w:rsid w:val="00D530D4"/>
    <w:rsid w:val="00D53489"/>
    <w:rsid w:val="00D551C2"/>
    <w:rsid w:val="00D561B8"/>
    <w:rsid w:val="00D576D6"/>
    <w:rsid w:val="00D60BF0"/>
    <w:rsid w:val="00D61748"/>
    <w:rsid w:val="00D62B78"/>
    <w:rsid w:val="00D644FC"/>
    <w:rsid w:val="00D647E1"/>
    <w:rsid w:val="00D65555"/>
    <w:rsid w:val="00D65B3C"/>
    <w:rsid w:val="00D67ED0"/>
    <w:rsid w:val="00D70461"/>
    <w:rsid w:val="00D71639"/>
    <w:rsid w:val="00D72909"/>
    <w:rsid w:val="00D72E30"/>
    <w:rsid w:val="00D73B0D"/>
    <w:rsid w:val="00D73C4A"/>
    <w:rsid w:val="00D7448B"/>
    <w:rsid w:val="00D750EC"/>
    <w:rsid w:val="00D75D93"/>
    <w:rsid w:val="00D76DE4"/>
    <w:rsid w:val="00D76FD2"/>
    <w:rsid w:val="00D77D3D"/>
    <w:rsid w:val="00D81A04"/>
    <w:rsid w:val="00D81C2B"/>
    <w:rsid w:val="00D82659"/>
    <w:rsid w:val="00D834D2"/>
    <w:rsid w:val="00D837CB"/>
    <w:rsid w:val="00D852EA"/>
    <w:rsid w:val="00D85867"/>
    <w:rsid w:val="00D8627D"/>
    <w:rsid w:val="00D8664D"/>
    <w:rsid w:val="00D86ECC"/>
    <w:rsid w:val="00D908C6"/>
    <w:rsid w:val="00D9143C"/>
    <w:rsid w:val="00D9156F"/>
    <w:rsid w:val="00D919DB"/>
    <w:rsid w:val="00D920F2"/>
    <w:rsid w:val="00D924BD"/>
    <w:rsid w:val="00D9436C"/>
    <w:rsid w:val="00D94EB5"/>
    <w:rsid w:val="00D96185"/>
    <w:rsid w:val="00D97744"/>
    <w:rsid w:val="00D97E55"/>
    <w:rsid w:val="00DA13C4"/>
    <w:rsid w:val="00DA3719"/>
    <w:rsid w:val="00DA4AF3"/>
    <w:rsid w:val="00DA4C18"/>
    <w:rsid w:val="00DA4D73"/>
    <w:rsid w:val="00DB0A7D"/>
    <w:rsid w:val="00DB1B37"/>
    <w:rsid w:val="00DB1BCD"/>
    <w:rsid w:val="00DB1D7B"/>
    <w:rsid w:val="00DB2380"/>
    <w:rsid w:val="00DB4B42"/>
    <w:rsid w:val="00DB642B"/>
    <w:rsid w:val="00DC1065"/>
    <w:rsid w:val="00DC175E"/>
    <w:rsid w:val="00DC4877"/>
    <w:rsid w:val="00DC6318"/>
    <w:rsid w:val="00DC6E18"/>
    <w:rsid w:val="00DD0FDD"/>
    <w:rsid w:val="00DD1D88"/>
    <w:rsid w:val="00DD332F"/>
    <w:rsid w:val="00DD3DA6"/>
    <w:rsid w:val="00DD443C"/>
    <w:rsid w:val="00DD45D8"/>
    <w:rsid w:val="00DD4C6C"/>
    <w:rsid w:val="00DD562C"/>
    <w:rsid w:val="00DD5B3A"/>
    <w:rsid w:val="00DD6C4A"/>
    <w:rsid w:val="00DD6F4D"/>
    <w:rsid w:val="00DD6F69"/>
    <w:rsid w:val="00DD6FD7"/>
    <w:rsid w:val="00DD7323"/>
    <w:rsid w:val="00DD778E"/>
    <w:rsid w:val="00DD7DEC"/>
    <w:rsid w:val="00DE056F"/>
    <w:rsid w:val="00DE10A3"/>
    <w:rsid w:val="00DE184C"/>
    <w:rsid w:val="00DE309C"/>
    <w:rsid w:val="00DE4143"/>
    <w:rsid w:val="00DE4D50"/>
    <w:rsid w:val="00DE644D"/>
    <w:rsid w:val="00DE7D47"/>
    <w:rsid w:val="00DF010F"/>
    <w:rsid w:val="00DF0512"/>
    <w:rsid w:val="00DF10CA"/>
    <w:rsid w:val="00DF1601"/>
    <w:rsid w:val="00DF3CB3"/>
    <w:rsid w:val="00DF4F92"/>
    <w:rsid w:val="00DF5486"/>
    <w:rsid w:val="00DF68C6"/>
    <w:rsid w:val="00E0245B"/>
    <w:rsid w:val="00E02545"/>
    <w:rsid w:val="00E03390"/>
    <w:rsid w:val="00E035B2"/>
    <w:rsid w:val="00E049E2"/>
    <w:rsid w:val="00E04EC6"/>
    <w:rsid w:val="00E05908"/>
    <w:rsid w:val="00E065F2"/>
    <w:rsid w:val="00E0706E"/>
    <w:rsid w:val="00E07089"/>
    <w:rsid w:val="00E0773F"/>
    <w:rsid w:val="00E1039B"/>
    <w:rsid w:val="00E11018"/>
    <w:rsid w:val="00E117FB"/>
    <w:rsid w:val="00E12D56"/>
    <w:rsid w:val="00E12E7D"/>
    <w:rsid w:val="00E15625"/>
    <w:rsid w:val="00E15A17"/>
    <w:rsid w:val="00E15F9C"/>
    <w:rsid w:val="00E16767"/>
    <w:rsid w:val="00E176BC"/>
    <w:rsid w:val="00E23F23"/>
    <w:rsid w:val="00E240D5"/>
    <w:rsid w:val="00E248B4"/>
    <w:rsid w:val="00E24D29"/>
    <w:rsid w:val="00E24E87"/>
    <w:rsid w:val="00E26790"/>
    <w:rsid w:val="00E32958"/>
    <w:rsid w:val="00E347F0"/>
    <w:rsid w:val="00E356AA"/>
    <w:rsid w:val="00E35E37"/>
    <w:rsid w:val="00E3600F"/>
    <w:rsid w:val="00E3697B"/>
    <w:rsid w:val="00E370FF"/>
    <w:rsid w:val="00E40771"/>
    <w:rsid w:val="00E40D4E"/>
    <w:rsid w:val="00E40EFD"/>
    <w:rsid w:val="00E41791"/>
    <w:rsid w:val="00E424C5"/>
    <w:rsid w:val="00E429F4"/>
    <w:rsid w:val="00E43378"/>
    <w:rsid w:val="00E43896"/>
    <w:rsid w:val="00E43A55"/>
    <w:rsid w:val="00E46108"/>
    <w:rsid w:val="00E46BAD"/>
    <w:rsid w:val="00E47182"/>
    <w:rsid w:val="00E477D7"/>
    <w:rsid w:val="00E51194"/>
    <w:rsid w:val="00E516AB"/>
    <w:rsid w:val="00E516B7"/>
    <w:rsid w:val="00E521C4"/>
    <w:rsid w:val="00E539CC"/>
    <w:rsid w:val="00E53D47"/>
    <w:rsid w:val="00E5463D"/>
    <w:rsid w:val="00E56D2F"/>
    <w:rsid w:val="00E60443"/>
    <w:rsid w:val="00E61DCD"/>
    <w:rsid w:val="00E64D0A"/>
    <w:rsid w:val="00E65663"/>
    <w:rsid w:val="00E65981"/>
    <w:rsid w:val="00E66D83"/>
    <w:rsid w:val="00E70E3A"/>
    <w:rsid w:val="00E71371"/>
    <w:rsid w:val="00E73FA3"/>
    <w:rsid w:val="00E7409C"/>
    <w:rsid w:val="00E748BD"/>
    <w:rsid w:val="00E76694"/>
    <w:rsid w:val="00E76D64"/>
    <w:rsid w:val="00E76EDE"/>
    <w:rsid w:val="00E76F2D"/>
    <w:rsid w:val="00E76F88"/>
    <w:rsid w:val="00E800DA"/>
    <w:rsid w:val="00E80D8B"/>
    <w:rsid w:val="00E80F5B"/>
    <w:rsid w:val="00E81757"/>
    <w:rsid w:val="00E820D4"/>
    <w:rsid w:val="00E84A78"/>
    <w:rsid w:val="00E85C93"/>
    <w:rsid w:val="00E8680F"/>
    <w:rsid w:val="00E86A36"/>
    <w:rsid w:val="00E86C5F"/>
    <w:rsid w:val="00E86ED8"/>
    <w:rsid w:val="00E87C9C"/>
    <w:rsid w:val="00E90BC5"/>
    <w:rsid w:val="00E918CF"/>
    <w:rsid w:val="00E91FC4"/>
    <w:rsid w:val="00E92861"/>
    <w:rsid w:val="00E939B2"/>
    <w:rsid w:val="00E93E44"/>
    <w:rsid w:val="00E955A0"/>
    <w:rsid w:val="00E95D32"/>
    <w:rsid w:val="00E963F3"/>
    <w:rsid w:val="00E963F7"/>
    <w:rsid w:val="00E966B0"/>
    <w:rsid w:val="00E96C79"/>
    <w:rsid w:val="00E97A6A"/>
    <w:rsid w:val="00EA0770"/>
    <w:rsid w:val="00EA081F"/>
    <w:rsid w:val="00EA0E0B"/>
    <w:rsid w:val="00EA1C50"/>
    <w:rsid w:val="00EA607F"/>
    <w:rsid w:val="00EA6BC9"/>
    <w:rsid w:val="00EA7237"/>
    <w:rsid w:val="00EA7D9E"/>
    <w:rsid w:val="00EB0228"/>
    <w:rsid w:val="00EB049E"/>
    <w:rsid w:val="00EB0A47"/>
    <w:rsid w:val="00EB0B84"/>
    <w:rsid w:val="00EB2A4C"/>
    <w:rsid w:val="00EB37F6"/>
    <w:rsid w:val="00EB5988"/>
    <w:rsid w:val="00EB7E8E"/>
    <w:rsid w:val="00EC03A7"/>
    <w:rsid w:val="00EC656D"/>
    <w:rsid w:val="00EC6F3C"/>
    <w:rsid w:val="00EC764F"/>
    <w:rsid w:val="00ED0498"/>
    <w:rsid w:val="00ED1AA2"/>
    <w:rsid w:val="00ED27E2"/>
    <w:rsid w:val="00ED4757"/>
    <w:rsid w:val="00ED5385"/>
    <w:rsid w:val="00ED5BA1"/>
    <w:rsid w:val="00ED5F4B"/>
    <w:rsid w:val="00ED77EF"/>
    <w:rsid w:val="00ED79FA"/>
    <w:rsid w:val="00EE0D5E"/>
    <w:rsid w:val="00EE2001"/>
    <w:rsid w:val="00EE2EB9"/>
    <w:rsid w:val="00EE311E"/>
    <w:rsid w:val="00EE4487"/>
    <w:rsid w:val="00EE4B69"/>
    <w:rsid w:val="00EE6990"/>
    <w:rsid w:val="00EF02C3"/>
    <w:rsid w:val="00EF07A3"/>
    <w:rsid w:val="00EF093A"/>
    <w:rsid w:val="00EF0DA0"/>
    <w:rsid w:val="00EF27C1"/>
    <w:rsid w:val="00EF2A9B"/>
    <w:rsid w:val="00EF2ABB"/>
    <w:rsid w:val="00EF4A7D"/>
    <w:rsid w:val="00EF4CD3"/>
    <w:rsid w:val="00EF4D3F"/>
    <w:rsid w:val="00EF6AD5"/>
    <w:rsid w:val="00EF6D7F"/>
    <w:rsid w:val="00EF7E99"/>
    <w:rsid w:val="00F02D5C"/>
    <w:rsid w:val="00F03738"/>
    <w:rsid w:val="00F040E5"/>
    <w:rsid w:val="00F041FD"/>
    <w:rsid w:val="00F049A4"/>
    <w:rsid w:val="00F05169"/>
    <w:rsid w:val="00F052B4"/>
    <w:rsid w:val="00F05339"/>
    <w:rsid w:val="00F06DBD"/>
    <w:rsid w:val="00F06E60"/>
    <w:rsid w:val="00F079C0"/>
    <w:rsid w:val="00F10A08"/>
    <w:rsid w:val="00F10B16"/>
    <w:rsid w:val="00F10B88"/>
    <w:rsid w:val="00F13FB8"/>
    <w:rsid w:val="00F15A7B"/>
    <w:rsid w:val="00F15CD0"/>
    <w:rsid w:val="00F16D39"/>
    <w:rsid w:val="00F174BB"/>
    <w:rsid w:val="00F17D69"/>
    <w:rsid w:val="00F20613"/>
    <w:rsid w:val="00F21C4D"/>
    <w:rsid w:val="00F229B0"/>
    <w:rsid w:val="00F23BDF"/>
    <w:rsid w:val="00F24686"/>
    <w:rsid w:val="00F25134"/>
    <w:rsid w:val="00F26440"/>
    <w:rsid w:val="00F26C4C"/>
    <w:rsid w:val="00F27DF7"/>
    <w:rsid w:val="00F3180B"/>
    <w:rsid w:val="00F31985"/>
    <w:rsid w:val="00F32331"/>
    <w:rsid w:val="00F32760"/>
    <w:rsid w:val="00F33281"/>
    <w:rsid w:val="00F33FF3"/>
    <w:rsid w:val="00F354B2"/>
    <w:rsid w:val="00F357A5"/>
    <w:rsid w:val="00F362EF"/>
    <w:rsid w:val="00F3656B"/>
    <w:rsid w:val="00F3728A"/>
    <w:rsid w:val="00F377EB"/>
    <w:rsid w:val="00F37CFC"/>
    <w:rsid w:val="00F404AF"/>
    <w:rsid w:val="00F405F4"/>
    <w:rsid w:val="00F40E87"/>
    <w:rsid w:val="00F40FC8"/>
    <w:rsid w:val="00F41398"/>
    <w:rsid w:val="00F417BC"/>
    <w:rsid w:val="00F428BE"/>
    <w:rsid w:val="00F44368"/>
    <w:rsid w:val="00F468EE"/>
    <w:rsid w:val="00F46B47"/>
    <w:rsid w:val="00F46F12"/>
    <w:rsid w:val="00F47219"/>
    <w:rsid w:val="00F47DAB"/>
    <w:rsid w:val="00F5314C"/>
    <w:rsid w:val="00F532E6"/>
    <w:rsid w:val="00F536DF"/>
    <w:rsid w:val="00F53AF7"/>
    <w:rsid w:val="00F54443"/>
    <w:rsid w:val="00F546E8"/>
    <w:rsid w:val="00F56D34"/>
    <w:rsid w:val="00F56E0E"/>
    <w:rsid w:val="00F57E5D"/>
    <w:rsid w:val="00F60C18"/>
    <w:rsid w:val="00F61D6A"/>
    <w:rsid w:val="00F62815"/>
    <w:rsid w:val="00F62A34"/>
    <w:rsid w:val="00F63260"/>
    <w:rsid w:val="00F64078"/>
    <w:rsid w:val="00F670E5"/>
    <w:rsid w:val="00F67D42"/>
    <w:rsid w:val="00F67E55"/>
    <w:rsid w:val="00F71B12"/>
    <w:rsid w:val="00F71E0E"/>
    <w:rsid w:val="00F71E7A"/>
    <w:rsid w:val="00F7233C"/>
    <w:rsid w:val="00F73795"/>
    <w:rsid w:val="00F74A5A"/>
    <w:rsid w:val="00F74E94"/>
    <w:rsid w:val="00F75C98"/>
    <w:rsid w:val="00F76556"/>
    <w:rsid w:val="00F76AA7"/>
    <w:rsid w:val="00F80CD9"/>
    <w:rsid w:val="00F8225D"/>
    <w:rsid w:val="00F83EDA"/>
    <w:rsid w:val="00F83F39"/>
    <w:rsid w:val="00F8419D"/>
    <w:rsid w:val="00F856A0"/>
    <w:rsid w:val="00F865CC"/>
    <w:rsid w:val="00F86D47"/>
    <w:rsid w:val="00F901AF"/>
    <w:rsid w:val="00F9070A"/>
    <w:rsid w:val="00F93581"/>
    <w:rsid w:val="00F9386E"/>
    <w:rsid w:val="00F93AE2"/>
    <w:rsid w:val="00F9470D"/>
    <w:rsid w:val="00F94A1E"/>
    <w:rsid w:val="00F94A46"/>
    <w:rsid w:val="00F956EF"/>
    <w:rsid w:val="00F95750"/>
    <w:rsid w:val="00F95887"/>
    <w:rsid w:val="00F964D0"/>
    <w:rsid w:val="00FA2AF6"/>
    <w:rsid w:val="00FA416D"/>
    <w:rsid w:val="00FA62E4"/>
    <w:rsid w:val="00FA671A"/>
    <w:rsid w:val="00FA6C78"/>
    <w:rsid w:val="00FA704B"/>
    <w:rsid w:val="00FA7222"/>
    <w:rsid w:val="00FA7CED"/>
    <w:rsid w:val="00FB0877"/>
    <w:rsid w:val="00FB0E64"/>
    <w:rsid w:val="00FB0ED7"/>
    <w:rsid w:val="00FB2778"/>
    <w:rsid w:val="00FB3F6D"/>
    <w:rsid w:val="00FB627C"/>
    <w:rsid w:val="00FB6DEC"/>
    <w:rsid w:val="00FB6F5D"/>
    <w:rsid w:val="00FC0359"/>
    <w:rsid w:val="00FC0A75"/>
    <w:rsid w:val="00FC1136"/>
    <w:rsid w:val="00FC22EF"/>
    <w:rsid w:val="00FC3336"/>
    <w:rsid w:val="00FC388A"/>
    <w:rsid w:val="00FC5AEA"/>
    <w:rsid w:val="00FC5F75"/>
    <w:rsid w:val="00FC69C6"/>
    <w:rsid w:val="00FC6B8E"/>
    <w:rsid w:val="00FC7020"/>
    <w:rsid w:val="00FC7591"/>
    <w:rsid w:val="00FD0C4B"/>
    <w:rsid w:val="00FD13E7"/>
    <w:rsid w:val="00FD1C15"/>
    <w:rsid w:val="00FD1FA8"/>
    <w:rsid w:val="00FD277F"/>
    <w:rsid w:val="00FD34BA"/>
    <w:rsid w:val="00FD499D"/>
    <w:rsid w:val="00FD5BBB"/>
    <w:rsid w:val="00FD6815"/>
    <w:rsid w:val="00FD6ADE"/>
    <w:rsid w:val="00FD7609"/>
    <w:rsid w:val="00FE09F7"/>
    <w:rsid w:val="00FE12AC"/>
    <w:rsid w:val="00FE1B13"/>
    <w:rsid w:val="00FE2061"/>
    <w:rsid w:val="00FE2580"/>
    <w:rsid w:val="00FE55C5"/>
    <w:rsid w:val="00FE59BD"/>
    <w:rsid w:val="00FE5E3A"/>
    <w:rsid w:val="00FE7D91"/>
    <w:rsid w:val="00FF0154"/>
    <w:rsid w:val="00FF0BB2"/>
    <w:rsid w:val="00FF107A"/>
    <w:rsid w:val="00FF1A35"/>
    <w:rsid w:val="00FF1E66"/>
    <w:rsid w:val="00FF24F8"/>
    <w:rsid w:val="00FF2563"/>
    <w:rsid w:val="00FF2DFE"/>
    <w:rsid w:val="00FF2F5D"/>
    <w:rsid w:val="00FF30C9"/>
    <w:rsid w:val="00FF34D8"/>
    <w:rsid w:val="00FF3567"/>
    <w:rsid w:val="00FF3A04"/>
    <w:rsid w:val="00FF5D0A"/>
    <w:rsid w:val="00FF6119"/>
    <w:rsid w:val="00FF7070"/>
    <w:rsid w:val="011C4D8A"/>
    <w:rsid w:val="012B0C1E"/>
    <w:rsid w:val="0152099F"/>
    <w:rsid w:val="016C3D8E"/>
    <w:rsid w:val="01702D73"/>
    <w:rsid w:val="0174208A"/>
    <w:rsid w:val="0188685E"/>
    <w:rsid w:val="018D1B93"/>
    <w:rsid w:val="01993D60"/>
    <w:rsid w:val="01A8450E"/>
    <w:rsid w:val="01BC1294"/>
    <w:rsid w:val="01C2207C"/>
    <w:rsid w:val="01C776E0"/>
    <w:rsid w:val="01CF13C4"/>
    <w:rsid w:val="01DB4E9F"/>
    <w:rsid w:val="01EB2BE1"/>
    <w:rsid w:val="02064BCD"/>
    <w:rsid w:val="02090068"/>
    <w:rsid w:val="02263C2A"/>
    <w:rsid w:val="02273298"/>
    <w:rsid w:val="023F3EF2"/>
    <w:rsid w:val="02682FB0"/>
    <w:rsid w:val="027A6549"/>
    <w:rsid w:val="028A205E"/>
    <w:rsid w:val="029B3385"/>
    <w:rsid w:val="029E2BA4"/>
    <w:rsid w:val="029E662D"/>
    <w:rsid w:val="02BA4997"/>
    <w:rsid w:val="02C25610"/>
    <w:rsid w:val="02D931FC"/>
    <w:rsid w:val="02F0179C"/>
    <w:rsid w:val="02F405F4"/>
    <w:rsid w:val="02F53218"/>
    <w:rsid w:val="030D3039"/>
    <w:rsid w:val="031239E5"/>
    <w:rsid w:val="03166EC9"/>
    <w:rsid w:val="031A3AA8"/>
    <w:rsid w:val="032300C2"/>
    <w:rsid w:val="03354C2D"/>
    <w:rsid w:val="033E39E2"/>
    <w:rsid w:val="03491CE5"/>
    <w:rsid w:val="035D0010"/>
    <w:rsid w:val="03621C97"/>
    <w:rsid w:val="0368271C"/>
    <w:rsid w:val="038208C8"/>
    <w:rsid w:val="03844A01"/>
    <w:rsid w:val="03C36F10"/>
    <w:rsid w:val="03C74DC2"/>
    <w:rsid w:val="03CD0E1E"/>
    <w:rsid w:val="03E624EB"/>
    <w:rsid w:val="03E80945"/>
    <w:rsid w:val="03E96C61"/>
    <w:rsid w:val="04075A39"/>
    <w:rsid w:val="040E47EE"/>
    <w:rsid w:val="041739B8"/>
    <w:rsid w:val="041E40B7"/>
    <w:rsid w:val="042F09AF"/>
    <w:rsid w:val="04370845"/>
    <w:rsid w:val="04611A78"/>
    <w:rsid w:val="046D3876"/>
    <w:rsid w:val="04701B8C"/>
    <w:rsid w:val="04826287"/>
    <w:rsid w:val="04A24AA9"/>
    <w:rsid w:val="04B17104"/>
    <w:rsid w:val="04C51222"/>
    <w:rsid w:val="04C71474"/>
    <w:rsid w:val="04D63E4A"/>
    <w:rsid w:val="04F06B51"/>
    <w:rsid w:val="04F811F7"/>
    <w:rsid w:val="04F86B5F"/>
    <w:rsid w:val="05140DC4"/>
    <w:rsid w:val="052D06D7"/>
    <w:rsid w:val="052D3EE9"/>
    <w:rsid w:val="053E580B"/>
    <w:rsid w:val="05441E69"/>
    <w:rsid w:val="055D4726"/>
    <w:rsid w:val="05723253"/>
    <w:rsid w:val="05762920"/>
    <w:rsid w:val="0576360E"/>
    <w:rsid w:val="057916A3"/>
    <w:rsid w:val="057E3893"/>
    <w:rsid w:val="05896DC4"/>
    <w:rsid w:val="058F7672"/>
    <w:rsid w:val="05B44425"/>
    <w:rsid w:val="05BD0C12"/>
    <w:rsid w:val="05BE62FA"/>
    <w:rsid w:val="05CF41D4"/>
    <w:rsid w:val="05D142B3"/>
    <w:rsid w:val="05DD5474"/>
    <w:rsid w:val="05E1403F"/>
    <w:rsid w:val="05E26410"/>
    <w:rsid w:val="05EE3B4E"/>
    <w:rsid w:val="060D2BB2"/>
    <w:rsid w:val="060F2BBF"/>
    <w:rsid w:val="061F463E"/>
    <w:rsid w:val="062D3334"/>
    <w:rsid w:val="062E7477"/>
    <w:rsid w:val="06394F99"/>
    <w:rsid w:val="066459AC"/>
    <w:rsid w:val="066525A4"/>
    <w:rsid w:val="06685DA0"/>
    <w:rsid w:val="066E5311"/>
    <w:rsid w:val="06757696"/>
    <w:rsid w:val="06763B4B"/>
    <w:rsid w:val="068151D0"/>
    <w:rsid w:val="068C24A5"/>
    <w:rsid w:val="06A62FD9"/>
    <w:rsid w:val="06A81ECE"/>
    <w:rsid w:val="06A94B4A"/>
    <w:rsid w:val="06AC7BDE"/>
    <w:rsid w:val="06B1626D"/>
    <w:rsid w:val="06CD0855"/>
    <w:rsid w:val="06F71148"/>
    <w:rsid w:val="06F72F04"/>
    <w:rsid w:val="06FD0DC2"/>
    <w:rsid w:val="070218EC"/>
    <w:rsid w:val="07180312"/>
    <w:rsid w:val="07183D02"/>
    <w:rsid w:val="071E3EF8"/>
    <w:rsid w:val="071F570D"/>
    <w:rsid w:val="073533AD"/>
    <w:rsid w:val="07476DC8"/>
    <w:rsid w:val="07484589"/>
    <w:rsid w:val="074A7978"/>
    <w:rsid w:val="07815C50"/>
    <w:rsid w:val="07B62C9C"/>
    <w:rsid w:val="07EA291F"/>
    <w:rsid w:val="080808A0"/>
    <w:rsid w:val="081508A2"/>
    <w:rsid w:val="081749A7"/>
    <w:rsid w:val="083E2F25"/>
    <w:rsid w:val="08437EF3"/>
    <w:rsid w:val="08594498"/>
    <w:rsid w:val="085A7797"/>
    <w:rsid w:val="08692312"/>
    <w:rsid w:val="08706A66"/>
    <w:rsid w:val="089036B7"/>
    <w:rsid w:val="089F7CA5"/>
    <w:rsid w:val="08B51453"/>
    <w:rsid w:val="08BD0EA0"/>
    <w:rsid w:val="08C064C0"/>
    <w:rsid w:val="08DB4B25"/>
    <w:rsid w:val="08E01BCE"/>
    <w:rsid w:val="08E216F0"/>
    <w:rsid w:val="08E26F45"/>
    <w:rsid w:val="08E3734A"/>
    <w:rsid w:val="08E702BF"/>
    <w:rsid w:val="08EA6987"/>
    <w:rsid w:val="09081B56"/>
    <w:rsid w:val="0922699A"/>
    <w:rsid w:val="09404248"/>
    <w:rsid w:val="0940701D"/>
    <w:rsid w:val="09440304"/>
    <w:rsid w:val="09551130"/>
    <w:rsid w:val="09725318"/>
    <w:rsid w:val="098764AA"/>
    <w:rsid w:val="09A410A8"/>
    <w:rsid w:val="09BE52DE"/>
    <w:rsid w:val="09C304EB"/>
    <w:rsid w:val="09C53A21"/>
    <w:rsid w:val="09C557E9"/>
    <w:rsid w:val="09D30126"/>
    <w:rsid w:val="09D52BEB"/>
    <w:rsid w:val="09D84E03"/>
    <w:rsid w:val="09DD1104"/>
    <w:rsid w:val="09E737F2"/>
    <w:rsid w:val="09F84AA8"/>
    <w:rsid w:val="0A001631"/>
    <w:rsid w:val="0A0B76BA"/>
    <w:rsid w:val="0A106033"/>
    <w:rsid w:val="0A1D39FA"/>
    <w:rsid w:val="0A353749"/>
    <w:rsid w:val="0A4213D2"/>
    <w:rsid w:val="0A4C10CD"/>
    <w:rsid w:val="0A501D24"/>
    <w:rsid w:val="0A514723"/>
    <w:rsid w:val="0A577DCC"/>
    <w:rsid w:val="0A6D3C90"/>
    <w:rsid w:val="0A9D519E"/>
    <w:rsid w:val="0A9E3A18"/>
    <w:rsid w:val="0AA94BEF"/>
    <w:rsid w:val="0ABB1E85"/>
    <w:rsid w:val="0ABE5888"/>
    <w:rsid w:val="0AC24A92"/>
    <w:rsid w:val="0AC62D12"/>
    <w:rsid w:val="0AC7358C"/>
    <w:rsid w:val="0AFF6668"/>
    <w:rsid w:val="0B0D528C"/>
    <w:rsid w:val="0B1C1C00"/>
    <w:rsid w:val="0B1C6E34"/>
    <w:rsid w:val="0B1F4F7F"/>
    <w:rsid w:val="0B3253A5"/>
    <w:rsid w:val="0B326CC7"/>
    <w:rsid w:val="0B370769"/>
    <w:rsid w:val="0B4D13E5"/>
    <w:rsid w:val="0B4E34C6"/>
    <w:rsid w:val="0B5605CC"/>
    <w:rsid w:val="0B562DAC"/>
    <w:rsid w:val="0B702D58"/>
    <w:rsid w:val="0B75201D"/>
    <w:rsid w:val="0B813677"/>
    <w:rsid w:val="0B81487E"/>
    <w:rsid w:val="0B85547C"/>
    <w:rsid w:val="0B8575F9"/>
    <w:rsid w:val="0B8D6A94"/>
    <w:rsid w:val="0BA42587"/>
    <w:rsid w:val="0BAA350D"/>
    <w:rsid w:val="0BB27E54"/>
    <w:rsid w:val="0BBA28F5"/>
    <w:rsid w:val="0BBD1EDC"/>
    <w:rsid w:val="0BC262B5"/>
    <w:rsid w:val="0BCD12D7"/>
    <w:rsid w:val="0BCF7C16"/>
    <w:rsid w:val="0BDD6672"/>
    <w:rsid w:val="0BE814BE"/>
    <w:rsid w:val="0BEB6819"/>
    <w:rsid w:val="0BF77528"/>
    <w:rsid w:val="0BFA0045"/>
    <w:rsid w:val="0C136F73"/>
    <w:rsid w:val="0C1B06D7"/>
    <w:rsid w:val="0C4233AF"/>
    <w:rsid w:val="0C464A97"/>
    <w:rsid w:val="0C4B7053"/>
    <w:rsid w:val="0C615D96"/>
    <w:rsid w:val="0C89400B"/>
    <w:rsid w:val="0C8B6B05"/>
    <w:rsid w:val="0C8F5CD8"/>
    <w:rsid w:val="0C9469DE"/>
    <w:rsid w:val="0C976EF0"/>
    <w:rsid w:val="0C9873D4"/>
    <w:rsid w:val="0CA1259A"/>
    <w:rsid w:val="0CAD4302"/>
    <w:rsid w:val="0CAF6A80"/>
    <w:rsid w:val="0CB0214B"/>
    <w:rsid w:val="0CB47F7C"/>
    <w:rsid w:val="0CD05EE3"/>
    <w:rsid w:val="0CDD5BB6"/>
    <w:rsid w:val="0CDE76B4"/>
    <w:rsid w:val="0CDF1FED"/>
    <w:rsid w:val="0D024FD1"/>
    <w:rsid w:val="0D0716FB"/>
    <w:rsid w:val="0D14567F"/>
    <w:rsid w:val="0D1E6018"/>
    <w:rsid w:val="0D1F0FFB"/>
    <w:rsid w:val="0D240566"/>
    <w:rsid w:val="0D371CF2"/>
    <w:rsid w:val="0D3C56CB"/>
    <w:rsid w:val="0D443A47"/>
    <w:rsid w:val="0D54580D"/>
    <w:rsid w:val="0D6D251C"/>
    <w:rsid w:val="0D6E6DA1"/>
    <w:rsid w:val="0D747AB1"/>
    <w:rsid w:val="0D7F39FB"/>
    <w:rsid w:val="0D835ED7"/>
    <w:rsid w:val="0D9752D9"/>
    <w:rsid w:val="0D9A786B"/>
    <w:rsid w:val="0DB708BC"/>
    <w:rsid w:val="0DB72C42"/>
    <w:rsid w:val="0DC06C2B"/>
    <w:rsid w:val="0DDB5534"/>
    <w:rsid w:val="0DE04E29"/>
    <w:rsid w:val="0DE90D6E"/>
    <w:rsid w:val="0DF92721"/>
    <w:rsid w:val="0E2A3D48"/>
    <w:rsid w:val="0E473CF6"/>
    <w:rsid w:val="0E48217E"/>
    <w:rsid w:val="0E4C6690"/>
    <w:rsid w:val="0E4F33D1"/>
    <w:rsid w:val="0E666C91"/>
    <w:rsid w:val="0E9F4E7D"/>
    <w:rsid w:val="0EA73C6D"/>
    <w:rsid w:val="0EAC1173"/>
    <w:rsid w:val="0EB02422"/>
    <w:rsid w:val="0EB5640F"/>
    <w:rsid w:val="0EB8426F"/>
    <w:rsid w:val="0EBB3D1D"/>
    <w:rsid w:val="0EC23B23"/>
    <w:rsid w:val="0ED64EB1"/>
    <w:rsid w:val="0EDF6D79"/>
    <w:rsid w:val="0EE4476E"/>
    <w:rsid w:val="0EF27A89"/>
    <w:rsid w:val="0EFB1BB6"/>
    <w:rsid w:val="0F0D19D8"/>
    <w:rsid w:val="0F217D15"/>
    <w:rsid w:val="0F321715"/>
    <w:rsid w:val="0F3E131E"/>
    <w:rsid w:val="0F471525"/>
    <w:rsid w:val="0F4958B1"/>
    <w:rsid w:val="0F5977B6"/>
    <w:rsid w:val="0F6A0D23"/>
    <w:rsid w:val="0FAF385C"/>
    <w:rsid w:val="0FBF197F"/>
    <w:rsid w:val="0FC32FB3"/>
    <w:rsid w:val="0FF54C4D"/>
    <w:rsid w:val="1005432D"/>
    <w:rsid w:val="1009448F"/>
    <w:rsid w:val="102C4A8E"/>
    <w:rsid w:val="1060768A"/>
    <w:rsid w:val="10616FD4"/>
    <w:rsid w:val="10726AB1"/>
    <w:rsid w:val="10951CC5"/>
    <w:rsid w:val="10BD62F9"/>
    <w:rsid w:val="10D4264C"/>
    <w:rsid w:val="10DD707D"/>
    <w:rsid w:val="10DF592B"/>
    <w:rsid w:val="10E636FF"/>
    <w:rsid w:val="11154AE9"/>
    <w:rsid w:val="11175E42"/>
    <w:rsid w:val="111854A2"/>
    <w:rsid w:val="112231F4"/>
    <w:rsid w:val="11290272"/>
    <w:rsid w:val="114A7AE3"/>
    <w:rsid w:val="118A1992"/>
    <w:rsid w:val="119F755E"/>
    <w:rsid w:val="11A23697"/>
    <w:rsid w:val="11B72EF1"/>
    <w:rsid w:val="11B82A44"/>
    <w:rsid w:val="11BA669D"/>
    <w:rsid w:val="11BC0ABD"/>
    <w:rsid w:val="11CA5AA2"/>
    <w:rsid w:val="11D973BC"/>
    <w:rsid w:val="11DA0BCE"/>
    <w:rsid w:val="11DD42A1"/>
    <w:rsid w:val="11F53E16"/>
    <w:rsid w:val="12113CC6"/>
    <w:rsid w:val="121B516A"/>
    <w:rsid w:val="12231D95"/>
    <w:rsid w:val="12312C85"/>
    <w:rsid w:val="123C702A"/>
    <w:rsid w:val="12441B06"/>
    <w:rsid w:val="1249182D"/>
    <w:rsid w:val="125B2E40"/>
    <w:rsid w:val="12811610"/>
    <w:rsid w:val="12877439"/>
    <w:rsid w:val="129725E9"/>
    <w:rsid w:val="12B343B2"/>
    <w:rsid w:val="12C86981"/>
    <w:rsid w:val="12CF4C41"/>
    <w:rsid w:val="12DD1218"/>
    <w:rsid w:val="12FD6E69"/>
    <w:rsid w:val="130E0A9E"/>
    <w:rsid w:val="131F295B"/>
    <w:rsid w:val="13270EFD"/>
    <w:rsid w:val="13384EBF"/>
    <w:rsid w:val="13401D7B"/>
    <w:rsid w:val="13450C06"/>
    <w:rsid w:val="134E59DE"/>
    <w:rsid w:val="13741A0A"/>
    <w:rsid w:val="137F762D"/>
    <w:rsid w:val="138D3A49"/>
    <w:rsid w:val="13BC5F47"/>
    <w:rsid w:val="13C76AD9"/>
    <w:rsid w:val="13D24932"/>
    <w:rsid w:val="13DF2F86"/>
    <w:rsid w:val="13E16550"/>
    <w:rsid w:val="13E97AE8"/>
    <w:rsid w:val="13EE5A17"/>
    <w:rsid w:val="1406065E"/>
    <w:rsid w:val="140E6A2C"/>
    <w:rsid w:val="14296635"/>
    <w:rsid w:val="142C50B5"/>
    <w:rsid w:val="143417A2"/>
    <w:rsid w:val="143E3F4A"/>
    <w:rsid w:val="14576A07"/>
    <w:rsid w:val="146C05D1"/>
    <w:rsid w:val="14774747"/>
    <w:rsid w:val="147A40E5"/>
    <w:rsid w:val="14AA2DA9"/>
    <w:rsid w:val="14B645DD"/>
    <w:rsid w:val="14CF6367"/>
    <w:rsid w:val="1506170C"/>
    <w:rsid w:val="15304C6C"/>
    <w:rsid w:val="154A5A8D"/>
    <w:rsid w:val="156F1D08"/>
    <w:rsid w:val="15823A3D"/>
    <w:rsid w:val="15833FB8"/>
    <w:rsid w:val="15946B6F"/>
    <w:rsid w:val="15B071CF"/>
    <w:rsid w:val="15D5286E"/>
    <w:rsid w:val="15F21A3A"/>
    <w:rsid w:val="15F36591"/>
    <w:rsid w:val="15F5236F"/>
    <w:rsid w:val="15FE48A1"/>
    <w:rsid w:val="160A0F52"/>
    <w:rsid w:val="160C313A"/>
    <w:rsid w:val="160C4353"/>
    <w:rsid w:val="162843BF"/>
    <w:rsid w:val="162B4B2F"/>
    <w:rsid w:val="16346A72"/>
    <w:rsid w:val="1639477A"/>
    <w:rsid w:val="16450461"/>
    <w:rsid w:val="16565231"/>
    <w:rsid w:val="166A6434"/>
    <w:rsid w:val="166C5AE0"/>
    <w:rsid w:val="167239AA"/>
    <w:rsid w:val="16756ED4"/>
    <w:rsid w:val="167911A4"/>
    <w:rsid w:val="16864E8A"/>
    <w:rsid w:val="168A5A6B"/>
    <w:rsid w:val="168C097C"/>
    <w:rsid w:val="16A57952"/>
    <w:rsid w:val="16C31A06"/>
    <w:rsid w:val="16D534FC"/>
    <w:rsid w:val="16FD01B8"/>
    <w:rsid w:val="16FD7C84"/>
    <w:rsid w:val="17053FFF"/>
    <w:rsid w:val="1710641E"/>
    <w:rsid w:val="1714609D"/>
    <w:rsid w:val="17294DEB"/>
    <w:rsid w:val="173B281B"/>
    <w:rsid w:val="17497D3D"/>
    <w:rsid w:val="174D2D72"/>
    <w:rsid w:val="17504F3A"/>
    <w:rsid w:val="175B185B"/>
    <w:rsid w:val="17614581"/>
    <w:rsid w:val="1765436B"/>
    <w:rsid w:val="17862906"/>
    <w:rsid w:val="179A02D4"/>
    <w:rsid w:val="17A45FCC"/>
    <w:rsid w:val="17AA2D12"/>
    <w:rsid w:val="17AF029A"/>
    <w:rsid w:val="17C1359F"/>
    <w:rsid w:val="17C27980"/>
    <w:rsid w:val="17C36CC9"/>
    <w:rsid w:val="17DE53EE"/>
    <w:rsid w:val="17E3362C"/>
    <w:rsid w:val="17F008E6"/>
    <w:rsid w:val="17F14B2E"/>
    <w:rsid w:val="180C6BE2"/>
    <w:rsid w:val="18183E97"/>
    <w:rsid w:val="181970D3"/>
    <w:rsid w:val="181C3DFB"/>
    <w:rsid w:val="181C6D74"/>
    <w:rsid w:val="181F6859"/>
    <w:rsid w:val="182227F9"/>
    <w:rsid w:val="18431AD9"/>
    <w:rsid w:val="184A0E01"/>
    <w:rsid w:val="184B6C65"/>
    <w:rsid w:val="1853747B"/>
    <w:rsid w:val="186C7E50"/>
    <w:rsid w:val="18787EF4"/>
    <w:rsid w:val="18B407EB"/>
    <w:rsid w:val="18B660F8"/>
    <w:rsid w:val="18B91351"/>
    <w:rsid w:val="18BE41EE"/>
    <w:rsid w:val="18C45B23"/>
    <w:rsid w:val="18D17C0A"/>
    <w:rsid w:val="18D40073"/>
    <w:rsid w:val="18D813F2"/>
    <w:rsid w:val="18D97B1D"/>
    <w:rsid w:val="18EC168B"/>
    <w:rsid w:val="18F370CD"/>
    <w:rsid w:val="18F642EE"/>
    <w:rsid w:val="18F71715"/>
    <w:rsid w:val="18FD0335"/>
    <w:rsid w:val="19047A40"/>
    <w:rsid w:val="19172D5F"/>
    <w:rsid w:val="19311DAE"/>
    <w:rsid w:val="194E4DC2"/>
    <w:rsid w:val="19585F48"/>
    <w:rsid w:val="195F0793"/>
    <w:rsid w:val="196E0779"/>
    <w:rsid w:val="197F1A4D"/>
    <w:rsid w:val="19826508"/>
    <w:rsid w:val="198A4C43"/>
    <w:rsid w:val="19A32BBF"/>
    <w:rsid w:val="19AF7D5A"/>
    <w:rsid w:val="19C23939"/>
    <w:rsid w:val="19E06C66"/>
    <w:rsid w:val="19F8604D"/>
    <w:rsid w:val="1A182768"/>
    <w:rsid w:val="1A1C644E"/>
    <w:rsid w:val="1A225FD3"/>
    <w:rsid w:val="1A3C5DF4"/>
    <w:rsid w:val="1A3F3EC7"/>
    <w:rsid w:val="1A4C7DA7"/>
    <w:rsid w:val="1A582F79"/>
    <w:rsid w:val="1A607496"/>
    <w:rsid w:val="1A637597"/>
    <w:rsid w:val="1A64443B"/>
    <w:rsid w:val="1A6803EE"/>
    <w:rsid w:val="1A690D88"/>
    <w:rsid w:val="1A9D3EBF"/>
    <w:rsid w:val="1AA4068A"/>
    <w:rsid w:val="1AB04A42"/>
    <w:rsid w:val="1AB674F6"/>
    <w:rsid w:val="1ABC7B11"/>
    <w:rsid w:val="1ABD335D"/>
    <w:rsid w:val="1AEC2644"/>
    <w:rsid w:val="1B0516FC"/>
    <w:rsid w:val="1B1D35F1"/>
    <w:rsid w:val="1B261436"/>
    <w:rsid w:val="1B441B4B"/>
    <w:rsid w:val="1B524CFD"/>
    <w:rsid w:val="1B8F198C"/>
    <w:rsid w:val="1B932E9D"/>
    <w:rsid w:val="1BF52347"/>
    <w:rsid w:val="1C081CA0"/>
    <w:rsid w:val="1C1E0910"/>
    <w:rsid w:val="1C235610"/>
    <w:rsid w:val="1C301257"/>
    <w:rsid w:val="1C336944"/>
    <w:rsid w:val="1C4472B2"/>
    <w:rsid w:val="1C545D2A"/>
    <w:rsid w:val="1C6E1B03"/>
    <w:rsid w:val="1C7945EF"/>
    <w:rsid w:val="1C7C2072"/>
    <w:rsid w:val="1C8468D5"/>
    <w:rsid w:val="1C967034"/>
    <w:rsid w:val="1CA00412"/>
    <w:rsid w:val="1CA02084"/>
    <w:rsid w:val="1CAD2B96"/>
    <w:rsid w:val="1CB9135B"/>
    <w:rsid w:val="1CD73ECE"/>
    <w:rsid w:val="1CF27799"/>
    <w:rsid w:val="1CFB039E"/>
    <w:rsid w:val="1D2732A4"/>
    <w:rsid w:val="1D5E6460"/>
    <w:rsid w:val="1D5F31C0"/>
    <w:rsid w:val="1D894D3C"/>
    <w:rsid w:val="1D8B75A9"/>
    <w:rsid w:val="1D9B1DF7"/>
    <w:rsid w:val="1DA51865"/>
    <w:rsid w:val="1DAA6B76"/>
    <w:rsid w:val="1DC46FF2"/>
    <w:rsid w:val="1DE25941"/>
    <w:rsid w:val="1DF338DF"/>
    <w:rsid w:val="1DF563BD"/>
    <w:rsid w:val="1E0D2F8B"/>
    <w:rsid w:val="1E157441"/>
    <w:rsid w:val="1E492823"/>
    <w:rsid w:val="1E6F1FB2"/>
    <w:rsid w:val="1E7C28E8"/>
    <w:rsid w:val="1E7D2B5A"/>
    <w:rsid w:val="1E827D7E"/>
    <w:rsid w:val="1E8534F8"/>
    <w:rsid w:val="1E9721B3"/>
    <w:rsid w:val="1E9A240C"/>
    <w:rsid w:val="1E9A6994"/>
    <w:rsid w:val="1EA86A96"/>
    <w:rsid w:val="1EBF1537"/>
    <w:rsid w:val="1EC56616"/>
    <w:rsid w:val="1F3A1DB1"/>
    <w:rsid w:val="1F3D4D6E"/>
    <w:rsid w:val="1F4C2D8C"/>
    <w:rsid w:val="1F601FC1"/>
    <w:rsid w:val="1F60412E"/>
    <w:rsid w:val="1F6720F9"/>
    <w:rsid w:val="1F6C6915"/>
    <w:rsid w:val="1F6F0C8C"/>
    <w:rsid w:val="1F7258E1"/>
    <w:rsid w:val="1F7D76DF"/>
    <w:rsid w:val="1F8C1EF8"/>
    <w:rsid w:val="1F8D6A01"/>
    <w:rsid w:val="1F9B50FB"/>
    <w:rsid w:val="1FB45689"/>
    <w:rsid w:val="1FB91067"/>
    <w:rsid w:val="1FBE071B"/>
    <w:rsid w:val="1FC2289A"/>
    <w:rsid w:val="1FC23276"/>
    <w:rsid w:val="1FC85BAB"/>
    <w:rsid w:val="1FC95279"/>
    <w:rsid w:val="1FD43313"/>
    <w:rsid w:val="1FF17C2B"/>
    <w:rsid w:val="1FFF4E7B"/>
    <w:rsid w:val="202B6F7B"/>
    <w:rsid w:val="2031368A"/>
    <w:rsid w:val="20323E6A"/>
    <w:rsid w:val="203319AC"/>
    <w:rsid w:val="204A0ACB"/>
    <w:rsid w:val="20586827"/>
    <w:rsid w:val="20702B26"/>
    <w:rsid w:val="20780093"/>
    <w:rsid w:val="20907043"/>
    <w:rsid w:val="2091709B"/>
    <w:rsid w:val="20B81A77"/>
    <w:rsid w:val="20B84F06"/>
    <w:rsid w:val="20BE6AB2"/>
    <w:rsid w:val="20E36096"/>
    <w:rsid w:val="21030F54"/>
    <w:rsid w:val="2109527E"/>
    <w:rsid w:val="210C7B49"/>
    <w:rsid w:val="210D66B7"/>
    <w:rsid w:val="213D6CC6"/>
    <w:rsid w:val="21636D7B"/>
    <w:rsid w:val="216F71FD"/>
    <w:rsid w:val="21914B24"/>
    <w:rsid w:val="21A454E2"/>
    <w:rsid w:val="21C87D97"/>
    <w:rsid w:val="21CA3166"/>
    <w:rsid w:val="21CF326F"/>
    <w:rsid w:val="21D84129"/>
    <w:rsid w:val="21D8702B"/>
    <w:rsid w:val="21DF6586"/>
    <w:rsid w:val="220A22BA"/>
    <w:rsid w:val="22180C02"/>
    <w:rsid w:val="222372A0"/>
    <w:rsid w:val="222C0C55"/>
    <w:rsid w:val="222F0FA7"/>
    <w:rsid w:val="222F46EE"/>
    <w:rsid w:val="22753E0A"/>
    <w:rsid w:val="22763EB5"/>
    <w:rsid w:val="227919AA"/>
    <w:rsid w:val="227F27A3"/>
    <w:rsid w:val="22811DE4"/>
    <w:rsid w:val="22A42B75"/>
    <w:rsid w:val="22B62C3D"/>
    <w:rsid w:val="22BE307F"/>
    <w:rsid w:val="22C30C00"/>
    <w:rsid w:val="22D24498"/>
    <w:rsid w:val="23022971"/>
    <w:rsid w:val="2304021D"/>
    <w:rsid w:val="23105139"/>
    <w:rsid w:val="23197EE2"/>
    <w:rsid w:val="23251948"/>
    <w:rsid w:val="23372B85"/>
    <w:rsid w:val="233740CD"/>
    <w:rsid w:val="2342491A"/>
    <w:rsid w:val="234E7127"/>
    <w:rsid w:val="23521D38"/>
    <w:rsid w:val="23613237"/>
    <w:rsid w:val="23616034"/>
    <w:rsid w:val="23677B55"/>
    <w:rsid w:val="236C7EE2"/>
    <w:rsid w:val="237F49BB"/>
    <w:rsid w:val="23856A36"/>
    <w:rsid w:val="238B653B"/>
    <w:rsid w:val="23A72E6D"/>
    <w:rsid w:val="23AA0742"/>
    <w:rsid w:val="23B12D40"/>
    <w:rsid w:val="23B20D3E"/>
    <w:rsid w:val="23C506D5"/>
    <w:rsid w:val="23C84470"/>
    <w:rsid w:val="23DD01B9"/>
    <w:rsid w:val="240A47CE"/>
    <w:rsid w:val="240F6896"/>
    <w:rsid w:val="2425734F"/>
    <w:rsid w:val="24393FFA"/>
    <w:rsid w:val="24582D0C"/>
    <w:rsid w:val="245D3D13"/>
    <w:rsid w:val="2469029B"/>
    <w:rsid w:val="24695D13"/>
    <w:rsid w:val="246F05F7"/>
    <w:rsid w:val="24754746"/>
    <w:rsid w:val="247B7BAD"/>
    <w:rsid w:val="24A4671B"/>
    <w:rsid w:val="24B753DA"/>
    <w:rsid w:val="24D87048"/>
    <w:rsid w:val="24D87381"/>
    <w:rsid w:val="24DB52FC"/>
    <w:rsid w:val="24E47DD8"/>
    <w:rsid w:val="25233450"/>
    <w:rsid w:val="25272813"/>
    <w:rsid w:val="2542408E"/>
    <w:rsid w:val="2558593D"/>
    <w:rsid w:val="255A64F0"/>
    <w:rsid w:val="25765E4A"/>
    <w:rsid w:val="258745AB"/>
    <w:rsid w:val="259B5417"/>
    <w:rsid w:val="25A345C7"/>
    <w:rsid w:val="25BA0083"/>
    <w:rsid w:val="260C529E"/>
    <w:rsid w:val="260F10C4"/>
    <w:rsid w:val="26312206"/>
    <w:rsid w:val="26386ABC"/>
    <w:rsid w:val="263E0227"/>
    <w:rsid w:val="26451DDC"/>
    <w:rsid w:val="26540875"/>
    <w:rsid w:val="26572E04"/>
    <w:rsid w:val="265A302E"/>
    <w:rsid w:val="268D1231"/>
    <w:rsid w:val="26960C6D"/>
    <w:rsid w:val="26995E1A"/>
    <w:rsid w:val="26A60B05"/>
    <w:rsid w:val="26BC1123"/>
    <w:rsid w:val="26EF0BA1"/>
    <w:rsid w:val="27124CDE"/>
    <w:rsid w:val="273B5402"/>
    <w:rsid w:val="273C3E45"/>
    <w:rsid w:val="274D57E8"/>
    <w:rsid w:val="27584838"/>
    <w:rsid w:val="275B152E"/>
    <w:rsid w:val="275F0664"/>
    <w:rsid w:val="27605DF0"/>
    <w:rsid w:val="276277AA"/>
    <w:rsid w:val="276E3AFE"/>
    <w:rsid w:val="27737039"/>
    <w:rsid w:val="27753E8A"/>
    <w:rsid w:val="27791188"/>
    <w:rsid w:val="27A87CA4"/>
    <w:rsid w:val="27EC1425"/>
    <w:rsid w:val="280669D8"/>
    <w:rsid w:val="280E08E2"/>
    <w:rsid w:val="2820402B"/>
    <w:rsid w:val="283413A6"/>
    <w:rsid w:val="28810504"/>
    <w:rsid w:val="288D28A0"/>
    <w:rsid w:val="28B40502"/>
    <w:rsid w:val="28C223DE"/>
    <w:rsid w:val="28C22C4B"/>
    <w:rsid w:val="28CD08FE"/>
    <w:rsid w:val="28D0124C"/>
    <w:rsid w:val="28DE60CD"/>
    <w:rsid w:val="28F71147"/>
    <w:rsid w:val="29321D97"/>
    <w:rsid w:val="29694A41"/>
    <w:rsid w:val="29903FDD"/>
    <w:rsid w:val="2999700F"/>
    <w:rsid w:val="299C1F80"/>
    <w:rsid w:val="29A56E15"/>
    <w:rsid w:val="29BB5357"/>
    <w:rsid w:val="29C06B34"/>
    <w:rsid w:val="29C14785"/>
    <w:rsid w:val="29DD07EB"/>
    <w:rsid w:val="29E73928"/>
    <w:rsid w:val="29F96867"/>
    <w:rsid w:val="29FE19BA"/>
    <w:rsid w:val="2A0D31C6"/>
    <w:rsid w:val="2A156AF0"/>
    <w:rsid w:val="2A347C2F"/>
    <w:rsid w:val="2A3D0A69"/>
    <w:rsid w:val="2A3F34CF"/>
    <w:rsid w:val="2A576519"/>
    <w:rsid w:val="2A5C3BA7"/>
    <w:rsid w:val="2A650DC0"/>
    <w:rsid w:val="2AB51E86"/>
    <w:rsid w:val="2ABB16D3"/>
    <w:rsid w:val="2AC21E7D"/>
    <w:rsid w:val="2AC77008"/>
    <w:rsid w:val="2AED0211"/>
    <w:rsid w:val="2AF63DBB"/>
    <w:rsid w:val="2AFC0493"/>
    <w:rsid w:val="2B117844"/>
    <w:rsid w:val="2B244005"/>
    <w:rsid w:val="2B344690"/>
    <w:rsid w:val="2B4E043B"/>
    <w:rsid w:val="2B501478"/>
    <w:rsid w:val="2B717896"/>
    <w:rsid w:val="2B835C97"/>
    <w:rsid w:val="2B840A60"/>
    <w:rsid w:val="2B852663"/>
    <w:rsid w:val="2B917598"/>
    <w:rsid w:val="2BA74BE2"/>
    <w:rsid w:val="2BD44729"/>
    <w:rsid w:val="2BE0448D"/>
    <w:rsid w:val="2BE80980"/>
    <w:rsid w:val="2BF2058C"/>
    <w:rsid w:val="2BF259E2"/>
    <w:rsid w:val="2C044214"/>
    <w:rsid w:val="2C053456"/>
    <w:rsid w:val="2C2579E8"/>
    <w:rsid w:val="2C3B57A4"/>
    <w:rsid w:val="2C4922BA"/>
    <w:rsid w:val="2C5D270E"/>
    <w:rsid w:val="2C6E5BE6"/>
    <w:rsid w:val="2C997D1F"/>
    <w:rsid w:val="2C9A7130"/>
    <w:rsid w:val="2CAD6701"/>
    <w:rsid w:val="2CCC5FED"/>
    <w:rsid w:val="2CCF2078"/>
    <w:rsid w:val="2CE528D0"/>
    <w:rsid w:val="2CEB5D27"/>
    <w:rsid w:val="2CFA7FE4"/>
    <w:rsid w:val="2D095E18"/>
    <w:rsid w:val="2D50593E"/>
    <w:rsid w:val="2D5313CF"/>
    <w:rsid w:val="2D5F578C"/>
    <w:rsid w:val="2D732318"/>
    <w:rsid w:val="2D933446"/>
    <w:rsid w:val="2D9644A2"/>
    <w:rsid w:val="2DB60998"/>
    <w:rsid w:val="2DB7083D"/>
    <w:rsid w:val="2DBE7284"/>
    <w:rsid w:val="2DC31A80"/>
    <w:rsid w:val="2DC42D0C"/>
    <w:rsid w:val="2DD4569D"/>
    <w:rsid w:val="2DDA5FA1"/>
    <w:rsid w:val="2DFA3C63"/>
    <w:rsid w:val="2E030BE7"/>
    <w:rsid w:val="2E034CE3"/>
    <w:rsid w:val="2E2145BE"/>
    <w:rsid w:val="2E2F0B2F"/>
    <w:rsid w:val="2E393DE3"/>
    <w:rsid w:val="2E4C0045"/>
    <w:rsid w:val="2E5B6362"/>
    <w:rsid w:val="2E615D08"/>
    <w:rsid w:val="2E616A25"/>
    <w:rsid w:val="2E6C6861"/>
    <w:rsid w:val="2E9168DF"/>
    <w:rsid w:val="2EA121BB"/>
    <w:rsid w:val="2EAA5E47"/>
    <w:rsid w:val="2ED70585"/>
    <w:rsid w:val="2EE15669"/>
    <w:rsid w:val="2EEA5F12"/>
    <w:rsid w:val="2EF2301B"/>
    <w:rsid w:val="2F4F7564"/>
    <w:rsid w:val="2F5C724D"/>
    <w:rsid w:val="2F5F0DB6"/>
    <w:rsid w:val="2F6F263B"/>
    <w:rsid w:val="2F7F6134"/>
    <w:rsid w:val="2F880E16"/>
    <w:rsid w:val="2FAF79D6"/>
    <w:rsid w:val="2FCB5483"/>
    <w:rsid w:val="2FDF0E7B"/>
    <w:rsid w:val="2FEC7EAA"/>
    <w:rsid w:val="30012870"/>
    <w:rsid w:val="300316C2"/>
    <w:rsid w:val="30066EC1"/>
    <w:rsid w:val="301E127F"/>
    <w:rsid w:val="302E38EC"/>
    <w:rsid w:val="302F1EE3"/>
    <w:rsid w:val="3030226D"/>
    <w:rsid w:val="303A0D9D"/>
    <w:rsid w:val="304158B6"/>
    <w:rsid w:val="304914F9"/>
    <w:rsid w:val="30631B8F"/>
    <w:rsid w:val="30A81E1E"/>
    <w:rsid w:val="30B62E76"/>
    <w:rsid w:val="30BB364D"/>
    <w:rsid w:val="30C43E45"/>
    <w:rsid w:val="30CF509D"/>
    <w:rsid w:val="31067E7B"/>
    <w:rsid w:val="310E5FB5"/>
    <w:rsid w:val="31187A66"/>
    <w:rsid w:val="311D6212"/>
    <w:rsid w:val="31262BBA"/>
    <w:rsid w:val="31403265"/>
    <w:rsid w:val="31411D99"/>
    <w:rsid w:val="314C2989"/>
    <w:rsid w:val="317642CF"/>
    <w:rsid w:val="317654F8"/>
    <w:rsid w:val="318A7B30"/>
    <w:rsid w:val="31974C9E"/>
    <w:rsid w:val="31A262FD"/>
    <w:rsid w:val="31B40C75"/>
    <w:rsid w:val="31B64731"/>
    <w:rsid w:val="31BF11AD"/>
    <w:rsid w:val="31C56C6F"/>
    <w:rsid w:val="31C7383D"/>
    <w:rsid w:val="31C77AD7"/>
    <w:rsid w:val="31D3702E"/>
    <w:rsid w:val="31D535F7"/>
    <w:rsid w:val="31DA771A"/>
    <w:rsid w:val="31E64256"/>
    <w:rsid w:val="31F81538"/>
    <w:rsid w:val="320D4B45"/>
    <w:rsid w:val="320F36A7"/>
    <w:rsid w:val="322E3CDE"/>
    <w:rsid w:val="323143D1"/>
    <w:rsid w:val="323712C4"/>
    <w:rsid w:val="32420517"/>
    <w:rsid w:val="325C728D"/>
    <w:rsid w:val="325F7BA1"/>
    <w:rsid w:val="32610881"/>
    <w:rsid w:val="326B3C7B"/>
    <w:rsid w:val="3284033F"/>
    <w:rsid w:val="32956911"/>
    <w:rsid w:val="32962418"/>
    <w:rsid w:val="32D83B01"/>
    <w:rsid w:val="32DB10F8"/>
    <w:rsid w:val="33015EF2"/>
    <w:rsid w:val="33071594"/>
    <w:rsid w:val="33182488"/>
    <w:rsid w:val="332C51CB"/>
    <w:rsid w:val="333E0872"/>
    <w:rsid w:val="333F60DA"/>
    <w:rsid w:val="334A1395"/>
    <w:rsid w:val="33561C3F"/>
    <w:rsid w:val="336E55E8"/>
    <w:rsid w:val="338A31EF"/>
    <w:rsid w:val="338E5A4D"/>
    <w:rsid w:val="339F07DD"/>
    <w:rsid w:val="339F3BD0"/>
    <w:rsid w:val="33AD0337"/>
    <w:rsid w:val="33BD46B5"/>
    <w:rsid w:val="33C1779F"/>
    <w:rsid w:val="33CA200D"/>
    <w:rsid w:val="33D07F55"/>
    <w:rsid w:val="33D26387"/>
    <w:rsid w:val="33DB0DB0"/>
    <w:rsid w:val="33F67E2E"/>
    <w:rsid w:val="33FF139C"/>
    <w:rsid w:val="34050D4B"/>
    <w:rsid w:val="34126AB3"/>
    <w:rsid w:val="34207020"/>
    <w:rsid w:val="34341AA0"/>
    <w:rsid w:val="343B04DD"/>
    <w:rsid w:val="3441593B"/>
    <w:rsid w:val="34534056"/>
    <w:rsid w:val="34567B7B"/>
    <w:rsid w:val="345A1B9E"/>
    <w:rsid w:val="348E6394"/>
    <w:rsid w:val="34B63A90"/>
    <w:rsid w:val="34C7150A"/>
    <w:rsid w:val="34D1182B"/>
    <w:rsid w:val="35072CEF"/>
    <w:rsid w:val="351F2985"/>
    <w:rsid w:val="3529066D"/>
    <w:rsid w:val="355A4A59"/>
    <w:rsid w:val="35671C85"/>
    <w:rsid w:val="356C37B0"/>
    <w:rsid w:val="35710C4C"/>
    <w:rsid w:val="35764B5C"/>
    <w:rsid w:val="358A5E61"/>
    <w:rsid w:val="35900ED5"/>
    <w:rsid w:val="35A756F7"/>
    <w:rsid w:val="35C11F31"/>
    <w:rsid w:val="35D31EB2"/>
    <w:rsid w:val="35EE1715"/>
    <w:rsid w:val="35F67483"/>
    <w:rsid w:val="35FD08E8"/>
    <w:rsid w:val="36111279"/>
    <w:rsid w:val="361163DE"/>
    <w:rsid w:val="36194705"/>
    <w:rsid w:val="36211A21"/>
    <w:rsid w:val="3632645B"/>
    <w:rsid w:val="364E1314"/>
    <w:rsid w:val="366F1447"/>
    <w:rsid w:val="367F78CD"/>
    <w:rsid w:val="368A4D4A"/>
    <w:rsid w:val="368C52E8"/>
    <w:rsid w:val="369D3ED8"/>
    <w:rsid w:val="36AF4BCB"/>
    <w:rsid w:val="36BE1A6B"/>
    <w:rsid w:val="36DB1B0B"/>
    <w:rsid w:val="36EA0D60"/>
    <w:rsid w:val="36F52F4B"/>
    <w:rsid w:val="36FB536A"/>
    <w:rsid w:val="370A55DB"/>
    <w:rsid w:val="3711137C"/>
    <w:rsid w:val="371634C5"/>
    <w:rsid w:val="372312B2"/>
    <w:rsid w:val="3723179E"/>
    <w:rsid w:val="373F6779"/>
    <w:rsid w:val="37465E0D"/>
    <w:rsid w:val="374B6CF1"/>
    <w:rsid w:val="37782DDB"/>
    <w:rsid w:val="377B2222"/>
    <w:rsid w:val="377E0554"/>
    <w:rsid w:val="378227FC"/>
    <w:rsid w:val="37916D10"/>
    <w:rsid w:val="379451B9"/>
    <w:rsid w:val="37A74F6E"/>
    <w:rsid w:val="37A872B8"/>
    <w:rsid w:val="37C86550"/>
    <w:rsid w:val="37CB133A"/>
    <w:rsid w:val="37D52F37"/>
    <w:rsid w:val="37D93B9F"/>
    <w:rsid w:val="37DF616E"/>
    <w:rsid w:val="37ED6965"/>
    <w:rsid w:val="3800125D"/>
    <w:rsid w:val="381F5D04"/>
    <w:rsid w:val="3824423F"/>
    <w:rsid w:val="38420EEC"/>
    <w:rsid w:val="384E431A"/>
    <w:rsid w:val="38562FAB"/>
    <w:rsid w:val="38606CE0"/>
    <w:rsid w:val="386D62E0"/>
    <w:rsid w:val="38704A02"/>
    <w:rsid w:val="38714C38"/>
    <w:rsid w:val="388A441C"/>
    <w:rsid w:val="38AA58A7"/>
    <w:rsid w:val="38B439AB"/>
    <w:rsid w:val="38B92480"/>
    <w:rsid w:val="38D073A9"/>
    <w:rsid w:val="38E4723D"/>
    <w:rsid w:val="38EC013B"/>
    <w:rsid w:val="3904328E"/>
    <w:rsid w:val="390C4BB8"/>
    <w:rsid w:val="3914330A"/>
    <w:rsid w:val="391F3047"/>
    <w:rsid w:val="3925101A"/>
    <w:rsid w:val="39356134"/>
    <w:rsid w:val="395122B2"/>
    <w:rsid w:val="3951491A"/>
    <w:rsid w:val="39625FC8"/>
    <w:rsid w:val="39633820"/>
    <w:rsid w:val="396E45E5"/>
    <w:rsid w:val="398A730D"/>
    <w:rsid w:val="399D5069"/>
    <w:rsid w:val="39BA1BA2"/>
    <w:rsid w:val="39BE4471"/>
    <w:rsid w:val="39BF445A"/>
    <w:rsid w:val="39C8479B"/>
    <w:rsid w:val="39E555E3"/>
    <w:rsid w:val="39E81D16"/>
    <w:rsid w:val="39E93843"/>
    <w:rsid w:val="3A040EA5"/>
    <w:rsid w:val="3A093664"/>
    <w:rsid w:val="3A0D7F05"/>
    <w:rsid w:val="3A0F6E8C"/>
    <w:rsid w:val="3A400A75"/>
    <w:rsid w:val="3A421FB2"/>
    <w:rsid w:val="3A5C64E1"/>
    <w:rsid w:val="3A6F0C02"/>
    <w:rsid w:val="3A7F6D1B"/>
    <w:rsid w:val="3A8B7A82"/>
    <w:rsid w:val="3A8F0C96"/>
    <w:rsid w:val="3AA60192"/>
    <w:rsid w:val="3AA80233"/>
    <w:rsid w:val="3AAB0EB3"/>
    <w:rsid w:val="3AB62111"/>
    <w:rsid w:val="3AB96A17"/>
    <w:rsid w:val="3AC03A82"/>
    <w:rsid w:val="3ACD01E8"/>
    <w:rsid w:val="3ADE5C9C"/>
    <w:rsid w:val="3ADF4F82"/>
    <w:rsid w:val="3AF20A22"/>
    <w:rsid w:val="3AF754D7"/>
    <w:rsid w:val="3AFF7E2C"/>
    <w:rsid w:val="3B0063A3"/>
    <w:rsid w:val="3B051447"/>
    <w:rsid w:val="3B0E5A2C"/>
    <w:rsid w:val="3B241944"/>
    <w:rsid w:val="3B54788C"/>
    <w:rsid w:val="3B5F76F5"/>
    <w:rsid w:val="3B6177D3"/>
    <w:rsid w:val="3B640142"/>
    <w:rsid w:val="3B775D80"/>
    <w:rsid w:val="3B920E16"/>
    <w:rsid w:val="3BAA64D6"/>
    <w:rsid w:val="3BBC7ABA"/>
    <w:rsid w:val="3C032B8A"/>
    <w:rsid w:val="3C1C05FF"/>
    <w:rsid w:val="3C2E1708"/>
    <w:rsid w:val="3C324A5D"/>
    <w:rsid w:val="3C3B1FBA"/>
    <w:rsid w:val="3C3B7D13"/>
    <w:rsid w:val="3C4F32DD"/>
    <w:rsid w:val="3C5D77C4"/>
    <w:rsid w:val="3C6651F7"/>
    <w:rsid w:val="3C68076E"/>
    <w:rsid w:val="3C7448C1"/>
    <w:rsid w:val="3C771162"/>
    <w:rsid w:val="3C8F469B"/>
    <w:rsid w:val="3C955239"/>
    <w:rsid w:val="3C986F76"/>
    <w:rsid w:val="3CBE5019"/>
    <w:rsid w:val="3CCB2283"/>
    <w:rsid w:val="3CD363A6"/>
    <w:rsid w:val="3CE31817"/>
    <w:rsid w:val="3CEA0C86"/>
    <w:rsid w:val="3CEE5B3A"/>
    <w:rsid w:val="3CFC3D7C"/>
    <w:rsid w:val="3CFE1C8B"/>
    <w:rsid w:val="3D016725"/>
    <w:rsid w:val="3D0A7209"/>
    <w:rsid w:val="3D0F7DF5"/>
    <w:rsid w:val="3D220E7D"/>
    <w:rsid w:val="3D502711"/>
    <w:rsid w:val="3D547F1F"/>
    <w:rsid w:val="3D5C0385"/>
    <w:rsid w:val="3D5F0191"/>
    <w:rsid w:val="3D6F4667"/>
    <w:rsid w:val="3D725A53"/>
    <w:rsid w:val="3D9A5BD2"/>
    <w:rsid w:val="3DAC026A"/>
    <w:rsid w:val="3DB34D94"/>
    <w:rsid w:val="3DCA0564"/>
    <w:rsid w:val="3DDD556C"/>
    <w:rsid w:val="3DE8419C"/>
    <w:rsid w:val="3E0B5732"/>
    <w:rsid w:val="3E3B533C"/>
    <w:rsid w:val="3E6137E1"/>
    <w:rsid w:val="3E665A51"/>
    <w:rsid w:val="3E7D3335"/>
    <w:rsid w:val="3E851149"/>
    <w:rsid w:val="3E973062"/>
    <w:rsid w:val="3E9B56C3"/>
    <w:rsid w:val="3EAE65CE"/>
    <w:rsid w:val="3EBD7715"/>
    <w:rsid w:val="3EBF0128"/>
    <w:rsid w:val="3EE635DA"/>
    <w:rsid w:val="3EF10DF1"/>
    <w:rsid w:val="3EFC1673"/>
    <w:rsid w:val="3F000844"/>
    <w:rsid w:val="3F027066"/>
    <w:rsid w:val="3F0726FB"/>
    <w:rsid w:val="3F204392"/>
    <w:rsid w:val="3F3E53F2"/>
    <w:rsid w:val="3F4140B4"/>
    <w:rsid w:val="3F43173A"/>
    <w:rsid w:val="3F877D8F"/>
    <w:rsid w:val="3F9139AD"/>
    <w:rsid w:val="3FAF1D15"/>
    <w:rsid w:val="3FBD4959"/>
    <w:rsid w:val="3FCB1EEC"/>
    <w:rsid w:val="3FCD7F00"/>
    <w:rsid w:val="3FED1D39"/>
    <w:rsid w:val="400141B7"/>
    <w:rsid w:val="40032049"/>
    <w:rsid w:val="40124984"/>
    <w:rsid w:val="40201A50"/>
    <w:rsid w:val="40307D52"/>
    <w:rsid w:val="403E4DBF"/>
    <w:rsid w:val="40442975"/>
    <w:rsid w:val="405B0584"/>
    <w:rsid w:val="40647F02"/>
    <w:rsid w:val="406835CB"/>
    <w:rsid w:val="406C33EA"/>
    <w:rsid w:val="407856CA"/>
    <w:rsid w:val="40806DBD"/>
    <w:rsid w:val="408F2CC6"/>
    <w:rsid w:val="4098608C"/>
    <w:rsid w:val="40A13CBE"/>
    <w:rsid w:val="40A2014F"/>
    <w:rsid w:val="40A84A20"/>
    <w:rsid w:val="40AC43A4"/>
    <w:rsid w:val="40B44059"/>
    <w:rsid w:val="40BD6488"/>
    <w:rsid w:val="40C60C7C"/>
    <w:rsid w:val="40CC5B1A"/>
    <w:rsid w:val="41174D77"/>
    <w:rsid w:val="41364669"/>
    <w:rsid w:val="41545FF1"/>
    <w:rsid w:val="4174619E"/>
    <w:rsid w:val="418A540F"/>
    <w:rsid w:val="41B81A4B"/>
    <w:rsid w:val="41CB60F4"/>
    <w:rsid w:val="41D63219"/>
    <w:rsid w:val="41E731F3"/>
    <w:rsid w:val="41F00EBF"/>
    <w:rsid w:val="421637D4"/>
    <w:rsid w:val="42367B8F"/>
    <w:rsid w:val="42430868"/>
    <w:rsid w:val="424D59C6"/>
    <w:rsid w:val="42581D90"/>
    <w:rsid w:val="42752BA8"/>
    <w:rsid w:val="42875F49"/>
    <w:rsid w:val="42CC379C"/>
    <w:rsid w:val="42D15BE8"/>
    <w:rsid w:val="42D259CD"/>
    <w:rsid w:val="42DA3E98"/>
    <w:rsid w:val="43074535"/>
    <w:rsid w:val="430E203F"/>
    <w:rsid w:val="43175D05"/>
    <w:rsid w:val="431E5D7A"/>
    <w:rsid w:val="432013FB"/>
    <w:rsid w:val="432C6646"/>
    <w:rsid w:val="432E60A8"/>
    <w:rsid w:val="43314424"/>
    <w:rsid w:val="43364B9B"/>
    <w:rsid w:val="43406531"/>
    <w:rsid w:val="43423A70"/>
    <w:rsid w:val="434331FA"/>
    <w:rsid w:val="436113EA"/>
    <w:rsid w:val="43841533"/>
    <w:rsid w:val="438B33AE"/>
    <w:rsid w:val="438E0CDB"/>
    <w:rsid w:val="43921371"/>
    <w:rsid w:val="43A079C1"/>
    <w:rsid w:val="43C62ADF"/>
    <w:rsid w:val="43C94EC6"/>
    <w:rsid w:val="43E279FF"/>
    <w:rsid w:val="43E443A8"/>
    <w:rsid w:val="43E702A1"/>
    <w:rsid w:val="43E93F46"/>
    <w:rsid w:val="43F92F27"/>
    <w:rsid w:val="441E7344"/>
    <w:rsid w:val="442F4789"/>
    <w:rsid w:val="44392250"/>
    <w:rsid w:val="44690CC8"/>
    <w:rsid w:val="446C2AA4"/>
    <w:rsid w:val="447A5EDE"/>
    <w:rsid w:val="448A4A98"/>
    <w:rsid w:val="4496546C"/>
    <w:rsid w:val="449B3BBD"/>
    <w:rsid w:val="44BB35ED"/>
    <w:rsid w:val="44CC0EAE"/>
    <w:rsid w:val="44D505C5"/>
    <w:rsid w:val="44FA476B"/>
    <w:rsid w:val="451E2EFD"/>
    <w:rsid w:val="451F5984"/>
    <w:rsid w:val="45276081"/>
    <w:rsid w:val="45340FC1"/>
    <w:rsid w:val="4545457C"/>
    <w:rsid w:val="455029A9"/>
    <w:rsid w:val="45705A68"/>
    <w:rsid w:val="457C4AD7"/>
    <w:rsid w:val="45A324DE"/>
    <w:rsid w:val="45BE209F"/>
    <w:rsid w:val="45C106CC"/>
    <w:rsid w:val="45DF0C0C"/>
    <w:rsid w:val="45EE672D"/>
    <w:rsid w:val="46036575"/>
    <w:rsid w:val="461373AF"/>
    <w:rsid w:val="46150A9C"/>
    <w:rsid w:val="46275408"/>
    <w:rsid w:val="462A017F"/>
    <w:rsid w:val="46475752"/>
    <w:rsid w:val="46475963"/>
    <w:rsid w:val="4657143B"/>
    <w:rsid w:val="466958B3"/>
    <w:rsid w:val="467D120F"/>
    <w:rsid w:val="468C4108"/>
    <w:rsid w:val="468E0A6E"/>
    <w:rsid w:val="46B6474D"/>
    <w:rsid w:val="46D2468C"/>
    <w:rsid w:val="46DF5310"/>
    <w:rsid w:val="46E247F9"/>
    <w:rsid w:val="46E46803"/>
    <w:rsid w:val="46FB1CB9"/>
    <w:rsid w:val="46FC333E"/>
    <w:rsid w:val="4713610D"/>
    <w:rsid w:val="472520BD"/>
    <w:rsid w:val="47315579"/>
    <w:rsid w:val="47370D5C"/>
    <w:rsid w:val="474D343B"/>
    <w:rsid w:val="476A46A9"/>
    <w:rsid w:val="4770372A"/>
    <w:rsid w:val="478C4FF0"/>
    <w:rsid w:val="47943893"/>
    <w:rsid w:val="47A33AD8"/>
    <w:rsid w:val="47A9447F"/>
    <w:rsid w:val="47AB4803"/>
    <w:rsid w:val="47AF314A"/>
    <w:rsid w:val="47DF6F1B"/>
    <w:rsid w:val="47E84AB8"/>
    <w:rsid w:val="47F06738"/>
    <w:rsid w:val="47F24D0F"/>
    <w:rsid w:val="48292150"/>
    <w:rsid w:val="48292D00"/>
    <w:rsid w:val="482B6AA8"/>
    <w:rsid w:val="48306AE6"/>
    <w:rsid w:val="48362813"/>
    <w:rsid w:val="48362B8F"/>
    <w:rsid w:val="487840D4"/>
    <w:rsid w:val="488E1D43"/>
    <w:rsid w:val="48981E67"/>
    <w:rsid w:val="489C465D"/>
    <w:rsid w:val="48BB2874"/>
    <w:rsid w:val="48C52EE6"/>
    <w:rsid w:val="48DA700F"/>
    <w:rsid w:val="48E70868"/>
    <w:rsid w:val="49003648"/>
    <w:rsid w:val="490078D6"/>
    <w:rsid w:val="492A5852"/>
    <w:rsid w:val="49336729"/>
    <w:rsid w:val="49422133"/>
    <w:rsid w:val="49481F51"/>
    <w:rsid w:val="49503781"/>
    <w:rsid w:val="495C44D4"/>
    <w:rsid w:val="498D71F3"/>
    <w:rsid w:val="499A371F"/>
    <w:rsid w:val="49B1277C"/>
    <w:rsid w:val="49B32963"/>
    <w:rsid w:val="49B35C2C"/>
    <w:rsid w:val="49BE2795"/>
    <w:rsid w:val="49CE2C0E"/>
    <w:rsid w:val="49D929BE"/>
    <w:rsid w:val="49D93B21"/>
    <w:rsid w:val="49ED435B"/>
    <w:rsid w:val="49F477F7"/>
    <w:rsid w:val="4A003368"/>
    <w:rsid w:val="4A045A8C"/>
    <w:rsid w:val="4A106E55"/>
    <w:rsid w:val="4A1173C4"/>
    <w:rsid w:val="4A154026"/>
    <w:rsid w:val="4A175A72"/>
    <w:rsid w:val="4A38281D"/>
    <w:rsid w:val="4A447A5F"/>
    <w:rsid w:val="4A5633ED"/>
    <w:rsid w:val="4A5C1498"/>
    <w:rsid w:val="4A5D33E2"/>
    <w:rsid w:val="4A7D3428"/>
    <w:rsid w:val="4A8608FF"/>
    <w:rsid w:val="4A885261"/>
    <w:rsid w:val="4A9341AD"/>
    <w:rsid w:val="4A9621B8"/>
    <w:rsid w:val="4AA56943"/>
    <w:rsid w:val="4AAE33C5"/>
    <w:rsid w:val="4AB640D1"/>
    <w:rsid w:val="4AD80E43"/>
    <w:rsid w:val="4ADB68A1"/>
    <w:rsid w:val="4AE11BE4"/>
    <w:rsid w:val="4AFC731C"/>
    <w:rsid w:val="4AFE4FCA"/>
    <w:rsid w:val="4B0E631E"/>
    <w:rsid w:val="4B1C6789"/>
    <w:rsid w:val="4B2034DF"/>
    <w:rsid w:val="4B232D48"/>
    <w:rsid w:val="4B297309"/>
    <w:rsid w:val="4B2F5EF1"/>
    <w:rsid w:val="4B610E18"/>
    <w:rsid w:val="4B7A2A77"/>
    <w:rsid w:val="4B865E4D"/>
    <w:rsid w:val="4B9A7792"/>
    <w:rsid w:val="4B9B49B0"/>
    <w:rsid w:val="4BA142DC"/>
    <w:rsid w:val="4BA81B45"/>
    <w:rsid w:val="4BB134C2"/>
    <w:rsid w:val="4BC64F54"/>
    <w:rsid w:val="4BD00E7B"/>
    <w:rsid w:val="4BDA233F"/>
    <w:rsid w:val="4BE11388"/>
    <w:rsid w:val="4BF17575"/>
    <w:rsid w:val="4C1B55F9"/>
    <w:rsid w:val="4C1D57B6"/>
    <w:rsid w:val="4C2F3138"/>
    <w:rsid w:val="4C2F44B9"/>
    <w:rsid w:val="4C4C1930"/>
    <w:rsid w:val="4C6076B0"/>
    <w:rsid w:val="4C617F2E"/>
    <w:rsid w:val="4C64768C"/>
    <w:rsid w:val="4C727777"/>
    <w:rsid w:val="4C794241"/>
    <w:rsid w:val="4C88610C"/>
    <w:rsid w:val="4C9E7C7A"/>
    <w:rsid w:val="4CC129DC"/>
    <w:rsid w:val="4CF60AD0"/>
    <w:rsid w:val="4CFD27AB"/>
    <w:rsid w:val="4D066243"/>
    <w:rsid w:val="4D0B785E"/>
    <w:rsid w:val="4D114375"/>
    <w:rsid w:val="4D235B56"/>
    <w:rsid w:val="4D3043FF"/>
    <w:rsid w:val="4D3F4CEF"/>
    <w:rsid w:val="4D565BDF"/>
    <w:rsid w:val="4D577271"/>
    <w:rsid w:val="4D764D27"/>
    <w:rsid w:val="4DA97155"/>
    <w:rsid w:val="4DB4080A"/>
    <w:rsid w:val="4DB53F90"/>
    <w:rsid w:val="4DD374A0"/>
    <w:rsid w:val="4DD96EF4"/>
    <w:rsid w:val="4DDE49A6"/>
    <w:rsid w:val="4DF4362F"/>
    <w:rsid w:val="4E0348A7"/>
    <w:rsid w:val="4E0507F1"/>
    <w:rsid w:val="4E1344EB"/>
    <w:rsid w:val="4E281B86"/>
    <w:rsid w:val="4E361C9F"/>
    <w:rsid w:val="4E4C0D1C"/>
    <w:rsid w:val="4E6242A9"/>
    <w:rsid w:val="4E656439"/>
    <w:rsid w:val="4E6D3F2D"/>
    <w:rsid w:val="4E6F210D"/>
    <w:rsid w:val="4E757084"/>
    <w:rsid w:val="4E884C1B"/>
    <w:rsid w:val="4E9814DC"/>
    <w:rsid w:val="4EA61ED8"/>
    <w:rsid w:val="4EB7350B"/>
    <w:rsid w:val="4EBC01AF"/>
    <w:rsid w:val="4EFE010D"/>
    <w:rsid w:val="4F027246"/>
    <w:rsid w:val="4F1F29A8"/>
    <w:rsid w:val="4F21402F"/>
    <w:rsid w:val="4F2B0742"/>
    <w:rsid w:val="4F2C30D4"/>
    <w:rsid w:val="4F3330A9"/>
    <w:rsid w:val="4F462F16"/>
    <w:rsid w:val="4F653279"/>
    <w:rsid w:val="4F685B2A"/>
    <w:rsid w:val="4F687CA9"/>
    <w:rsid w:val="4F6B4FCC"/>
    <w:rsid w:val="4FC5614B"/>
    <w:rsid w:val="4FCB274B"/>
    <w:rsid w:val="4FCC44FB"/>
    <w:rsid w:val="4FCE28F9"/>
    <w:rsid w:val="4FD21ED3"/>
    <w:rsid w:val="4FD34A84"/>
    <w:rsid w:val="4FE331CA"/>
    <w:rsid w:val="50004F60"/>
    <w:rsid w:val="50152642"/>
    <w:rsid w:val="5028210C"/>
    <w:rsid w:val="50297B01"/>
    <w:rsid w:val="502B626D"/>
    <w:rsid w:val="50304284"/>
    <w:rsid w:val="504F44E7"/>
    <w:rsid w:val="50633B3F"/>
    <w:rsid w:val="506604BA"/>
    <w:rsid w:val="507363BF"/>
    <w:rsid w:val="508333BD"/>
    <w:rsid w:val="50846454"/>
    <w:rsid w:val="50930348"/>
    <w:rsid w:val="50951339"/>
    <w:rsid w:val="509E66BF"/>
    <w:rsid w:val="50A11AA3"/>
    <w:rsid w:val="50CA6EAA"/>
    <w:rsid w:val="50D27A0A"/>
    <w:rsid w:val="50E872C0"/>
    <w:rsid w:val="50FF7595"/>
    <w:rsid w:val="511825D3"/>
    <w:rsid w:val="51186F2A"/>
    <w:rsid w:val="512F14C2"/>
    <w:rsid w:val="513A2BE3"/>
    <w:rsid w:val="51417175"/>
    <w:rsid w:val="514D38CD"/>
    <w:rsid w:val="516B13B0"/>
    <w:rsid w:val="518538E8"/>
    <w:rsid w:val="518C2832"/>
    <w:rsid w:val="51AD1BB3"/>
    <w:rsid w:val="51CC12AA"/>
    <w:rsid w:val="51D06AC2"/>
    <w:rsid w:val="51DE47BD"/>
    <w:rsid w:val="51FB1F66"/>
    <w:rsid w:val="52092C75"/>
    <w:rsid w:val="52145553"/>
    <w:rsid w:val="52160374"/>
    <w:rsid w:val="52210F7E"/>
    <w:rsid w:val="522D17FF"/>
    <w:rsid w:val="523073CD"/>
    <w:rsid w:val="52465006"/>
    <w:rsid w:val="524D6727"/>
    <w:rsid w:val="52514B61"/>
    <w:rsid w:val="525F05B8"/>
    <w:rsid w:val="52641A60"/>
    <w:rsid w:val="526D7F2B"/>
    <w:rsid w:val="527010B5"/>
    <w:rsid w:val="52794B8E"/>
    <w:rsid w:val="52797078"/>
    <w:rsid w:val="527C619D"/>
    <w:rsid w:val="52800362"/>
    <w:rsid w:val="528B57FF"/>
    <w:rsid w:val="52B4687F"/>
    <w:rsid w:val="52CA77C1"/>
    <w:rsid w:val="52CC2E2D"/>
    <w:rsid w:val="52D74002"/>
    <w:rsid w:val="52D818D3"/>
    <w:rsid w:val="52E52C2B"/>
    <w:rsid w:val="52E706B0"/>
    <w:rsid w:val="52F6649B"/>
    <w:rsid w:val="530731A9"/>
    <w:rsid w:val="530B0A16"/>
    <w:rsid w:val="53121C9E"/>
    <w:rsid w:val="533031A8"/>
    <w:rsid w:val="53354C48"/>
    <w:rsid w:val="5358440D"/>
    <w:rsid w:val="5362482F"/>
    <w:rsid w:val="5375181F"/>
    <w:rsid w:val="537C3759"/>
    <w:rsid w:val="53832FC7"/>
    <w:rsid w:val="538C3048"/>
    <w:rsid w:val="53B53BCA"/>
    <w:rsid w:val="53BA69C7"/>
    <w:rsid w:val="53C66688"/>
    <w:rsid w:val="53D129A5"/>
    <w:rsid w:val="54007C26"/>
    <w:rsid w:val="54027A3D"/>
    <w:rsid w:val="540E3026"/>
    <w:rsid w:val="540F1649"/>
    <w:rsid w:val="542B1000"/>
    <w:rsid w:val="542E3D8B"/>
    <w:rsid w:val="54323AE7"/>
    <w:rsid w:val="543C6793"/>
    <w:rsid w:val="546D40FE"/>
    <w:rsid w:val="54736410"/>
    <w:rsid w:val="54795B98"/>
    <w:rsid w:val="547A71A6"/>
    <w:rsid w:val="548B6133"/>
    <w:rsid w:val="549878E0"/>
    <w:rsid w:val="54A068BF"/>
    <w:rsid w:val="54D00696"/>
    <w:rsid w:val="54D20F09"/>
    <w:rsid w:val="54D73949"/>
    <w:rsid w:val="54E8113A"/>
    <w:rsid w:val="54F70F58"/>
    <w:rsid w:val="54FB4913"/>
    <w:rsid w:val="550C22CB"/>
    <w:rsid w:val="552E4B10"/>
    <w:rsid w:val="5531351D"/>
    <w:rsid w:val="55321CBF"/>
    <w:rsid w:val="5553235C"/>
    <w:rsid w:val="555923B6"/>
    <w:rsid w:val="55723899"/>
    <w:rsid w:val="55833BB3"/>
    <w:rsid w:val="5597229B"/>
    <w:rsid w:val="559D532A"/>
    <w:rsid w:val="559F3F84"/>
    <w:rsid w:val="559F6615"/>
    <w:rsid w:val="55AE5055"/>
    <w:rsid w:val="55BD10AA"/>
    <w:rsid w:val="55C02F7D"/>
    <w:rsid w:val="55C45892"/>
    <w:rsid w:val="55CC4785"/>
    <w:rsid w:val="55D87C51"/>
    <w:rsid w:val="55E0250C"/>
    <w:rsid w:val="55FC10F6"/>
    <w:rsid w:val="55FF309C"/>
    <w:rsid w:val="560960F4"/>
    <w:rsid w:val="560D13FF"/>
    <w:rsid w:val="56384344"/>
    <w:rsid w:val="56407F58"/>
    <w:rsid w:val="56637EEB"/>
    <w:rsid w:val="56657AFF"/>
    <w:rsid w:val="567A4719"/>
    <w:rsid w:val="56882188"/>
    <w:rsid w:val="56A42EFF"/>
    <w:rsid w:val="56C60B1B"/>
    <w:rsid w:val="56CE6199"/>
    <w:rsid w:val="56D67A3A"/>
    <w:rsid w:val="56DA134A"/>
    <w:rsid w:val="56DA1EDA"/>
    <w:rsid w:val="56EE2032"/>
    <w:rsid w:val="56F42ED2"/>
    <w:rsid w:val="570E062D"/>
    <w:rsid w:val="570F4007"/>
    <w:rsid w:val="572D6163"/>
    <w:rsid w:val="57386B76"/>
    <w:rsid w:val="573C6D11"/>
    <w:rsid w:val="574A3A8D"/>
    <w:rsid w:val="574A6A25"/>
    <w:rsid w:val="575649E4"/>
    <w:rsid w:val="575F5961"/>
    <w:rsid w:val="576704A9"/>
    <w:rsid w:val="577328B1"/>
    <w:rsid w:val="57766966"/>
    <w:rsid w:val="577779A4"/>
    <w:rsid w:val="577F2164"/>
    <w:rsid w:val="578770C2"/>
    <w:rsid w:val="57887C2D"/>
    <w:rsid w:val="57AB05F5"/>
    <w:rsid w:val="57B2762F"/>
    <w:rsid w:val="57B40521"/>
    <w:rsid w:val="57BA4236"/>
    <w:rsid w:val="57BB2CF9"/>
    <w:rsid w:val="57C57B84"/>
    <w:rsid w:val="57C957E0"/>
    <w:rsid w:val="57CD4BB7"/>
    <w:rsid w:val="57E4573A"/>
    <w:rsid w:val="58116040"/>
    <w:rsid w:val="58225E85"/>
    <w:rsid w:val="582A7332"/>
    <w:rsid w:val="582C4CEB"/>
    <w:rsid w:val="58350144"/>
    <w:rsid w:val="58386028"/>
    <w:rsid w:val="583A35CC"/>
    <w:rsid w:val="583C43C5"/>
    <w:rsid w:val="583F25E8"/>
    <w:rsid w:val="584624D1"/>
    <w:rsid w:val="58547F24"/>
    <w:rsid w:val="5856016B"/>
    <w:rsid w:val="58607C16"/>
    <w:rsid w:val="58931150"/>
    <w:rsid w:val="589C780E"/>
    <w:rsid w:val="58BB2538"/>
    <w:rsid w:val="58BB43ED"/>
    <w:rsid w:val="58BD45E1"/>
    <w:rsid w:val="58CE5E3E"/>
    <w:rsid w:val="58DC4A95"/>
    <w:rsid w:val="58E53494"/>
    <w:rsid w:val="59053B5E"/>
    <w:rsid w:val="592E2C83"/>
    <w:rsid w:val="59436497"/>
    <w:rsid w:val="594A0A1F"/>
    <w:rsid w:val="594E0191"/>
    <w:rsid w:val="59531CE9"/>
    <w:rsid w:val="597F3CD5"/>
    <w:rsid w:val="59B57450"/>
    <w:rsid w:val="59C106EE"/>
    <w:rsid w:val="59CB15D9"/>
    <w:rsid w:val="59ED5475"/>
    <w:rsid w:val="59EF5B57"/>
    <w:rsid w:val="5A035BC8"/>
    <w:rsid w:val="5A0462BB"/>
    <w:rsid w:val="5A0600DB"/>
    <w:rsid w:val="5A10754C"/>
    <w:rsid w:val="5A1173EF"/>
    <w:rsid w:val="5A172017"/>
    <w:rsid w:val="5A176AE4"/>
    <w:rsid w:val="5A23402C"/>
    <w:rsid w:val="5A2D32C4"/>
    <w:rsid w:val="5A3B6715"/>
    <w:rsid w:val="5A485A07"/>
    <w:rsid w:val="5A4C4AFC"/>
    <w:rsid w:val="5A521859"/>
    <w:rsid w:val="5A5708CA"/>
    <w:rsid w:val="5A673A41"/>
    <w:rsid w:val="5A6E14F9"/>
    <w:rsid w:val="5A76432B"/>
    <w:rsid w:val="5A8032B2"/>
    <w:rsid w:val="5A96525B"/>
    <w:rsid w:val="5A9E48A8"/>
    <w:rsid w:val="5AA95C4D"/>
    <w:rsid w:val="5AC8101E"/>
    <w:rsid w:val="5AD47C48"/>
    <w:rsid w:val="5AE55C8C"/>
    <w:rsid w:val="5AFA611E"/>
    <w:rsid w:val="5AFB5EA2"/>
    <w:rsid w:val="5AFE695B"/>
    <w:rsid w:val="5B0071A9"/>
    <w:rsid w:val="5B0E1342"/>
    <w:rsid w:val="5B197E3E"/>
    <w:rsid w:val="5B276294"/>
    <w:rsid w:val="5B2F4088"/>
    <w:rsid w:val="5B4120BC"/>
    <w:rsid w:val="5B486682"/>
    <w:rsid w:val="5B7C3E8B"/>
    <w:rsid w:val="5B904DB6"/>
    <w:rsid w:val="5B931A5F"/>
    <w:rsid w:val="5B962ECF"/>
    <w:rsid w:val="5BA8515B"/>
    <w:rsid w:val="5BCF36E5"/>
    <w:rsid w:val="5BD37F8B"/>
    <w:rsid w:val="5BD54D17"/>
    <w:rsid w:val="5BDB4125"/>
    <w:rsid w:val="5BDF0C9F"/>
    <w:rsid w:val="5BEA53DB"/>
    <w:rsid w:val="5BF205F9"/>
    <w:rsid w:val="5BFA158B"/>
    <w:rsid w:val="5BFA33BB"/>
    <w:rsid w:val="5C03646F"/>
    <w:rsid w:val="5C05719D"/>
    <w:rsid w:val="5C090C9A"/>
    <w:rsid w:val="5C115B42"/>
    <w:rsid w:val="5C1325CC"/>
    <w:rsid w:val="5C150BC7"/>
    <w:rsid w:val="5C175CAB"/>
    <w:rsid w:val="5C1C4C86"/>
    <w:rsid w:val="5C232E88"/>
    <w:rsid w:val="5C316B42"/>
    <w:rsid w:val="5C422E91"/>
    <w:rsid w:val="5C495C8F"/>
    <w:rsid w:val="5C4D5AB6"/>
    <w:rsid w:val="5C520167"/>
    <w:rsid w:val="5C5D5C03"/>
    <w:rsid w:val="5C784C63"/>
    <w:rsid w:val="5C7C21EE"/>
    <w:rsid w:val="5C8A685A"/>
    <w:rsid w:val="5CAB3E27"/>
    <w:rsid w:val="5CB75132"/>
    <w:rsid w:val="5CC31CC3"/>
    <w:rsid w:val="5CC9559C"/>
    <w:rsid w:val="5D0B11D5"/>
    <w:rsid w:val="5D1E6D1F"/>
    <w:rsid w:val="5D243D32"/>
    <w:rsid w:val="5D264906"/>
    <w:rsid w:val="5D2A2DD2"/>
    <w:rsid w:val="5D2E7321"/>
    <w:rsid w:val="5D3F5D03"/>
    <w:rsid w:val="5D426C92"/>
    <w:rsid w:val="5D4E791D"/>
    <w:rsid w:val="5D6E6BA0"/>
    <w:rsid w:val="5D8309BE"/>
    <w:rsid w:val="5D851FBD"/>
    <w:rsid w:val="5D8D7F9C"/>
    <w:rsid w:val="5DB4420F"/>
    <w:rsid w:val="5DBA44C8"/>
    <w:rsid w:val="5DCE0823"/>
    <w:rsid w:val="5DDB7C6D"/>
    <w:rsid w:val="5DE258C5"/>
    <w:rsid w:val="5DE3698F"/>
    <w:rsid w:val="5DE9492E"/>
    <w:rsid w:val="5DF855E3"/>
    <w:rsid w:val="5DFE0C63"/>
    <w:rsid w:val="5DFF57B7"/>
    <w:rsid w:val="5E193D20"/>
    <w:rsid w:val="5E1E00A2"/>
    <w:rsid w:val="5E237FB0"/>
    <w:rsid w:val="5E284486"/>
    <w:rsid w:val="5E35775F"/>
    <w:rsid w:val="5E4539E6"/>
    <w:rsid w:val="5E483CCE"/>
    <w:rsid w:val="5E4F7C3E"/>
    <w:rsid w:val="5E672306"/>
    <w:rsid w:val="5E7E3530"/>
    <w:rsid w:val="5E8F1E81"/>
    <w:rsid w:val="5E9A3166"/>
    <w:rsid w:val="5EA64C32"/>
    <w:rsid w:val="5EA94A1B"/>
    <w:rsid w:val="5EBF7813"/>
    <w:rsid w:val="5EC605EC"/>
    <w:rsid w:val="5EC8428D"/>
    <w:rsid w:val="5ED01A16"/>
    <w:rsid w:val="5ED41357"/>
    <w:rsid w:val="5EDC7172"/>
    <w:rsid w:val="5EF561AF"/>
    <w:rsid w:val="5EF70C14"/>
    <w:rsid w:val="5F285664"/>
    <w:rsid w:val="5F302568"/>
    <w:rsid w:val="5F3C45B7"/>
    <w:rsid w:val="5F3E50A3"/>
    <w:rsid w:val="5F447BB0"/>
    <w:rsid w:val="5F617F47"/>
    <w:rsid w:val="5F6C47D7"/>
    <w:rsid w:val="5F6D45E7"/>
    <w:rsid w:val="5F707C37"/>
    <w:rsid w:val="5F7E0234"/>
    <w:rsid w:val="5F82153A"/>
    <w:rsid w:val="5F8B6BDE"/>
    <w:rsid w:val="5F944528"/>
    <w:rsid w:val="5FA51876"/>
    <w:rsid w:val="5FB3405B"/>
    <w:rsid w:val="5FBE41D0"/>
    <w:rsid w:val="5FD55057"/>
    <w:rsid w:val="5FDE3E9A"/>
    <w:rsid w:val="5FFA226D"/>
    <w:rsid w:val="5FFB295B"/>
    <w:rsid w:val="60116091"/>
    <w:rsid w:val="601B7E39"/>
    <w:rsid w:val="602865AF"/>
    <w:rsid w:val="603C534C"/>
    <w:rsid w:val="60400BF0"/>
    <w:rsid w:val="60414505"/>
    <w:rsid w:val="6048008F"/>
    <w:rsid w:val="60723731"/>
    <w:rsid w:val="60724F96"/>
    <w:rsid w:val="60785A6B"/>
    <w:rsid w:val="607B387F"/>
    <w:rsid w:val="607C6223"/>
    <w:rsid w:val="60B266BA"/>
    <w:rsid w:val="60D33281"/>
    <w:rsid w:val="60D6365B"/>
    <w:rsid w:val="60FB4822"/>
    <w:rsid w:val="60FD1DE9"/>
    <w:rsid w:val="61176C1A"/>
    <w:rsid w:val="61237FB8"/>
    <w:rsid w:val="6126099B"/>
    <w:rsid w:val="6140228C"/>
    <w:rsid w:val="61546BBA"/>
    <w:rsid w:val="6157736A"/>
    <w:rsid w:val="615E0514"/>
    <w:rsid w:val="61601B08"/>
    <w:rsid w:val="6163419B"/>
    <w:rsid w:val="616828E2"/>
    <w:rsid w:val="6175499D"/>
    <w:rsid w:val="618C38D3"/>
    <w:rsid w:val="61CA14D3"/>
    <w:rsid w:val="61D10E64"/>
    <w:rsid w:val="61D209BF"/>
    <w:rsid w:val="61E02DAC"/>
    <w:rsid w:val="61E35E2F"/>
    <w:rsid w:val="61E7115C"/>
    <w:rsid w:val="62037E7B"/>
    <w:rsid w:val="622A7C5A"/>
    <w:rsid w:val="6231659D"/>
    <w:rsid w:val="62324E61"/>
    <w:rsid w:val="623D1D75"/>
    <w:rsid w:val="626B054B"/>
    <w:rsid w:val="62731173"/>
    <w:rsid w:val="627D0EAE"/>
    <w:rsid w:val="627D0F0C"/>
    <w:rsid w:val="628469D5"/>
    <w:rsid w:val="62D55D1A"/>
    <w:rsid w:val="62E219AE"/>
    <w:rsid w:val="62F11BBE"/>
    <w:rsid w:val="62F11FCB"/>
    <w:rsid w:val="631A4BA2"/>
    <w:rsid w:val="632B13DC"/>
    <w:rsid w:val="633579E3"/>
    <w:rsid w:val="63402B17"/>
    <w:rsid w:val="63486CC7"/>
    <w:rsid w:val="634D7A80"/>
    <w:rsid w:val="6350605D"/>
    <w:rsid w:val="63570D4F"/>
    <w:rsid w:val="635E0F3D"/>
    <w:rsid w:val="637E4FF0"/>
    <w:rsid w:val="637F7F04"/>
    <w:rsid w:val="63942CCD"/>
    <w:rsid w:val="63BE29EC"/>
    <w:rsid w:val="63C05976"/>
    <w:rsid w:val="63C86CFA"/>
    <w:rsid w:val="63D623B2"/>
    <w:rsid w:val="63D7320D"/>
    <w:rsid w:val="63E00632"/>
    <w:rsid w:val="63E41EF8"/>
    <w:rsid w:val="63E71202"/>
    <w:rsid w:val="63F15196"/>
    <w:rsid w:val="64103E1C"/>
    <w:rsid w:val="642C7A1C"/>
    <w:rsid w:val="64403E24"/>
    <w:rsid w:val="6443442D"/>
    <w:rsid w:val="644417BE"/>
    <w:rsid w:val="644C3FF3"/>
    <w:rsid w:val="644E387F"/>
    <w:rsid w:val="646470FA"/>
    <w:rsid w:val="646933B1"/>
    <w:rsid w:val="64851666"/>
    <w:rsid w:val="649D1A1E"/>
    <w:rsid w:val="64A350CE"/>
    <w:rsid w:val="64AD2180"/>
    <w:rsid w:val="64B838A5"/>
    <w:rsid w:val="64BC1D6F"/>
    <w:rsid w:val="64BD7D1A"/>
    <w:rsid w:val="64C762CD"/>
    <w:rsid w:val="64F30A4B"/>
    <w:rsid w:val="64F4163A"/>
    <w:rsid w:val="64FB1B95"/>
    <w:rsid w:val="64FF4279"/>
    <w:rsid w:val="65003476"/>
    <w:rsid w:val="65051A72"/>
    <w:rsid w:val="65062204"/>
    <w:rsid w:val="653359FA"/>
    <w:rsid w:val="6548480B"/>
    <w:rsid w:val="65485F42"/>
    <w:rsid w:val="6558194B"/>
    <w:rsid w:val="655C27DB"/>
    <w:rsid w:val="656B19E1"/>
    <w:rsid w:val="659E755E"/>
    <w:rsid w:val="65B059DA"/>
    <w:rsid w:val="65D0103F"/>
    <w:rsid w:val="65DC0F6F"/>
    <w:rsid w:val="65E5538A"/>
    <w:rsid w:val="65EE2245"/>
    <w:rsid w:val="65FA0C86"/>
    <w:rsid w:val="65FD3A76"/>
    <w:rsid w:val="65FF6E0C"/>
    <w:rsid w:val="660E73B6"/>
    <w:rsid w:val="660F018C"/>
    <w:rsid w:val="66183B89"/>
    <w:rsid w:val="661C16B0"/>
    <w:rsid w:val="665D4D15"/>
    <w:rsid w:val="666C58EA"/>
    <w:rsid w:val="667514BC"/>
    <w:rsid w:val="667C127C"/>
    <w:rsid w:val="669450B1"/>
    <w:rsid w:val="66994467"/>
    <w:rsid w:val="669E1518"/>
    <w:rsid w:val="66B46841"/>
    <w:rsid w:val="66CC1E7A"/>
    <w:rsid w:val="66D37F6B"/>
    <w:rsid w:val="66D77E17"/>
    <w:rsid w:val="66EF2988"/>
    <w:rsid w:val="66F01F30"/>
    <w:rsid w:val="66F0795B"/>
    <w:rsid w:val="66F34A33"/>
    <w:rsid w:val="67013070"/>
    <w:rsid w:val="670E29A8"/>
    <w:rsid w:val="6729288F"/>
    <w:rsid w:val="672C32E9"/>
    <w:rsid w:val="67352B9C"/>
    <w:rsid w:val="67372AEA"/>
    <w:rsid w:val="674B2D3D"/>
    <w:rsid w:val="6759001C"/>
    <w:rsid w:val="675D2A0C"/>
    <w:rsid w:val="67743B07"/>
    <w:rsid w:val="67743B65"/>
    <w:rsid w:val="6778213D"/>
    <w:rsid w:val="677919E0"/>
    <w:rsid w:val="678215E8"/>
    <w:rsid w:val="679A1306"/>
    <w:rsid w:val="67CF0E30"/>
    <w:rsid w:val="67E524DE"/>
    <w:rsid w:val="67E90436"/>
    <w:rsid w:val="67F67082"/>
    <w:rsid w:val="6812607A"/>
    <w:rsid w:val="682B41DA"/>
    <w:rsid w:val="683D6ECA"/>
    <w:rsid w:val="684A728B"/>
    <w:rsid w:val="68602195"/>
    <w:rsid w:val="688C7D72"/>
    <w:rsid w:val="691A16FE"/>
    <w:rsid w:val="691A2777"/>
    <w:rsid w:val="691F0CB5"/>
    <w:rsid w:val="691F37A5"/>
    <w:rsid w:val="692302F8"/>
    <w:rsid w:val="692519C7"/>
    <w:rsid w:val="694E72F1"/>
    <w:rsid w:val="69563C12"/>
    <w:rsid w:val="69601B80"/>
    <w:rsid w:val="696273CC"/>
    <w:rsid w:val="697160D6"/>
    <w:rsid w:val="69871792"/>
    <w:rsid w:val="699C507C"/>
    <w:rsid w:val="69A037F9"/>
    <w:rsid w:val="69B329D2"/>
    <w:rsid w:val="69C65FFE"/>
    <w:rsid w:val="69D95735"/>
    <w:rsid w:val="69DD3BEC"/>
    <w:rsid w:val="69EC69F7"/>
    <w:rsid w:val="6A0C3890"/>
    <w:rsid w:val="6A265F03"/>
    <w:rsid w:val="6A3B77F3"/>
    <w:rsid w:val="6A3F73CE"/>
    <w:rsid w:val="6A460A7A"/>
    <w:rsid w:val="6A46493C"/>
    <w:rsid w:val="6A4C7395"/>
    <w:rsid w:val="6A572ABF"/>
    <w:rsid w:val="6A584B38"/>
    <w:rsid w:val="6A6179B3"/>
    <w:rsid w:val="6A6D269D"/>
    <w:rsid w:val="6A87428E"/>
    <w:rsid w:val="6A874AA8"/>
    <w:rsid w:val="6A8F0512"/>
    <w:rsid w:val="6A917307"/>
    <w:rsid w:val="6A976378"/>
    <w:rsid w:val="6AA0581B"/>
    <w:rsid w:val="6AA55079"/>
    <w:rsid w:val="6AAD5248"/>
    <w:rsid w:val="6AB56452"/>
    <w:rsid w:val="6ABB4E2C"/>
    <w:rsid w:val="6ACF578F"/>
    <w:rsid w:val="6B292598"/>
    <w:rsid w:val="6B354780"/>
    <w:rsid w:val="6B470615"/>
    <w:rsid w:val="6B5E1012"/>
    <w:rsid w:val="6B6E7A8A"/>
    <w:rsid w:val="6B701F8A"/>
    <w:rsid w:val="6B7A0BBB"/>
    <w:rsid w:val="6B8616EB"/>
    <w:rsid w:val="6B9D798C"/>
    <w:rsid w:val="6BA90ABE"/>
    <w:rsid w:val="6BAF371F"/>
    <w:rsid w:val="6BAF4581"/>
    <w:rsid w:val="6BC43CF3"/>
    <w:rsid w:val="6BC71348"/>
    <w:rsid w:val="6BC87F6C"/>
    <w:rsid w:val="6BD52E88"/>
    <w:rsid w:val="6BE92141"/>
    <w:rsid w:val="6C090B05"/>
    <w:rsid w:val="6C2D30F2"/>
    <w:rsid w:val="6C3C4E4A"/>
    <w:rsid w:val="6C506B3E"/>
    <w:rsid w:val="6C747438"/>
    <w:rsid w:val="6C752A69"/>
    <w:rsid w:val="6C7946F9"/>
    <w:rsid w:val="6C7F629D"/>
    <w:rsid w:val="6C8A0478"/>
    <w:rsid w:val="6C8F50C7"/>
    <w:rsid w:val="6C970F4F"/>
    <w:rsid w:val="6CA66243"/>
    <w:rsid w:val="6CBF5376"/>
    <w:rsid w:val="6CC255DF"/>
    <w:rsid w:val="6CC265FC"/>
    <w:rsid w:val="6CCA59DA"/>
    <w:rsid w:val="6CDA6271"/>
    <w:rsid w:val="6CE141AB"/>
    <w:rsid w:val="6CE74BF9"/>
    <w:rsid w:val="6CF4763F"/>
    <w:rsid w:val="6CF521E3"/>
    <w:rsid w:val="6D23392E"/>
    <w:rsid w:val="6D313483"/>
    <w:rsid w:val="6D38141A"/>
    <w:rsid w:val="6D4856DD"/>
    <w:rsid w:val="6D553FBF"/>
    <w:rsid w:val="6D5E201C"/>
    <w:rsid w:val="6D695347"/>
    <w:rsid w:val="6D6E5582"/>
    <w:rsid w:val="6D7F17CD"/>
    <w:rsid w:val="6D8030A2"/>
    <w:rsid w:val="6D8609F1"/>
    <w:rsid w:val="6D8C28AC"/>
    <w:rsid w:val="6D963E3F"/>
    <w:rsid w:val="6D9A5C6B"/>
    <w:rsid w:val="6DBA30BF"/>
    <w:rsid w:val="6DC22912"/>
    <w:rsid w:val="6DE85C9A"/>
    <w:rsid w:val="6DF545B2"/>
    <w:rsid w:val="6DFB1388"/>
    <w:rsid w:val="6E031D07"/>
    <w:rsid w:val="6E2A6B30"/>
    <w:rsid w:val="6E462077"/>
    <w:rsid w:val="6E630E54"/>
    <w:rsid w:val="6E650422"/>
    <w:rsid w:val="6E665EE6"/>
    <w:rsid w:val="6E7372CF"/>
    <w:rsid w:val="6E7E2567"/>
    <w:rsid w:val="6E8242D5"/>
    <w:rsid w:val="6E8607EC"/>
    <w:rsid w:val="6E937A8C"/>
    <w:rsid w:val="6E9B6C29"/>
    <w:rsid w:val="6EA73238"/>
    <w:rsid w:val="6EC1359B"/>
    <w:rsid w:val="6EC5035F"/>
    <w:rsid w:val="6ED01B2C"/>
    <w:rsid w:val="6EDB620F"/>
    <w:rsid w:val="6EDC149F"/>
    <w:rsid w:val="6EDF148B"/>
    <w:rsid w:val="6EE47C22"/>
    <w:rsid w:val="6EEE0AB3"/>
    <w:rsid w:val="6F0F36D4"/>
    <w:rsid w:val="6F1C2869"/>
    <w:rsid w:val="6F264C76"/>
    <w:rsid w:val="6F3E73AD"/>
    <w:rsid w:val="6F621577"/>
    <w:rsid w:val="6F6B60F5"/>
    <w:rsid w:val="6F8036EC"/>
    <w:rsid w:val="6F8D1EA7"/>
    <w:rsid w:val="6F914114"/>
    <w:rsid w:val="6F9F4EBA"/>
    <w:rsid w:val="6FAE1EFD"/>
    <w:rsid w:val="6FB44E15"/>
    <w:rsid w:val="6FD4676B"/>
    <w:rsid w:val="6FD867C1"/>
    <w:rsid w:val="6FF036F6"/>
    <w:rsid w:val="6FF84047"/>
    <w:rsid w:val="6FFF442E"/>
    <w:rsid w:val="70007E69"/>
    <w:rsid w:val="701640C3"/>
    <w:rsid w:val="702B4CA8"/>
    <w:rsid w:val="703E08A5"/>
    <w:rsid w:val="704768DE"/>
    <w:rsid w:val="70874FC3"/>
    <w:rsid w:val="70880060"/>
    <w:rsid w:val="708F29D8"/>
    <w:rsid w:val="70935481"/>
    <w:rsid w:val="70990471"/>
    <w:rsid w:val="709B7D36"/>
    <w:rsid w:val="709D579F"/>
    <w:rsid w:val="70A33DCF"/>
    <w:rsid w:val="70A41616"/>
    <w:rsid w:val="70C75C49"/>
    <w:rsid w:val="70D256F5"/>
    <w:rsid w:val="70D90558"/>
    <w:rsid w:val="70DD1AB5"/>
    <w:rsid w:val="70EA4B5A"/>
    <w:rsid w:val="70FE5EC3"/>
    <w:rsid w:val="71264748"/>
    <w:rsid w:val="713A1BE3"/>
    <w:rsid w:val="71426449"/>
    <w:rsid w:val="7168027F"/>
    <w:rsid w:val="71815A96"/>
    <w:rsid w:val="7185508C"/>
    <w:rsid w:val="718A3557"/>
    <w:rsid w:val="718E6821"/>
    <w:rsid w:val="719218CD"/>
    <w:rsid w:val="7195140E"/>
    <w:rsid w:val="719C3C19"/>
    <w:rsid w:val="71A20CAD"/>
    <w:rsid w:val="71D85554"/>
    <w:rsid w:val="71DB12C0"/>
    <w:rsid w:val="71EF4453"/>
    <w:rsid w:val="720C3BED"/>
    <w:rsid w:val="7215661E"/>
    <w:rsid w:val="72191156"/>
    <w:rsid w:val="72232AC3"/>
    <w:rsid w:val="723932AD"/>
    <w:rsid w:val="723F2389"/>
    <w:rsid w:val="724E591C"/>
    <w:rsid w:val="72591107"/>
    <w:rsid w:val="726D1A27"/>
    <w:rsid w:val="72731F48"/>
    <w:rsid w:val="72825984"/>
    <w:rsid w:val="72837FB3"/>
    <w:rsid w:val="728B683A"/>
    <w:rsid w:val="72A303FE"/>
    <w:rsid w:val="72AF312B"/>
    <w:rsid w:val="72D53B48"/>
    <w:rsid w:val="72DC528A"/>
    <w:rsid w:val="72E05F51"/>
    <w:rsid w:val="72F3797D"/>
    <w:rsid w:val="73147496"/>
    <w:rsid w:val="73150860"/>
    <w:rsid w:val="732D00A1"/>
    <w:rsid w:val="733F3663"/>
    <w:rsid w:val="7340275D"/>
    <w:rsid w:val="735241E8"/>
    <w:rsid w:val="73663E08"/>
    <w:rsid w:val="73680F71"/>
    <w:rsid w:val="736C20ED"/>
    <w:rsid w:val="737F24B3"/>
    <w:rsid w:val="738B4A50"/>
    <w:rsid w:val="739255B0"/>
    <w:rsid w:val="7397230A"/>
    <w:rsid w:val="73A04BD2"/>
    <w:rsid w:val="73A3445C"/>
    <w:rsid w:val="73BC53B2"/>
    <w:rsid w:val="73CC344D"/>
    <w:rsid w:val="73D272B0"/>
    <w:rsid w:val="73E22169"/>
    <w:rsid w:val="73E63E70"/>
    <w:rsid w:val="73ED71E2"/>
    <w:rsid w:val="73F10759"/>
    <w:rsid w:val="741210E0"/>
    <w:rsid w:val="742D1E90"/>
    <w:rsid w:val="74395419"/>
    <w:rsid w:val="74547BEE"/>
    <w:rsid w:val="74746D7C"/>
    <w:rsid w:val="747F3C4A"/>
    <w:rsid w:val="749D7028"/>
    <w:rsid w:val="74A2256D"/>
    <w:rsid w:val="74AA43DB"/>
    <w:rsid w:val="74AC24F5"/>
    <w:rsid w:val="74B60A2F"/>
    <w:rsid w:val="74C1723C"/>
    <w:rsid w:val="74C3110D"/>
    <w:rsid w:val="74DF7BAB"/>
    <w:rsid w:val="74E729C3"/>
    <w:rsid w:val="74F11220"/>
    <w:rsid w:val="74F12022"/>
    <w:rsid w:val="74F27998"/>
    <w:rsid w:val="751D462F"/>
    <w:rsid w:val="75216E5D"/>
    <w:rsid w:val="753701F3"/>
    <w:rsid w:val="75522237"/>
    <w:rsid w:val="755456FF"/>
    <w:rsid w:val="755505AF"/>
    <w:rsid w:val="75711F18"/>
    <w:rsid w:val="757D1AC1"/>
    <w:rsid w:val="759A27A6"/>
    <w:rsid w:val="75A037A5"/>
    <w:rsid w:val="75BB5BEE"/>
    <w:rsid w:val="75D06C6C"/>
    <w:rsid w:val="75E2742A"/>
    <w:rsid w:val="75E7565C"/>
    <w:rsid w:val="75E76425"/>
    <w:rsid w:val="75EE3594"/>
    <w:rsid w:val="75F4604D"/>
    <w:rsid w:val="760247AD"/>
    <w:rsid w:val="760250D2"/>
    <w:rsid w:val="760636A0"/>
    <w:rsid w:val="760F184D"/>
    <w:rsid w:val="76113A18"/>
    <w:rsid w:val="761F225E"/>
    <w:rsid w:val="762A5FF2"/>
    <w:rsid w:val="76320F51"/>
    <w:rsid w:val="76373D34"/>
    <w:rsid w:val="764C2CB4"/>
    <w:rsid w:val="764C773E"/>
    <w:rsid w:val="765C39CA"/>
    <w:rsid w:val="76821E25"/>
    <w:rsid w:val="768F20DB"/>
    <w:rsid w:val="76A1125A"/>
    <w:rsid w:val="76A57F4B"/>
    <w:rsid w:val="76AB0C14"/>
    <w:rsid w:val="76E01454"/>
    <w:rsid w:val="76E20DD9"/>
    <w:rsid w:val="76E66FB1"/>
    <w:rsid w:val="76EC329E"/>
    <w:rsid w:val="76EF1998"/>
    <w:rsid w:val="770F5577"/>
    <w:rsid w:val="771C5ED1"/>
    <w:rsid w:val="773D297D"/>
    <w:rsid w:val="775E4133"/>
    <w:rsid w:val="77636631"/>
    <w:rsid w:val="77661A0F"/>
    <w:rsid w:val="77727A5A"/>
    <w:rsid w:val="777D07EB"/>
    <w:rsid w:val="779B611E"/>
    <w:rsid w:val="779C103C"/>
    <w:rsid w:val="77AD0737"/>
    <w:rsid w:val="77D60618"/>
    <w:rsid w:val="77FC7D69"/>
    <w:rsid w:val="77FF4DFE"/>
    <w:rsid w:val="78007195"/>
    <w:rsid w:val="78125987"/>
    <w:rsid w:val="78174746"/>
    <w:rsid w:val="781751F3"/>
    <w:rsid w:val="781A2729"/>
    <w:rsid w:val="782B6D92"/>
    <w:rsid w:val="782E281E"/>
    <w:rsid w:val="783B03F8"/>
    <w:rsid w:val="785E7EA9"/>
    <w:rsid w:val="786243F7"/>
    <w:rsid w:val="78647781"/>
    <w:rsid w:val="78717535"/>
    <w:rsid w:val="78743F67"/>
    <w:rsid w:val="788855CA"/>
    <w:rsid w:val="7889382D"/>
    <w:rsid w:val="78A2331B"/>
    <w:rsid w:val="78BF3336"/>
    <w:rsid w:val="78DC3232"/>
    <w:rsid w:val="78E53671"/>
    <w:rsid w:val="78EE0A60"/>
    <w:rsid w:val="791003AF"/>
    <w:rsid w:val="792D7EFF"/>
    <w:rsid w:val="793A3738"/>
    <w:rsid w:val="79460EDE"/>
    <w:rsid w:val="794A63C6"/>
    <w:rsid w:val="794F055C"/>
    <w:rsid w:val="795A0FA1"/>
    <w:rsid w:val="7976773A"/>
    <w:rsid w:val="798028DB"/>
    <w:rsid w:val="798F237E"/>
    <w:rsid w:val="799B7A09"/>
    <w:rsid w:val="79A40AEF"/>
    <w:rsid w:val="79A93B7F"/>
    <w:rsid w:val="79B00CFE"/>
    <w:rsid w:val="79BB7457"/>
    <w:rsid w:val="79C43F43"/>
    <w:rsid w:val="79C72E91"/>
    <w:rsid w:val="79D87A55"/>
    <w:rsid w:val="79EA261C"/>
    <w:rsid w:val="79F31B43"/>
    <w:rsid w:val="79FD66BF"/>
    <w:rsid w:val="7A0B3584"/>
    <w:rsid w:val="7A160B3E"/>
    <w:rsid w:val="7A2F70C4"/>
    <w:rsid w:val="7A372826"/>
    <w:rsid w:val="7A3B0D2D"/>
    <w:rsid w:val="7A451348"/>
    <w:rsid w:val="7A4610EA"/>
    <w:rsid w:val="7A492843"/>
    <w:rsid w:val="7A4A7061"/>
    <w:rsid w:val="7A4D46B1"/>
    <w:rsid w:val="7A522490"/>
    <w:rsid w:val="7A6348BA"/>
    <w:rsid w:val="7A6B26F7"/>
    <w:rsid w:val="7A74492B"/>
    <w:rsid w:val="7A8B398C"/>
    <w:rsid w:val="7A9654D2"/>
    <w:rsid w:val="7AA84AA8"/>
    <w:rsid w:val="7AAE74D4"/>
    <w:rsid w:val="7AC436AA"/>
    <w:rsid w:val="7AD6527E"/>
    <w:rsid w:val="7ADA256C"/>
    <w:rsid w:val="7ADC658F"/>
    <w:rsid w:val="7AE04774"/>
    <w:rsid w:val="7AE3081A"/>
    <w:rsid w:val="7AE37010"/>
    <w:rsid w:val="7AEB4E93"/>
    <w:rsid w:val="7AF764FA"/>
    <w:rsid w:val="7AFD3857"/>
    <w:rsid w:val="7AFF2D44"/>
    <w:rsid w:val="7B09782A"/>
    <w:rsid w:val="7B0A17DB"/>
    <w:rsid w:val="7B292F0E"/>
    <w:rsid w:val="7B304435"/>
    <w:rsid w:val="7B3B07F5"/>
    <w:rsid w:val="7B5D1B94"/>
    <w:rsid w:val="7B5E7BA1"/>
    <w:rsid w:val="7B7840FC"/>
    <w:rsid w:val="7B8D438C"/>
    <w:rsid w:val="7BA50D4D"/>
    <w:rsid w:val="7BCF4F4A"/>
    <w:rsid w:val="7BDB3521"/>
    <w:rsid w:val="7BDD4F1E"/>
    <w:rsid w:val="7BE04399"/>
    <w:rsid w:val="7BEA728A"/>
    <w:rsid w:val="7C0B5A94"/>
    <w:rsid w:val="7C1C423A"/>
    <w:rsid w:val="7C7E4C0A"/>
    <w:rsid w:val="7C881C3E"/>
    <w:rsid w:val="7CB30080"/>
    <w:rsid w:val="7CB97792"/>
    <w:rsid w:val="7CC51228"/>
    <w:rsid w:val="7CD8312B"/>
    <w:rsid w:val="7CF40A25"/>
    <w:rsid w:val="7CF770C4"/>
    <w:rsid w:val="7D0A6D48"/>
    <w:rsid w:val="7D39266F"/>
    <w:rsid w:val="7D3C4634"/>
    <w:rsid w:val="7D406813"/>
    <w:rsid w:val="7D41687E"/>
    <w:rsid w:val="7D464F92"/>
    <w:rsid w:val="7D4A18A6"/>
    <w:rsid w:val="7D5B405C"/>
    <w:rsid w:val="7D6C5EC3"/>
    <w:rsid w:val="7DA309E3"/>
    <w:rsid w:val="7DB70D15"/>
    <w:rsid w:val="7DC5442D"/>
    <w:rsid w:val="7DF8495E"/>
    <w:rsid w:val="7DFF2780"/>
    <w:rsid w:val="7E0265B5"/>
    <w:rsid w:val="7E070AD1"/>
    <w:rsid w:val="7E190A95"/>
    <w:rsid w:val="7E270BC4"/>
    <w:rsid w:val="7E36036B"/>
    <w:rsid w:val="7E56114F"/>
    <w:rsid w:val="7E5A1313"/>
    <w:rsid w:val="7E5F2A98"/>
    <w:rsid w:val="7E631E29"/>
    <w:rsid w:val="7E6422AE"/>
    <w:rsid w:val="7E6D4E88"/>
    <w:rsid w:val="7E706A12"/>
    <w:rsid w:val="7E8161FD"/>
    <w:rsid w:val="7E955F38"/>
    <w:rsid w:val="7EB444B6"/>
    <w:rsid w:val="7EC87A85"/>
    <w:rsid w:val="7ECB3E04"/>
    <w:rsid w:val="7ED16786"/>
    <w:rsid w:val="7EF17A1B"/>
    <w:rsid w:val="7F1C70D5"/>
    <w:rsid w:val="7F340717"/>
    <w:rsid w:val="7F4D216F"/>
    <w:rsid w:val="7F4D348E"/>
    <w:rsid w:val="7F4F1CA8"/>
    <w:rsid w:val="7F865FB7"/>
    <w:rsid w:val="7F873E53"/>
    <w:rsid w:val="7F8A1CB4"/>
    <w:rsid w:val="7F8A4EF6"/>
    <w:rsid w:val="7F8D3F7F"/>
    <w:rsid w:val="7F9D49AE"/>
    <w:rsid w:val="7F9E519C"/>
    <w:rsid w:val="7FA72FCA"/>
    <w:rsid w:val="7FB42A25"/>
    <w:rsid w:val="7FB73567"/>
    <w:rsid w:val="7FBE63AE"/>
    <w:rsid w:val="7FC16F99"/>
    <w:rsid w:val="7FC65BA0"/>
    <w:rsid w:val="7FCE26FC"/>
    <w:rsid w:val="7FD02699"/>
    <w:rsid w:val="7FD762D3"/>
    <w:rsid w:val="7FDD0EBC"/>
    <w:rsid w:val="7FDF3A93"/>
    <w:rsid w:val="7FF049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Calibri"/>
      <w:color w:val="000000"/>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cs="Arial"/>
      <w:b/>
      <w:sz w:val="32"/>
      <w:szCs w:val="32"/>
    </w:rPr>
  </w:style>
  <w:style w:type="paragraph" w:styleId="5">
    <w:name w:val="heading 3"/>
    <w:basedOn w:val="1"/>
    <w:next w:val="1"/>
    <w:link w:val="44"/>
    <w:qFormat/>
    <w:uiPriority w:val="0"/>
    <w:pPr>
      <w:keepNext/>
      <w:keepLines/>
      <w:spacing w:before="260" w:after="260" w:line="413" w:lineRule="auto"/>
      <w:ind w:firstLine="137"/>
      <w:outlineLvl w:val="2"/>
    </w:pPr>
    <w:rPr>
      <w:rFonts w:ascii="黑体" w:hAnsi="黑体" w:eastAsia="黑体" w:cs="宋体"/>
      <w:sz w:val="28"/>
      <w:szCs w:val="28"/>
    </w:rPr>
  </w:style>
  <w:style w:type="paragraph" w:styleId="6">
    <w:name w:val="heading 4"/>
    <w:basedOn w:val="1"/>
    <w:next w:val="1"/>
    <w:qFormat/>
    <w:uiPriority w:val="0"/>
    <w:pPr>
      <w:keepNext/>
      <w:keepLines/>
      <w:spacing w:before="280" w:after="290" w:line="372" w:lineRule="auto"/>
      <w:outlineLvl w:val="3"/>
    </w:pPr>
    <w:rPr>
      <w:rFonts w:ascii="Arial" w:hAnsi="Arial" w:eastAsia="黑体" w:cs="Arial"/>
      <w:b/>
      <w:sz w:val="28"/>
      <w:szCs w:val="28"/>
    </w:rPr>
  </w:style>
  <w:style w:type="character" w:default="1" w:styleId="37">
    <w:name w:val="Default Paragraph Font"/>
    <w:unhideWhenUsed/>
    <w:qFormat/>
    <w:uiPriority w:val="1"/>
  </w:style>
  <w:style w:type="table" w:default="1" w:styleId="3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Plain Text"/>
    <w:basedOn w:val="1"/>
    <w:link w:val="43"/>
    <w:qFormat/>
    <w:uiPriority w:val="0"/>
    <w:rPr>
      <w:rFonts w:ascii="宋体" w:hAnsi="宋体" w:cs="Times New Roman"/>
      <w:sz w:val="20"/>
      <w:szCs w:val="20"/>
      <w:lang w:val="zh-CN"/>
    </w:rPr>
  </w:style>
  <w:style w:type="paragraph" w:styleId="7">
    <w:name w:val="toc 7"/>
    <w:basedOn w:val="1"/>
    <w:next w:val="1"/>
    <w:unhideWhenUsed/>
    <w:qFormat/>
    <w:uiPriority w:val="39"/>
    <w:pPr>
      <w:ind w:left="2520" w:leftChars="1200"/>
    </w:pPr>
    <w:rPr>
      <w:rFonts w:cs="Times New Roman"/>
      <w:color w:val="auto"/>
      <w:kern w:val="2"/>
    </w:rPr>
  </w:style>
  <w:style w:type="paragraph" w:styleId="8">
    <w:name w:val="index 8"/>
    <w:basedOn w:val="1"/>
    <w:next w:val="1"/>
    <w:unhideWhenUsed/>
    <w:qFormat/>
    <w:uiPriority w:val="99"/>
    <w:pPr>
      <w:ind w:left="1400" w:leftChars="1400"/>
    </w:pPr>
  </w:style>
  <w:style w:type="paragraph" w:styleId="9">
    <w:name w:val="Normal Indent"/>
    <w:basedOn w:val="1"/>
    <w:qFormat/>
    <w:uiPriority w:val="0"/>
    <w:pPr>
      <w:ind w:firstLine="420" w:firstLineChars="200"/>
    </w:pPr>
    <w:rPr>
      <w:rFonts w:ascii="Times New Roman" w:hAnsi="Times New Roman" w:cs="Times New Roman"/>
      <w:szCs w:val="24"/>
    </w:rPr>
  </w:style>
  <w:style w:type="paragraph" w:styleId="10">
    <w:name w:val="Document Map"/>
    <w:basedOn w:val="1"/>
    <w:qFormat/>
    <w:uiPriority w:val="0"/>
    <w:pPr>
      <w:shd w:val="clear" w:color="000000" w:fill="00007F"/>
    </w:pPr>
    <w:rPr>
      <w:kern w:val="1"/>
      <w:szCs w:val="24"/>
      <w:lang w:val="zh-CN"/>
    </w:rPr>
  </w:style>
  <w:style w:type="paragraph" w:styleId="11">
    <w:name w:val="annotation text"/>
    <w:basedOn w:val="1"/>
    <w:link w:val="45"/>
    <w:qFormat/>
    <w:uiPriority w:val="99"/>
    <w:pPr>
      <w:jc w:val="left"/>
    </w:pPr>
    <w:rPr>
      <w:sz w:val="20"/>
      <w:szCs w:val="24"/>
      <w:lang w:val="zh-CN"/>
    </w:rPr>
  </w:style>
  <w:style w:type="paragraph" w:styleId="12">
    <w:name w:val="Body Text 3"/>
    <w:basedOn w:val="1"/>
    <w:qFormat/>
    <w:uiPriority w:val="0"/>
    <w:rPr>
      <w:rFonts w:ascii="宋体" w:hAnsi="宋体" w:cs="宋体"/>
      <w:sz w:val="24"/>
      <w:szCs w:val="20"/>
    </w:rPr>
  </w:style>
  <w:style w:type="paragraph" w:styleId="13">
    <w:name w:val="Body Text"/>
    <w:basedOn w:val="1"/>
    <w:link w:val="46"/>
    <w:qFormat/>
    <w:uiPriority w:val="0"/>
    <w:pPr>
      <w:spacing w:after="120"/>
    </w:pPr>
    <w:rPr>
      <w:kern w:val="1"/>
    </w:rPr>
  </w:style>
  <w:style w:type="paragraph" w:styleId="14">
    <w:name w:val="Body Text Indent"/>
    <w:basedOn w:val="1"/>
    <w:qFormat/>
    <w:uiPriority w:val="0"/>
    <w:pPr>
      <w:spacing w:after="120"/>
      <w:ind w:left="420" w:leftChars="200"/>
    </w:pPr>
  </w:style>
  <w:style w:type="paragraph" w:styleId="15">
    <w:name w:val="Block Text"/>
    <w:basedOn w:val="1"/>
    <w:qFormat/>
    <w:uiPriority w:val="0"/>
    <w:pPr>
      <w:spacing w:before="120" w:after="120" w:line="360" w:lineRule="auto"/>
      <w:ind w:left="57" w:right="57" w:firstLine="468"/>
    </w:pPr>
    <w:rPr>
      <w:rFonts w:ascii="Arial" w:hAnsi="Arial" w:cs="Arial"/>
      <w:kern w:val="1"/>
      <w:sz w:val="24"/>
      <w:szCs w:val="20"/>
    </w:rPr>
  </w:style>
  <w:style w:type="paragraph" w:styleId="16">
    <w:name w:val="toc 5"/>
    <w:basedOn w:val="1"/>
    <w:next w:val="1"/>
    <w:unhideWhenUsed/>
    <w:qFormat/>
    <w:uiPriority w:val="39"/>
    <w:pPr>
      <w:ind w:left="1680" w:leftChars="800"/>
    </w:pPr>
    <w:rPr>
      <w:rFonts w:cs="Times New Roman"/>
      <w:color w:val="auto"/>
      <w:kern w:val="2"/>
    </w:rPr>
  </w:style>
  <w:style w:type="paragraph" w:styleId="17">
    <w:name w:val="toc 3"/>
    <w:basedOn w:val="1"/>
    <w:next w:val="1"/>
    <w:unhideWhenUsed/>
    <w:qFormat/>
    <w:uiPriority w:val="39"/>
    <w:pPr>
      <w:ind w:left="840" w:leftChars="400"/>
    </w:pPr>
  </w:style>
  <w:style w:type="paragraph" w:styleId="18">
    <w:name w:val="toc 8"/>
    <w:basedOn w:val="1"/>
    <w:next w:val="1"/>
    <w:unhideWhenUsed/>
    <w:qFormat/>
    <w:uiPriority w:val="39"/>
    <w:pPr>
      <w:ind w:left="2940" w:leftChars="1400"/>
    </w:pPr>
    <w:rPr>
      <w:rFonts w:cs="Times New Roman"/>
      <w:color w:val="auto"/>
      <w:kern w:val="2"/>
    </w:rPr>
  </w:style>
  <w:style w:type="paragraph" w:styleId="19">
    <w:name w:val="Date"/>
    <w:basedOn w:val="1"/>
    <w:next w:val="1"/>
    <w:link w:val="47"/>
    <w:unhideWhenUsed/>
    <w:qFormat/>
    <w:uiPriority w:val="99"/>
    <w:pPr>
      <w:ind w:left="100" w:leftChars="2500"/>
    </w:pPr>
    <w:rPr>
      <w:rFonts w:cs="Times New Roman"/>
    </w:rPr>
  </w:style>
  <w:style w:type="paragraph" w:styleId="20">
    <w:name w:val="Body Text Indent 2"/>
    <w:basedOn w:val="1"/>
    <w:qFormat/>
    <w:uiPriority w:val="0"/>
    <w:pPr>
      <w:spacing w:after="120" w:line="480" w:lineRule="auto"/>
      <w:ind w:left="420"/>
    </w:pPr>
    <w:rPr>
      <w:sz w:val="20"/>
      <w:szCs w:val="24"/>
    </w:rPr>
  </w:style>
  <w:style w:type="paragraph" w:styleId="21">
    <w:name w:val="Balloon Text"/>
    <w:basedOn w:val="1"/>
    <w:qFormat/>
    <w:uiPriority w:val="0"/>
    <w:rPr>
      <w:kern w:val="1"/>
      <w:sz w:val="18"/>
      <w:szCs w:val="18"/>
      <w:lang w:val="zh-CN"/>
    </w:rPr>
  </w:style>
  <w:style w:type="paragraph" w:styleId="22">
    <w:name w:val="footer"/>
    <w:basedOn w:val="1"/>
    <w:link w:val="48"/>
    <w:qFormat/>
    <w:uiPriority w:val="99"/>
    <w:pPr>
      <w:tabs>
        <w:tab w:val="center" w:pos="4153"/>
        <w:tab w:val="right" w:pos="8306"/>
      </w:tabs>
      <w:jc w:val="left"/>
    </w:pPr>
    <w:rPr>
      <w:rFonts w:ascii="Times New Roman" w:hAnsi="Times New Roman" w:cs="Times New Roman"/>
      <w:color w:val="auto"/>
      <w:sz w:val="18"/>
      <w:szCs w:val="24"/>
    </w:rPr>
  </w:style>
  <w:style w:type="paragraph" w:styleId="23">
    <w:name w:val="envelope return"/>
    <w:basedOn w:val="1"/>
    <w:qFormat/>
    <w:uiPriority w:val="0"/>
    <w:pPr>
      <w:snapToGrid w:val="0"/>
    </w:pPr>
    <w:rPr>
      <w:rFonts w:ascii="Arial" w:hAnsi="Arial"/>
      <w:szCs w:val="24"/>
    </w:rPr>
  </w:style>
  <w:style w:type="paragraph" w:styleId="24">
    <w:name w:val="header"/>
    <w:basedOn w:val="1"/>
    <w:qFormat/>
    <w:uiPriority w:val="0"/>
    <w:pPr>
      <w:pBdr>
        <w:bottom w:val="single" w:color="000000" w:sz="6" w:space="1"/>
      </w:pBdr>
      <w:tabs>
        <w:tab w:val="center" w:pos="4153"/>
        <w:tab w:val="right" w:pos="8306"/>
      </w:tabs>
      <w:jc w:val="center"/>
    </w:pPr>
    <w:rPr>
      <w:sz w:val="18"/>
      <w:szCs w:val="18"/>
    </w:rPr>
  </w:style>
  <w:style w:type="paragraph" w:styleId="25">
    <w:name w:val="toc 1"/>
    <w:basedOn w:val="1"/>
    <w:next w:val="1"/>
    <w:qFormat/>
    <w:uiPriority w:val="39"/>
    <w:pPr>
      <w:spacing w:before="120" w:after="120"/>
      <w:jc w:val="left"/>
    </w:pPr>
    <w:rPr>
      <w:rFonts w:ascii="Times New Roman" w:hAnsi="Times New Roman" w:cs="Times New Roman"/>
      <w:b/>
      <w:caps/>
      <w:kern w:val="1"/>
      <w:sz w:val="20"/>
      <w:szCs w:val="20"/>
    </w:rPr>
  </w:style>
  <w:style w:type="paragraph" w:styleId="26">
    <w:name w:val="toc 4"/>
    <w:basedOn w:val="1"/>
    <w:next w:val="1"/>
    <w:unhideWhenUsed/>
    <w:qFormat/>
    <w:uiPriority w:val="39"/>
    <w:pPr>
      <w:ind w:left="1260" w:leftChars="600"/>
    </w:pPr>
    <w:rPr>
      <w:rFonts w:cs="Times New Roman"/>
      <w:color w:val="auto"/>
      <w:kern w:val="2"/>
    </w:rPr>
  </w:style>
  <w:style w:type="paragraph" w:styleId="27">
    <w:name w:val="toc 6"/>
    <w:basedOn w:val="1"/>
    <w:next w:val="1"/>
    <w:unhideWhenUsed/>
    <w:qFormat/>
    <w:uiPriority w:val="39"/>
    <w:pPr>
      <w:ind w:left="2100" w:leftChars="1000"/>
    </w:pPr>
    <w:rPr>
      <w:rFonts w:cs="Times New Roman"/>
      <w:color w:val="auto"/>
      <w:kern w:val="2"/>
    </w:rPr>
  </w:style>
  <w:style w:type="paragraph" w:styleId="28">
    <w:name w:val="toc 2"/>
    <w:basedOn w:val="1"/>
    <w:next w:val="1"/>
    <w:unhideWhenUsed/>
    <w:qFormat/>
    <w:uiPriority w:val="39"/>
    <w:pPr>
      <w:keepNext w:val="0"/>
      <w:keepLines w:val="0"/>
      <w:widowControl w:val="0"/>
      <w:suppressLineNumbers w:val="0"/>
      <w:spacing w:before="0" w:beforeAutospacing="0" w:after="0" w:afterAutospacing="0"/>
      <w:ind w:left="420" w:leftChars="200" w:right="0"/>
      <w:jc w:val="both"/>
    </w:pPr>
    <w:rPr>
      <w:rFonts w:hint="default" w:ascii="Calibri" w:hAnsi="Calibri" w:eastAsia="宋体" w:cs="Times New Roman"/>
      <w:kern w:val="2"/>
      <w:sz w:val="21"/>
      <w:szCs w:val="24"/>
      <w:lang w:val="en-US" w:eastAsia="zh-CN" w:bidi="ar"/>
    </w:rPr>
  </w:style>
  <w:style w:type="paragraph" w:styleId="29">
    <w:name w:val="toc 9"/>
    <w:basedOn w:val="1"/>
    <w:next w:val="1"/>
    <w:unhideWhenUsed/>
    <w:qFormat/>
    <w:uiPriority w:val="39"/>
    <w:pPr>
      <w:ind w:left="3360" w:leftChars="1600"/>
    </w:pPr>
    <w:rPr>
      <w:rFonts w:cs="Times New Roman"/>
      <w:color w:val="auto"/>
      <w:kern w:val="2"/>
    </w:rPr>
  </w:style>
  <w:style w:type="paragraph" w:styleId="30">
    <w:name w:val="Body Text 2"/>
    <w:basedOn w:val="1"/>
    <w:qFormat/>
    <w:uiPriority w:val="0"/>
    <w:pPr>
      <w:spacing w:after="120" w:line="480" w:lineRule="auto"/>
    </w:pPr>
    <w:rPr>
      <w:sz w:val="20"/>
      <w:szCs w:val="24"/>
    </w:rPr>
  </w:style>
  <w:style w:type="paragraph" w:styleId="31">
    <w:name w:val="Normal (Web)"/>
    <w:basedOn w:val="1"/>
    <w:unhideWhenUsed/>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 w:type="paragraph" w:styleId="32">
    <w:name w:val="index 1"/>
    <w:basedOn w:val="1"/>
    <w:next w:val="1"/>
    <w:qFormat/>
    <w:uiPriority w:val="99"/>
    <w:pPr>
      <w:spacing w:line="220" w:lineRule="exact"/>
      <w:jc w:val="center"/>
    </w:pPr>
    <w:rPr>
      <w:rFonts w:ascii="仿宋_GB2312" w:eastAsia="仿宋_GB2312"/>
      <w:szCs w:val="21"/>
    </w:rPr>
  </w:style>
  <w:style w:type="paragraph" w:styleId="33">
    <w:name w:val="annotation subject"/>
    <w:basedOn w:val="11"/>
    <w:next w:val="11"/>
    <w:qFormat/>
    <w:uiPriority w:val="0"/>
    <w:rPr>
      <w:b/>
      <w:kern w:val="1"/>
      <w:sz w:val="21"/>
      <w:szCs w:val="22"/>
    </w:rPr>
  </w:style>
  <w:style w:type="paragraph" w:styleId="34">
    <w:name w:val="Body Text First Indent"/>
    <w:basedOn w:val="13"/>
    <w:qFormat/>
    <w:uiPriority w:val="0"/>
    <w:pPr>
      <w:spacing w:line="312" w:lineRule="auto"/>
      <w:ind w:firstLine="420"/>
    </w:pPr>
  </w:style>
  <w:style w:type="paragraph" w:styleId="35">
    <w:name w:val="Body Text First Indent 2"/>
    <w:basedOn w:val="14"/>
    <w:qFormat/>
    <w:uiPriority w:val="0"/>
    <w:pPr>
      <w:spacing w:after="120"/>
      <w:ind w:left="200" w:leftChars="200" w:firstLine="200" w:firstLineChars="200"/>
    </w:pPr>
    <w:rPr>
      <w:rFonts w:ascii="Calibri" w:hAnsi="Calibri"/>
      <w:color w:val="0D0D0D"/>
      <w:lang w:eastAsia="en-US"/>
    </w:rPr>
  </w:style>
  <w:style w:type="character" w:styleId="38">
    <w:name w:val="Strong"/>
    <w:qFormat/>
    <w:uiPriority w:val="22"/>
    <w:rPr>
      <w:b/>
    </w:rPr>
  </w:style>
  <w:style w:type="character" w:styleId="39">
    <w:name w:val="page number"/>
    <w:qFormat/>
    <w:uiPriority w:val="0"/>
  </w:style>
  <w:style w:type="character" w:styleId="40">
    <w:name w:val="FollowedHyperlink"/>
    <w:unhideWhenUsed/>
    <w:qFormat/>
    <w:uiPriority w:val="99"/>
    <w:rPr>
      <w:color w:val="7E1FAD"/>
      <w:u w:val="single"/>
    </w:rPr>
  </w:style>
  <w:style w:type="character" w:styleId="41">
    <w:name w:val="Hyperlink"/>
    <w:unhideWhenUsed/>
    <w:qFormat/>
    <w:uiPriority w:val="99"/>
    <w:rPr>
      <w:color w:val="0000FF"/>
      <w:u w:val="single"/>
    </w:rPr>
  </w:style>
  <w:style w:type="character" w:styleId="42">
    <w:name w:val="annotation reference"/>
    <w:qFormat/>
    <w:uiPriority w:val="0"/>
    <w:rPr>
      <w:sz w:val="21"/>
      <w:szCs w:val="21"/>
    </w:rPr>
  </w:style>
  <w:style w:type="character" w:customStyle="1" w:styleId="43">
    <w:name w:val="纯文本 字符"/>
    <w:link w:val="2"/>
    <w:qFormat/>
    <w:uiPriority w:val="0"/>
    <w:rPr>
      <w:rFonts w:ascii="宋体" w:hAnsi="宋体" w:cs="Courier New"/>
      <w:color w:val="000000"/>
      <w:lang w:val="zh-CN"/>
    </w:rPr>
  </w:style>
  <w:style w:type="character" w:customStyle="1" w:styleId="44">
    <w:name w:val="标题 3 字符"/>
    <w:link w:val="5"/>
    <w:qFormat/>
    <w:uiPriority w:val="0"/>
    <w:rPr>
      <w:rFonts w:ascii="黑体" w:hAnsi="黑体" w:eastAsia="黑体" w:cs="宋体"/>
      <w:color w:val="000000"/>
      <w:sz w:val="28"/>
      <w:szCs w:val="28"/>
    </w:rPr>
  </w:style>
  <w:style w:type="character" w:customStyle="1" w:styleId="45">
    <w:name w:val="批注文字 字符"/>
    <w:link w:val="11"/>
    <w:qFormat/>
    <w:uiPriority w:val="99"/>
    <w:rPr>
      <w:rFonts w:ascii="Calibri" w:hAnsi="Calibri" w:eastAsia="宋体" w:cs="Calibri"/>
      <w:color w:val="000000"/>
      <w:szCs w:val="24"/>
      <w:lang w:val="zh-CN" w:eastAsia="zh-CN" w:bidi="ar-SA"/>
    </w:rPr>
  </w:style>
  <w:style w:type="character" w:customStyle="1" w:styleId="46">
    <w:name w:val="正文文本 字符"/>
    <w:link w:val="13"/>
    <w:qFormat/>
    <w:uiPriority w:val="0"/>
    <w:rPr>
      <w:rFonts w:ascii="Calibri" w:hAnsi="Calibri" w:cs="Calibri"/>
      <w:color w:val="000000"/>
      <w:kern w:val="1"/>
      <w:sz w:val="21"/>
      <w:szCs w:val="22"/>
    </w:rPr>
  </w:style>
  <w:style w:type="character" w:customStyle="1" w:styleId="47">
    <w:name w:val="日期 字符"/>
    <w:link w:val="19"/>
    <w:semiHidden/>
    <w:qFormat/>
    <w:uiPriority w:val="99"/>
    <w:rPr>
      <w:rFonts w:ascii="Calibri" w:hAnsi="Calibri" w:cs="Calibri"/>
      <w:color w:val="000000"/>
      <w:sz w:val="21"/>
      <w:szCs w:val="22"/>
    </w:rPr>
  </w:style>
  <w:style w:type="character" w:customStyle="1" w:styleId="48">
    <w:name w:val="页脚 字符"/>
    <w:link w:val="22"/>
    <w:qFormat/>
    <w:uiPriority w:val="99"/>
    <w:rPr>
      <w:sz w:val="18"/>
      <w:szCs w:val="24"/>
    </w:rPr>
  </w:style>
  <w:style w:type="paragraph" w:customStyle="1" w:styleId="49">
    <w:name w:val="Default"/>
    <w:next w:val="50"/>
    <w:qFormat/>
    <w:uiPriority w:val="0"/>
    <w:pPr>
      <w:widowControl w:val="0"/>
      <w:autoSpaceDE w:val="0"/>
      <w:autoSpaceDN w:val="0"/>
      <w:adjustRightInd w:val="0"/>
      <w:spacing w:after="160" w:line="278" w:lineRule="auto"/>
    </w:pPr>
    <w:rPr>
      <w:rFonts w:ascii="宋体..胭.." w:hAnsi="Calibri" w:eastAsia="宋体..胭.." w:cs="宋体..胭.."/>
      <w:color w:val="000000"/>
      <w:sz w:val="24"/>
      <w:szCs w:val="24"/>
      <w:lang w:val="en-US" w:eastAsia="zh-CN" w:bidi="ar-SA"/>
    </w:rPr>
  </w:style>
  <w:style w:type="paragraph" w:customStyle="1" w:styleId="50">
    <w:name w:val="6'"/>
    <w:next w:val="51"/>
    <w:qFormat/>
    <w:uiPriority w:val="0"/>
    <w:pPr>
      <w:widowControl w:val="0"/>
      <w:autoSpaceDE w:val="0"/>
      <w:autoSpaceDN w:val="0"/>
      <w:adjustRightInd w:val="0"/>
      <w:snapToGrid w:val="0"/>
      <w:spacing w:line="320" w:lineRule="exact"/>
      <w:jc w:val="center"/>
    </w:pPr>
    <w:rPr>
      <w:rFonts w:ascii="Times New Roman" w:hAnsi="Times New Roman" w:eastAsia="宋体" w:cs="Times New Roman"/>
      <w:spacing w:val="20"/>
      <w:sz w:val="24"/>
      <w:lang w:val="en-US" w:eastAsia="zh-CN" w:bidi="ar-SA"/>
    </w:rPr>
  </w:style>
  <w:style w:type="paragraph" w:customStyle="1" w:styleId="51">
    <w:name w:val="AOHead3"/>
    <w:next w:val="1"/>
    <w:qFormat/>
    <w:uiPriority w:val="0"/>
    <w:pPr>
      <w:autoSpaceDE w:val="0"/>
      <w:autoSpaceDN w:val="0"/>
      <w:adjustRightInd w:val="0"/>
      <w:spacing w:line="360" w:lineRule="auto"/>
      <w:ind w:left="1260"/>
      <w:outlineLvl w:val="2"/>
    </w:pPr>
    <w:rPr>
      <w:rFonts w:ascii="Times New Roman" w:hAnsi="Times New Roman" w:eastAsia="宋体" w:cs="Times New Roman"/>
      <w:color w:val="0000FF"/>
      <w:sz w:val="24"/>
      <w:lang w:val="en-US" w:eastAsia="zh-CN" w:bidi="ar-SA"/>
    </w:rPr>
  </w:style>
  <w:style w:type="character" w:customStyle="1" w:styleId="52">
    <w:name w:val="批注框文本 Char"/>
    <w:qFormat/>
    <w:uiPriority w:val="0"/>
    <w:rPr>
      <w:kern w:val="1"/>
      <w:sz w:val="18"/>
      <w:szCs w:val="18"/>
    </w:rPr>
  </w:style>
  <w:style w:type="character" w:customStyle="1" w:styleId="53">
    <w:name w:val="纯文本 Char"/>
    <w:qFormat/>
    <w:uiPriority w:val="0"/>
    <w:rPr>
      <w:rFonts w:ascii="宋体" w:hAnsi="宋体"/>
    </w:rPr>
  </w:style>
  <w:style w:type="character" w:customStyle="1" w:styleId="54">
    <w:name w:val="批注文字 Char"/>
    <w:qFormat/>
    <w:uiPriority w:val="0"/>
    <w:rPr>
      <w:szCs w:val="24"/>
    </w:rPr>
  </w:style>
  <w:style w:type="character" w:customStyle="1" w:styleId="55">
    <w:name w:val="文档结构图 Char"/>
    <w:qFormat/>
    <w:uiPriority w:val="0"/>
    <w:rPr>
      <w:kern w:val="1"/>
      <w:sz w:val="21"/>
      <w:szCs w:val="24"/>
      <w:shd w:val="clear" w:color="auto" w:fill="00007F"/>
    </w:rPr>
  </w:style>
  <w:style w:type="character" w:customStyle="1" w:styleId="56">
    <w:name w:val="font01"/>
    <w:qFormat/>
    <w:uiPriority w:val="0"/>
    <w:rPr>
      <w:rFonts w:ascii="Times New Roman" w:hAnsi="Times New Roman" w:cs="Times New Roman"/>
      <w:color w:val="000000"/>
      <w:sz w:val="20"/>
      <w:szCs w:val="20"/>
    </w:rPr>
  </w:style>
  <w:style w:type="character" w:customStyle="1" w:styleId="57">
    <w:name w:val="文档结构图 Char1"/>
    <w:qFormat/>
    <w:uiPriority w:val="0"/>
    <w:rPr>
      <w:rFonts w:ascii="宋体" w:hAnsi="宋体"/>
      <w:kern w:val="1"/>
      <w:sz w:val="18"/>
      <w:szCs w:val="18"/>
    </w:rPr>
  </w:style>
  <w:style w:type="character" w:customStyle="1" w:styleId="58">
    <w:name w:val="apple-converted-space"/>
    <w:qFormat/>
    <w:uiPriority w:val="0"/>
  </w:style>
  <w:style w:type="character" w:customStyle="1" w:styleId="59">
    <w:name w:val="首行缩进两字 Char1"/>
    <w:link w:val="60"/>
    <w:qFormat/>
    <w:locked/>
    <w:uiPriority w:val="0"/>
    <w:rPr>
      <w:rFonts w:ascii="宋体" w:hAnsi="宋体"/>
      <w:color w:val="000000"/>
      <w:sz w:val="28"/>
    </w:rPr>
  </w:style>
  <w:style w:type="paragraph" w:customStyle="1" w:styleId="60">
    <w:name w:val="首行缩进两字"/>
    <w:basedOn w:val="1"/>
    <w:link w:val="59"/>
    <w:qFormat/>
    <w:uiPriority w:val="0"/>
    <w:pPr>
      <w:ind w:firstLine="549" w:firstLineChars="200"/>
      <w:jc w:val="left"/>
    </w:pPr>
    <w:rPr>
      <w:rFonts w:ascii="宋体" w:hAnsi="宋体" w:cs="Times New Roman"/>
      <w:sz w:val="28"/>
      <w:szCs w:val="20"/>
    </w:rPr>
  </w:style>
  <w:style w:type="character" w:customStyle="1" w:styleId="61">
    <w:name w:val="标题 2 Char"/>
    <w:qFormat/>
    <w:uiPriority w:val="0"/>
    <w:rPr>
      <w:rFonts w:ascii="Arial" w:hAnsi="Arial" w:eastAsia="黑体"/>
      <w:b/>
      <w:kern w:val="0"/>
      <w:sz w:val="32"/>
      <w:szCs w:val="32"/>
    </w:rPr>
  </w:style>
  <w:style w:type="character" w:customStyle="1" w:styleId="62">
    <w:name w:val="页脚 Char1"/>
    <w:qFormat/>
    <w:uiPriority w:val="0"/>
    <w:rPr>
      <w:kern w:val="2"/>
      <w:sz w:val="18"/>
      <w:szCs w:val="18"/>
    </w:rPr>
  </w:style>
  <w:style w:type="character" w:customStyle="1" w:styleId="63">
    <w:name w:val="_Style 8"/>
    <w:qFormat/>
    <w:uiPriority w:val="0"/>
    <w:rPr>
      <w:smallCaps/>
      <w:color w:val="C0504D"/>
      <w:u w:val="single"/>
    </w:rPr>
  </w:style>
  <w:style w:type="character" w:customStyle="1" w:styleId="64">
    <w:name w:val="font21"/>
    <w:qFormat/>
    <w:uiPriority w:val="0"/>
    <w:rPr>
      <w:rFonts w:ascii="宋体" w:hAnsi="宋体" w:eastAsia="宋体" w:cs="宋体"/>
      <w:color w:val="000000"/>
      <w:sz w:val="24"/>
      <w:szCs w:val="24"/>
      <w:u w:val="none"/>
    </w:rPr>
  </w:style>
  <w:style w:type="character" w:customStyle="1" w:styleId="65">
    <w:name w:val="批注主题 Char"/>
    <w:qFormat/>
    <w:uiPriority w:val="0"/>
    <w:rPr>
      <w:b/>
      <w:kern w:val="1"/>
      <w:sz w:val="21"/>
      <w:szCs w:val="22"/>
    </w:rPr>
  </w:style>
  <w:style w:type="paragraph" w:customStyle="1" w:styleId="66">
    <w:name w:val="正文 New New New New New New New New New New New New New New New New New New New New New New New New New New New New New New New New"/>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customStyle="1" w:styleId="67">
    <w:name w:val="正文 New New New New New New New New New New New New New New New New New"/>
    <w:qFormat/>
    <w:uiPriority w:val="0"/>
    <w:pPr>
      <w:widowControl w:val="0"/>
      <w:spacing w:after="160" w:line="360" w:lineRule="auto"/>
      <w:jc w:val="both"/>
    </w:pPr>
    <w:rPr>
      <w:rFonts w:ascii="Calibri" w:hAnsi="Calibri" w:eastAsia="宋体" w:cs="Times New Roman"/>
      <w:kern w:val="2"/>
      <w:sz w:val="28"/>
      <w:szCs w:val="24"/>
      <w:lang w:val="en-US" w:eastAsia="zh-CN" w:bidi="ar-SA"/>
    </w:rPr>
  </w:style>
  <w:style w:type="paragraph" w:customStyle="1" w:styleId="68">
    <w:name w:val="标题 1 New"/>
    <w:basedOn w:val="69"/>
    <w:next w:val="69"/>
    <w:qFormat/>
    <w:uiPriority w:val="0"/>
    <w:pPr>
      <w:keepNext/>
      <w:keepLines/>
      <w:spacing w:line="576" w:lineRule="auto"/>
      <w:outlineLvl w:val="0"/>
    </w:pPr>
    <w:rPr>
      <w:b/>
      <w:sz w:val="44"/>
      <w:szCs w:val="44"/>
    </w:rPr>
  </w:style>
  <w:style w:type="paragraph" w:customStyle="1" w:styleId="69">
    <w:name w:val="正文 New"/>
    <w:next w:val="70"/>
    <w:qFormat/>
    <w:uiPriority w:val="0"/>
    <w:pPr>
      <w:widowControl w:val="0"/>
      <w:spacing w:after="160" w:line="278" w:lineRule="auto"/>
      <w:jc w:val="both"/>
    </w:pPr>
    <w:rPr>
      <w:rFonts w:ascii="Calibri" w:hAnsi="Calibri" w:eastAsia="宋体" w:cs="Calibri"/>
      <w:color w:val="000000"/>
      <w:sz w:val="21"/>
      <w:szCs w:val="22"/>
      <w:lang w:val="en-US" w:eastAsia="zh-CN" w:bidi="ar-SA"/>
    </w:rPr>
  </w:style>
  <w:style w:type="paragraph" w:customStyle="1" w:styleId="70">
    <w:name w:val="纯文本1"/>
    <w:basedOn w:val="69"/>
    <w:qFormat/>
    <w:uiPriority w:val="0"/>
    <w:rPr>
      <w:rFonts w:ascii="宋体" w:hAnsi="宋体" w:cs="Courier New"/>
      <w:sz w:val="20"/>
      <w:szCs w:val="20"/>
      <w:lang w:val="zh-CN"/>
    </w:rPr>
  </w:style>
  <w:style w:type="paragraph" w:styleId="71">
    <w:name w:val="List Paragraph"/>
    <w:basedOn w:val="1"/>
    <w:qFormat/>
    <w:uiPriority w:val="0"/>
    <w:pPr>
      <w:ind w:firstLine="420" w:firstLineChars="200"/>
    </w:pPr>
  </w:style>
  <w:style w:type="paragraph" w:customStyle="1" w:styleId="72">
    <w:name w:val="修订1"/>
    <w:qFormat/>
    <w:uiPriority w:val="0"/>
    <w:pPr>
      <w:spacing w:after="160" w:line="278" w:lineRule="auto"/>
    </w:pPr>
    <w:rPr>
      <w:rFonts w:ascii="Calibri" w:hAnsi="Calibri" w:eastAsia="宋体" w:cs="Calibri"/>
      <w:color w:val="000000"/>
      <w:kern w:val="1"/>
      <w:sz w:val="21"/>
      <w:szCs w:val="22"/>
      <w:lang w:val="en-US" w:eastAsia="zh-CN" w:bidi="ar-SA"/>
    </w:rPr>
  </w:style>
  <w:style w:type="paragraph" w:customStyle="1" w:styleId="73">
    <w:name w:val="List Paragraph*"/>
    <w:basedOn w:val="1"/>
    <w:qFormat/>
    <w:uiPriority w:val="0"/>
    <w:pPr>
      <w:spacing w:line="360" w:lineRule="auto"/>
      <w:ind w:firstLine="420"/>
    </w:pPr>
    <w:rPr>
      <w:rFonts w:ascii="仿宋_GB2312" w:hAnsi="仿宋_GB2312" w:eastAsia="仿宋_GB2312" w:cs="仿宋_GB2312"/>
      <w:kern w:val="1"/>
      <w:sz w:val="28"/>
    </w:rPr>
  </w:style>
  <w:style w:type="paragraph" w:customStyle="1" w:styleId="74">
    <w:name w:val="[基本段落]"/>
    <w:basedOn w:val="1"/>
    <w:qFormat/>
    <w:uiPriority w:val="0"/>
    <w:pPr>
      <w:autoSpaceDE w:val="0"/>
      <w:autoSpaceDN w:val="0"/>
      <w:spacing w:line="288" w:lineRule="auto"/>
      <w:ind w:firstLine="200" w:firstLineChars="200"/>
    </w:pPr>
    <w:rPr>
      <w:rFonts w:hint="eastAsia" w:ascii="Adobe 宋体 Std L" w:hAnsi="Adobe 宋体 Std L" w:eastAsia="Adobe 宋体 Std L" w:cs="Times New Roman"/>
      <w:sz w:val="24"/>
    </w:rPr>
  </w:style>
  <w:style w:type="paragraph" w:customStyle="1" w:styleId="75">
    <w:name w:val="_Style 3"/>
    <w:qFormat/>
    <w:uiPriority w:val="0"/>
    <w:pPr>
      <w:widowControl w:val="0"/>
      <w:spacing w:after="160" w:line="278" w:lineRule="auto"/>
      <w:jc w:val="both"/>
    </w:pPr>
    <w:rPr>
      <w:rFonts w:ascii="Calibri" w:hAnsi="Calibri" w:eastAsia="宋体" w:cs="Calibri"/>
      <w:kern w:val="2"/>
      <w:sz w:val="21"/>
      <w:szCs w:val="22"/>
      <w:lang w:val="en-US" w:eastAsia="zh-CN" w:bidi="ar-SA"/>
    </w:rPr>
  </w:style>
  <w:style w:type="paragraph" w:customStyle="1" w:styleId="76">
    <w:name w:val="报告正文A"/>
    <w:basedOn w:val="1"/>
    <w:qFormat/>
    <w:uiPriority w:val="0"/>
    <w:pPr>
      <w:adjustRightInd w:val="0"/>
      <w:snapToGrid w:val="0"/>
      <w:ind w:firstLine="200" w:firstLineChars="200"/>
    </w:pPr>
    <w:rPr>
      <w:rFonts w:ascii="Times New Roman" w:hAnsi="Times New Roman" w:eastAsia="仿宋_GB2312" w:cs="Times New Roman"/>
      <w:color w:val="auto"/>
      <w:kern w:val="2"/>
      <w:sz w:val="24"/>
      <w:szCs w:val="24"/>
    </w:rPr>
  </w:style>
  <w:style w:type="paragraph" w:customStyle="1" w:styleId="77">
    <w:name w:val="文一"/>
    <w:basedOn w:val="1"/>
    <w:next w:val="1"/>
    <w:qFormat/>
    <w:uiPriority w:val="0"/>
    <w:pPr>
      <w:spacing w:line="360" w:lineRule="auto"/>
      <w:ind w:firstLine="200"/>
    </w:pPr>
    <w:rPr>
      <w:spacing w:val="4"/>
      <w:sz w:val="24"/>
      <w:szCs w:val="24"/>
    </w:rPr>
  </w:style>
  <w:style w:type="paragraph" w:customStyle="1" w:styleId="78">
    <w:name w:val="公文正文"/>
    <w:qFormat/>
    <w:uiPriority w:val="0"/>
    <w:pPr>
      <w:widowControl w:val="0"/>
      <w:spacing w:after="160"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79">
    <w:name w:val="列出段落1"/>
    <w:basedOn w:val="1"/>
    <w:qFormat/>
    <w:uiPriority w:val="0"/>
    <w:pPr>
      <w:ind w:firstLine="420"/>
    </w:pPr>
    <w:rPr>
      <w:kern w:val="1"/>
      <w:szCs w:val="24"/>
    </w:rPr>
  </w:style>
  <w:style w:type="paragraph" w:customStyle="1" w:styleId="80">
    <w:name w:val="表头"/>
    <w:basedOn w:val="1"/>
    <w:qFormat/>
    <w:uiPriority w:val="0"/>
    <w:pPr>
      <w:spacing w:line="360" w:lineRule="auto"/>
      <w:jc w:val="center"/>
    </w:pPr>
    <w:rPr>
      <w:rFonts w:ascii="黑体" w:hAnsi="黑体" w:eastAsia="黑体" w:cs="Times New Roman"/>
      <w:sz w:val="24"/>
      <w:szCs w:val="20"/>
    </w:rPr>
  </w:style>
  <w:style w:type="paragraph" w:customStyle="1" w:styleId="81">
    <w:name w:val="普通(网站)1"/>
    <w:basedOn w:val="1"/>
    <w:qFormat/>
    <w:uiPriority w:val="0"/>
    <w:pPr>
      <w:spacing w:before="100" w:beforeAutospacing="1" w:after="100" w:afterAutospacing="1"/>
    </w:pPr>
    <w:rPr>
      <w:rFonts w:ascii="宋体" w:hAnsi="宋体" w:cs="宋体"/>
      <w:sz w:val="24"/>
      <w:szCs w:val="24"/>
    </w:rPr>
  </w:style>
  <w:style w:type="paragraph" w:customStyle="1" w:styleId="82">
    <w:name w:val="章节二"/>
    <w:basedOn w:val="1"/>
    <w:next w:val="1"/>
    <w:qFormat/>
    <w:uiPriority w:val="0"/>
    <w:pPr>
      <w:spacing w:before="156" w:after="156"/>
      <w:jc w:val="center"/>
      <w:outlineLvl w:val="1"/>
    </w:pPr>
    <w:rPr>
      <w:rFonts w:ascii="Times New Roman" w:hAnsi="Times New Roman" w:eastAsia="黑体" w:cs="Times New Roman"/>
      <w:b/>
      <w:spacing w:val="4"/>
      <w:sz w:val="30"/>
      <w:szCs w:val="30"/>
    </w:rPr>
  </w:style>
  <w:style w:type="paragraph" w:customStyle="1" w:styleId="83">
    <w:name w:val="修订2"/>
    <w:unhideWhenUsed/>
    <w:qFormat/>
    <w:uiPriority w:val="99"/>
    <w:pPr>
      <w:spacing w:after="160" w:line="278" w:lineRule="auto"/>
    </w:pPr>
    <w:rPr>
      <w:rFonts w:ascii="Calibri" w:hAnsi="Calibri" w:eastAsia="宋体" w:cs="Calibri"/>
      <w:color w:val="000000"/>
      <w:sz w:val="21"/>
      <w:szCs w:val="22"/>
      <w:lang w:val="en-US" w:eastAsia="zh-CN" w:bidi="ar-SA"/>
    </w:rPr>
  </w:style>
  <w:style w:type="paragraph" w:customStyle="1" w:styleId="84">
    <w:name w:val="正文 New New New New New New New"/>
    <w:qFormat/>
    <w:uiPriority w:val="0"/>
    <w:pPr>
      <w:widowControl w:val="0"/>
      <w:spacing w:after="160" w:line="278" w:lineRule="auto"/>
      <w:jc w:val="both"/>
    </w:pPr>
    <w:rPr>
      <w:rFonts w:ascii="Calibri" w:hAnsi="Calibri" w:eastAsia="宋体" w:cs="Calibri"/>
      <w:color w:val="000000"/>
      <w:kern w:val="1"/>
      <w:sz w:val="21"/>
      <w:szCs w:val="24"/>
      <w:lang w:val="en-US" w:eastAsia="zh-CN" w:bidi="ar-SA"/>
    </w:rPr>
  </w:style>
  <w:style w:type="paragraph" w:customStyle="1" w:styleId="85">
    <w:name w:val="纯文本11"/>
    <w:basedOn w:val="69"/>
    <w:qFormat/>
    <w:uiPriority w:val="0"/>
    <w:rPr>
      <w:rFonts w:ascii="宋体" w:hAnsi="宋体" w:cs="Courier New"/>
      <w:sz w:val="20"/>
      <w:szCs w:val="20"/>
      <w:lang w:val="zh-CN"/>
    </w:rPr>
  </w:style>
  <w:style w:type="paragraph" w:customStyle="1" w:styleId="86">
    <w:name w:val="_Style 1"/>
    <w:basedOn w:val="1"/>
    <w:qFormat/>
    <w:uiPriority w:val="0"/>
    <w:rPr>
      <w:kern w:val="1"/>
      <w:sz w:val="20"/>
      <w:szCs w:val="20"/>
    </w:rPr>
  </w:style>
  <w:style w:type="paragraph" w:customStyle="1" w:styleId="87">
    <w:name w:val="样式1"/>
    <w:basedOn w:val="1"/>
    <w:next w:val="6"/>
    <w:qFormat/>
    <w:uiPriority w:val="0"/>
    <w:pPr>
      <w:spacing w:line="360" w:lineRule="auto"/>
      <w:ind w:firstLine="420"/>
    </w:pPr>
    <w:rPr>
      <w:rFonts w:ascii="宋体" w:hAnsi="宋体" w:cs="宋体"/>
      <w:kern w:val="1"/>
      <w:szCs w:val="21"/>
    </w:rPr>
  </w:style>
  <w:style w:type="paragraph" w:customStyle="1" w:styleId="88">
    <w:name w:val="标题 2 New"/>
    <w:basedOn w:val="69"/>
    <w:next w:val="69"/>
    <w:qFormat/>
    <w:uiPriority w:val="0"/>
    <w:pPr>
      <w:keepNext/>
      <w:keepLines/>
      <w:spacing w:line="413" w:lineRule="auto"/>
      <w:outlineLvl w:val="1"/>
    </w:pPr>
    <w:rPr>
      <w:rFonts w:ascii="Arial" w:hAnsi="Arial" w:eastAsia="黑体" w:cs="Arial"/>
      <w:b/>
      <w:sz w:val="32"/>
      <w:szCs w:val="32"/>
    </w:rPr>
  </w:style>
  <w:style w:type="paragraph" w:customStyle="1" w:styleId="89">
    <w:name w:val="文二"/>
    <w:basedOn w:val="1"/>
    <w:qFormat/>
    <w:uiPriority w:val="0"/>
    <w:pPr>
      <w:jc w:val="left"/>
    </w:pPr>
    <w:rPr>
      <w:rFonts w:ascii="宋体" w:hAnsi="宋体" w:cs="宋体"/>
      <w:kern w:val="1"/>
      <w:szCs w:val="21"/>
    </w:rPr>
  </w:style>
  <w:style w:type="paragraph" w:customStyle="1" w:styleId="90">
    <w:name w:val="发文落款"/>
    <w:basedOn w:val="78"/>
    <w:qFormat/>
    <w:uiPriority w:val="0"/>
    <w:pPr>
      <w:ind w:left="4094" w:right="607" w:firstLine="0"/>
      <w:jc w:val="center"/>
    </w:pPr>
  </w:style>
  <w:style w:type="paragraph" w:customStyle="1" w:styleId="91">
    <w:name w:val="正文 New New"/>
    <w:basedOn w:val="1"/>
    <w:qFormat/>
    <w:uiPriority w:val="0"/>
    <w:rPr>
      <w:rFonts w:ascii="Times New Roman" w:hAnsi="Times New Roman" w:cs="Times New Roman"/>
      <w:kern w:val="2"/>
      <w:szCs w:val="24"/>
    </w:rPr>
  </w:style>
  <w:style w:type="paragraph" w:customStyle="1" w:styleId="92">
    <w:name w:val="正题"/>
    <w:basedOn w:val="77"/>
    <w:next w:val="77"/>
    <w:link w:val="93"/>
    <w:qFormat/>
    <w:uiPriority w:val="0"/>
    <w:pPr>
      <w:ind w:firstLine="0"/>
      <w:jc w:val="center"/>
    </w:pPr>
    <w:rPr>
      <w:rFonts w:eastAsia="黑体"/>
      <w:b/>
      <w:sz w:val="36"/>
      <w:szCs w:val="36"/>
    </w:rPr>
  </w:style>
  <w:style w:type="character" w:customStyle="1" w:styleId="93">
    <w:name w:val="正题 Char"/>
    <w:link w:val="92"/>
    <w:qFormat/>
    <w:uiPriority w:val="0"/>
    <w:rPr>
      <w:rFonts w:eastAsia="黑体"/>
      <w:b/>
      <w:sz w:val="36"/>
      <w:szCs w:val="36"/>
    </w:rPr>
  </w:style>
  <w:style w:type="paragraph" w:customStyle="1" w:styleId="94">
    <w:name w:val="正文 New New New New New New New New New New New New New New New New New New New New New New New New New New New New New New"/>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customStyle="1" w:styleId="95">
    <w:name w:val="TOC 标题1"/>
    <w:basedOn w:val="3"/>
    <w:next w:val="1"/>
    <w:unhideWhenUsed/>
    <w:qFormat/>
    <w:uiPriority w:val="39"/>
    <w:pPr>
      <w:widowControl/>
      <w:spacing w:before="480" w:after="0" w:line="276" w:lineRule="auto"/>
      <w:jc w:val="left"/>
      <w:outlineLvl w:val="9"/>
    </w:pPr>
    <w:rPr>
      <w:rFonts w:ascii="Cambria" w:hAnsi="Cambria" w:cs="Times New Roman"/>
      <w:bCs/>
      <w:color w:val="366091"/>
      <w:sz w:val="28"/>
      <w:szCs w:val="28"/>
    </w:rPr>
  </w:style>
  <w:style w:type="character" w:customStyle="1" w:styleId="96">
    <w:name w:val="正文 New New New Char Char"/>
    <w:link w:val="97"/>
    <w:qFormat/>
    <w:uiPriority w:val="0"/>
    <w:rPr>
      <w:lang w:val="en-US" w:eastAsia="zh-CN" w:bidi="ar-SA"/>
    </w:rPr>
  </w:style>
  <w:style w:type="paragraph" w:customStyle="1" w:styleId="97">
    <w:name w:val="正文 New New New"/>
    <w:link w:val="96"/>
    <w:qFormat/>
    <w:uiPriority w:val="0"/>
    <w:pPr>
      <w:widowControl w:val="0"/>
      <w:spacing w:after="160" w:line="278" w:lineRule="auto"/>
      <w:jc w:val="both"/>
    </w:pPr>
    <w:rPr>
      <w:rFonts w:ascii="Times New Roman" w:hAnsi="Times New Roman" w:eastAsia="宋体" w:cs="Times New Roman"/>
      <w:lang w:val="en-US" w:eastAsia="zh-CN" w:bidi="ar-SA"/>
    </w:rPr>
  </w:style>
  <w:style w:type="character" w:customStyle="1" w:styleId="98">
    <w:name w:val="font11"/>
    <w:qFormat/>
    <w:uiPriority w:val="0"/>
    <w:rPr>
      <w:rFonts w:hint="eastAsia" w:ascii="仿宋" w:hAnsi="仿宋" w:eastAsia="仿宋" w:cs="仿宋"/>
      <w:color w:val="000000"/>
      <w:sz w:val="28"/>
      <w:szCs w:val="28"/>
      <w:u w:val="none"/>
    </w:rPr>
  </w:style>
  <w:style w:type="paragraph" w:customStyle="1" w:styleId="99">
    <w:name w:val="p0"/>
    <w:basedOn w:val="1"/>
    <w:qFormat/>
    <w:uiPriority w:val="99"/>
    <w:pPr>
      <w:widowControl/>
    </w:pPr>
    <w:rPr>
      <w:rFonts w:ascii="Times New Roman" w:hAnsi="Times New Roman" w:cs="Times New Roman"/>
      <w:color w:val="auto"/>
      <w:szCs w:val="21"/>
    </w:rPr>
  </w:style>
  <w:style w:type="paragraph" w:customStyle="1" w:styleId="100">
    <w:name w:val="TOC 标题2"/>
    <w:basedOn w:val="3"/>
    <w:next w:val="1"/>
    <w:unhideWhenUsed/>
    <w:qFormat/>
    <w:uiPriority w:val="39"/>
    <w:pPr>
      <w:spacing w:line="578" w:lineRule="auto"/>
      <w:outlineLvl w:val="9"/>
    </w:pPr>
    <w:rPr>
      <w:bCs/>
      <w:kern w:val="44"/>
    </w:rPr>
  </w:style>
  <w:style w:type="paragraph" w:customStyle="1" w:styleId="101">
    <w:name w:val="修订3"/>
    <w:semiHidden/>
    <w:qFormat/>
    <w:uiPriority w:val="99"/>
    <w:pPr>
      <w:spacing w:after="160" w:line="278" w:lineRule="auto"/>
    </w:pPr>
    <w:rPr>
      <w:rFonts w:ascii="Calibri" w:hAnsi="Calibri" w:eastAsia="宋体" w:cs="Calibri"/>
      <w:color w:val="000000"/>
      <w:sz w:val="21"/>
      <w:szCs w:val="22"/>
      <w:lang w:val="en-US" w:eastAsia="zh-CN" w:bidi="ar-SA"/>
    </w:rPr>
  </w:style>
  <w:style w:type="character" w:customStyle="1" w:styleId="102">
    <w:name w:val="font31"/>
    <w:qFormat/>
    <w:uiPriority w:val="0"/>
    <w:rPr>
      <w:rFonts w:hint="eastAsia" w:ascii="宋体" w:hAnsi="宋体" w:eastAsia="宋体"/>
      <w:color w:val="000000"/>
      <w:sz w:val="21"/>
      <w:szCs w:val="21"/>
      <w:u w:val="none"/>
    </w:rPr>
  </w:style>
  <w:style w:type="character" w:customStyle="1" w:styleId="103">
    <w:name w:val="font51"/>
    <w:qFormat/>
    <w:uiPriority w:val="0"/>
    <w:rPr>
      <w:rFonts w:hint="default" w:ascii="Calibri" w:hAnsi="Calibri" w:cs="Calibri"/>
      <w:strike/>
      <w:color w:val="000000"/>
      <w:sz w:val="21"/>
      <w:szCs w:val="21"/>
    </w:rPr>
  </w:style>
  <w:style w:type="character" w:customStyle="1" w:styleId="104">
    <w:name w:val="font41"/>
    <w:qFormat/>
    <w:uiPriority w:val="0"/>
    <w:rPr>
      <w:rFonts w:hint="eastAsia" w:ascii="宋体" w:hAnsi="宋体" w:eastAsia="宋体"/>
      <w:strike/>
      <w:color w:val="000000"/>
      <w:sz w:val="21"/>
      <w:szCs w:val="21"/>
    </w:rPr>
  </w:style>
  <w:style w:type="paragraph" w:customStyle="1" w:styleId="105">
    <w:name w:val="Table Paragraph"/>
    <w:basedOn w:val="1"/>
    <w:qFormat/>
    <w:uiPriority w:val="0"/>
    <w:pPr>
      <w:autoSpaceDE w:val="0"/>
      <w:autoSpaceDN w:val="0"/>
      <w:adjustRightInd w:val="0"/>
      <w:jc w:val="left"/>
    </w:pPr>
    <w:rPr>
      <w:rFonts w:ascii="Times New Roman" w:hAnsi="Times New Roman" w:cs="Times New Roman"/>
      <w:color w:val="auto"/>
      <w:sz w:val="24"/>
      <w:szCs w:val="24"/>
    </w:rPr>
  </w:style>
  <w:style w:type="character" w:customStyle="1" w:styleId="106">
    <w:name w:val="font71"/>
    <w:qFormat/>
    <w:uiPriority w:val="0"/>
    <w:rPr>
      <w:rFonts w:hint="eastAsia" w:ascii="宋体" w:hAnsi="宋体" w:eastAsia="宋体"/>
      <w:b/>
      <w:bCs/>
      <w:color w:val="000000"/>
      <w:sz w:val="22"/>
      <w:szCs w:val="22"/>
      <w:u w:val="none"/>
    </w:rPr>
  </w:style>
  <w:style w:type="character" w:customStyle="1" w:styleId="107">
    <w:name w:val="font81"/>
    <w:qFormat/>
    <w:uiPriority w:val="0"/>
    <w:rPr>
      <w:rFonts w:hint="eastAsia" w:ascii="宋体" w:hAnsi="宋体" w:eastAsia="宋体"/>
      <w:color w:val="000000"/>
      <w:sz w:val="22"/>
      <w:szCs w:val="22"/>
      <w:u w:val="none"/>
    </w:rPr>
  </w:style>
  <w:style w:type="paragraph" w:customStyle="1" w:styleId="108">
    <w:name w:val="修订4"/>
    <w:semiHidden/>
    <w:qFormat/>
    <w:uiPriority w:val="99"/>
    <w:pPr>
      <w:spacing w:after="160" w:line="278" w:lineRule="auto"/>
    </w:pPr>
    <w:rPr>
      <w:rFonts w:ascii="Calibri" w:hAnsi="Calibri" w:eastAsia="宋体" w:cs="Calibri"/>
      <w:color w:val="000000"/>
      <w:sz w:val="21"/>
      <w:szCs w:val="22"/>
      <w:lang w:val="en-US" w:eastAsia="zh-CN" w:bidi="ar-SA"/>
    </w:rPr>
  </w:style>
  <w:style w:type="character" w:customStyle="1" w:styleId="109">
    <w:name w:val="批注文字 字符1"/>
    <w:qFormat/>
    <w:uiPriority w:val="0"/>
    <w:rPr>
      <w:rFonts w:ascii="Calibri" w:hAnsi="Calibri" w:eastAsia="宋体" w:cs="Calibri"/>
      <w:color w:val="000000"/>
      <w:szCs w:val="24"/>
      <w:lang w:val="zh-CN" w:eastAsia="zh-CN" w:bidi="ar-SA"/>
    </w:rPr>
  </w:style>
  <w:style w:type="paragraph" w:customStyle="1" w:styleId="110">
    <w:name w:val="修订5"/>
    <w:unhideWhenUsed/>
    <w:qFormat/>
    <w:uiPriority w:val="99"/>
    <w:pPr>
      <w:spacing w:after="160" w:line="278" w:lineRule="auto"/>
    </w:pPr>
    <w:rPr>
      <w:rFonts w:ascii="Calibri" w:hAnsi="Calibri" w:eastAsia="宋体" w:cs="Calibri"/>
      <w:color w:val="000000"/>
      <w:sz w:val="21"/>
      <w:szCs w:val="22"/>
      <w:lang w:val="en-US" w:eastAsia="zh-CN" w:bidi="ar-SA"/>
    </w:rPr>
  </w:style>
  <w:style w:type="character" w:customStyle="1" w:styleId="111">
    <w:name w:val="font61"/>
    <w:qFormat/>
    <w:uiPriority w:val="0"/>
    <w:rPr>
      <w:rFonts w:hint="eastAsia" w:ascii="宋体" w:hAnsi="宋体" w:eastAsia="宋体" w:cs="宋体"/>
      <w:b/>
      <w:color w:val="000000"/>
      <w:sz w:val="22"/>
      <w:szCs w:val="22"/>
      <w:u w:val="none"/>
    </w:rPr>
  </w:style>
  <w:style w:type="character" w:customStyle="1" w:styleId="112">
    <w:name w:val="15"/>
    <w:qFormat/>
    <w:uiPriority w:val="0"/>
    <w:rPr>
      <w:rFonts w:hint="default" w:ascii="Times New Roman" w:hAnsi="Times New Roman" w:cs="Times New Roman"/>
      <w:sz w:val="21"/>
      <w:szCs w:val="21"/>
    </w:rPr>
  </w:style>
  <w:style w:type="table" w:customStyle="1" w:styleId="113">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114">
    <w:name w:val="修订6"/>
    <w:unhideWhenUsed/>
    <w:qFormat/>
    <w:uiPriority w:val="99"/>
    <w:rPr>
      <w:rFonts w:ascii="Calibri" w:hAnsi="Calibri" w:eastAsia="宋体" w:cs="Calibri"/>
      <w:color w:val="000000"/>
      <w:sz w:val="21"/>
      <w:szCs w:val="22"/>
      <w:lang w:val="en-US" w:eastAsia="zh-CN" w:bidi="ar-SA"/>
    </w:rPr>
  </w:style>
  <w:style w:type="paragraph" w:customStyle="1" w:styleId="115">
    <w:name w:val="样式2"/>
    <w:basedOn w:val="5"/>
    <w:qFormat/>
    <w:uiPriority w:val="99"/>
    <w:rPr>
      <w:i/>
    </w:rPr>
  </w:style>
  <w:style w:type="paragraph" w:customStyle="1" w:styleId="116">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80</Pages>
  <Words>8504</Words>
  <Characters>8946</Characters>
  <Lines>374</Lines>
  <Paragraphs>105</Paragraphs>
  <TotalTime>0</TotalTime>
  <ScaleCrop>false</ScaleCrop>
  <LinksUpToDate>false</LinksUpToDate>
  <CharactersWithSpaces>9136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2024-11-28T02:52:00Z</dcterms:created>
  <dc:creator>KO</dc:creator>
  <cp:lastModifiedBy>s</cp:lastModifiedBy>
  <cp:lastPrinted>2024-02-07T08:03:00Z</cp:lastPrinted>
  <dcterms:modified xsi:type="dcterms:W3CDTF">2025-03-14T12:23:53Z</dcterms:modified>
  <dc:title>设计施工总承包（EPC）</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7D3DB0A9F62045BB90A5BBF086EE20BD_13</vt:lpwstr>
  </property>
  <property fmtid="{D5CDD505-2E9C-101B-9397-08002B2CF9AE}" pid="4" name="KSOTemplateDocerSaveRecord">
    <vt:lpwstr>eyJoZGlkIjoiZmZmM2VhYWJhZmMzOTlhZmY5MjY1OTBlYzdmNGE2ZjAiLCJ1c2VySWQiOiI3ODY4OTEzMjUifQ==</vt:lpwstr>
  </property>
</Properties>
</file>