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color w:val="auto"/>
          <w:highlight w:val="none"/>
        </w:rPr>
      </w:pPr>
    </w:p>
    <w:p>
      <w:pPr>
        <w:rPr>
          <w:rStyle w:val="24"/>
          <w:b/>
          <w:bCs/>
          <w:color w:val="auto"/>
          <w:sz w:val="44"/>
          <w:szCs w:val="44"/>
          <w:highlight w:val="none"/>
        </w:rPr>
      </w:pPr>
    </w:p>
    <w:p>
      <w:pPr>
        <w:pStyle w:val="13"/>
        <w:rPr>
          <w:color w:val="auto"/>
          <w:highlight w:val="none"/>
        </w:rPr>
      </w:pPr>
    </w:p>
    <w:p>
      <w:pPr>
        <w:rPr>
          <w:color w:val="auto"/>
          <w:highlight w:val="none"/>
        </w:rPr>
      </w:pPr>
    </w:p>
    <w:p>
      <w:pPr>
        <w:pStyle w:val="13"/>
        <w:rPr>
          <w:color w:val="auto"/>
          <w:highlight w:val="none"/>
        </w:rPr>
      </w:pPr>
    </w:p>
    <w:p>
      <w:pPr>
        <w:rPr>
          <w:color w:val="auto"/>
          <w:highlight w:val="none"/>
        </w:rPr>
      </w:pPr>
    </w:p>
    <w:p>
      <w:pPr>
        <w:pStyle w:val="9"/>
        <w:ind w:firstLine="0" w:firstLineChars="0"/>
        <w:jc w:val="center"/>
        <w:rPr>
          <w:rFonts w:hint="eastAsia"/>
          <w:b/>
          <w:bCs/>
          <w:color w:val="auto"/>
          <w:sz w:val="48"/>
          <w:szCs w:val="48"/>
          <w:highlight w:val="none"/>
          <w:lang w:eastAsia="zh-CN"/>
        </w:rPr>
      </w:pPr>
      <w:r>
        <w:rPr>
          <w:rFonts w:hint="eastAsia"/>
          <w:b/>
          <w:bCs/>
          <w:color w:val="auto"/>
          <w:sz w:val="48"/>
          <w:szCs w:val="48"/>
          <w:highlight w:val="none"/>
          <w:lang w:eastAsia="zh-CN"/>
        </w:rPr>
        <w:t>广州市公安局交警支队2025-2027年中心五区市政道路交通设施维护项目</w:t>
      </w:r>
    </w:p>
    <w:p>
      <w:pPr>
        <w:pStyle w:val="9"/>
        <w:ind w:firstLine="0" w:firstLineChars="0"/>
        <w:jc w:val="center"/>
        <w:rPr>
          <w:rFonts w:hint="eastAsia" w:eastAsia="宋体"/>
          <w:color w:val="auto"/>
          <w:highlight w:val="none"/>
          <w:lang w:eastAsia="zh-CN"/>
        </w:rPr>
      </w:pPr>
      <w:r>
        <w:rPr>
          <w:rFonts w:hint="eastAsia"/>
          <w:b/>
          <w:bCs/>
          <w:color w:val="auto"/>
          <w:sz w:val="48"/>
          <w:szCs w:val="48"/>
          <w:highlight w:val="none"/>
          <w:lang w:eastAsia="zh-CN"/>
        </w:rPr>
        <w:t>（标段1~标段5）</w:t>
      </w:r>
    </w:p>
    <w:p>
      <w:pPr>
        <w:pStyle w:val="9"/>
        <w:jc w:val="center"/>
        <w:rPr>
          <w:color w:val="auto"/>
          <w:highlight w:val="none"/>
        </w:rPr>
      </w:pPr>
    </w:p>
    <w:p>
      <w:pPr>
        <w:jc w:val="center"/>
        <w:rPr>
          <w:rStyle w:val="24"/>
          <w:b/>
          <w:bCs/>
          <w:color w:val="auto"/>
          <w:sz w:val="28"/>
          <w:szCs w:val="28"/>
          <w:highlight w:val="none"/>
        </w:rPr>
      </w:pPr>
    </w:p>
    <w:p>
      <w:pPr>
        <w:pStyle w:val="13"/>
        <w:rPr>
          <w:rStyle w:val="24"/>
          <w:b/>
          <w:bCs/>
          <w:color w:val="auto"/>
          <w:sz w:val="28"/>
          <w:szCs w:val="28"/>
          <w:highlight w:val="none"/>
        </w:rPr>
      </w:pPr>
    </w:p>
    <w:p>
      <w:pPr>
        <w:rPr>
          <w:color w:val="auto"/>
          <w:highlight w:val="none"/>
        </w:rPr>
      </w:pPr>
    </w:p>
    <w:p>
      <w:pPr>
        <w:jc w:val="center"/>
        <w:rPr>
          <w:rStyle w:val="24"/>
          <w:b/>
          <w:bCs/>
          <w:color w:val="auto"/>
          <w:sz w:val="28"/>
          <w:szCs w:val="28"/>
          <w:highlight w:val="none"/>
        </w:rPr>
      </w:pPr>
    </w:p>
    <w:p>
      <w:pPr>
        <w:jc w:val="center"/>
        <w:rPr>
          <w:rStyle w:val="24"/>
          <w:b/>
          <w:bCs/>
          <w:color w:val="auto"/>
          <w:sz w:val="28"/>
          <w:szCs w:val="28"/>
          <w:highlight w:val="none"/>
        </w:rPr>
      </w:pPr>
    </w:p>
    <w:p>
      <w:pPr>
        <w:pStyle w:val="13"/>
        <w:rPr>
          <w:color w:val="auto"/>
          <w:highlight w:val="none"/>
        </w:rPr>
      </w:pPr>
    </w:p>
    <w:p>
      <w:pPr>
        <w:jc w:val="center"/>
        <w:rPr>
          <w:rStyle w:val="24"/>
          <w:b/>
          <w:bCs/>
          <w:color w:val="auto"/>
          <w:sz w:val="84"/>
          <w:szCs w:val="84"/>
          <w:highlight w:val="none"/>
        </w:rPr>
      </w:pPr>
      <w:r>
        <w:rPr>
          <w:rStyle w:val="24"/>
          <w:rFonts w:hint="eastAsia"/>
          <w:b/>
          <w:bCs/>
          <w:color w:val="auto"/>
          <w:sz w:val="84"/>
          <w:szCs w:val="84"/>
          <w:highlight w:val="none"/>
        </w:rPr>
        <w:t>招标文件</w:t>
      </w:r>
    </w:p>
    <w:p>
      <w:pPr>
        <w:jc w:val="center"/>
        <w:rPr>
          <w:rStyle w:val="24"/>
          <w:b/>
          <w:bCs/>
          <w:color w:val="auto"/>
          <w:sz w:val="28"/>
          <w:szCs w:val="28"/>
          <w:highlight w:val="none"/>
        </w:rPr>
      </w:pPr>
    </w:p>
    <w:p>
      <w:pPr>
        <w:jc w:val="center"/>
        <w:rPr>
          <w:rStyle w:val="24"/>
          <w:b/>
          <w:bCs/>
          <w:color w:val="auto"/>
          <w:sz w:val="28"/>
          <w:szCs w:val="28"/>
          <w:highlight w:val="none"/>
        </w:rPr>
      </w:pPr>
    </w:p>
    <w:p>
      <w:pPr>
        <w:pStyle w:val="13"/>
        <w:rPr>
          <w:rStyle w:val="24"/>
          <w:b/>
          <w:bCs/>
          <w:color w:val="auto"/>
          <w:sz w:val="28"/>
          <w:szCs w:val="28"/>
          <w:highlight w:val="none"/>
        </w:rPr>
      </w:pPr>
    </w:p>
    <w:p>
      <w:pPr>
        <w:rPr>
          <w:rStyle w:val="24"/>
          <w:b/>
          <w:bCs/>
          <w:color w:val="auto"/>
          <w:sz w:val="28"/>
          <w:szCs w:val="28"/>
          <w:highlight w:val="none"/>
        </w:rPr>
      </w:pPr>
    </w:p>
    <w:p>
      <w:pPr>
        <w:pStyle w:val="13"/>
        <w:rPr>
          <w:color w:val="auto"/>
          <w:highlight w:val="none"/>
        </w:rPr>
      </w:pPr>
    </w:p>
    <w:p>
      <w:pPr>
        <w:rPr>
          <w:color w:val="auto"/>
          <w:highlight w:val="none"/>
        </w:rPr>
      </w:pPr>
    </w:p>
    <w:p>
      <w:pPr>
        <w:ind w:firstLine="1807" w:firstLineChars="600"/>
        <w:rPr>
          <w:rStyle w:val="24"/>
          <w:rFonts w:hint="eastAsia" w:eastAsia="宋体"/>
          <w:b/>
          <w:bCs/>
          <w:color w:val="auto"/>
          <w:sz w:val="30"/>
          <w:szCs w:val="30"/>
          <w:highlight w:val="none"/>
          <w:lang w:eastAsia="zh-CN"/>
        </w:rPr>
      </w:pPr>
      <w:r>
        <w:rPr>
          <w:rStyle w:val="24"/>
          <w:rFonts w:hint="eastAsia"/>
          <w:b/>
          <w:bCs/>
          <w:color w:val="auto"/>
          <w:sz w:val="30"/>
          <w:szCs w:val="30"/>
          <w:highlight w:val="none"/>
        </w:rPr>
        <w:t>招 标 单 位：</w:t>
      </w:r>
      <w:r>
        <w:rPr>
          <w:rStyle w:val="24"/>
          <w:rFonts w:hint="eastAsia"/>
          <w:b/>
          <w:bCs/>
          <w:color w:val="auto"/>
          <w:sz w:val="30"/>
          <w:szCs w:val="30"/>
          <w:highlight w:val="none"/>
          <w:lang w:eastAsia="zh-CN"/>
        </w:rPr>
        <w:t>广州市公安局</w:t>
      </w:r>
    </w:p>
    <w:p>
      <w:pPr>
        <w:ind w:firstLine="1807" w:firstLineChars="600"/>
        <w:rPr>
          <w:rStyle w:val="24"/>
          <w:b/>
          <w:bCs/>
          <w:color w:val="auto"/>
          <w:sz w:val="30"/>
          <w:szCs w:val="30"/>
          <w:highlight w:val="none"/>
        </w:rPr>
      </w:pPr>
      <w:r>
        <w:rPr>
          <w:rStyle w:val="24"/>
          <w:rFonts w:hint="eastAsia"/>
          <w:b/>
          <w:bCs/>
          <w:color w:val="auto"/>
          <w:sz w:val="30"/>
          <w:szCs w:val="30"/>
          <w:highlight w:val="none"/>
        </w:rPr>
        <w:t xml:space="preserve">代理单位：广州市政府采购中心  </w:t>
      </w:r>
    </w:p>
    <w:p>
      <w:pPr>
        <w:ind w:firstLine="1807" w:firstLineChars="600"/>
        <w:rPr>
          <w:rStyle w:val="24"/>
          <w:b/>
          <w:bCs/>
          <w:color w:val="auto"/>
          <w:sz w:val="30"/>
          <w:szCs w:val="30"/>
          <w:highlight w:val="none"/>
        </w:rPr>
      </w:pPr>
      <w:r>
        <w:rPr>
          <w:rStyle w:val="24"/>
          <w:rFonts w:hint="eastAsia"/>
          <w:b/>
          <w:bCs/>
          <w:color w:val="auto"/>
          <w:sz w:val="30"/>
          <w:szCs w:val="30"/>
          <w:highlight w:val="none"/>
        </w:rPr>
        <w:t>日        期：202</w:t>
      </w:r>
      <w:r>
        <w:rPr>
          <w:rStyle w:val="24"/>
          <w:rFonts w:hint="eastAsia"/>
          <w:b/>
          <w:bCs/>
          <w:color w:val="auto"/>
          <w:sz w:val="30"/>
          <w:szCs w:val="30"/>
          <w:highlight w:val="none"/>
          <w:lang w:val="en-US" w:eastAsia="zh-CN"/>
        </w:rPr>
        <w:t>5</w:t>
      </w:r>
      <w:r>
        <w:rPr>
          <w:rStyle w:val="24"/>
          <w:rFonts w:hint="eastAsia"/>
          <w:b/>
          <w:bCs/>
          <w:color w:val="auto"/>
          <w:sz w:val="30"/>
          <w:szCs w:val="30"/>
          <w:highlight w:val="none"/>
        </w:rPr>
        <w:t>年</w:t>
      </w:r>
      <w:r>
        <w:rPr>
          <w:rStyle w:val="24"/>
          <w:rFonts w:hint="eastAsia" w:eastAsia="微软雅黑"/>
          <w:b/>
          <w:bCs/>
          <w:color w:val="auto"/>
          <w:sz w:val="30"/>
          <w:szCs w:val="30"/>
          <w:highlight w:val="none"/>
          <w:lang w:val="en-US" w:eastAsia="zh-CN"/>
        </w:rPr>
        <w:t>2</w:t>
      </w:r>
      <w:r>
        <w:rPr>
          <w:rStyle w:val="24"/>
          <w:rFonts w:hint="eastAsia"/>
          <w:b/>
          <w:bCs/>
          <w:color w:val="auto"/>
          <w:sz w:val="30"/>
          <w:szCs w:val="30"/>
          <w:highlight w:val="none"/>
        </w:rPr>
        <w:t>月</w:t>
      </w:r>
    </w:p>
    <w:p>
      <w:pPr>
        <w:ind w:firstLine="1807" w:firstLineChars="600"/>
        <w:rPr>
          <w:rStyle w:val="24"/>
          <w:b/>
          <w:bCs/>
          <w:color w:val="auto"/>
          <w:sz w:val="30"/>
          <w:szCs w:val="30"/>
          <w:highlight w:val="none"/>
        </w:rPr>
      </w:pPr>
    </w:p>
    <w:p>
      <w:pPr>
        <w:jc w:val="center"/>
        <w:rPr>
          <w:rStyle w:val="24"/>
          <w:rFonts w:cs="宋体"/>
          <w:b/>
          <w:bCs/>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sectPr>
      </w:pPr>
    </w:p>
    <w:p>
      <w:pPr>
        <w:jc w:val="center"/>
        <w:rPr>
          <w:rFonts w:cs="宋体"/>
          <w:b/>
          <w:caps/>
          <w:color w:val="auto"/>
          <w:kern w:val="0"/>
          <w:highlight w:val="none"/>
        </w:rPr>
      </w:pPr>
      <w:r>
        <w:rPr>
          <w:rStyle w:val="24"/>
          <w:rFonts w:hint="eastAsia" w:cs="宋体"/>
          <w:b/>
          <w:bCs/>
          <w:color w:val="auto"/>
          <w:sz w:val="28"/>
          <w:szCs w:val="28"/>
          <w:highlight w:val="none"/>
        </w:rPr>
        <w:t>目录</w:t>
      </w:r>
    </w:p>
    <w:p>
      <w:pPr>
        <w:pStyle w:val="17"/>
        <w:tabs>
          <w:tab w:val="right" w:leader="dot" w:pos="8640"/>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TOC \o "1-3" \h \z \u </w:instrText>
      </w:r>
      <w:r>
        <w:rPr>
          <w:rFonts w:hint="eastAsia" w:cs="宋体"/>
          <w:color w:val="auto"/>
          <w:highlight w:val="none"/>
        </w:rPr>
        <w:fldChar w:fldCharType="separate"/>
      </w:r>
      <w:r>
        <w:rPr>
          <w:rFonts w:hint="eastAsia" w:cs="宋体"/>
          <w:color w:val="auto"/>
          <w:highlight w:val="none"/>
        </w:rPr>
        <w:fldChar w:fldCharType="begin"/>
      </w:r>
      <w:r>
        <w:rPr>
          <w:rFonts w:hint="eastAsia" w:cs="宋体"/>
          <w:color w:val="auto"/>
          <w:highlight w:val="none"/>
        </w:rPr>
        <w:instrText xml:space="preserve"> HYPERLINK \l _Toc20971 </w:instrText>
      </w:r>
      <w:r>
        <w:rPr>
          <w:rFonts w:hint="eastAsia" w:cs="宋体"/>
          <w:color w:val="auto"/>
          <w:highlight w:val="none"/>
        </w:rPr>
        <w:fldChar w:fldCharType="separate"/>
      </w:r>
      <w:r>
        <w:rPr>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_Toc20971 \h </w:instrText>
      </w:r>
      <w:r>
        <w:rPr>
          <w:color w:val="auto"/>
          <w:highlight w:val="none"/>
        </w:rPr>
        <w:fldChar w:fldCharType="separate"/>
      </w:r>
      <w:r>
        <w:rPr>
          <w:color w:val="auto"/>
          <w:highlight w:val="none"/>
        </w:rPr>
        <w:t>9</w:t>
      </w:r>
      <w:r>
        <w:rPr>
          <w:color w:val="auto"/>
          <w:highlight w:val="none"/>
        </w:rPr>
        <w:fldChar w:fldCharType="end"/>
      </w:r>
      <w:r>
        <w:rPr>
          <w:rFonts w:hint="eastAsia" w:cs="宋体"/>
          <w:color w:val="auto"/>
          <w:highlight w:val="none"/>
        </w:rPr>
        <w:fldChar w:fldCharType="end"/>
      </w:r>
    </w:p>
    <w:p>
      <w:pPr>
        <w:pStyle w:val="18"/>
        <w:tabs>
          <w:tab w:val="right" w:leader="dot" w:pos="8640"/>
          <w:tab w:val="clear" w:pos="906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_Toc17950 </w:instrText>
      </w:r>
      <w:r>
        <w:rPr>
          <w:rFonts w:ascii="宋体" w:hAnsi="宋体" w:cs="宋体"/>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_Toc17950 \h </w:instrText>
      </w:r>
      <w:r>
        <w:rPr>
          <w:color w:val="auto"/>
          <w:highlight w:val="none"/>
        </w:rPr>
        <w:fldChar w:fldCharType="separate"/>
      </w:r>
      <w:r>
        <w:rPr>
          <w:color w:val="auto"/>
          <w:highlight w:val="none"/>
        </w:rPr>
        <w:t>3</w:t>
      </w:r>
      <w:r>
        <w:rPr>
          <w:color w:val="auto"/>
          <w:highlight w:val="none"/>
        </w:rPr>
        <w:fldChar w:fldCharType="end"/>
      </w:r>
      <w:r>
        <w:rPr>
          <w:rFonts w:ascii="宋体" w:hAnsi="宋体" w:cs="宋体"/>
          <w:color w:val="auto"/>
          <w:highlight w:val="none"/>
        </w:rPr>
        <w:fldChar w:fldCharType="end"/>
      </w:r>
    </w:p>
    <w:p>
      <w:pPr>
        <w:pStyle w:val="18"/>
        <w:tabs>
          <w:tab w:val="right" w:leader="dot" w:pos="8640"/>
          <w:tab w:val="clear" w:pos="906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_Toc10964 </w:instrText>
      </w:r>
      <w:r>
        <w:rPr>
          <w:rFonts w:ascii="宋体" w:hAnsi="宋体" w:cs="宋体"/>
          <w:color w:val="auto"/>
          <w:highlight w:val="none"/>
        </w:rPr>
        <w:fldChar w:fldCharType="separate"/>
      </w:r>
      <w:r>
        <w:rPr>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_Toc10964 \h </w:instrText>
      </w:r>
      <w:r>
        <w:rPr>
          <w:color w:val="auto"/>
          <w:highlight w:val="none"/>
        </w:rPr>
        <w:fldChar w:fldCharType="separate"/>
      </w:r>
      <w:r>
        <w:rPr>
          <w:color w:val="auto"/>
          <w:highlight w:val="none"/>
        </w:rPr>
        <w:t>9</w:t>
      </w:r>
      <w:r>
        <w:rPr>
          <w:color w:val="auto"/>
          <w:highlight w:val="none"/>
        </w:rPr>
        <w:fldChar w:fldCharType="end"/>
      </w:r>
      <w:r>
        <w:rPr>
          <w:rFonts w:ascii="宋体" w:hAnsi="宋体" w:cs="宋体"/>
          <w:color w:val="auto"/>
          <w:highlight w:val="none"/>
        </w:rPr>
        <w:fldChar w:fldCharType="end"/>
      </w:r>
    </w:p>
    <w:p>
      <w:pPr>
        <w:pStyle w:val="18"/>
        <w:tabs>
          <w:tab w:val="right" w:leader="dot" w:pos="8640"/>
          <w:tab w:val="clear" w:pos="906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_Toc23541 </w:instrText>
      </w:r>
      <w:r>
        <w:rPr>
          <w:rFonts w:ascii="宋体" w:hAnsi="宋体" w:cs="宋体"/>
          <w:color w:val="auto"/>
          <w:highlight w:val="none"/>
        </w:rPr>
        <w:fldChar w:fldCharType="separate"/>
      </w:r>
      <w:r>
        <w:rPr>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_Toc23541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宋体"/>
          <w:color w:val="auto"/>
          <w:highlight w:val="none"/>
        </w:rPr>
        <w:fldChar w:fldCharType="end"/>
      </w:r>
    </w:p>
    <w:p>
      <w:pPr>
        <w:pStyle w:val="12"/>
        <w:tabs>
          <w:tab w:val="right" w:leader="do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_Toc313 </w:instrText>
      </w:r>
      <w:r>
        <w:rPr>
          <w:rFonts w:ascii="宋体" w:hAnsi="宋体" w:cs="宋体"/>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_Toc313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宋体"/>
          <w:color w:val="auto"/>
          <w:highlight w:val="none"/>
        </w:rPr>
        <w:fldChar w:fldCharType="end"/>
      </w:r>
    </w:p>
    <w:p>
      <w:pPr>
        <w:pStyle w:val="12"/>
        <w:tabs>
          <w:tab w:val="right" w:leader="do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_Toc9256 </w:instrText>
      </w:r>
      <w:r>
        <w:rPr>
          <w:rFonts w:ascii="宋体" w:hAnsi="宋体" w:cs="宋体"/>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_Toc9256 \h </w:instrText>
      </w:r>
      <w:r>
        <w:rPr>
          <w:color w:val="auto"/>
          <w:highlight w:val="none"/>
        </w:rPr>
        <w:fldChar w:fldCharType="separate"/>
      </w:r>
      <w:r>
        <w:rPr>
          <w:color w:val="auto"/>
          <w:highlight w:val="none"/>
        </w:rPr>
        <w:t>23</w:t>
      </w:r>
      <w:r>
        <w:rPr>
          <w:color w:val="auto"/>
          <w:highlight w:val="none"/>
        </w:rPr>
        <w:fldChar w:fldCharType="end"/>
      </w:r>
      <w:r>
        <w:rPr>
          <w:rFonts w:ascii="宋体" w:hAnsi="宋体" w:cs="宋体"/>
          <w:color w:val="auto"/>
          <w:highlight w:val="none"/>
        </w:rPr>
        <w:fldChar w:fldCharType="end"/>
      </w:r>
    </w:p>
    <w:p>
      <w:pPr>
        <w:pStyle w:val="12"/>
        <w:tabs>
          <w:tab w:val="right" w:leader="do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_Toc3357 </w:instrText>
      </w:r>
      <w:r>
        <w:rPr>
          <w:rFonts w:ascii="宋体" w:hAnsi="宋体" w:cs="宋体"/>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_Toc3357 \h </w:instrText>
      </w:r>
      <w:r>
        <w:rPr>
          <w:color w:val="auto"/>
          <w:highlight w:val="none"/>
        </w:rPr>
        <w:fldChar w:fldCharType="separate"/>
      </w:r>
      <w:r>
        <w:rPr>
          <w:color w:val="auto"/>
          <w:highlight w:val="none"/>
        </w:rPr>
        <w:t>25</w:t>
      </w:r>
      <w:r>
        <w:rPr>
          <w:color w:val="auto"/>
          <w:highlight w:val="none"/>
        </w:rPr>
        <w:fldChar w:fldCharType="end"/>
      </w:r>
      <w:r>
        <w:rPr>
          <w:rFonts w:ascii="宋体" w:hAnsi="宋体" w:cs="宋体"/>
          <w:color w:val="auto"/>
          <w:highlight w:val="none"/>
        </w:rPr>
        <w:fldChar w:fldCharType="end"/>
      </w:r>
    </w:p>
    <w:p>
      <w:pPr>
        <w:pStyle w:val="12"/>
        <w:tabs>
          <w:tab w:val="right" w:leader="do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_Toc32548 </w:instrText>
      </w:r>
      <w:r>
        <w:rPr>
          <w:rFonts w:ascii="宋体" w:hAnsi="宋体" w:cs="宋体"/>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_Toc32548 \h </w:instrText>
      </w:r>
      <w:r>
        <w:rPr>
          <w:color w:val="auto"/>
          <w:highlight w:val="none"/>
        </w:rPr>
        <w:fldChar w:fldCharType="separate"/>
      </w:r>
      <w:r>
        <w:rPr>
          <w:color w:val="auto"/>
          <w:highlight w:val="none"/>
        </w:rPr>
        <w:t>33</w:t>
      </w:r>
      <w:r>
        <w:rPr>
          <w:color w:val="auto"/>
          <w:highlight w:val="none"/>
        </w:rPr>
        <w:fldChar w:fldCharType="end"/>
      </w:r>
      <w:r>
        <w:rPr>
          <w:rFonts w:ascii="宋体" w:hAnsi="宋体" w:cs="宋体"/>
          <w:color w:val="auto"/>
          <w:highlight w:val="none"/>
        </w:rPr>
        <w:fldChar w:fldCharType="end"/>
      </w:r>
    </w:p>
    <w:p>
      <w:pPr>
        <w:pStyle w:val="12"/>
        <w:tabs>
          <w:tab w:val="right" w:leader="do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_Toc31688 </w:instrText>
      </w:r>
      <w:r>
        <w:rPr>
          <w:rFonts w:ascii="宋体" w:hAnsi="宋体" w:cs="宋体"/>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_Toc31688 \h </w:instrText>
      </w:r>
      <w:r>
        <w:rPr>
          <w:color w:val="auto"/>
          <w:highlight w:val="none"/>
        </w:rPr>
        <w:fldChar w:fldCharType="separate"/>
      </w:r>
      <w:r>
        <w:rPr>
          <w:color w:val="auto"/>
          <w:highlight w:val="none"/>
        </w:rPr>
        <w:t>34</w:t>
      </w:r>
      <w:r>
        <w:rPr>
          <w:color w:val="auto"/>
          <w:highlight w:val="none"/>
        </w:rPr>
        <w:fldChar w:fldCharType="end"/>
      </w:r>
      <w:r>
        <w:rPr>
          <w:rFonts w:ascii="宋体" w:hAnsi="宋体" w:cs="宋体"/>
          <w:color w:val="auto"/>
          <w:highlight w:val="none"/>
        </w:rPr>
        <w:fldChar w:fldCharType="end"/>
      </w:r>
    </w:p>
    <w:p>
      <w:pPr>
        <w:pStyle w:val="17"/>
        <w:tabs>
          <w:tab w:val="right" w:leader="dot" w:pos="8640"/>
          <w:tab w:val="clear" w:pos="906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_Toc16737 </w:instrText>
      </w:r>
      <w:r>
        <w:rPr>
          <w:rFonts w:ascii="宋体" w:hAnsi="宋体" w:cs="宋体"/>
          <w:color w:val="auto"/>
          <w:highlight w:val="none"/>
        </w:rPr>
        <w:fldChar w:fldCharType="separate"/>
      </w:r>
      <w:r>
        <w:rPr>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_Toc16737 \h </w:instrText>
      </w:r>
      <w:r>
        <w:rPr>
          <w:color w:val="auto"/>
          <w:highlight w:val="none"/>
        </w:rPr>
        <w:fldChar w:fldCharType="separate"/>
      </w:r>
      <w:r>
        <w:rPr>
          <w:color w:val="auto"/>
          <w:highlight w:val="none"/>
        </w:rPr>
        <w:t>37</w:t>
      </w:r>
      <w:r>
        <w:rPr>
          <w:color w:val="auto"/>
          <w:highlight w:val="none"/>
        </w:rPr>
        <w:fldChar w:fldCharType="end"/>
      </w:r>
      <w:r>
        <w:rPr>
          <w:rFonts w:ascii="宋体" w:hAnsi="宋体" w:cs="宋体"/>
          <w:color w:val="auto"/>
          <w:highlight w:val="none"/>
        </w:rPr>
        <w:fldChar w:fldCharType="end"/>
      </w:r>
    </w:p>
    <w:p>
      <w:pPr>
        <w:pStyle w:val="18"/>
        <w:tabs>
          <w:tab w:val="right" w:leader="dot" w:pos="8640"/>
          <w:tab w:val="clear" w:pos="906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_Toc25336 </w:instrText>
      </w:r>
      <w:r>
        <w:rPr>
          <w:rFonts w:ascii="宋体" w:hAnsi="宋体" w:cs="宋体"/>
          <w:color w:val="auto"/>
          <w:highlight w:val="none"/>
        </w:rPr>
        <w:fldChar w:fldCharType="separate"/>
      </w:r>
      <w:r>
        <w:rPr>
          <w:rFonts w:hint="eastAsia"/>
          <w:color w:val="auto"/>
          <w:szCs w:val="28"/>
          <w:highlight w:val="none"/>
        </w:rPr>
        <w:t>一、</w:t>
      </w:r>
      <w:r>
        <w:rPr>
          <w:rFonts w:hint="eastAsia"/>
          <w:color w:val="auto"/>
          <w:highlight w:val="none"/>
        </w:rPr>
        <w:t>开标、评标及定标办法修改表</w:t>
      </w:r>
      <w:r>
        <w:rPr>
          <w:color w:val="auto"/>
          <w:highlight w:val="none"/>
        </w:rPr>
        <w:tab/>
      </w:r>
      <w:r>
        <w:rPr>
          <w:color w:val="auto"/>
          <w:highlight w:val="none"/>
        </w:rPr>
        <w:fldChar w:fldCharType="begin"/>
      </w:r>
      <w:r>
        <w:rPr>
          <w:color w:val="auto"/>
          <w:highlight w:val="none"/>
        </w:rPr>
        <w:instrText xml:space="preserve"> PAGEREF _Toc25336 \h </w:instrText>
      </w:r>
      <w:r>
        <w:rPr>
          <w:color w:val="auto"/>
          <w:highlight w:val="none"/>
        </w:rPr>
        <w:fldChar w:fldCharType="separate"/>
      </w:r>
      <w:r>
        <w:rPr>
          <w:color w:val="auto"/>
          <w:highlight w:val="none"/>
        </w:rPr>
        <w:t>37</w:t>
      </w:r>
      <w:r>
        <w:rPr>
          <w:color w:val="auto"/>
          <w:highlight w:val="none"/>
        </w:rPr>
        <w:fldChar w:fldCharType="end"/>
      </w:r>
      <w:r>
        <w:rPr>
          <w:rFonts w:ascii="宋体" w:hAnsi="宋体" w:cs="宋体"/>
          <w:color w:val="auto"/>
          <w:highlight w:val="none"/>
        </w:rPr>
        <w:fldChar w:fldCharType="end"/>
      </w:r>
    </w:p>
    <w:p>
      <w:pPr>
        <w:pStyle w:val="18"/>
        <w:tabs>
          <w:tab w:val="right" w:leader="dot" w:pos="8640"/>
          <w:tab w:val="clear" w:pos="906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_Toc30780 </w:instrText>
      </w:r>
      <w:r>
        <w:rPr>
          <w:rFonts w:ascii="宋体" w:hAnsi="宋体" w:cs="宋体"/>
          <w:color w:val="auto"/>
          <w:highlight w:val="none"/>
        </w:rPr>
        <w:fldChar w:fldCharType="separate"/>
      </w:r>
      <w:r>
        <w:rPr>
          <w:rFonts w:hint="eastAsia"/>
          <w:color w:val="auto"/>
          <w:highlight w:val="none"/>
        </w:rPr>
        <w:t>二、开标、评标及定标办法</w:t>
      </w:r>
      <w:r>
        <w:rPr>
          <w:rFonts w:hint="eastAsia"/>
          <w:color w:val="auto"/>
          <w:szCs w:val="30"/>
          <w:highlight w:val="none"/>
        </w:rPr>
        <w:t>通用条款</w:t>
      </w:r>
      <w:r>
        <w:rPr>
          <w:color w:val="auto"/>
          <w:highlight w:val="none"/>
        </w:rPr>
        <w:tab/>
      </w:r>
      <w:r>
        <w:rPr>
          <w:color w:val="auto"/>
          <w:highlight w:val="none"/>
        </w:rPr>
        <w:fldChar w:fldCharType="begin"/>
      </w:r>
      <w:r>
        <w:rPr>
          <w:color w:val="auto"/>
          <w:highlight w:val="none"/>
        </w:rPr>
        <w:instrText xml:space="preserve"> PAGEREF _Toc30780 \h </w:instrText>
      </w:r>
      <w:r>
        <w:rPr>
          <w:color w:val="auto"/>
          <w:highlight w:val="none"/>
        </w:rPr>
        <w:fldChar w:fldCharType="separate"/>
      </w:r>
      <w:r>
        <w:rPr>
          <w:color w:val="auto"/>
          <w:highlight w:val="none"/>
        </w:rPr>
        <w:t>43</w:t>
      </w:r>
      <w:r>
        <w:rPr>
          <w:color w:val="auto"/>
          <w:highlight w:val="none"/>
        </w:rPr>
        <w:fldChar w:fldCharType="end"/>
      </w:r>
      <w:r>
        <w:rPr>
          <w:rFonts w:ascii="宋体" w:hAnsi="宋体" w:cs="宋体"/>
          <w:color w:val="auto"/>
          <w:highlight w:val="none"/>
        </w:rPr>
        <w:fldChar w:fldCharType="end"/>
      </w:r>
    </w:p>
    <w:p>
      <w:pPr>
        <w:pStyle w:val="12"/>
        <w:tabs>
          <w:tab w:val="right" w:leader="do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_Toc5831 </w:instrText>
      </w:r>
      <w:r>
        <w:rPr>
          <w:rFonts w:ascii="宋体" w:hAnsi="宋体" w:cs="宋体"/>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_Toc5831 \h </w:instrText>
      </w:r>
      <w:r>
        <w:rPr>
          <w:color w:val="auto"/>
          <w:highlight w:val="none"/>
        </w:rPr>
        <w:fldChar w:fldCharType="separate"/>
      </w:r>
      <w:r>
        <w:rPr>
          <w:color w:val="auto"/>
          <w:highlight w:val="none"/>
        </w:rPr>
        <w:t>43</w:t>
      </w:r>
      <w:r>
        <w:rPr>
          <w:color w:val="auto"/>
          <w:highlight w:val="none"/>
        </w:rPr>
        <w:fldChar w:fldCharType="end"/>
      </w:r>
      <w:r>
        <w:rPr>
          <w:rFonts w:ascii="宋体" w:hAnsi="宋体" w:cs="宋体"/>
          <w:color w:val="auto"/>
          <w:highlight w:val="none"/>
        </w:rPr>
        <w:fldChar w:fldCharType="end"/>
      </w:r>
    </w:p>
    <w:p>
      <w:pPr>
        <w:pStyle w:val="12"/>
        <w:tabs>
          <w:tab w:val="right" w:leader="do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_Toc31441 </w:instrText>
      </w:r>
      <w:r>
        <w:rPr>
          <w:rFonts w:ascii="宋体" w:hAnsi="宋体" w:cs="宋体"/>
          <w:color w:val="auto"/>
          <w:highlight w:val="none"/>
        </w:rPr>
        <w:fldChar w:fldCharType="separate"/>
      </w:r>
      <w:r>
        <w:rPr>
          <w:rFonts w:hint="eastAsia"/>
          <w:color w:val="auto"/>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_Toc31441 \h </w:instrText>
      </w:r>
      <w:r>
        <w:rPr>
          <w:color w:val="auto"/>
          <w:highlight w:val="none"/>
        </w:rPr>
        <w:fldChar w:fldCharType="separate"/>
      </w:r>
      <w:r>
        <w:rPr>
          <w:color w:val="auto"/>
          <w:highlight w:val="none"/>
        </w:rPr>
        <w:t>46</w:t>
      </w:r>
      <w:r>
        <w:rPr>
          <w:color w:val="auto"/>
          <w:highlight w:val="none"/>
        </w:rPr>
        <w:fldChar w:fldCharType="end"/>
      </w:r>
      <w:r>
        <w:rPr>
          <w:rFonts w:ascii="宋体" w:hAnsi="宋体" w:cs="宋体"/>
          <w:color w:val="auto"/>
          <w:highlight w:val="none"/>
        </w:rPr>
        <w:fldChar w:fldCharType="end"/>
      </w:r>
    </w:p>
    <w:p>
      <w:pPr>
        <w:pStyle w:val="12"/>
        <w:tabs>
          <w:tab w:val="right" w:leader="do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_Toc16290 </w:instrText>
      </w:r>
      <w:r>
        <w:rPr>
          <w:rFonts w:ascii="宋体" w:hAnsi="宋体" w:cs="宋体"/>
          <w:color w:val="auto"/>
          <w:highlight w:val="none"/>
        </w:rPr>
        <w:fldChar w:fldCharType="separate"/>
      </w:r>
      <w:r>
        <w:rPr>
          <w:rFonts w:hint="eastAsia" w:cs="宋体"/>
          <w:color w:val="auto"/>
          <w:kern w:val="0"/>
          <w:szCs w:val="27"/>
          <w:highlight w:val="none"/>
        </w:rPr>
        <w:t>可选办法七（适合综合评分法四，技术标与经济标同时开启）</w:t>
      </w:r>
      <w:r>
        <w:rPr>
          <w:color w:val="auto"/>
          <w:highlight w:val="none"/>
        </w:rPr>
        <w:tab/>
      </w:r>
      <w:r>
        <w:rPr>
          <w:color w:val="auto"/>
          <w:highlight w:val="none"/>
        </w:rPr>
        <w:fldChar w:fldCharType="begin"/>
      </w:r>
      <w:r>
        <w:rPr>
          <w:color w:val="auto"/>
          <w:highlight w:val="none"/>
        </w:rPr>
        <w:instrText xml:space="preserve"> PAGEREF _Toc16290 \h </w:instrText>
      </w:r>
      <w:r>
        <w:rPr>
          <w:color w:val="auto"/>
          <w:highlight w:val="none"/>
        </w:rPr>
        <w:fldChar w:fldCharType="separate"/>
      </w:r>
      <w:r>
        <w:rPr>
          <w:color w:val="auto"/>
          <w:highlight w:val="none"/>
        </w:rPr>
        <w:t>46</w:t>
      </w:r>
      <w:r>
        <w:rPr>
          <w:color w:val="auto"/>
          <w:highlight w:val="none"/>
        </w:rPr>
        <w:fldChar w:fldCharType="end"/>
      </w:r>
      <w:r>
        <w:rPr>
          <w:rFonts w:ascii="宋体" w:hAnsi="宋体" w:cs="宋体"/>
          <w:color w:val="auto"/>
          <w:highlight w:val="none"/>
        </w:rPr>
        <w:fldChar w:fldCharType="end"/>
      </w:r>
    </w:p>
    <w:p>
      <w:pPr>
        <w:pStyle w:val="17"/>
        <w:tabs>
          <w:tab w:val="right" w:leader="dot" w:pos="8640"/>
          <w:tab w:val="clear" w:pos="906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_Toc20117 </w:instrText>
      </w:r>
      <w:r>
        <w:rPr>
          <w:rFonts w:ascii="宋体" w:hAnsi="宋体" w:cs="宋体"/>
          <w:color w:val="auto"/>
          <w:highlight w:val="none"/>
        </w:rPr>
        <w:fldChar w:fldCharType="separate"/>
      </w:r>
      <w:r>
        <w:rPr>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_Toc20117 \h </w:instrText>
      </w:r>
      <w:r>
        <w:rPr>
          <w:color w:val="auto"/>
          <w:highlight w:val="none"/>
        </w:rPr>
        <w:fldChar w:fldCharType="separate"/>
      </w:r>
      <w:r>
        <w:rPr>
          <w:color w:val="auto"/>
          <w:highlight w:val="none"/>
        </w:rPr>
        <w:t>65</w:t>
      </w:r>
      <w:r>
        <w:rPr>
          <w:color w:val="auto"/>
          <w:highlight w:val="none"/>
        </w:rPr>
        <w:fldChar w:fldCharType="end"/>
      </w:r>
      <w:r>
        <w:rPr>
          <w:rFonts w:ascii="宋体" w:hAnsi="宋体" w:cs="宋体"/>
          <w:color w:val="auto"/>
          <w:highlight w:val="none"/>
        </w:rPr>
        <w:fldChar w:fldCharType="end"/>
      </w:r>
    </w:p>
    <w:p>
      <w:pPr>
        <w:pStyle w:val="17"/>
        <w:tabs>
          <w:tab w:val="right" w:leader="dot" w:pos="8640"/>
          <w:tab w:val="clear" w:pos="906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_Toc14587 </w:instrText>
      </w:r>
      <w:r>
        <w:rPr>
          <w:rFonts w:ascii="宋体" w:hAnsi="宋体" w:cs="宋体"/>
          <w:color w:val="auto"/>
          <w:highlight w:val="none"/>
        </w:rPr>
        <w:fldChar w:fldCharType="separate"/>
      </w:r>
      <w:r>
        <w:rPr>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_Toc14587 \h </w:instrText>
      </w:r>
      <w:r>
        <w:rPr>
          <w:color w:val="auto"/>
          <w:highlight w:val="none"/>
        </w:rPr>
        <w:fldChar w:fldCharType="separate"/>
      </w:r>
      <w:r>
        <w:rPr>
          <w:color w:val="auto"/>
          <w:highlight w:val="none"/>
        </w:rPr>
        <w:t>66</w:t>
      </w:r>
      <w:r>
        <w:rPr>
          <w:color w:val="auto"/>
          <w:highlight w:val="none"/>
        </w:rPr>
        <w:fldChar w:fldCharType="end"/>
      </w:r>
      <w:r>
        <w:rPr>
          <w:rFonts w:ascii="宋体" w:hAnsi="宋体" w:cs="宋体"/>
          <w:color w:val="auto"/>
          <w:highlight w:val="none"/>
        </w:rPr>
        <w:fldChar w:fldCharType="end"/>
      </w:r>
    </w:p>
    <w:p>
      <w:pPr>
        <w:pStyle w:val="18"/>
        <w:tabs>
          <w:tab w:val="right" w:leader="dot" w:pos="8640"/>
          <w:tab w:val="clear" w:pos="906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_Toc26040 </w:instrText>
      </w:r>
      <w:r>
        <w:rPr>
          <w:rFonts w:ascii="宋体" w:hAnsi="宋体" w:cs="宋体"/>
          <w:color w:val="auto"/>
          <w:highlight w:val="none"/>
        </w:rPr>
        <w:fldChar w:fldCharType="separate"/>
      </w:r>
      <w:r>
        <w:rPr>
          <w:rFonts w:hint="eastAsia" w:eastAsia="宋体"/>
          <w:color w:val="auto"/>
          <w:highlight w:val="none"/>
        </w:rPr>
        <w:t>一、技术标投标文件格式</w:t>
      </w:r>
      <w:r>
        <w:rPr>
          <w:color w:val="auto"/>
          <w:highlight w:val="none"/>
        </w:rPr>
        <w:tab/>
      </w:r>
      <w:r>
        <w:rPr>
          <w:color w:val="auto"/>
          <w:highlight w:val="none"/>
        </w:rPr>
        <w:fldChar w:fldCharType="begin"/>
      </w:r>
      <w:r>
        <w:rPr>
          <w:color w:val="auto"/>
          <w:highlight w:val="none"/>
        </w:rPr>
        <w:instrText xml:space="preserve"> PAGEREF _Toc26040 \h </w:instrText>
      </w:r>
      <w:r>
        <w:rPr>
          <w:color w:val="auto"/>
          <w:highlight w:val="none"/>
        </w:rPr>
        <w:fldChar w:fldCharType="separate"/>
      </w:r>
      <w:r>
        <w:rPr>
          <w:color w:val="auto"/>
          <w:highlight w:val="none"/>
        </w:rPr>
        <w:t>66</w:t>
      </w:r>
      <w:r>
        <w:rPr>
          <w:color w:val="auto"/>
          <w:highlight w:val="none"/>
        </w:rPr>
        <w:fldChar w:fldCharType="end"/>
      </w:r>
      <w:r>
        <w:rPr>
          <w:rFonts w:ascii="宋体" w:hAnsi="宋体" w:cs="宋体"/>
          <w:color w:val="auto"/>
          <w:highlight w:val="none"/>
        </w:rPr>
        <w:fldChar w:fldCharType="end"/>
      </w:r>
    </w:p>
    <w:p>
      <w:pPr>
        <w:pStyle w:val="12"/>
        <w:tabs>
          <w:tab w:val="right" w:leader="do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_Toc18088 </w:instrText>
      </w:r>
      <w:r>
        <w:rPr>
          <w:rFonts w:ascii="宋体" w:hAnsi="宋体" w:cs="宋体"/>
          <w:color w:val="auto"/>
          <w:highlight w:val="none"/>
        </w:rPr>
        <w:fldChar w:fldCharType="separate"/>
      </w:r>
      <w:r>
        <w:rPr>
          <w:rFonts w:hint="eastAsia"/>
          <w:color w:val="auto"/>
          <w:highlight w:val="none"/>
        </w:rPr>
        <w:t>格式一：</w:t>
      </w:r>
      <w:r>
        <w:rPr>
          <w:color w:val="auto"/>
          <w:highlight w:val="none"/>
        </w:rPr>
        <w:tab/>
      </w:r>
      <w:r>
        <w:rPr>
          <w:color w:val="auto"/>
          <w:highlight w:val="none"/>
        </w:rPr>
        <w:fldChar w:fldCharType="begin"/>
      </w:r>
      <w:r>
        <w:rPr>
          <w:color w:val="auto"/>
          <w:highlight w:val="none"/>
        </w:rPr>
        <w:instrText xml:space="preserve"> PAGEREF _Toc18088 \h </w:instrText>
      </w:r>
      <w:r>
        <w:rPr>
          <w:color w:val="auto"/>
          <w:highlight w:val="none"/>
        </w:rPr>
        <w:fldChar w:fldCharType="separate"/>
      </w:r>
      <w:r>
        <w:rPr>
          <w:color w:val="auto"/>
          <w:highlight w:val="none"/>
        </w:rPr>
        <w:t>66</w:t>
      </w:r>
      <w:r>
        <w:rPr>
          <w:color w:val="auto"/>
          <w:highlight w:val="none"/>
        </w:rPr>
        <w:fldChar w:fldCharType="end"/>
      </w:r>
      <w:r>
        <w:rPr>
          <w:rFonts w:ascii="宋体" w:hAnsi="宋体" w:cs="宋体"/>
          <w:color w:val="auto"/>
          <w:highlight w:val="none"/>
        </w:rPr>
        <w:fldChar w:fldCharType="end"/>
      </w:r>
    </w:p>
    <w:p>
      <w:pPr>
        <w:pStyle w:val="12"/>
        <w:tabs>
          <w:tab w:val="right" w:leader="do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_Toc11669 </w:instrText>
      </w:r>
      <w:r>
        <w:rPr>
          <w:rFonts w:ascii="宋体" w:hAnsi="宋体" w:cs="宋体"/>
          <w:color w:val="auto"/>
          <w:highlight w:val="none"/>
        </w:rPr>
        <w:fldChar w:fldCharType="separate"/>
      </w:r>
      <w:r>
        <w:rPr>
          <w:rFonts w:hint="eastAsia"/>
          <w:color w:val="auto"/>
          <w:highlight w:val="none"/>
        </w:rPr>
        <w:t>格式二：</w:t>
      </w:r>
      <w:r>
        <w:rPr>
          <w:color w:val="auto"/>
          <w:highlight w:val="none"/>
        </w:rPr>
        <w:tab/>
      </w:r>
      <w:r>
        <w:rPr>
          <w:color w:val="auto"/>
          <w:highlight w:val="none"/>
        </w:rPr>
        <w:fldChar w:fldCharType="begin"/>
      </w:r>
      <w:r>
        <w:rPr>
          <w:color w:val="auto"/>
          <w:highlight w:val="none"/>
        </w:rPr>
        <w:instrText xml:space="preserve"> PAGEREF _Toc11669 \h </w:instrText>
      </w:r>
      <w:r>
        <w:rPr>
          <w:color w:val="auto"/>
          <w:highlight w:val="none"/>
        </w:rPr>
        <w:fldChar w:fldCharType="separate"/>
      </w:r>
      <w:r>
        <w:rPr>
          <w:color w:val="auto"/>
          <w:highlight w:val="none"/>
        </w:rPr>
        <w:t>67</w:t>
      </w:r>
      <w:r>
        <w:rPr>
          <w:color w:val="auto"/>
          <w:highlight w:val="none"/>
        </w:rPr>
        <w:fldChar w:fldCharType="end"/>
      </w:r>
      <w:r>
        <w:rPr>
          <w:rFonts w:ascii="宋体" w:hAnsi="宋体" w:cs="宋体"/>
          <w:color w:val="auto"/>
          <w:highlight w:val="none"/>
        </w:rPr>
        <w:fldChar w:fldCharType="end"/>
      </w:r>
    </w:p>
    <w:p>
      <w:pPr>
        <w:pStyle w:val="12"/>
        <w:tabs>
          <w:tab w:val="right" w:leader="do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_Toc24068 </w:instrText>
      </w:r>
      <w:r>
        <w:rPr>
          <w:rFonts w:ascii="宋体" w:hAnsi="宋体" w:cs="宋体"/>
          <w:color w:val="auto"/>
          <w:highlight w:val="none"/>
        </w:rPr>
        <w:fldChar w:fldCharType="separate"/>
      </w:r>
      <w:r>
        <w:rPr>
          <w:rFonts w:hint="eastAsia"/>
          <w:color w:val="auto"/>
          <w:highlight w:val="none"/>
        </w:rPr>
        <w:t>格式三：</w:t>
      </w:r>
      <w:r>
        <w:rPr>
          <w:color w:val="auto"/>
          <w:highlight w:val="none"/>
        </w:rPr>
        <w:tab/>
      </w:r>
      <w:r>
        <w:rPr>
          <w:color w:val="auto"/>
          <w:highlight w:val="none"/>
        </w:rPr>
        <w:fldChar w:fldCharType="begin"/>
      </w:r>
      <w:r>
        <w:rPr>
          <w:color w:val="auto"/>
          <w:highlight w:val="none"/>
        </w:rPr>
        <w:instrText xml:space="preserve"> PAGEREF _Toc24068 \h </w:instrText>
      </w:r>
      <w:r>
        <w:rPr>
          <w:color w:val="auto"/>
          <w:highlight w:val="none"/>
        </w:rPr>
        <w:fldChar w:fldCharType="separate"/>
      </w:r>
      <w:r>
        <w:rPr>
          <w:color w:val="auto"/>
          <w:highlight w:val="none"/>
        </w:rPr>
        <w:t>71</w:t>
      </w:r>
      <w:r>
        <w:rPr>
          <w:color w:val="auto"/>
          <w:highlight w:val="none"/>
        </w:rPr>
        <w:fldChar w:fldCharType="end"/>
      </w:r>
      <w:r>
        <w:rPr>
          <w:rFonts w:ascii="宋体" w:hAnsi="宋体" w:cs="宋体"/>
          <w:color w:val="auto"/>
          <w:highlight w:val="none"/>
        </w:rPr>
        <w:fldChar w:fldCharType="end"/>
      </w:r>
    </w:p>
    <w:p>
      <w:pPr>
        <w:pStyle w:val="18"/>
        <w:tabs>
          <w:tab w:val="right" w:leader="dot" w:pos="8640"/>
          <w:tab w:val="clear" w:pos="906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_Toc21956 </w:instrText>
      </w:r>
      <w:r>
        <w:rPr>
          <w:rFonts w:ascii="宋体" w:hAnsi="宋体" w:cs="宋体"/>
          <w:color w:val="auto"/>
          <w:highlight w:val="none"/>
        </w:rPr>
        <w:fldChar w:fldCharType="separate"/>
      </w:r>
      <w:r>
        <w:rPr>
          <w:rFonts w:hint="eastAsia" w:eastAsia="宋体"/>
          <w:color w:val="auto"/>
          <w:highlight w:val="none"/>
        </w:rPr>
        <w:t>二、经济标投标文件格式</w:t>
      </w:r>
      <w:r>
        <w:rPr>
          <w:color w:val="auto"/>
          <w:highlight w:val="none"/>
        </w:rPr>
        <w:tab/>
      </w:r>
      <w:r>
        <w:rPr>
          <w:color w:val="auto"/>
          <w:highlight w:val="none"/>
        </w:rPr>
        <w:fldChar w:fldCharType="begin"/>
      </w:r>
      <w:r>
        <w:rPr>
          <w:color w:val="auto"/>
          <w:highlight w:val="none"/>
        </w:rPr>
        <w:instrText xml:space="preserve"> PAGEREF _Toc21956 \h </w:instrText>
      </w:r>
      <w:r>
        <w:rPr>
          <w:color w:val="auto"/>
          <w:highlight w:val="none"/>
        </w:rPr>
        <w:fldChar w:fldCharType="separate"/>
      </w:r>
      <w:r>
        <w:rPr>
          <w:color w:val="auto"/>
          <w:highlight w:val="none"/>
        </w:rPr>
        <w:t>72</w:t>
      </w:r>
      <w:r>
        <w:rPr>
          <w:color w:val="auto"/>
          <w:highlight w:val="none"/>
        </w:rPr>
        <w:fldChar w:fldCharType="end"/>
      </w:r>
      <w:r>
        <w:rPr>
          <w:rFonts w:ascii="宋体" w:hAnsi="宋体" w:cs="宋体"/>
          <w:color w:val="auto"/>
          <w:highlight w:val="none"/>
        </w:rPr>
        <w:fldChar w:fldCharType="end"/>
      </w:r>
    </w:p>
    <w:p>
      <w:pPr>
        <w:pStyle w:val="12"/>
        <w:tabs>
          <w:tab w:val="right" w:leader="do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_Toc26958 </w:instrText>
      </w:r>
      <w:r>
        <w:rPr>
          <w:rFonts w:ascii="宋体" w:hAnsi="宋体" w:cs="宋体"/>
          <w:color w:val="auto"/>
          <w:highlight w:val="none"/>
        </w:rPr>
        <w:fldChar w:fldCharType="separate"/>
      </w:r>
      <w:r>
        <w:rPr>
          <w:rFonts w:hint="eastAsia"/>
          <w:snapToGrid w:val="0"/>
          <w:color w:val="auto"/>
          <w:highlight w:val="none"/>
        </w:rPr>
        <w:t>格式四：</w:t>
      </w:r>
      <w:r>
        <w:rPr>
          <w:color w:val="auto"/>
          <w:highlight w:val="none"/>
        </w:rPr>
        <w:tab/>
      </w:r>
      <w:r>
        <w:rPr>
          <w:color w:val="auto"/>
          <w:highlight w:val="none"/>
        </w:rPr>
        <w:fldChar w:fldCharType="begin"/>
      </w:r>
      <w:r>
        <w:rPr>
          <w:color w:val="auto"/>
          <w:highlight w:val="none"/>
        </w:rPr>
        <w:instrText xml:space="preserve"> PAGEREF _Toc26958 \h </w:instrText>
      </w:r>
      <w:r>
        <w:rPr>
          <w:color w:val="auto"/>
          <w:highlight w:val="none"/>
        </w:rPr>
        <w:fldChar w:fldCharType="separate"/>
      </w:r>
      <w:r>
        <w:rPr>
          <w:color w:val="auto"/>
          <w:highlight w:val="none"/>
        </w:rPr>
        <w:t>72</w:t>
      </w:r>
      <w:r>
        <w:rPr>
          <w:color w:val="auto"/>
          <w:highlight w:val="none"/>
        </w:rPr>
        <w:fldChar w:fldCharType="end"/>
      </w:r>
      <w:r>
        <w:rPr>
          <w:rFonts w:ascii="宋体" w:hAnsi="宋体" w:cs="宋体"/>
          <w:color w:val="auto"/>
          <w:highlight w:val="none"/>
        </w:rPr>
        <w:fldChar w:fldCharType="end"/>
      </w:r>
    </w:p>
    <w:p>
      <w:pPr>
        <w:pStyle w:val="12"/>
        <w:tabs>
          <w:tab w:val="right" w:leader="do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_Toc15489 </w:instrText>
      </w:r>
      <w:r>
        <w:rPr>
          <w:rFonts w:ascii="宋体" w:hAnsi="宋体" w:cs="宋体"/>
          <w:color w:val="auto"/>
          <w:highlight w:val="none"/>
        </w:rPr>
        <w:fldChar w:fldCharType="separate"/>
      </w:r>
      <w:r>
        <w:rPr>
          <w:rFonts w:hint="eastAsia"/>
          <w:snapToGrid w:val="0"/>
          <w:color w:val="auto"/>
          <w:highlight w:val="none"/>
        </w:rPr>
        <w:t>格式五：</w:t>
      </w:r>
      <w:r>
        <w:rPr>
          <w:color w:val="auto"/>
          <w:highlight w:val="none"/>
        </w:rPr>
        <w:tab/>
      </w:r>
      <w:r>
        <w:rPr>
          <w:color w:val="auto"/>
          <w:highlight w:val="none"/>
        </w:rPr>
        <w:fldChar w:fldCharType="begin"/>
      </w:r>
      <w:r>
        <w:rPr>
          <w:color w:val="auto"/>
          <w:highlight w:val="none"/>
        </w:rPr>
        <w:instrText xml:space="preserve"> PAGEREF _Toc15489 \h </w:instrText>
      </w:r>
      <w:r>
        <w:rPr>
          <w:color w:val="auto"/>
          <w:highlight w:val="none"/>
        </w:rPr>
        <w:fldChar w:fldCharType="separate"/>
      </w:r>
      <w:r>
        <w:rPr>
          <w:color w:val="auto"/>
          <w:highlight w:val="none"/>
        </w:rPr>
        <w:t>73</w:t>
      </w:r>
      <w:r>
        <w:rPr>
          <w:color w:val="auto"/>
          <w:highlight w:val="none"/>
        </w:rPr>
        <w:fldChar w:fldCharType="end"/>
      </w:r>
      <w:r>
        <w:rPr>
          <w:rFonts w:ascii="宋体" w:hAnsi="宋体" w:cs="宋体"/>
          <w:color w:val="auto"/>
          <w:highlight w:val="none"/>
        </w:rPr>
        <w:fldChar w:fldCharType="end"/>
      </w:r>
    </w:p>
    <w:p>
      <w:pPr>
        <w:pStyle w:val="12"/>
        <w:tabs>
          <w:tab w:val="right" w:leader="do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_Toc24290 </w:instrText>
      </w:r>
      <w:r>
        <w:rPr>
          <w:rFonts w:ascii="宋体" w:hAnsi="宋体" w:cs="宋体"/>
          <w:color w:val="auto"/>
          <w:highlight w:val="none"/>
        </w:rPr>
        <w:fldChar w:fldCharType="separate"/>
      </w:r>
      <w:r>
        <w:rPr>
          <w:rFonts w:hint="eastAsia"/>
          <w:color w:val="auto"/>
          <w:highlight w:val="none"/>
        </w:rPr>
        <w:t>格式</w:t>
      </w:r>
      <w:r>
        <w:rPr>
          <w:rFonts w:hint="eastAsia"/>
          <w:snapToGrid w:val="0"/>
          <w:color w:val="auto"/>
          <w:highlight w:val="none"/>
        </w:rPr>
        <w:t>六</w:t>
      </w:r>
      <w:r>
        <w:rPr>
          <w:rFonts w:hint="eastAsia"/>
          <w:color w:val="auto"/>
          <w:kern w:val="2"/>
          <w:highlight w:val="none"/>
        </w:rPr>
        <w:t>：</w:t>
      </w:r>
      <w:r>
        <w:rPr>
          <w:color w:val="auto"/>
          <w:highlight w:val="none"/>
        </w:rPr>
        <w:tab/>
      </w:r>
      <w:r>
        <w:rPr>
          <w:color w:val="auto"/>
          <w:highlight w:val="none"/>
        </w:rPr>
        <w:fldChar w:fldCharType="begin"/>
      </w:r>
      <w:r>
        <w:rPr>
          <w:color w:val="auto"/>
          <w:highlight w:val="none"/>
        </w:rPr>
        <w:instrText xml:space="preserve"> PAGEREF _Toc24290 \h </w:instrText>
      </w:r>
      <w:r>
        <w:rPr>
          <w:color w:val="auto"/>
          <w:highlight w:val="none"/>
        </w:rPr>
        <w:fldChar w:fldCharType="separate"/>
      </w:r>
      <w:r>
        <w:rPr>
          <w:color w:val="auto"/>
          <w:highlight w:val="none"/>
        </w:rPr>
        <w:t>74</w:t>
      </w:r>
      <w:r>
        <w:rPr>
          <w:color w:val="auto"/>
          <w:highlight w:val="none"/>
        </w:rPr>
        <w:fldChar w:fldCharType="end"/>
      </w:r>
      <w:r>
        <w:rPr>
          <w:rFonts w:ascii="宋体" w:hAnsi="宋体" w:cs="宋体"/>
          <w:color w:val="auto"/>
          <w:highlight w:val="none"/>
        </w:rPr>
        <w:fldChar w:fldCharType="end"/>
      </w:r>
    </w:p>
    <w:p>
      <w:pPr>
        <w:pStyle w:val="17"/>
        <w:tabs>
          <w:tab w:val="right" w:leader="dot" w:pos="8640"/>
          <w:tab w:val="clear" w:pos="906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_Toc4998 </w:instrText>
      </w:r>
      <w:r>
        <w:rPr>
          <w:rFonts w:ascii="宋体" w:hAnsi="宋体" w:cs="宋体"/>
          <w:color w:val="auto"/>
          <w:highlight w:val="none"/>
        </w:rPr>
        <w:fldChar w:fldCharType="separate"/>
      </w:r>
      <w:r>
        <w:rPr>
          <w:rFonts w:hint="default"/>
          <w:color w:val="auto"/>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_Toc4998 \h </w:instrText>
      </w:r>
      <w:r>
        <w:rPr>
          <w:color w:val="auto"/>
          <w:highlight w:val="none"/>
        </w:rPr>
        <w:fldChar w:fldCharType="separate"/>
      </w:r>
      <w:r>
        <w:rPr>
          <w:color w:val="auto"/>
          <w:highlight w:val="none"/>
        </w:rPr>
        <w:t>77</w:t>
      </w:r>
      <w:r>
        <w:rPr>
          <w:color w:val="auto"/>
          <w:highlight w:val="none"/>
        </w:rPr>
        <w:fldChar w:fldCharType="end"/>
      </w:r>
      <w:r>
        <w:rPr>
          <w:rFonts w:ascii="宋体" w:hAnsi="宋体" w:cs="宋体"/>
          <w:color w:val="auto"/>
          <w:highlight w:val="none"/>
        </w:rPr>
        <w:fldChar w:fldCharType="end"/>
      </w:r>
    </w:p>
    <w:p>
      <w:pPr>
        <w:pStyle w:val="17"/>
        <w:tabs>
          <w:tab w:val="right" w:leader="dot" w:pos="8640"/>
          <w:tab w:val="clear" w:pos="906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_Toc4914 </w:instrText>
      </w:r>
      <w:r>
        <w:rPr>
          <w:rFonts w:ascii="宋体" w:hAnsi="宋体" w:cs="宋体"/>
          <w:color w:val="auto"/>
          <w:highlight w:val="none"/>
        </w:rPr>
        <w:fldChar w:fldCharType="separate"/>
      </w:r>
      <w:r>
        <w:rPr>
          <w:color w:val="auto"/>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_Toc4914 \h </w:instrText>
      </w:r>
      <w:r>
        <w:rPr>
          <w:color w:val="auto"/>
          <w:highlight w:val="none"/>
        </w:rPr>
        <w:fldChar w:fldCharType="separate"/>
      </w:r>
      <w:r>
        <w:rPr>
          <w:color w:val="auto"/>
          <w:highlight w:val="none"/>
        </w:rPr>
        <w:t>123</w:t>
      </w:r>
      <w:r>
        <w:rPr>
          <w:color w:val="auto"/>
          <w:highlight w:val="none"/>
        </w:rPr>
        <w:fldChar w:fldCharType="end"/>
      </w:r>
      <w:r>
        <w:rPr>
          <w:rFonts w:ascii="宋体" w:hAnsi="宋体" w:cs="宋体"/>
          <w:color w:val="auto"/>
          <w:highlight w:val="none"/>
        </w:rPr>
        <w:fldChar w:fldCharType="end"/>
      </w:r>
    </w:p>
    <w:p>
      <w:pPr>
        <w:pStyle w:val="17"/>
        <w:tabs>
          <w:tab w:val="right" w:leader="dot" w:pos="8640"/>
          <w:tab w:val="clear" w:pos="906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_Toc10386 </w:instrText>
      </w:r>
      <w:r>
        <w:rPr>
          <w:rFonts w:ascii="宋体" w:hAnsi="宋体" w:cs="宋体"/>
          <w:color w:val="auto"/>
          <w:highlight w:val="none"/>
        </w:rPr>
        <w:fldChar w:fldCharType="separate"/>
      </w:r>
      <w:r>
        <w:rPr>
          <w:color w:val="auto"/>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_Toc10386 \h </w:instrText>
      </w:r>
      <w:r>
        <w:rPr>
          <w:color w:val="auto"/>
          <w:highlight w:val="none"/>
        </w:rPr>
        <w:fldChar w:fldCharType="separate"/>
      </w:r>
      <w:r>
        <w:rPr>
          <w:color w:val="auto"/>
          <w:highlight w:val="none"/>
        </w:rPr>
        <w:t>124</w:t>
      </w:r>
      <w:r>
        <w:rPr>
          <w:color w:val="auto"/>
          <w:highlight w:val="none"/>
        </w:rPr>
        <w:fldChar w:fldCharType="end"/>
      </w:r>
      <w:r>
        <w:rPr>
          <w:rFonts w:ascii="宋体" w:hAnsi="宋体" w:cs="宋体"/>
          <w:color w:val="auto"/>
          <w:highlight w:val="none"/>
        </w:rPr>
        <w:fldChar w:fldCharType="end"/>
      </w:r>
    </w:p>
    <w:p>
      <w:pPr>
        <w:pStyle w:val="17"/>
        <w:tabs>
          <w:tab w:val="right" w:leader="dot" w:pos="8640"/>
          <w:tab w:val="clear" w:pos="906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_Toc9143 </w:instrText>
      </w:r>
      <w:r>
        <w:rPr>
          <w:rFonts w:ascii="宋体" w:hAnsi="宋体" w:cs="宋体"/>
          <w:color w:val="auto"/>
          <w:highlight w:val="none"/>
        </w:rPr>
        <w:fldChar w:fldCharType="separate"/>
      </w:r>
      <w:r>
        <w:rPr>
          <w:color w:val="auto"/>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_Toc9143 \h </w:instrText>
      </w:r>
      <w:r>
        <w:rPr>
          <w:color w:val="auto"/>
          <w:highlight w:val="none"/>
        </w:rPr>
        <w:fldChar w:fldCharType="separate"/>
      </w:r>
      <w:r>
        <w:rPr>
          <w:color w:val="auto"/>
          <w:highlight w:val="none"/>
        </w:rPr>
        <w:t>125</w:t>
      </w:r>
      <w:r>
        <w:rPr>
          <w:color w:val="auto"/>
          <w:highlight w:val="none"/>
        </w:rPr>
        <w:fldChar w:fldCharType="end"/>
      </w:r>
      <w:r>
        <w:rPr>
          <w:rFonts w:ascii="宋体" w:hAnsi="宋体" w:cs="宋体"/>
          <w:color w:val="auto"/>
          <w:highlight w:val="none"/>
        </w:rPr>
        <w:fldChar w:fldCharType="end"/>
      </w:r>
    </w:p>
    <w:p>
      <w:pPr>
        <w:pStyle w:val="3"/>
        <w:ind w:right="325" w:rightChars="155"/>
        <w:jc w:val="center"/>
        <w:rPr>
          <w:rFonts w:hint="default"/>
          <w:color w:val="auto"/>
          <w:highlight w:val="none"/>
        </w:rPr>
      </w:pPr>
      <w:r>
        <w:rPr>
          <w:rFonts w:ascii="宋体" w:hAnsi="宋体" w:cs="宋体"/>
          <w:color w:val="auto"/>
          <w:highlight w:val="none"/>
        </w:rPr>
        <w:fldChar w:fldCharType="end"/>
      </w:r>
    </w:p>
    <w:p>
      <w:pPr>
        <w:pStyle w:val="2"/>
        <w:rPr>
          <w:color w:val="auto"/>
          <w:highlight w:val="none"/>
        </w:rPr>
      </w:pPr>
      <w:bookmarkStart w:id="0" w:name="_Toc17950"/>
      <w:r>
        <w:rPr>
          <w:rFonts w:hint="eastAsia"/>
          <w:color w:val="auto"/>
          <w:highlight w:val="none"/>
        </w:rPr>
        <w:t>一、投标须知前附表</w:t>
      </w:r>
      <w:bookmarkEnd w:id="0"/>
    </w:p>
    <w:p>
      <w:pPr>
        <w:pStyle w:val="9"/>
        <w:spacing w:line="360" w:lineRule="auto"/>
        <w:ind w:firstLine="422"/>
        <w:rPr>
          <w:b/>
          <w:color w:val="auto"/>
          <w:szCs w:val="21"/>
          <w:highlight w:val="none"/>
        </w:rPr>
      </w:pPr>
      <w:r>
        <w:rPr>
          <w:rFonts w:hint="eastAsia"/>
          <w:b/>
          <w:color w:val="auto"/>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0"/>
        <w:tblW w:w="4924"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855"/>
        <w:gridCol w:w="1501"/>
        <w:gridCol w:w="57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347" w:type="pct"/>
            <w:tcBorders>
              <w:top w:val="doub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项目</w:t>
            </w:r>
          </w:p>
        </w:tc>
        <w:tc>
          <w:tcPr>
            <w:tcW w:w="490" w:type="pct"/>
            <w:tcBorders>
              <w:top w:val="doub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条款号</w:t>
            </w:r>
          </w:p>
        </w:tc>
        <w:tc>
          <w:tcPr>
            <w:tcW w:w="860" w:type="pct"/>
            <w:tcBorders>
              <w:top w:val="doub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内容</w:t>
            </w:r>
          </w:p>
        </w:tc>
        <w:tc>
          <w:tcPr>
            <w:tcW w:w="3301" w:type="pct"/>
            <w:tcBorders>
              <w:top w:val="double" w:color="auto" w:sz="4" w:space="0"/>
              <w:left w:val="single" w:color="auto" w:sz="4" w:space="0"/>
              <w:bottom w:val="single" w:color="auto" w:sz="4" w:space="0"/>
              <w:right w:val="double" w:color="auto" w:sz="4" w:space="0"/>
            </w:tcBorders>
            <w:vAlign w:val="center"/>
          </w:tcPr>
          <w:p>
            <w:pPr>
              <w:pStyle w:val="14"/>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定义</w:t>
            </w:r>
          </w:p>
        </w:tc>
        <w:tc>
          <w:tcPr>
            <w:tcW w:w="3301" w:type="pct"/>
            <w:tcBorders>
              <w:top w:val="single" w:color="auto" w:sz="4" w:space="0"/>
              <w:left w:val="single" w:color="auto" w:sz="4" w:space="0"/>
              <w:bottom w:val="single" w:color="auto" w:sz="4" w:space="0"/>
              <w:right w:val="double" w:color="auto" w:sz="4" w:space="0"/>
            </w:tcBorders>
            <w:vAlign w:val="center"/>
          </w:tcPr>
          <w:p>
            <w:pPr>
              <w:rPr>
                <w:rFonts w:hint="eastAsia" w:eastAsia="宋体" w:cs="宋体"/>
                <w:color w:val="auto"/>
                <w:szCs w:val="21"/>
                <w:highlight w:val="none"/>
                <w:u w:val="single"/>
                <w:lang w:eastAsia="zh-CN"/>
              </w:rPr>
            </w:pPr>
            <w:r>
              <w:rPr>
                <w:rFonts w:hint="eastAsia" w:cs="宋体"/>
                <w:color w:val="auto"/>
                <w:szCs w:val="21"/>
                <w:highlight w:val="none"/>
              </w:rPr>
              <w:t>招标人（即发包人）：</w:t>
            </w:r>
            <w:r>
              <w:rPr>
                <w:rFonts w:hint="eastAsia" w:cs="宋体"/>
                <w:color w:val="auto"/>
                <w:szCs w:val="21"/>
                <w:highlight w:val="none"/>
                <w:u w:val="single"/>
                <w:lang w:eastAsia="zh-CN"/>
              </w:rPr>
              <w:t>广州市公安局</w:t>
            </w:r>
          </w:p>
          <w:p>
            <w:pPr>
              <w:rPr>
                <w:rFonts w:cs="宋体"/>
                <w:color w:val="auto"/>
                <w:szCs w:val="21"/>
                <w:highlight w:val="none"/>
              </w:rPr>
            </w:pPr>
            <w:r>
              <w:rPr>
                <w:rFonts w:hint="eastAsia" w:cs="宋体"/>
                <w:color w:val="auto"/>
                <w:szCs w:val="21"/>
                <w:highlight w:val="none"/>
              </w:rPr>
              <w:t>招标代理：</w:t>
            </w:r>
            <w:r>
              <w:rPr>
                <w:rFonts w:hint="eastAsia"/>
                <w:color w:val="auto"/>
                <w:szCs w:val="21"/>
                <w:highlight w:val="none"/>
                <w:u w:val="single"/>
              </w:rPr>
              <w:t>广州市政府采购中心</w:t>
            </w:r>
          </w:p>
          <w:p>
            <w:pPr>
              <w:rPr>
                <w:rFonts w:cs="宋体"/>
                <w:color w:val="auto"/>
                <w:szCs w:val="21"/>
                <w:highlight w:val="none"/>
                <w:u w:val="single"/>
              </w:rPr>
            </w:pPr>
            <w:r>
              <w:rPr>
                <w:rFonts w:hint="eastAsia" w:cs="宋体"/>
                <w:color w:val="auto"/>
                <w:szCs w:val="21"/>
                <w:highlight w:val="none"/>
              </w:rPr>
              <w:t>设计单位：</w:t>
            </w:r>
            <w:r>
              <w:rPr>
                <w:rFonts w:hint="eastAsia" w:cs="宋体"/>
                <w:color w:val="auto"/>
                <w:szCs w:val="21"/>
                <w:highlight w:val="none"/>
                <w:u w:val="single"/>
                <w:lang w:val="en-US" w:eastAsia="zh-CN"/>
              </w:rPr>
              <w:t>另行通知</w:t>
            </w:r>
            <w:r>
              <w:rPr>
                <w:rFonts w:hint="eastAsia" w:cs="宋体"/>
                <w:color w:val="auto"/>
                <w:szCs w:val="21"/>
                <w:highlight w:val="none"/>
                <w:u w:val="single"/>
              </w:rPr>
              <w:t xml:space="preserve">  </w:t>
            </w:r>
          </w:p>
          <w:p>
            <w:pPr>
              <w:rPr>
                <w:rFonts w:cs="宋体"/>
                <w:color w:val="auto"/>
                <w:szCs w:val="21"/>
                <w:highlight w:val="none"/>
              </w:rPr>
            </w:pPr>
            <w:r>
              <w:rPr>
                <w:rFonts w:hint="eastAsia" w:cs="宋体"/>
                <w:color w:val="auto"/>
                <w:szCs w:val="21"/>
                <w:highlight w:val="none"/>
              </w:rPr>
              <w:t>监理单位：</w:t>
            </w:r>
            <w:r>
              <w:rPr>
                <w:rFonts w:hint="eastAsia" w:cs="宋体"/>
                <w:color w:val="auto"/>
                <w:szCs w:val="21"/>
                <w:highlight w:val="none"/>
                <w:u w:val="single"/>
                <w:lang w:val="en-US" w:eastAsia="zh-CN"/>
              </w:rPr>
              <w:t>另行通知</w:t>
            </w:r>
            <w:r>
              <w:rPr>
                <w:rFonts w:hint="eastAsia" w:cs="宋体"/>
                <w:color w:val="auto"/>
                <w:szCs w:val="21"/>
                <w:highlight w:val="none"/>
                <w:u w:val="single"/>
              </w:rPr>
              <w:t xml:space="preserve"> </w:t>
            </w:r>
          </w:p>
          <w:p>
            <w:pPr>
              <w:rPr>
                <w:rFonts w:cs="宋体"/>
                <w:color w:val="auto"/>
                <w:szCs w:val="21"/>
                <w:highlight w:val="none"/>
              </w:rPr>
            </w:pPr>
            <w:r>
              <w:rPr>
                <w:rFonts w:hint="eastAsia" w:cs="宋体"/>
                <w:color w:val="auto"/>
                <w:szCs w:val="21"/>
                <w:highlight w:val="none"/>
              </w:rPr>
              <w:t>检测机构：</w:t>
            </w:r>
            <w:r>
              <w:rPr>
                <w:rFonts w:hint="eastAsia" w:cs="宋体"/>
                <w:color w:val="auto"/>
                <w:szCs w:val="21"/>
                <w:highlight w:val="none"/>
                <w:u w:val="single"/>
                <w:lang w:val="en-US" w:eastAsia="zh-CN"/>
              </w:rPr>
              <w:t>另行通知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2.2</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工程名称</w:t>
            </w:r>
          </w:p>
        </w:tc>
        <w:tc>
          <w:tcPr>
            <w:tcW w:w="3301" w:type="pct"/>
            <w:tcBorders>
              <w:top w:val="single" w:color="auto" w:sz="4" w:space="0"/>
              <w:left w:val="single" w:color="auto" w:sz="4" w:space="0"/>
              <w:bottom w:val="single" w:color="auto" w:sz="4" w:space="0"/>
              <w:right w:val="double" w:color="auto" w:sz="4" w:space="0"/>
            </w:tcBorders>
            <w:vAlign w:val="center"/>
          </w:tcPr>
          <w:p>
            <w:pPr>
              <w:rPr>
                <w:rFonts w:hint="eastAsia" w:cs="宋体"/>
                <w:color w:val="auto"/>
                <w:szCs w:val="21"/>
                <w:highlight w:val="none"/>
                <w:u w:val="single"/>
                <w:lang w:eastAsia="zh-CN"/>
              </w:rPr>
            </w:pPr>
            <w:r>
              <w:rPr>
                <w:rFonts w:hint="eastAsia" w:cs="宋体"/>
                <w:color w:val="auto"/>
                <w:szCs w:val="21"/>
                <w:highlight w:val="none"/>
                <w:u w:val="single"/>
                <w:lang w:eastAsia="zh-CN"/>
              </w:rPr>
              <w:t>广州市公安局交警支队2025-2027年中心五区市政道路交通设施维护项目（标段1）</w:t>
            </w:r>
          </w:p>
          <w:p>
            <w:pPr>
              <w:rPr>
                <w:rFonts w:hint="eastAsia" w:cs="宋体"/>
                <w:color w:val="auto"/>
                <w:szCs w:val="21"/>
                <w:highlight w:val="none"/>
                <w:u w:val="single"/>
                <w:lang w:eastAsia="zh-CN"/>
              </w:rPr>
            </w:pPr>
            <w:r>
              <w:rPr>
                <w:rFonts w:hint="eastAsia" w:cs="宋体"/>
                <w:color w:val="auto"/>
                <w:szCs w:val="21"/>
                <w:highlight w:val="none"/>
                <w:u w:val="single"/>
                <w:lang w:eastAsia="zh-CN"/>
              </w:rPr>
              <w:t>广州市公安局交警支队2025-2027年中心五区市政道路交通设施维护项目（标段</w:t>
            </w:r>
            <w:r>
              <w:rPr>
                <w:rFonts w:hint="eastAsia" w:cs="宋体"/>
                <w:color w:val="auto"/>
                <w:szCs w:val="21"/>
                <w:highlight w:val="none"/>
                <w:u w:val="single"/>
                <w:lang w:val="en-US" w:eastAsia="zh-CN"/>
              </w:rPr>
              <w:t>2</w:t>
            </w:r>
            <w:r>
              <w:rPr>
                <w:rFonts w:hint="eastAsia" w:cs="宋体"/>
                <w:color w:val="auto"/>
                <w:szCs w:val="21"/>
                <w:highlight w:val="none"/>
                <w:u w:val="single"/>
                <w:lang w:eastAsia="zh-CN"/>
              </w:rPr>
              <w:t>）</w:t>
            </w:r>
          </w:p>
          <w:p>
            <w:pPr>
              <w:rPr>
                <w:rFonts w:hint="eastAsia" w:cs="宋体"/>
                <w:color w:val="auto"/>
                <w:szCs w:val="21"/>
                <w:highlight w:val="none"/>
                <w:u w:val="single"/>
                <w:lang w:eastAsia="zh-CN"/>
              </w:rPr>
            </w:pPr>
            <w:r>
              <w:rPr>
                <w:rFonts w:hint="eastAsia" w:cs="宋体"/>
                <w:color w:val="auto"/>
                <w:szCs w:val="21"/>
                <w:highlight w:val="none"/>
                <w:u w:val="single"/>
                <w:lang w:eastAsia="zh-CN"/>
              </w:rPr>
              <w:t>广州市公安局交警支队2025-2027年中心五区市政道路交通设施维护项目（标段</w:t>
            </w:r>
            <w:r>
              <w:rPr>
                <w:rFonts w:hint="eastAsia" w:cs="宋体"/>
                <w:color w:val="auto"/>
                <w:szCs w:val="21"/>
                <w:highlight w:val="none"/>
                <w:u w:val="single"/>
                <w:lang w:val="en-US" w:eastAsia="zh-CN"/>
              </w:rPr>
              <w:t>3</w:t>
            </w:r>
            <w:r>
              <w:rPr>
                <w:rFonts w:hint="eastAsia" w:cs="宋体"/>
                <w:color w:val="auto"/>
                <w:szCs w:val="21"/>
                <w:highlight w:val="none"/>
                <w:u w:val="single"/>
                <w:lang w:eastAsia="zh-CN"/>
              </w:rPr>
              <w:t>）</w:t>
            </w:r>
          </w:p>
          <w:p>
            <w:pPr>
              <w:rPr>
                <w:rFonts w:hint="eastAsia" w:cs="宋体"/>
                <w:color w:val="auto"/>
                <w:szCs w:val="21"/>
                <w:highlight w:val="none"/>
                <w:u w:val="single"/>
                <w:lang w:eastAsia="zh-CN"/>
              </w:rPr>
            </w:pPr>
            <w:r>
              <w:rPr>
                <w:rFonts w:hint="eastAsia" w:cs="宋体"/>
                <w:color w:val="auto"/>
                <w:szCs w:val="21"/>
                <w:highlight w:val="none"/>
                <w:u w:val="single"/>
                <w:lang w:eastAsia="zh-CN"/>
              </w:rPr>
              <w:t>广州市公安局交警支队2025-2027年中心五区市政道路交通设施维护项目（标段</w:t>
            </w:r>
            <w:r>
              <w:rPr>
                <w:rFonts w:hint="eastAsia" w:cs="宋体"/>
                <w:color w:val="auto"/>
                <w:szCs w:val="21"/>
                <w:highlight w:val="none"/>
                <w:u w:val="single"/>
                <w:lang w:val="en-US" w:eastAsia="zh-CN"/>
              </w:rPr>
              <w:t>4</w:t>
            </w:r>
            <w:r>
              <w:rPr>
                <w:rFonts w:hint="eastAsia" w:cs="宋体"/>
                <w:color w:val="auto"/>
                <w:szCs w:val="21"/>
                <w:highlight w:val="none"/>
                <w:u w:val="single"/>
                <w:lang w:eastAsia="zh-CN"/>
              </w:rPr>
              <w:t>）</w:t>
            </w:r>
          </w:p>
          <w:p>
            <w:pPr>
              <w:rPr>
                <w:rFonts w:hint="eastAsia"/>
                <w:color w:val="auto"/>
                <w:highlight w:val="none"/>
                <w:lang w:eastAsia="zh-CN"/>
              </w:rPr>
            </w:pPr>
            <w:r>
              <w:rPr>
                <w:rFonts w:hint="eastAsia" w:cs="宋体"/>
                <w:color w:val="auto"/>
                <w:szCs w:val="21"/>
                <w:highlight w:val="none"/>
                <w:u w:val="single"/>
                <w:lang w:eastAsia="zh-CN"/>
              </w:rPr>
              <w:t>广州市公安局交警支队2025-2027年中心五区市政道路交通设施维护项目（标段</w:t>
            </w:r>
            <w:r>
              <w:rPr>
                <w:rFonts w:hint="eastAsia" w:cs="宋体"/>
                <w:color w:val="auto"/>
                <w:szCs w:val="21"/>
                <w:highlight w:val="none"/>
                <w:u w:val="single"/>
                <w:lang w:val="en-US" w:eastAsia="zh-CN"/>
              </w:rPr>
              <w:t>5</w:t>
            </w:r>
            <w:r>
              <w:rPr>
                <w:rFonts w:hint="eastAsia" w:cs="宋体"/>
                <w:color w:val="auto"/>
                <w:szCs w:val="21"/>
                <w:highlight w:val="none"/>
                <w:u w:val="singl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3</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2.2</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建设地点</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u w:val="single"/>
              </w:rPr>
            </w:pPr>
            <w:r>
              <w:rPr>
                <w:rFonts w:hint="eastAsia" w:ascii="宋体" w:hAnsi="宋体" w:eastAsia="宋体"/>
                <w:color w:val="auto"/>
                <w:szCs w:val="21"/>
                <w:highlight w:val="none"/>
                <w:u w:val="single"/>
              </w:rPr>
              <w:t>广州市辖区范围内。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4</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2.2</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建设规模</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u w:val="single"/>
              </w:rPr>
            </w:pPr>
            <w:r>
              <w:rPr>
                <w:rFonts w:hint="eastAsia"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5</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2.2</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承包方式</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kern w:val="0"/>
                <w:szCs w:val="21"/>
                <w:highlight w:val="none"/>
                <w:u w:val="single"/>
              </w:rPr>
            </w:pPr>
            <w:r>
              <w:rPr>
                <w:rFonts w:hint="eastAsia" w:cs="宋体"/>
                <w:color w:val="auto"/>
                <w:szCs w:val="21"/>
                <w:highlight w:val="none"/>
                <w:u w:val="single"/>
              </w:rPr>
              <w:t>工程综合单价包干、工程量按实结算。报价人根据招标人（即发包人）提供的工程量清单、</w:t>
            </w:r>
            <w:r>
              <w:rPr>
                <w:rFonts w:hint="eastAsia" w:ascii="宋体" w:hAnsi="宋体" w:eastAsia="宋体"/>
                <w:bCs/>
                <w:snapToGrid w:val="0"/>
                <w:color w:val="auto"/>
                <w:kern w:val="0"/>
                <w:szCs w:val="21"/>
                <w:highlight w:val="none"/>
                <w:u w:val="single"/>
              </w:rPr>
              <w:t>招标文件项目特性，</w:t>
            </w:r>
            <w:r>
              <w:rPr>
                <w:rFonts w:hint="eastAsia" w:cs="宋体"/>
                <w:color w:val="auto"/>
                <w:szCs w:val="21"/>
                <w:highlight w:val="none"/>
                <w:u w:val="single"/>
              </w:rPr>
              <w:t>结合工程现场实际情况、工程性质、工程特点等要求，包工、包料、包机械、包工期、包质量、包安全、包文明施工，包环境卫生、建筑垃圾按广州市相关规定清运、包承包范围内工程验收通过、包移交、包结算和资料整理归档等。</w:t>
            </w:r>
          </w:p>
          <w:p>
            <w:pPr>
              <w:rPr>
                <w:rFonts w:cs="宋体"/>
                <w:color w:val="auto"/>
                <w:kern w:val="0"/>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6</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2.2</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质量标准</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cs="宋体"/>
                <w:color w:val="auto"/>
                <w:szCs w:val="21"/>
                <w:highlight w:val="none"/>
                <w:u w:val="single"/>
              </w:rPr>
              <w:t>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7</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2.2</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招标范围</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u w:val="single"/>
              </w:rPr>
            </w:pPr>
            <w:r>
              <w:rPr>
                <w:rFonts w:hint="eastAsia"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8</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2.2</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工期要求</w:t>
            </w:r>
          </w:p>
        </w:tc>
        <w:tc>
          <w:tcPr>
            <w:tcW w:w="3301" w:type="pct"/>
            <w:tcBorders>
              <w:top w:val="single" w:color="auto" w:sz="4" w:space="0"/>
              <w:left w:val="single" w:color="auto" w:sz="4" w:space="0"/>
              <w:bottom w:val="single" w:color="auto" w:sz="4" w:space="0"/>
              <w:right w:val="double" w:color="auto" w:sz="4" w:space="0"/>
            </w:tcBorders>
            <w:vAlign w:val="center"/>
          </w:tcPr>
          <w:p>
            <w:pPr>
              <w:rPr>
                <w:rFonts w:hint="eastAsia" w:eastAsia="宋体" w:cs="宋体"/>
                <w:color w:val="auto"/>
                <w:szCs w:val="21"/>
                <w:highlight w:val="none"/>
                <w:lang w:eastAsia="zh-CN"/>
              </w:rPr>
            </w:pPr>
            <w:r>
              <w:rPr>
                <w:rFonts w:hint="eastAsia" w:ascii="宋体" w:hAnsi="宋体" w:eastAsia="宋体"/>
                <w:color w:val="auto"/>
                <w:szCs w:val="21"/>
                <w:highlight w:val="none"/>
              </w:rPr>
              <w:t>自合同签订生效且监理下达开工令之日起24个月或当项目实际发生的总服务费用累计达到本项目总限价时（以先到为准），本合同终止</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（标段1~标段5均适用）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9</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3.1</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资金来源</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10</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4.1</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投标人资质等级及项目负责人等级要求</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11</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资格审查方式</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12</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13.1</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报价以及单价和总价计算方式</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ascii="宋体" w:hAnsi="宋体" w:eastAsia="宋体"/>
                <w:color w:val="auto"/>
                <w:szCs w:val="21"/>
                <w:highlight w:val="none"/>
                <w:u w:val="single"/>
                <w:lang w:val="en-US" w:eastAsia="zh-CN"/>
              </w:rPr>
              <w:t>按工程量清单报价</w:t>
            </w:r>
            <w:r>
              <w:rPr>
                <w:rFonts w:hint="eastAsia"/>
                <w:color w:val="auto"/>
                <w:szCs w:val="21"/>
                <w:highlight w:val="none"/>
                <w:u w:val="single"/>
                <w:lang w:eastAsia="zh-CN"/>
              </w:rPr>
              <w:t>，</w:t>
            </w:r>
            <w:r>
              <w:rPr>
                <w:rFonts w:hint="eastAsia" w:ascii="宋体" w:hAnsi="宋体" w:eastAsia="宋体" w:cs="宋体"/>
                <w:color w:val="auto"/>
                <w:szCs w:val="21"/>
                <w:highlight w:val="none"/>
                <w:u w:val="single"/>
              </w:rPr>
              <w:t>投标报价不得高于</w:t>
            </w:r>
            <w:r>
              <w:rPr>
                <w:rFonts w:hint="eastAsia" w:ascii="宋体" w:hAnsi="宋体" w:eastAsia="宋体" w:cs="宋体"/>
                <w:bCs/>
                <w:color w:val="auto"/>
                <w:szCs w:val="21"/>
                <w:highlight w:val="none"/>
                <w:u w:val="single"/>
              </w:rPr>
              <w:t>最高投标限价</w:t>
            </w:r>
            <w:r>
              <w:rPr>
                <w:rFonts w:hint="eastAsia" w:ascii="宋体" w:hAnsi="宋体" w:eastAsia="宋体" w:cs="宋体"/>
                <w:color w:val="auto"/>
                <w:szCs w:val="21"/>
                <w:highlight w:val="none"/>
                <w:u w:val="single"/>
              </w:rPr>
              <w:t>，结算按合同相应条款执行</w:t>
            </w:r>
            <w:r>
              <w:rPr>
                <w:rFonts w:hint="eastAsia" w:ascii="宋体" w:hAnsi="宋体" w:eastAsia="宋体" w:cs="宋体"/>
                <w:color w:val="auto"/>
                <w:szCs w:val="21"/>
                <w:highlight w:val="none"/>
                <w:u w:val="single"/>
                <w:lang w:eastAsia="zh-CN"/>
              </w:rPr>
              <w:t>。</w:t>
            </w:r>
            <w:r>
              <w:rPr>
                <w:rFonts w:hint="eastAsia" w:ascii="宋体" w:hAnsi="宋体"/>
                <w:color w:val="auto"/>
                <w:kern w:val="2"/>
                <w:sz w:val="21"/>
                <w:szCs w:val="21"/>
                <w:highlight w:val="none"/>
              </w:rPr>
              <w:t>（标段1~标段5均适用）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13</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15.1</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投标有效期</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u w:val="single"/>
              </w:rPr>
            </w:pPr>
            <w:r>
              <w:rPr>
                <w:rFonts w:hint="eastAsia" w:cs="宋体"/>
                <w:color w:val="auto"/>
                <w:szCs w:val="21"/>
                <w:highlight w:val="none"/>
                <w:u w:val="single"/>
              </w:rPr>
              <w:t xml:space="preserve"> 90 </w:t>
            </w:r>
            <w:r>
              <w:rPr>
                <w:rFonts w:hint="eastAsia" w:cs="宋体"/>
                <w:color w:val="auto"/>
                <w:szCs w:val="21"/>
                <w:highlight w:val="none"/>
              </w:rPr>
              <w:t>日历天。（从投标截止之日计起）。</w:t>
            </w:r>
            <w:r>
              <w:rPr>
                <w:rFonts w:hint="eastAsia" w:cs="宋体"/>
                <w:color w:val="auto"/>
                <w:szCs w:val="21"/>
                <w:highlight w:val="none"/>
                <w:u w:val="single"/>
              </w:rPr>
              <w:t>如投标有效期内发生异议或投诉的，则投标有效期自动延长至异议或投诉处理结束后90日历天。</w:t>
            </w:r>
            <w:r>
              <w:rPr>
                <w:rFonts w:hint="eastAsia" w:ascii="宋体" w:hAnsi="宋体"/>
                <w:color w:val="auto"/>
                <w:kern w:val="2"/>
                <w:sz w:val="21"/>
                <w:szCs w:val="21"/>
                <w:highlight w:val="none"/>
              </w:rPr>
              <w:t>（标段1~标段5均适用）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14</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16.1</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投标保证金</w:t>
            </w:r>
          </w:p>
        </w:tc>
        <w:tc>
          <w:tcPr>
            <w:tcW w:w="3301" w:type="pct"/>
            <w:tcBorders>
              <w:top w:val="single" w:color="auto" w:sz="4" w:space="0"/>
              <w:left w:val="single" w:color="auto" w:sz="4" w:space="0"/>
              <w:bottom w:val="single" w:color="auto" w:sz="4" w:space="0"/>
              <w:right w:val="double" w:color="auto" w:sz="4" w:space="0"/>
            </w:tcBorders>
            <w:vAlign w:val="center"/>
          </w:tcPr>
          <w:p>
            <w:pPr>
              <w:pStyle w:val="13"/>
              <w:rPr>
                <w:color w:val="auto"/>
                <w:highlight w:val="none"/>
              </w:rPr>
            </w:pPr>
            <w:r>
              <w:rPr>
                <w:rFonts w:hint="eastAsia" w:ascii="仿宋" w:hAnsi="仿宋" w:eastAsia="仿宋" w:cs="宋体"/>
                <w:b/>
                <w:color w:val="auto"/>
                <w:sz w:val="22"/>
                <w:highlight w:val="none"/>
              </w:rPr>
              <w:t>方式一：本项目不收投标保证金。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15</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5</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踏勘现场</w:t>
            </w:r>
          </w:p>
        </w:tc>
        <w:tc>
          <w:tcPr>
            <w:tcW w:w="3301" w:type="pct"/>
            <w:tcBorders>
              <w:top w:val="single" w:color="auto" w:sz="4" w:space="0"/>
              <w:left w:val="single" w:color="auto" w:sz="4" w:space="0"/>
              <w:bottom w:val="single" w:color="auto" w:sz="4" w:space="0"/>
              <w:right w:val="double" w:color="auto" w:sz="4" w:space="0"/>
            </w:tcBorders>
            <w:vAlign w:val="center"/>
          </w:tcPr>
          <w:p>
            <w:pPr>
              <w:pStyle w:val="14"/>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16</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8</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投标答疑</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cs="宋体"/>
                <w:color w:val="auto"/>
                <w:szCs w:val="21"/>
                <w:highlight w:val="none"/>
              </w:rPr>
              <w:t>1.疑问提交时间：</w:t>
            </w:r>
            <w:r>
              <w:rPr>
                <w:rFonts w:hint="eastAsia" w:cs="宋体"/>
                <w:color w:val="auto"/>
                <w:szCs w:val="21"/>
                <w:highlight w:val="none"/>
                <w:u w:val="single"/>
              </w:rPr>
              <w:t>(在递交投标文件截止日期前18日)见本项目日程安排</w:t>
            </w:r>
            <w:r>
              <w:rPr>
                <w:rFonts w:hint="eastAsia" w:cs="宋体"/>
                <w:color w:val="auto"/>
                <w:szCs w:val="21"/>
                <w:highlight w:val="none"/>
              </w:rPr>
              <w:t>；</w:t>
            </w:r>
          </w:p>
          <w:p>
            <w:pPr>
              <w:rPr>
                <w:rFonts w:cs="宋体"/>
                <w:color w:val="auto"/>
                <w:szCs w:val="21"/>
                <w:highlight w:val="none"/>
              </w:rPr>
            </w:pPr>
            <w:r>
              <w:rPr>
                <w:rFonts w:hint="eastAsia" w:cs="宋体"/>
                <w:color w:val="auto"/>
                <w:szCs w:val="21"/>
                <w:highlight w:val="none"/>
              </w:rPr>
              <w:t>2.形式：投标人的疑问通过</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交易平台提交。</w:t>
            </w:r>
          </w:p>
          <w:p>
            <w:pPr>
              <w:rPr>
                <w:rFonts w:cs="宋体"/>
                <w:color w:val="auto"/>
                <w:szCs w:val="21"/>
                <w:highlight w:val="none"/>
                <w:u w:val="single"/>
              </w:rPr>
            </w:pPr>
            <w:r>
              <w:rPr>
                <w:rFonts w:hint="eastAsia" w:cs="宋体"/>
                <w:color w:val="auto"/>
                <w:szCs w:val="21"/>
                <w:highlight w:val="none"/>
                <w:u w:val="single"/>
              </w:rPr>
              <w:t>3.招标人澄清、修补或答疑期限：在递交投标文件截止日期前15日</w:t>
            </w:r>
          </w:p>
          <w:p>
            <w:pPr>
              <w:rPr>
                <w:rFonts w:cs="宋体"/>
                <w:color w:val="auto"/>
                <w:szCs w:val="21"/>
                <w:highlight w:val="none"/>
                <w:u w:val="single"/>
              </w:rPr>
            </w:pPr>
            <w:r>
              <w:rPr>
                <w:rFonts w:hint="eastAsia" w:cs="宋体"/>
                <w:color w:val="auto"/>
                <w:szCs w:val="21"/>
                <w:highlight w:val="none"/>
                <w:u w:val="single"/>
              </w:rPr>
              <w:t>4.网上答疑的相关事项详见招标文件8.1、8.2款。</w:t>
            </w:r>
          </w:p>
          <w:p>
            <w:pPr>
              <w:rPr>
                <w:rFonts w:cs="宋体"/>
                <w:color w:val="auto"/>
                <w:szCs w:val="21"/>
                <w:highlight w:val="none"/>
              </w:rPr>
            </w:pPr>
            <w:r>
              <w:rPr>
                <w:rFonts w:hint="eastAsia" w:cs="宋体"/>
                <w:color w:val="auto"/>
                <w:szCs w:val="21"/>
                <w:highlight w:val="none"/>
              </w:rPr>
              <w:t>具体要求：按照交易平台关于全流程电子化项目的相关指南进行操作，详见：</w:t>
            </w:r>
            <w:r>
              <w:rPr>
                <w:rFonts w:hint="eastAsia" w:cs="宋体"/>
                <w:color w:val="auto"/>
                <w:szCs w:val="21"/>
                <w:highlight w:val="none"/>
                <w:u w:val="single"/>
              </w:rPr>
              <w:t>广州交易集团有限公司（广州公共资源交易中心）网站(http:/ www.gzggzy.cn)服务指南栏目</w:t>
            </w:r>
            <w:r>
              <w:rPr>
                <w:rFonts w:hint="eastAsia" w:cs="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17</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20.1</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投标截止时间</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strike/>
                <w:color w:val="auto"/>
                <w:szCs w:val="21"/>
                <w:highlight w:val="none"/>
              </w:rPr>
            </w:pPr>
            <w:r>
              <w:rPr>
                <w:rFonts w:hint="eastAsia" w:cs="宋体"/>
                <w:color w:val="auto"/>
                <w:szCs w:val="21"/>
                <w:highlight w:val="none"/>
                <w:u w:val="single"/>
              </w:rPr>
              <w:t xml:space="preserve">     </w:t>
            </w:r>
            <w:r>
              <w:rPr>
                <w:rFonts w:hint="eastAsia" w:cs="宋体"/>
                <w:color w:val="auto"/>
                <w:szCs w:val="21"/>
                <w:highlight w:val="none"/>
              </w:rPr>
              <w:t>年</w:t>
            </w:r>
            <w:r>
              <w:rPr>
                <w:rFonts w:hint="eastAsia" w:cs="宋体"/>
                <w:color w:val="auto"/>
                <w:szCs w:val="21"/>
                <w:highlight w:val="none"/>
                <w:u w:val="single"/>
              </w:rPr>
              <w:t xml:space="preserve">   </w:t>
            </w:r>
            <w:r>
              <w:rPr>
                <w:rFonts w:hint="eastAsia" w:cs="宋体"/>
                <w:color w:val="auto"/>
                <w:szCs w:val="21"/>
                <w:highlight w:val="none"/>
              </w:rPr>
              <w:t>月</w:t>
            </w:r>
            <w:r>
              <w:rPr>
                <w:rFonts w:hint="eastAsia" w:cs="宋体"/>
                <w:color w:val="auto"/>
                <w:szCs w:val="21"/>
                <w:highlight w:val="none"/>
                <w:u w:val="single"/>
              </w:rPr>
              <w:t xml:space="preserve">    </w:t>
            </w:r>
            <w:r>
              <w:rPr>
                <w:rFonts w:hint="eastAsia" w:cs="宋体"/>
                <w:color w:val="auto"/>
                <w:szCs w:val="21"/>
                <w:highlight w:val="none"/>
              </w:rPr>
              <w:t>日</w:t>
            </w:r>
            <w:r>
              <w:rPr>
                <w:rFonts w:hint="eastAsia" w:cs="宋体"/>
                <w:color w:val="auto"/>
                <w:szCs w:val="21"/>
                <w:highlight w:val="none"/>
                <w:u w:val="single"/>
              </w:rPr>
              <w:t xml:space="preserve">   </w:t>
            </w:r>
            <w:r>
              <w:rPr>
                <w:rFonts w:hint="eastAsia" w:cs="宋体"/>
                <w:color w:val="auto"/>
                <w:szCs w:val="21"/>
                <w:highlight w:val="none"/>
              </w:rPr>
              <w:t>时</w:t>
            </w:r>
            <w:r>
              <w:rPr>
                <w:rFonts w:hint="eastAsia" w:cs="宋体"/>
                <w:color w:val="auto"/>
                <w:szCs w:val="21"/>
                <w:highlight w:val="none"/>
                <w:u w:val="single"/>
              </w:rPr>
              <w:t xml:space="preserve">   </w:t>
            </w:r>
            <w:r>
              <w:rPr>
                <w:rFonts w:hint="eastAsia" w:cs="宋体"/>
                <w:color w:val="auto"/>
                <w:szCs w:val="21"/>
                <w:highlight w:val="none"/>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18</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20.1</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开标开始时间和地点</w:t>
            </w:r>
          </w:p>
        </w:tc>
        <w:tc>
          <w:tcPr>
            <w:tcW w:w="3301" w:type="pct"/>
            <w:tcBorders>
              <w:top w:val="single" w:color="auto" w:sz="4" w:space="0"/>
              <w:left w:val="single" w:color="auto" w:sz="4" w:space="0"/>
              <w:bottom w:val="single" w:color="auto" w:sz="4" w:space="0"/>
              <w:right w:val="double" w:color="auto" w:sz="4" w:space="0"/>
            </w:tcBorders>
            <w:vAlign w:val="center"/>
          </w:tcPr>
          <w:p>
            <w:pPr>
              <w:widowControl/>
              <w:jc w:val="left"/>
              <w:rPr>
                <w:rFonts w:cs="宋体"/>
                <w:bCs/>
                <w:color w:val="auto"/>
                <w:kern w:val="0"/>
                <w:szCs w:val="21"/>
                <w:highlight w:val="none"/>
              </w:rPr>
            </w:pPr>
            <w:r>
              <w:rPr>
                <w:rFonts w:hint="eastAsia" w:cs="宋体"/>
                <w:bCs/>
                <w:color w:val="auto"/>
                <w:kern w:val="0"/>
                <w:szCs w:val="21"/>
                <w:highlight w:val="none"/>
              </w:rPr>
              <w:t>1、开标开始时间：</w:t>
            </w:r>
            <w:r>
              <w:rPr>
                <w:rFonts w:hint="eastAsia" w:cs="宋体"/>
                <w:bCs/>
                <w:color w:val="auto"/>
                <w:kern w:val="0"/>
                <w:szCs w:val="21"/>
                <w:highlight w:val="none"/>
                <w:u w:val="single"/>
              </w:rPr>
              <w:t xml:space="preserve">     </w:t>
            </w:r>
            <w:r>
              <w:rPr>
                <w:rFonts w:hint="eastAsia" w:cs="宋体"/>
                <w:bCs/>
                <w:color w:val="auto"/>
                <w:kern w:val="0"/>
                <w:szCs w:val="21"/>
                <w:highlight w:val="none"/>
              </w:rPr>
              <w:t>年</w:t>
            </w:r>
            <w:r>
              <w:rPr>
                <w:rFonts w:hint="eastAsia" w:cs="宋体"/>
                <w:bCs/>
                <w:color w:val="auto"/>
                <w:kern w:val="0"/>
                <w:szCs w:val="21"/>
                <w:highlight w:val="none"/>
                <w:u w:val="single"/>
              </w:rPr>
              <w:t xml:space="preserve">   </w:t>
            </w:r>
            <w:r>
              <w:rPr>
                <w:rFonts w:hint="eastAsia" w:cs="宋体"/>
                <w:bCs/>
                <w:color w:val="auto"/>
                <w:kern w:val="0"/>
                <w:szCs w:val="21"/>
                <w:highlight w:val="none"/>
              </w:rPr>
              <w:t>月</w:t>
            </w:r>
            <w:r>
              <w:rPr>
                <w:rFonts w:hint="eastAsia" w:cs="宋体"/>
                <w:bCs/>
                <w:color w:val="auto"/>
                <w:kern w:val="0"/>
                <w:szCs w:val="21"/>
                <w:highlight w:val="none"/>
                <w:u w:val="single"/>
              </w:rPr>
              <w:t xml:space="preserve">   </w:t>
            </w:r>
            <w:r>
              <w:rPr>
                <w:rFonts w:hint="eastAsia" w:cs="宋体"/>
                <w:bCs/>
                <w:color w:val="auto"/>
                <w:kern w:val="0"/>
                <w:szCs w:val="21"/>
                <w:highlight w:val="none"/>
              </w:rPr>
              <w:t>日</w:t>
            </w:r>
            <w:r>
              <w:rPr>
                <w:rFonts w:hint="eastAsia" w:cs="宋体"/>
                <w:bCs/>
                <w:color w:val="auto"/>
                <w:kern w:val="0"/>
                <w:szCs w:val="21"/>
                <w:highlight w:val="none"/>
                <w:u w:val="single"/>
              </w:rPr>
              <w:t xml:space="preserve">   </w:t>
            </w:r>
            <w:r>
              <w:rPr>
                <w:rFonts w:hint="eastAsia" w:cs="宋体"/>
                <w:bCs/>
                <w:color w:val="auto"/>
                <w:kern w:val="0"/>
                <w:szCs w:val="21"/>
                <w:highlight w:val="none"/>
              </w:rPr>
              <w:t>时</w:t>
            </w:r>
            <w:r>
              <w:rPr>
                <w:rFonts w:hint="eastAsia" w:cs="宋体"/>
                <w:bCs/>
                <w:color w:val="auto"/>
                <w:kern w:val="0"/>
                <w:szCs w:val="21"/>
                <w:highlight w:val="none"/>
                <w:u w:val="single"/>
              </w:rPr>
              <w:t xml:space="preserve">   </w:t>
            </w:r>
            <w:r>
              <w:rPr>
                <w:rFonts w:hint="eastAsia" w:cs="宋体"/>
                <w:bCs/>
                <w:color w:val="auto"/>
                <w:kern w:val="0"/>
                <w:szCs w:val="21"/>
                <w:highlight w:val="none"/>
              </w:rPr>
              <w:t>分（与投标截止时间为同一时间），地点：</w:t>
            </w:r>
            <w:r>
              <w:rPr>
                <w:rFonts w:hint="eastAsia" w:cs="宋体"/>
                <w:color w:val="auto"/>
                <w:szCs w:val="21"/>
                <w:highlight w:val="none"/>
                <w:u w:val="single"/>
              </w:rPr>
              <w:t>广州交易集团有限公司（广州公共资源交易中心）</w:t>
            </w:r>
            <w:r>
              <w:rPr>
                <w:rFonts w:hint="eastAsia" w:cs="宋体"/>
                <w:bCs/>
                <w:color w:val="auto"/>
                <w:kern w:val="0"/>
                <w:szCs w:val="21"/>
                <w:highlight w:val="none"/>
                <w:u w:val="single"/>
              </w:rPr>
              <w:t xml:space="preserve">        开标室</w:t>
            </w:r>
            <w:r>
              <w:rPr>
                <w:rFonts w:hint="eastAsia" w:cs="宋体"/>
                <w:bCs/>
                <w:color w:val="auto"/>
                <w:kern w:val="0"/>
                <w:szCs w:val="21"/>
                <w:highlight w:val="none"/>
              </w:rPr>
              <w:t>。</w:t>
            </w:r>
            <w:r>
              <w:rPr>
                <w:rFonts w:hint="eastAsia" w:cs="宋体"/>
                <w:b/>
                <w:bCs/>
                <w:color w:val="auto"/>
                <w:kern w:val="0"/>
                <w:szCs w:val="21"/>
                <w:highlight w:val="none"/>
              </w:rPr>
              <w:t>投标人也可选择参加在线开标，具体按照交易平台相关指南进行操作。详见：</w:t>
            </w:r>
            <w:r>
              <w:rPr>
                <w:rFonts w:hint="eastAsia" w:cs="宋体"/>
                <w:bCs/>
                <w:color w:val="auto"/>
                <w:kern w:val="0"/>
                <w:szCs w:val="21"/>
                <w:highlight w:val="none"/>
                <w:u w:val="single"/>
              </w:rPr>
              <w:t>广州交易集团有限公司（广州公共资源交易中心）网站最新指引</w:t>
            </w:r>
            <w:r>
              <w:rPr>
                <w:rFonts w:hint="eastAsia" w:cs="宋体"/>
                <w:b/>
                <w:bCs/>
                <w:color w:val="auto"/>
                <w:kern w:val="0"/>
                <w:szCs w:val="21"/>
                <w:highlight w:val="none"/>
              </w:rPr>
              <w:t>。</w:t>
            </w:r>
          </w:p>
          <w:p>
            <w:pPr>
              <w:widowControl/>
              <w:jc w:val="left"/>
              <w:rPr>
                <w:rFonts w:cs="宋体"/>
                <w:bCs/>
                <w:color w:val="auto"/>
                <w:kern w:val="0"/>
                <w:szCs w:val="21"/>
                <w:highlight w:val="none"/>
              </w:rPr>
            </w:pPr>
            <w:r>
              <w:rPr>
                <w:rFonts w:hint="eastAsia" w:cs="宋体"/>
                <w:bCs/>
                <w:color w:val="auto"/>
                <w:kern w:val="0"/>
                <w:szCs w:val="21"/>
                <w:highlight w:val="none"/>
              </w:rPr>
              <w:t>注：投标文件解密问题。投标人只用执行一次解密，招标人执行解密次数根据招标文件开标次数确定。</w:t>
            </w:r>
          </w:p>
          <w:p>
            <w:pPr>
              <w:widowControl/>
              <w:jc w:val="left"/>
              <w:rPr>
                <w:rFonts w:cs="宋体"/>
                <w:bCs/>
                <w:color w:val="auto"/>
                <w:kern w:val="0"/>
                <w:szCs w:val="21"/>
                <w:highlight w:val="none"/>
              </w:rPr>
            </w:pPr>
            <w:r>
              <w:rPr>
                <w:rFonts w:hint="eastAsia" w:cs="宋体"/>
                <w:bCs/>
                <w:color w:val="auto"/>
                <w:kern w:val="0"/>
                <w:szCs w:val="21"/>
                <w:highlight w:val="none"/>
              </w:rPr>
              <w:t>2、递交投标文件备用光盘时间：</w:t>
            </w:r>
            <w:r>
              <w:rPr>
                <w:rFonts w:hint="eastAsia" w:cs="宋体"/>
                <w:bCs/>
                <w:color w:val="auto"/>
                <w:kern w:val="0"/>
                <w:szCs w:val="21"/>
                <w:highlight w:val="none"/>
                <w:u w:val="single"/>
              </w:rPr>
              <w:t xml:space="preserve">    </w:t>
            </w:r>
            <w:r>
              <w:rPr>
                <w:rFonts w:hint="eastAsia" w:cs="宋体"/>
                <w:bCs/>
                <w:color w:val="auto"/>
                <w:kern w:val="0"/>
                <w:szCs w:val="21"/>
                <w:highlight w:val="none"/>
              </w:rPr>
              <w:t>年</w:t>
            </w:r>
            <w:r>
              <w:rPr>
                <w:rFonts w:hint="eastAsia" w:cs="宋体"/>
                <w:bCs/>
                <w:color w:val="auto"/>
                <w:kern w:val="0"/>
                <w:szCs w:val="21"/>
                <w:highlight w:val="none"/>
                <w:u w:val="single"/>
              </w:rPr>
              <w:t xml:space="preserve">   </w:t>
            </w:r>
            <w:r>
              <w:rPr>
                <w:rFonts w:hint="eastAsia" w:cs="宋体"/>
                <w:bCs/>
                <w:color w:val="auto"/>
                <w:kern w:val="0"/>
                <w:szCs w:val="21"/>
                <w:highlight w:val="none"/>
              </w:rPr>
              <w:t>月</w:t>
            </w:r>
            <w:r>
              <w:rPr>
                <w:rFonts w:hint="eastAsia" w:cs="宋体"/>
                <w:bCs/>
                <w:color w:val="auto"/>
                <w:kern w:val="0"/>
                <w:szCs w:val="21"/>
                <w:highlight w:val="none"/>
                <w:u w:val="single"/>
              </w:rPr>
              <w:t xml:space="preserve">   </w:t>
            </w:r>
            <w:r>
              <w:rPr>
                <w:rFonts w:hint="eastAsia" w:cs="宋体"/>
                <w:bCs/>
                <w:color w:val="auto"/>
                <w:kern w:val="0"/>
                <w:szCs w:val="21"/>
                <w:highlight w:val="none"/>
              </w:rPr>
              <w:t>日</w:t>
            </w:r>
            <w:r>
              <w:rPr>
                <w:rFonts w:hint="eastAsia" w:cs="宋体"/>
                <w:bCs/>
                <w:color w:val="auto"/>
                <w:kern w:val="0"/>
                <w:szCs w:val="21"/>
                <w:highlight w:val="none"/>
                <w:u w:val="single"/>
              </w:rPr>
              <w:t xml:space="preserve">   </w:t>
            </w:r>
            <w:r>
              <w:rPr>
                <w:rFonts w:hint="eastAsia" w:cs="宋体"/>
                <w:bCs/>
                <w:color w:val="auto"/>
                <w:kern w:val="0"/>
                <w:szCs w:val="21"/>
                <w:highlight w:val="none"/>
              </w:rPr>
              <w:t>时</w:t>
            </w:r>
            <w:r>
              <w:rPr>
                <w:rFonts w:hint="eastAsia" w:cs="宋体"/>
                <w:bCs/>
                <w:color w:val="auto"/>
                <w:kern w:val="0"/>
                <w:szCs w:val="21"/>
                <w:highlight w:val="none"/>
                <w:u w:val="single"/>
              </w:rPr>
              <w:t xml:space="preserve">   </w:t>
            </w:r>
            <w:r>
              <w:rPr>
                <w:rFonts w:hint="eastAsia" w:cs="宋体"/>
                <w:bCs/>
                <w:color w:val="auto"/>
                <w:kern w:val="0"/>
                <w:szCs w:val="21"/>
                <w:highlight w:val="none"/>
              </w:rPr>
              <w:t>分至</w:t>
            </w:r>
            <w:r>
              <w:rPr>
                <w:rFonts w:hint="eastAsia" w:cs="宋体"/>
                <w:bCs/>
                <w:color w:val="auto"/>
                <w:kern w:val="0"/>
                <w:szCs w:val="21"/>
                <w:highlight w:val="none"/>
                <w:u w:val="single"/>
              </w:rPr>
              <w:t xml:space="preserve">     </w:t>
            </w:r>
            <w:r>
              <w:rPr>
                <w:rFonts w:hint="eastAsia" w:cs="宋体"/>
                <w:bCs/>
                <w:color w:val="auto"/>
                <w:kern w:val="0"/>
                <w:szCs w:val="21"/>
                <w:highlight w:val="none"/>
              </w:rPr>
              <w:t>年</w:t>
            </w:r>
            <w:r>
              <w:rPr>
                <w:rFonts w:hint="eastAsia" w:cs="宋体"/>
                <w:bCs/>
                <w:color w:val="auto"/>
                <w:kern w:val="0"/>
                <w:szCs w:val="21"/>
                <w:highlight w:val="none"/>
                <w:u w:val="single"/>
              </w:rPr>
              <w:t xml:space="preserve">   </w:t>
            </w:r>
            <w:r>
              <w:rPr>
                <w:rFonts w:hint="eastAsia" w:cs="宋体"/>
                <w:bCs/>
                <w:color w:val="auto"/>
                <w:kern w:val="0"/>
                <w:szCs w:val="21"/>
                <w:highlight w:val="none"/>
              </w:rPr>
              <w:t>月</w:t>
            </w:r>
            <w:r>
              <w:rPr>
                <w:rFonts w:hint="eastAsia" w:cs="宋体"/>
                <w:bCs/>
                <w:color w:val="auto"/>
                <w:kern w:val="0"/>
                <w:szCs w:val="21"/>
                <w:highlight w:val="none"/>
                <w:u w:val="single"/>
              </w:rPr>
              <w:t xml:space="preserve">   </w:t>
            </w:r>
            <w:r>
              <w:rPr>
                <w:rFonts w:hint="eastAsia" w:cs="宋体"/>
                <w:bCs/>
                <w:color w:val="auto"/>
                <w:kern w:val="0"/>
                <w:szCs w:val="21"/>
                <w:highlight w:val="none"/>
              </w:rPr>
              <w:t>日</w:t>
            </w:r>
            <w:r>
              <w:rPr>
                <w:rFonts w:hint="eastAsia" w:cs="宋体"/>
                <w:bCs/>
                <w:color w:val="auto"/>
                <w:kern w:val="0"/>
                <w:szCs w:val="21"/>
                <w:highlight w:val="none"/>
                <w:u w:val="single"/>
              </w:rPr>
              <w:t xml:space="preserve">   </w:t>
            </w:r>
            <w:r>
              <w:rPr>
                <w:rFonts w:hint="eastAsia" w:cs="宋体"/>
                <w:bCs/>
                <w:color w:val="auto"/>
                <w:kern w:val="0"/>
                <w:szCs w:val="21"/>
                <w:highlight w:val="none"/>
              </w:rPr>
              <w:t>时</w:t>
            </w:r>
            <w:r>
              <w:rPr>
                <w:rFonts w:hint="eastAsia" w:cs="宋体"/>
                <w:bCs/>
                <w:color w:val="auto"/>
                <w:kern w:val="0"/>
                <w:szCs w:val="21"/>
                <w:highlight w:val="none"/>
                <w:u w:val="single"/>
              </w:rPr>
              <w:t xml:space="preserve">   </w:t>
            </w:r>
            <w:r>
              <w:rPr>
                <w:rFonts w:hint="eastAsia" w:cs="宋体"/>
                <w:bCs/>
                <w:color w:val="auto"/>
                <w:kern w:val="0"/>
                <w:szCs w:val="21"/>
                <w:highlight w:val="none"/>
              </w:rPr>
              <w:t>分；递交地点：</w:t>
            </w:r>
            <w:r>
              <w:rPr>
                <w:rFonts w:hint="eastAsia" w:cs="宋体"/>
                <w:bCs/>
                <w:color w:val="auto"/>
                <w:kern w:val="0"/>
                <w:szCs w:val="21"/>
                <w:highlight w:val="none"/>
                <w:u w:val="single"/>
              </w:rPr>
              <w:t xml:space="preserve">      </w:t>
            </w:r>
            <w:r>
              <w:rPr>
                <w:rFonts w:hint="eastAsia" w:cs="宋体"/>
                <w:bCs/>
                <w:color w:val="auto"/>
                <w:kern w:val="0"/>
                <w:szCs w:val="21"/>
                <w:highlight w:val="none"/>
              </w:rPr>
              <w:t>。(建议安排在投标文件截止时间前15分钟至投标文件截止时间）</w:t>
            </w:r>
          </w:p>
          <w:p>
            <w:pPr>
              <w:rPr>
                <w:rFonts w:cs="宋体"/>
                <w:color w:val="auto"/>
                <w:szCs w:val="21"/>
                <w:highlight w:val="none"/>
              </w:rPr>
            </w:pPr>
            <w:r>
              <w:rPr>
                <w:rFonts w:hint="eastAsia" w:cs="宋体"/>
                <w:bCs/>
                <w:color w:val="auto"/>
                <w:kern w:val="0"/>
                <w:szCs w:val="21"/>
                <w:highlight w:val="none"/>
              </w:rPr>
              <w:t>上述时间及地点是否有改变，请密切留意</w:t>
            </w:r>
            <w:r>
              <w:rPr>
                <w:rFonts w:hint="eastAsia" w:cs="宋体"/>
                <w:b/>
                <w:color w:val="auto"/>
                <w:kern w:val="0"/>
                <w:szCs w:val="21"/>
                <w:highlight w:val="none"/>
              </w:rPr>
              <w:t>补充公告和</w:t>
            </w:r>
            <w:r>
              <w:rPr>
                <w:rFonts w:hint="eastAsia" w:cs="宋体"/>
                <w:bCs/>
                <w:color w:val="auto"/>
                <w:kern w:val="0"/>
                <w:szCs w:val="21"/>
                <w:highlight w:val="none"/>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19</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26</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开标评标办法</w:t>
            </w:r>
          </w:p>
        </w:tc>
        <w:tc>
          <w:tcPr>
            <w:tcW w:w="3301" w:type="pct"/>
            <w:tcBorders>
              <w:top w:val="single" w:color="auto" w:sz="4" w:space="0"/>
              <w:left w:val="single" w:color="auto" w:sz="4" w:space="0"/>
              <w:bottom w:val="single" w:color="auto" w:sz="4" w:space="0"/>
              <w:right w:val="double" w:color="auto" w:sz="4" w:space="0"/>
            </w:tcBorders>
            <w:vAlign w:val="center"/>
          </w:tcPr>
          <w:p>
            <w:pPr>
              <w:pStyle w:val="5"/>
              <w:spacing w:after="0"/>
              <w:ind w:firstLine="0"/>
              <w:rPr>
                <w:rFonts w:ascii="宋体" w:hAnsi="宋体" w:cs="宋体"/>
                <w:color w:val="auto"/>
                <w:spacing w:val="-2"/>
                <w:kern w:val="2"/>
                <w:sz w:val="21"/>
                <w:szCs w:val="21"/>
                <w:highlight w:val="none"/>
                <w:u w:val="single"/>
              </w:rPr>
            </w:pPr>
            <w:r>
              <w:rPr>
                <w:rFonts w:hint="eastAsia" w:ascii="宋体" w:hAnsi="宋体" w:cs="宋体"/>
                <w:color w:val="auto"/>
                <w:kern w:val="2"/>
                <w:sz w:val="21"/>
                <w:szCs w:val="21"/>
                <w:highlight w:val="none"/>
              </w:rPr>
              <w:t>方式一</w:t>
            </w:r>
            <w:r>
              <w:rPr>
                <w:rFonts w:hint="eastAsia" w:ascii="宋体" w:hAnsi="宋体"/>
                <w:color w:val="auto"/>
                <w:kern w:val="2"/>
                <w:sz w:val="21"/>
                <w:szCs w:val="21"/>
                <w:highlight w:val="none"/>
              </w:rPr>
              <w:t>（标段1~标段5均适用）</w:t>
            </w:r>
            <w:r>
              <w:rPr>
                <w:rFonts w:hint="eastAsia" w:ascii="宋体" w:hAnsi="宋体" w:cs="宋体"/>
                <w:color w:val="auto"/>
                <w:kern w:val="2"/>
                <w:sz w:val="21"/>
                <w:szCs w:val="21"/>
                <w:highlight w:val="none"/>
              </w:rPr>
              <w:t>：</w:t>
            </w:r>
            <w:r>
              <w:rPr>
                <w:rFonts w:hint="eastAsia" w:ascii="宋体" w:hAnsi="宋体" w:cs="宋体"/>
                <w:color w:val="auto"/>
                <w:spacing w:val="-2"/>
                <w:kern w:val="2"/>
                <w:sz w:val="21"/>
                <w:szCs w:val="21"/>
                <w:highlight w:val="none"/>
              </w:rPr>
              <w:t>选取方法</w:t>
            </w:r>
            <w:r>
              <w:rPr>
                <w:rFonts w:hint="eastAsia" w:ascii="宋体" w:hAnsi="宋体" w:cs="宋体"/>
                <w:color w:val="auto"/>
                <w:spacing w:val="-2"/>
                <w:kern w:val="2"/>
                <w:sz w:val="21"/>
                <w:szCs w:val="21"/>
                <w:highlight w:val="none"/>
                <w:u w:val="single"/>
              </w:rPr>
              <w:t>七（适合综合评分法四，技术标与经济标同时开启）</w:t>
            </w:r>
          </w:p>
          <w:p>
            <w:pPr>
              <w:pStyle w:val="5"/>
              <w:spacing w:after="0"/>
              <w:ind w:firstLine="0"/>
              <w:rPr>
                <w:rFonts w:hint="eastAsia" w:ascii="宋体" w:hAnsi="宋体" w:eastAsia="Times New Roman" w:cs="宋体"/>
                <w:color w:val="auto"/>
                <w:kern w:val="2"/>
                <w:sz w:val="21"/>
                <w:szCs w:val="21"/>
                <w:highlight w:val="none"/>
                <w:u w:val="single"/>
              </w:rPr>
            </w:pPr>
            <w:r>
              <w:rPr>
                <w:rFonts w:hint="eastAsia" w:ascii="宋体" w:hAnsi="宋体" w:eastAsia="Times New Roman" w:cs="宋体"/>
                <w:color w:val="auto"/>
                <w:kern w:val="2"/>
                <w:sz w:val="21"/>
                <w:szCs w:val="21"/>
                <w:highlight w:val="none"/>
                <w:u w:val="single"/>
              </w:rPr>
              <w:t>投标人总得分=技术得分满分40分（权重40%)＋经济得分满分60分（权重60%)。</w:t>
            </w:r>
          </w:p>
          <w:p>
            <w:pPr>
              <w:pStyle w:val="5"/>
              <w:spacing w:after="0"/>
              <w:ind w:firstLine="0"/>
              <w:rPr>
                <w:rFonts w:ascii="宋体" w:hAnsi="宋体" w:cs="宋体"/>
                <w:color w:val="auto"/>
                <w:kern w:val="2"/>
                <w:sz w:val="21"/>
                <w:szCs w:val="21"/>
                <w:highlight w:val="none"/>
              </w:rPr>
            </w:pPr>
            <w:r>
              <w:rPr>
                <w:rFonts w:hint="eastAsia" w:ascii="宋体" w:hAnsi="宋体" w:cs="宋体"/>
                <w:color w:val="auto"/>
                <w:spacing w:val="-2"/>
                <w:kern w:val="2"/>
                <w:sz w:val="21"/>
                <w:szCs w:val="21"/>
                <w:highlight w:val="none"/>
                <w:u w:val="single"/>
              </w:rPr>
              <w:t>总得分相同的投标文件，以技术分较高的排前；如仍存在相同情况，则对具有相同情况的投标人，由评标委员会采用记名投票方式，以得票多的排前。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20</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29.1</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履约担保</w:t>
            </w:r>
          </w:p>
        </w:tc>
        <w:tc>
          <w:tcPr>
            <w:tcW w:w="3301" w:type="pct"/>
            <w:tcBorders>
              <w:top w:val="single" w:color="auto" w:sz="4" w:space="0"/>
              <w:left w:val="single" w:color="auto" w:sz="4" w:space="0"/>
              <w:bottom w:val="single" w:color="auto" w:sz="4" w:space="0"/>
              <w:right w:val="double" w:color="auto" w:sz="4" w:space="0"/>
            </w:tcBorders>
            <w:vAlign w:val="center"/>
          </w:tcPr>
          <w:p>
            <w:pPr>
              <w:pStyle w:val="5"/>
              <w:spacing w:after="0"/>
              <w:ind w:firstLine="0"/>
              <w:rPr>
                <w:rFonts w:ascii="宋体" w:hAnsi="宋体" w:cs="宋体"/>
                <w:color w:val="auto"/>
                <w:kern w:val="2"/>
                <w:sz w:val="21"/>
                <w:szCs w:val="21"/>
                <w:highlight w:val="none"/>
              </w:rPr>
            </w:pPr>
            <w:r>
              <w:rPr>
                <w:rFonts w:hint="eastAsia" w:ascii="宋体" w:hAnsi="宋体"/>
                <w:color w:val="auto"/>
                <w:kern w:val="2"/>
                <w:sz w:val="21"/>
                <w:szCs w:val="21"/>
                <w:highlight w:val="none"/>
              </w:rPr>
              <w:t>（标段1~标段5均适用）</w:t>
            </w:r>
            <w:r>
              <w:rPr>
                <w:rFonts w:hint="eastAsia" w:ascii="宋体" w:hAnsi="宋体" w:cs="宋体"/>
                <w:color w:val="auto"/>
                <w:kern w:val="2"/>
                <w:sz w:val="21"/>
                <w:szCs w:val="21"/>
                <w:highlight w:val="none"/>
              </w:rPr>
              <w:t>中标人提供的履约保证金金额为中标价款的10%。</w:t>
            </w:r>
            <w:r>
              <w:rPr>
                <w:rFonts w:hint="eastAsia" w:ascii="宋体" w:hAnsi="宋体"/>
                <w:color w:val="auto"/>
                <w:kern w:val="2"/>
                <w:sz w:val="21"/>
                <w:szCs w:val="21"/>
                <w:highlight w:val="none"/>
              </w:rPr>
              <w:t>履约保证金以银行开具的无条件的、不可撤销的银行保函形式提交，履约保函自银行签字盖章之日起生效，直至合同期满</w:t>
            </w:r>
            <w:r>
              <w:rPr>
                <w:rFonts w:hint="default" w:ascii="宋体" w:hAnsi="宋体"/>
                <w:color w:val="auto"/>
                <w:kern w:val="2"/>
                <w:sz w:val="21"/>
                <w:szCs w:val="21"/>
                <w:highlight w:val="none"/>
                <w:lang w:val="en-US"/>
              </w:rPr>
              <w:t>28</w:t>
            </w:r>
            <w:r>
              <w:rPr>
                <w:rFonts w:hint="eastAsia" w:ascii="宋体" w:hAnsi="宋体"/>
                <w:color w:val="auto"/>
                <w:kern w:val="2"/>
                <w:sz w:val="21"/>
                <w:szCs w:val="21"/>
                <w:highlight w:val="none"/>
              </w:rPr>
              <w:t>天内一直有效。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21</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最高投标限价</w:t>
            </w:r>
          </w:p>
        </w:tc>
        <w:tc>
          <w:tcPr>
            <w:tcW w:w="3301" w:type="pct"/>
            <w:tcBorders>
              <w:top w:val="single" w:color="auto" w:sz="4" w:space="0"/>
              <w:left w:val="single" w:color="auto" w:sz="4" w:space="0"/>
              <w:bottom w:val="single" w:color="auto" w:sz="4" w:space="0"/>
              <w:right w:val="double" w:color="auto" w:sz="4" w:space="0"/>
            </w:tcBorders>
            <w:vAlign w:val="center"/>
          </w:tcPr>
          <w:p>
            <w:pPr>
              <w:adjustRightInd w:val="0"/>
              <w:spacing w:line="360" w:lineRule="auto"/>
              <w:rPr>
                <w:rFonts w:hint="eastAsia" w:ascii="宋体" w:hAnsi="宋体" w:eastAsia="宋体"/>
                <w:b/>
                <w:bCs/>
                <w:color w:val="auto"/>
                <w:szCs w:val="21"/>
                <w:highlight w:val="none"/>
                <w:u w:val="none"/>
                <w:lang w:eastAsia="zh-CN"/>
              </w:rPr>
            </w:pPr>
            <w:r>
              <w:rPr>
                <w:rFonts w:hint="eastAsia" w:ascii="宋体" w:hAnsi="宋体" w:eastAsia="宋体"/>
                <w:b/>
                <w:bCs/>
                <w:color w:val="auto"/>
                <w:szCs w:val="21"/>
                <w:highlight w:val="none"/>
                <w:u w:val="none"/>
              </w:rPr>
              <w:t>标段1：最高投标限价为人民币</w:t>
            </w:r>
            <w:r>
              <w:rPr>
                <w:rFonts w:hint="eastAsia" w:ascii="宋体" w:hAnsi="宋体"/>
                <w:b/>
                <w:bCs/>
                <w:color w:val="auto"/>
                <w:sz w:val="21"/>
                <w:szCs w:val="21"/>
                <w:highlight w:val="none"/>
                <w:u w:val="single"/>
              </w:rPr>
              <w:t>20958671.72</w:t>
            </w:r>
            <w:r>
              <w:rPr>
                <w:rFonts w:hint="eastAsia" w:ascii="宋体" w:hAnsi="宋体"/>
                <w:b/>
                <w:bCs/>
                <w:color w:val="auto"/>
                <w:sz w:val="21"/>
                <w:szCs w:val="21"/>
                <w:highlight w:val="none"/>
              </w:rPr>
              <w:t>元</w:t>
            </w:r>
            <w:r>
              <w:rPr>
                <w:rFonts w:hint="eastAsia"/>
                <w:b/>
                <w:bCs/>
                <w:color w:val="auto"/>
                <w:szCs w:val="21"/>
                <w:highlight w:val="none"/>
                <w:u w:val="none"/>
                <w:lang w:eastAsia="zh-CN"/>
              </w:rPr>
              <w:t>；</w:t>
            </w:r>
          </w:p>
          <w:p>
            <w:pPr>
              <w:adjustRightInd w:val="0"/>
              <w:spacing w:line="360" w:lineRule="auto"/>
              <w:rPr>
                <w:rFonts w:hint="eastAsia" w:ascii="宋体" w:hAnsi="宋体" w:eastAsia="宋体"/>
                <w:b/>
                <w:bCs/>
                <w:color w:val="auto"/>
                <w:szCs w:val="21"/>
                <w:highlight w:val="none"/>
                <w:u w:val="none"/>
                <w:lang w:eastAsia="zh-CN"/>
              </w:rPr>
            </w:pPr>
            <w:r>
              <w:rPr>
                <w:rFonts w:hint="eastAsia"/>
                <w:b/>
                <w:bCs/>
                <w:color w:val="auto"/>
                <w:szCs w:val="21"/>
                <w:highlight w:val="none"/>
                <w:lang w:val="en-US" w:eastAsia="zh-CN"/>
              </w:rPr>
              <w:t>标段2：</w:t>
            </w:r>
            <w:r>
              <w:rPr>
                <w:rFonts w:hint="eastAsia" w:ascii="宋体" w:hAnsi="宋体" w:eastAsia="宋体"/>
                <w:b/>
                <w:bCs/>
                <w:color w:val="auto"/>
                <w:szCs w:val="21"/>
                <w:highlight w:val="none"/>
                <w:u w:val="none"/>
              </w:rPr>
              <w:t>最高投标限价为人民币</w:t>
            </w:r>
            <w:r>
              <w:rPr>
                <w:rFonts w:hint="eastAsia" w:ascii="宋体" w:hAnsi="宋体"/>
                <w:b/>
                <w:bCs/>
                <w:color w:val="auto"/>
                <w:sz w:val="21"/>
                <w:szCs w:val="21"/>
                <w:highlight w:val="none"/>
                <w:u w:val="single"/>
              </w:rPr>
              <w:t>23977580.97</w:t>
            </w:r>
            <w:r>
              <w:rPr>
                <w:rFonts w:hint="eastAsia" w:ascii="宋体" w:hAnsi="宋体"/>
                <w:b/>
                <w:bCs/>
                <w:color w:val="auto"/>
                <w:sz w:val="21"/>
                <w:szCs w:val="21"/>
                <w:highlight w:val="none"/>
              </w:rPr>
              <w:t>元</w:t>
            </w:r>
            <w:r>
              <w:rPr>
                <w:rFonts w:hint="eastAsia"/>
                <w:b/>
                <w:bCs/>
                <w:color w:val="auto"/>
                <w:sz w:val="21"/>
                <w:szCs w:val="21"/>
                <w:highlight w:val="none"/>
                <w:lang w:eastAsia="zh-CN"/>
              </w:rPr>
              <w:t>；</w:t>
            </w:r>
          </w:p>
          <w:p>
            <w:pPr>
              <w:adjustRightInd w:val="0"/>
              <w:spacing w:line="360" w:lineRule="auto"/>
              <w:rPr>
                <w:rFonts w:hint="eastAsia" w:ascii="宋体" w:hAnsi="宋体" w:eastAsia="宋体"/>
                <w:b/>
                <w:bCs/>
                <w:color w:val="auto"/>
                <w:szCs w:val="21"/>
                <w:highlight w:val="none"/>
                <w:u w:val="none"/>
                <w:lang w:eastAsia="zh-CN"/>
              </w:rPr>
            </w:pPr>
            <w:r>
              <w:rPr>
                <w:rFonts w:hint="eastAsia"/>
                <w:b/>
                <w:bCs/>
                <w:color w:val="auto"/>
                <w:szCs w:val="21"/>
                <w:highlight w:val="none"/>
                <w:u w:val="none"/>
                <w:lang w:val="en-US" w:eastAsia="zh-CN"/>
              </w:rPr>
              <w:t>标段3：</w:t>
            </w:r>
            <w:r>
              <w:rPr>
                <w:rFonts w:hint="eastAsia" w:ascii="宋体" w:hAnsi="宋体" w:eastAsia="宋体"/>
                <w:b/>
                <w:bCs/>
                <w:color w:val="auto"/>
                <w:szCs w:val="21"/>
                <w:highlight w:val="none"/>
                <w:u w:val="none"/>
              </w:rPr>
              <w:t>最高投标限价为人民币</w:t>
            </w:r>
            <w:r>
              <w:rPr>
                <w:rFonts w:hint="eastAsia" w:ascii="宋体" w:hAnsi="宋体"/>
                <w:b/>
                <w:bCs/>
                <w:color w:val="auto"/>
                <w:sz w:val="21"/>
                <w:szCs w:val="21"/>
                <w:highlight w:val="none"/>
                <w:u w:val="single"/>
              </w:rPr>
              <w:t>22122964.65</w:t>
            </w:r>
            <w:r>
              <w:rPr>
                <w:rFonts w:hint="eastAsia" w:ascii="宋体" w:hAnsi="宋体"/>
                <w:b/>
                <w:bCs/>
                <w:color w:val="auto"/>
                <w:sz w:val="21"/>
                <w:szCs w:val="21"/>
                <w:highlight w:val="none"/>
              </w:rPr>
              <w:t>元</w:t>
            </w:r>
            <w:r>
              <w:rPr>
                <w:rFonts w:hint="eastAsia"/>
                <w:b/>
                <w:bCs/>
                <w:color w:val="auto"/>
                <w:sz w:val="21"/>
                <w:szCs w:val="21"/>
                <w:highlight w:val="none"/>
                <w:lang w:eastAsia="zh-CN"/>
              </w:rPr>
              <w:t>；</w:t>
            </w:r>
          </w:p>
          <w:p>
            <w:pPr>
              <w:adjustRightInd w:val="0"/>
              <w:spacing w:line="360" w:lineRule="auto"/>
              <w:rPr>
                <w:rFonts w:hint="eastAsia"/>
                <w:b/>
                <w:bCs/>
                <w:color w:val="auto"/>
                <w:szCs w:val="21"/>
                <w:highlight w:val="none"/>
                <w:u w:val="none"/>
                <w:lang w:val="en-US" w:eastAsia="zh-CN"/>
              </w:rPr>
            </w:pPr>
            <w:r>
              <w:rPr>
                <w:rFonts w:hint="eastAsia"/>
                <w:b/>
                <w:bCs/>
                <w:color w:val="auto"/>
                <w:szCs w:val="21"/>
                <w:highlight w:val="none"/>
                <w:u w:val="none"/>
                <w:lang w:val="en-US" w:eastAsia="zh-CN"/>
              </w:rPr>
              <w:t>标段4：</w:t>
            </w:r>
            <w:r>
              <w:rPr>
                <w:rFonts w:hint="eastAsia" w:ascii="宋体" w:hAnsi="宋体" w:eastAsia="宋体"/>
                <w:b/>
                <w:bCs/>
                <w:color w:val="auto"/>
                <w:szCs w:val="21"/>
                <w:highlight w:val="none"/>
                <w:u w:val="none"/>
              </w:rPr>
              <w:t>最高投标限价为人民币</w:t>
            </w:r>
            <w:r>
              <w:rPr>
                <w:rFonts w:hint="eastAsia" w:ascii="宋体" w:hAnsi="宋体"/>
                <w:b/>
                <w:bCs/>
                <w:color w:val="auto"/>
                <w:sz w:val="21"/>
                <w:szCs w:val="21"/>
                <w:highlight w:val="none"/>
                <w:u w:val="single"/>
              </w:rPr>
              <w:t>23975063.14</w:t>
            </w:r>
            <w:r>
              <w:rPr>
                <w:rFonts w:hint="eastAsia" w:ascii="宋体" w:hAnsi="宋体"/>
                <w:b/>
                <w:bCs/>
                <w:color w:val="auto"/>
                <w:sz w:val="21"/>
                <w:szCs w:val="21"/>
                <w:highlight w:val="none"/>
              </w:rPr>
              <w:t>元</w:t>
            </w:r>
            <w:r>
              <w:rPr>
                <w:rFonts w:hint="eastAsia"/>
                <w:b/>
                <w:bCs/>
                <w:color w:val="auto"/>
                <w:szCs w:val="21"/>
                <w:highlight w:val="none"/>
                <w:u w:val="none"/>
                <w:lang w:val="en-US" w:eastAsia="zh-CN"/>
              </w:rPr>
              <w:t>；</w:t>
            </w:r>
          </w:p>
          <w:p>
            <w:pPr>
              <w:adjustRightInd w:val="0"/>
              <w:spacing w:line="360" w:lineRule="auto"/>
              <w:rPr>
                <w:rFonts w:hint="eastAsia" w:ascii="宋体" w:hAnsi="宋体" w:eastAsia="宋体"/>
                <w:b/>
                <w:bCs/>
                <w:color w:val="auto"/>
                <w:szCs w:val="21"/>
                <w:highlight w:val="none"/>
                <w:u w:val="none"/>
              </w:rPr>
            </w:pPr>
            <w:r>
              <w:rPr>
                <w:rFonts w:hint="eastAsia"/>
                <w:b/>
                <w:bCs/>
                <w:color w:val="auto"/>
                <w:szCs w:val="21"/>
                <w:highlight w:val="none"/>
                <w:u w:val="none"/>
                <w:lang w:val="en-US" w:eastAsia="zh-CN"/>
              </w:rPr>
              <w:t>标段5：</w:t>
            </w:r>
            <w:r>
              <w:rPr>
                <w:rFonts w:hint="eastAsia" w:ascii="宋体" w:hAnsi="宋体" w:eastAsia="宋体"/>
                <w:b/>
                <w:bCs/>
                <w:color w:val="auto"/>
                <w:szCs w:val="21"/>
                <w:highlight w:val="none"/>
                <w:u w:val="none"/>
              </w:rPr>
              <w:t>最高投标限价为人民币</w:t>
            </w:r>
            <w:r>
              <w:rPr>
                <w:rFonts w:hint="eastAsia" w:ascii="宋体" w:hAnsi="宋体"/>
                <w:b/>
                <w:bCs/>
                <w:color w:val="auto"/>
                <w:sz w:val="21"/>
                <w:szCs w:val="21"/>
                <w:highlight w:val="none"/>
                <w:u w:val="single"/>
              </w:rPr>
              <w:t>23918351.62</w:t>
            </w:r>
            <w:r>
              <w:rPr>
                <w:rFonts w:hint="eastAsia" w:ascii="宋体" w:hAnsi="宋体"/>
                <w:b/>
                <w:bCs/>
                <w:color w:val="auto"/>
                <w:sz w:val="21"/>
                <w:szCs w:val="21"/>
                <w:highlight w:val="none"/>
              </w:rPr>
              <w:t>元</w:t>
            </w:r>
            <w:r>
              <w:rPr>
                <w:rFonts w:hint="eastAsia" w:ascii="宋体" w:hAnsi="宋体" w:eastAsia="宋体"/>
                <w:b/>
                <w:bCs/>
                <w:color w:val="auto"/>
                <w:szCs w:val="21"/>
                <w:highlight w:val="none"/>
                <w:u w:val="none"/>
              </w:rPr>
              <w:t>。</w:t>
            </w:r>
          </w:p>
          <w:p>
            <w:pPr>
              <w:rPr>
                <w:rFonts w:cs="宋体"/>
                <w:color w:val="auto"/>
                <w:szCs w:val="21"/>
                <w:highlight w:val="none"/>
              </w:rPr>
            </w:pPr>
            <w:r>
              <w:rPr>
                <w:rFonts w:hint="eastAsia" w:ascii="宋体" w:hAnsi="宋体" w:cs="宋体"/>
                <w:b/>
                <w:bCs/>
                <w:color w:val="auto"/>
                <w:szCs w:val="21"/>
                <w:highlight w:val="none"/>
                <w:u w:val="single"/>
              </w:rPr>
              <w:t>本项目实行双限价，即：投标人的投标总报价及综合单价都不能超过招标人公布的最高投标限价或综合单价最高投标限价，具体详见最高投标限价公布函及工程量清单，投标总报价或综合单价超过所公布的最高投标限价或综合单价最高投标限价的投标文件将被拒绝。</w:t>
            </w:r>
            <w:r>
              <w:rPr>
                <w:rFonts w:hint="eastAsia" w:ascii="宋体" w:hAnsi="宋体"/>
                <w:color w:val="auto"/>
                <w:kern w:val="2"/>
                <w:sz w:val="21"/>
                <w:szCs w:val="21"/>
                <w:highlight w:val="none"/>
              </w:rPr>
              <w:t>（标段1~标段5均适用）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22</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hint="eastAsia" w:cs="宋体"/>
                <w:color w:val="auto"/>
                <w:szCs w:val="21"/>
                <w:highlight w:val="none"/>
                <w:lang w:val="en-US" w:eastAsia="zh-CN"/>
              </w:rPr>
            </w:pPr>
            <w:r>
              <w:rPr>
                <w:rFonts w:hint="eastAsia" w:cs="宋体"/>
                <w:color w:val="auto"/>
                <w:szCs w:val="21"/>
                <w:highlight w:val="none"/>
                <w:lang w:val="en-US" w:eastAsia="zh-CN"/>
              </w:rPr>
              <w:t>非竞争费用</w:t>
            </w:r>
          </w:p>
        </w:tc>
        <w:tc>
          <w:tcPr>
            <w:tcW w:w="3301" w:type="pct"/>
            <w:tcBorders>
              <w:top w:val="single" w:color="auto" w:sz="4" w:space="0"/>
              <w:left w:val="single" w:color="auto" w:sz="4" w:space="0"/>
              <w:bottom w:val="single" w:color="auto" w:sz="4" w:space="0"/>
              <w:right w:val="double" w:color="auto" w:sz="4" w:space="0"/>
            </w:tcBorders>
            <w:vAlign w:val="center"/>
          </w:tcPr>
          <w:p>
            <w:pPr>
              <w:rPr>
                <w:rFonts w:hint="eastAsia" w:cs="宋体"/>
                <w:color w:val="auto"/>
                <w:szCs w:val="21"/>
                <w:highlight w:val="none"/>
                <w:lang w:val="en-US" w:eastAsia="zh-CN"/>
              </w:rPr>
            </w:pPr>
            <w:r>
              <w:rPr>
                <w:rFonts w:hint="eastAsia" w:cs="宋体"/>
                <w:color w:val="auto"/>
                <w:szCs w:val="21"/>
                <w:highlight w:val="none"/>
                <w:lang w:val="en-US" w:eastAsia="zh-CN"/>
              </w:rPr>
              <w:t>标段1：本项目绿色施工安全防护措施费为/元，暂列金额为/元，暂估价为/元。（未按招标文件规定的金额填写的，由评标委员会按照招标文件规定的金额进行修正）；</w:t>
            </w:r>
          </w:p>
          <w:p>
            <w:pPr>
              <w:rPr>
                <w:rFonts w:hint="eastAsia" w:cs="宋体"/>
                <w:color w:val="auto"/>
                <w:szCs w:val="21"/>
                <w:highlight w:val="none"/>
                <w:lang w:val="en-US" w:eastAsia="zh-CN"/>
              </w:rPr>
            </w:pPr>
            <w:r>
              <w:rPr>
                <w:rFonts w:hint="eastAsia" w:cs="宋体"/>
                <w:color w:val="auto"/>
                <w:szCs w:val="21"/>
                <w:highlight w:val="none"/>
                <w:lang w:val="en-US" w:eastAsia="zh-CN"/>
              </w:rPr>
              <w:t>标段2：本项目绿色施工安全防护措施费为/元，暂列金额为/元，暂估价为/元。（未按招标文件规定的金额填写的，由评标委员会按照招标文件规定的金额进行修正）；</w:t>
            </w:r>
          </w:p>
          <w:p>
            <w:pPr>
              <w:rPr>
                <w:rFonts w:hint="eastAsia" w:cs="宋体"/>
                <w:color w:val="auto"/>
                <w:szCs w:val="21"/>
                <w:highlight w:val="none"/>
                <w:lang w:val="en-US" w:eastAsia="zh-CN"/>
              </w:rPr>
            </w:pPr>
            <w:r>
              <w:rPr>
                <w:rFonts w:hint="eastAsia" w:cs="宋体"/>
                <w:color w:val="auto"/>
                <w:szCs w:val="21"/>
                <w:highlight w:val="none"/>
                <w:lang w:val="en-US" w:eastAsia="zh-CN"/>
              </w:rPr>
              <w:t>标段3：本项目绿色施工安全防护措施费为/元，暂列金额为/元，暂估价为/元。（未按招标文件规定的金额填写的，由评标委员会按照招标文件规定的金额进行修正）；</w:t>
            </w:r>
          </w:p>
          <w:p>
            <w:pPr>
              <w:rPr>
                <w:rFonts w:hint="eastAsia" w:cs="宋体"/>
                <w:color w:val="auto"/>
                <w:szCs w:val="21"/>
                <w:highlight w:val="none"/>
                <w:lang w:val="en-US" w:eastAsia="zh-CN"/>
              </w:rPr>
            </w:pPr>
            <w:r>
              <w:rPr>
                <w:rFonts w:hint="eastAsia" w:cs="宋体"/>
                <w:color w:val="auto"/>
                <w:szCs w:val="21"/>
                <w:highlight w:val="none"/>
                <w:lang w:val="en-US" w:eastAsia="zh-CN"/>
              </w:rPr>
              <w:t>标段4：本项目绿色施工安全防护措施费为/元，暂列金额为/元，暂估价为/元。（未按招标文件规定的金额填写的，由评标委员会按照招标文件规定的金额进行修正）；</w:t>
            </w:r>
          </w:p>
          <w:p>
            <w:pPr>
              <w:rPr>
                <w:rFonts w:hint="eastAsia"/>
                <w:color w:val="auto"/>
                <w:highlight w:val="none"/>
                <w:lang w:val="en-US" w:eastAsia="zh-CN"/>
              </w:rPr>
            </w:pPr>
            <w:r>
              <w:rPr>
                <w:rFonts w:hint="eastAsia" w:cs="宋体"/>
                <w:color w:val="auto"/>
                <w:szCs w:val="21"/>
                <w:highlight w:val="none"/>
                <w:lang w:val="en-US" w:eastAsia="zh-CN"/>
              </w:rPr>
              <w:t>标段5：本项目绿色施工安全防护措施费为/元，暂列金额为/元，暂估价为/元。（未按招标文件规定的金额填写的，由评标委员会按照招标文件规定的金额进行修正）。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23</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pStyle w:val="5"/>
              <w:spacing w:after="0"/>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24</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计算评标参考价的等分点值</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cs="宋体"/>
                <w:color w:val="auto"/>
                <w:szCs w:val="21"/>
                <w:highlight w:val="none"/>
              </w:rPr>
              <w:t>计算评标参考价的下浮率</w:t>
            </w:r>
            <w:r>
              <w:rPr>
                <w:rFonts w:cs="宋体"/>
                <w:color w:val="auto"/>
                <w:szCs w:val="21"/>
                <w:highlight w:val="none"/>
              </w:rPr>
              <w:t>X</w:t>
            </w:r>
            <w:r>
              <w:rPr>
                <w:rFonts w:hint="eastAsia" w:cs="宋体"/>
                <w:color w:val="auto"/>
                <w:szCs w:val="21"/>
                <w:highlight w:val="none"/>
              </w:rPr>
              <w:t>：从</w:t>
            </w:r>
            <w:r>
              <w:rPr>
                <w:rFonts w:cs="宋体"/>
                <w:color w:val="auto"/>
                <w:szCs w:val="21"/>
                <w:highlight w:val="none"/>
              </w:rPr>
              <w:t>2%、</w:t>
            </w:r>
            <w:r>
              <w:rPr>
                <w:rFonts w:hint="eastAsia" w:cs="宋体"/>
                <w:color w:val="auto"/>
                <w:szCs w:val="21"/>
                <w:highlight w:val="none"/>
              </w:rPr>
              <w:t>2.5%、</w:t>
            </w:r>
            <w:r>
              <w:rPr>
                <w:rFonts w:cs="宋体"/>
                <w:color w:val="auto"/>
                <w:szCs w:val="21"/>
                <w:highlight w:val="none"/>
              </w:rPr>
              <w:t>3%、</w:t>
            </w:r>
            <w:r>
              <w:rPr>
                <w:rFonts w:hint="eastAsia" w:cs="宋体"/>
                <w:color w:val="auto"/>
                <w:szCs w:val="21"/>
                <w:highlight w:val="none"/>
              </w:rPr>
              <w:t>3.5%、</w:t>
            </w:r>
            <w:r>
              <w:rPr>
                <w:rFonts w:cs="宋体"/>
                <w:color w:val="auto"/>
                <w:szCs w:val="21"/>
                <w:highlight w:val="none"/>
              </w:rPr>
              <w:t>4%中通过</w:t>
            </w:r>
            <w:r>
              <w:rPr>
                <w:rFonts w:hint="eastAsia" w:cs="宋体"/>
                <w:color w:val="auto"/>
                <w:szCs w:val="21"/>
                <w:highlight w:val="none"/>
              </w:rPr>
              <w:t>摇珠机随机抽取其中之一。</w:t>
            </w:r>
            <w:r>
              <w:rPr>
                <w:rFonts w:hint="eastAsia" w:ascii="宋体" w:hAnsi="宋体"/>
                <w:color w:val="auto"/>
                <w:kern w:val="2"/>
                <w:sz w:val="21"/>
                <w:szCs w:val="21"/>
                <w:highlight w:val="none"/>
              </w:rPr>
              <w:t>（标段1~标段5均适用）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25</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进入第二阶段评审的家数</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cs="宋体"/>
                <w:color w:val="auto"/>
                <w:szCs w:val="21"/>
                <w:highlight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26</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工程成本警戒价</w:t>
            </w:r>
          </w:p>
        </w:tc>
        <w:tc>
          <w:tcPr>
            <w:tcW w:w="3301" w:type="pct"/>
            <w:tcBorders>
              <w:top w:val="single" w:color="auto" w:sz="4" w:space="0"/>
              <w:left w:val="single" w:color="auto" w:sz="4" w:space="0"/>
              <w:bottom w:val="single" w:color="auto" w:sz="4" w:space="0"/>
              <w:right w:val="double" w:color="auto" w:sz="4" w:space="0"/>
            </w:tcBorders>
            <w:vAlign w:val="center"/>
          </w:tcPr>
          <w:p>
            <w:pPr>
              <w:rPr>
                <w:rFonts w:hint="eastAsia" w:cs="宋体"/>
                <w:color w:val="auto"/>
                <w:szCs w:val="21"/>
                <w:highlight w:val="none"/>
              </w:rPr>
            </w:pPr>
            <w:r>
              <w:rPr>
                <w:rFonts w:hint="eastAsia" w:cs="宋体"/>
                <w:color w:val="auto"/>
                <w:szCs w:val="21"/>
                <w:highlight w:val="none"/>
                <w:lang w:val="en-US" w:eastAsia="zh-CN"/>
              </w:rPr>
              <w:t>标段1：</w:t>
            </w:r>
            <w:r>
              <w:rPr>
                <w:rFonts w:hint="eastAsia" w:cs="宋体"/>
                <w:color w:val="auto"/>
                <w:szCs w:val="21"/>
                <w:highlight w:val="none"/>
              </w:rPr>
              <w:t>工程成本警戒价为</w:t>
            </w:r>
            <w:r>
              <w:rPr>
                <w:rFonts w:hint="eastAsia" w:cs="宋体"/>
                <w:color w:val="auto"/>
                <w:szCs w:val="21"/>
                <w:highlight w:val="none"/>
                <w:u w:val="single"/>
                <w:lang w:val="en-US" w:eastAsia="zh-CN"/>
              </w:rPr>
              <w:t>18862804.5</w:t>
            </w:r>
            <w:r>
              <w:rPr>
                <w:rFonts w:hint="default" w:cs="宋体"/>
                <w:color w:val="auto"/>
                <w:szCs w:val="21"/>
                <w:highlight w:val="none"/>
                <w:u w:val="single"/>
                <w:lang w:val="en-US" w:eastAsia="zh-CN"/>
              </w:rPr>
              <w:t>4</w:t>
            </w:r>
            <w:r>
              <w:rPr>
                <w:rFonts w:hint="eastAsia" w:cs="宋体"/>
                <w:color w:val="auto"/>
                <w:szCs w:val="21"/>
                <w:highlight w:val="none"/>
              </w:rPr>
              <w:t>元(按最高投标限价的</w:t>
            </w:r>
            <w:r>
              <w:rPr>
                <w:rFonts w:hint="eastAsia" w:cs="宋体"/>
                <w:color w:val="auto"/>
                <w:szCs w:val="21"/>
                <w:highlight w:val="none"/>
                <w:lang w:val="en-US" w:eastAsia="zh-CN"/>
              </w:rPr>
              <w:t>90</w:t>
            </w:r>
            <w:r>
              <w:rPr>
                <w:rFonts w:hint="eastAsia" w:cs="宋体"/>
                <w:color w:val="auto"/>
                <w:szCs w:val="21"/>
                <w:highlight w:val="none"/>
              </w:rPr>
              <w:t>%设置）。</w:t>
            </w:r>
          </w:p>
          <w:p>
            <w:pPr>
              <w:rPr>
                <w:rFonts w:hint="eastAsia" w:cs="宋体"/>
                <w:color w:val="auto"/>
                <w:szCs w:val="21"/>
                <w:highlight w:val="none"/>
              </w:rPr>
            </w:pPr>
            <w:r>
              <w:rPr>
                <w:rFonts w:hint="eastAsia" w:cs="宋体"/>
                <w:color w:val="auto"/>
                <w:szCs w:val="21"/>
                <w:highlight w:val="none"/>
                <w:lang w:val="en-US" w:eastAsia="zh-CN"/>
              </w:rPr>
              <w:t>标段2：</w:t>
            </w:r>
            <w:r>
              <w:rPr>
                <w:rFonts w:hint="eastAsia" w:cs="宋体"/>
                <w:color w:val="auto"/>
                <w:szCs w:val="21"/>
                <w:highlight w:val="none"/>
              </w:rPr>
              <w:t>工程成本警戒价为</w:t>
            </w:r>
            <w:r>
              <w:rPr>
                <w:rFonts w:hint="eastAsia" w:cs="宋体"/>
                <w:color w:val="auto"/>
                <w:szCs w:val="21"/>
                <w:highlight w:val="none"/>
                <w:u w:val="single"/>
              </w:rPr>
              <w:t>21579822.87</w:t>
            </w:r>
            <w:r>
              <w:rPr>
                <w:rFonts w:hint="eastAsia" w:cs="宋体"/>
                <w:color w:val="auto"/>
                <w:szCs w:val="21"/>
                <w:highlight w:val="none"/>
              </w:rPr>
              <w:t>元(按最高投标限价的</w:t>
            </w:r>
            <w:r>
              <w:rPr>
                <w:rFonts w:hint="eastAsia" w:cs="宋体"/>
                <w:color w:val="auto"/>
                <w:szCs w:val="21"/>
                <w:highlight w:val="none"/>
                <w:lang w:val="en-US" w:eastAsia="zh-CN"/>
              </w:rPr>
              <w:t>90</w:t>
            </w:r>
            <w:r>
              <w:rPr>
                <w:rFonts w:hint="eastAsia" w:cs="宋体"/>
                <w:color w:val="auto"/>
                <w:szCs w:val="21"/>
                <w:highlight w:val="none"/>
              </w:rPr>
              <w:t>%设置）。</w:t>
            </w:r>
          </w:p>
          <w:p>
            <w:pPr>
              <w:rPr>
                <w:rFonts w:hint="eastAsia" w:cs="宋体"/>
                <w:color w:val="auto"/>
                <w:szCs w:val="21"/>
                <w:highlight w:val="none"/>
              </w:rPr>
            </w:pPr>
            <w:r>
              <w:rPr>
                <w:rFonts w:hint="eastAsia" w:cs="宋体"/>
                <w:color w:val="auto"/>
                <w:szCs w:val="21"/>
                <w:highlight w:val="none"/>
                <w:lang w:val="en-US" w:eastAsia="zh-CN"/>
              </w:rPr>
              <w:t>标段3：</w:t>
            </w:r>
            <w:r>
              <w:rPr>
                <w:rFonts w:hint="eastAsia" w:cs="宋体"/>
                <w:color w:val="auto"/>
                <w:szCs w:val="21"/>
                <w:highlight w:val="none"/>
              </w:rPr>
              <w:t>工程成本警戒价为</w:t>
            </w:r>
            <w:r>
              <w:rPr>
                <w:rFonts w:hint="eastAsia" w:cs="宋体"/>
                <w:color w:val="auto"/>
                <w:szCs w:val="21"/>
                <w:highlight w:val="none"/>
                <w:u w:val="single"/>
                <w:lang w:val="en-US" w:eastAsia="zh-CN"/>
              </w:rPr>
              <w:t>19910668.1</w:t>
            </w:r>
            <w:r>
              <w:rPr>
                <w:rFonts w:hint="default" w:cs="宋体"/>
                <w:color w:val="auto"/>
                <w:szCs w:val="21"/>
                <w:highlight w:val="none"/>
                <w:u w:val="single"/>
                <w:lang w:val="en-US" w:eastAsia="zh-CN"/>
              </w:rPr>
              <w:t>8</w:t>
            </w:r>
            <w:r>
              <w:rPr>
                <w:rFonts w:hint="eastAsia" w:cs="宋体"/>
                <w:color w:val="auto"/>
                <w:szCs w:val="21"/>
                <w:highlight w:val="none"/>
              </w:rPr>
              <w:t>元(按最高投标限价的</w:t>
            </w:r>
            <w:r>
              <w:rPr>
                <w:rFonts w:hint="eastAsia" w:cs="宋体"/>
                <w:color w:val="auto"/>
                <w:szCs w:val="21"/>
                <w:highlight w:val="none"/>
                <w:lang w:val="en-US" w:eastAsia="zh-CN"/>
              </w:rPr>
              <w:t>90</w:t>
            </w:r>
            <w:r>
              <w:rPr>
                <w:rFonts w:hint="eastAsia" w:cs="宋体"/>
                <w:color w:val="auto"/>
                <w:szCs w:val="21"/>
                <w:highlight w:val="none"/>
              </w:rPr>
              <w:t>%设置）。</w:t>
            </w:r>
          </w:p>
          <w:p>
            <w:pPr>
              <w:rPr>
                <w:rFonts w:hint="eastAsia" w:cs="宋体"/>
                <w:color w:val="auto"/>
                <w:szCs w:val="21"/>
                <w:highlight w:val="none"/>
              </w:rPr>
            </w:pPr>
            <w:r>
              <w:rPr>
                <w:rFonts w:hint="eastAsia" w:cs="宋体"/>
                <w:color w:val="auto"/>
                <w:szCs w:val="21"/>
                <w:highlight w:val="none"/>
                <w:lang w:val="en-US" w:eastAsia="zh-CN"/>
              </w:rPr>
              <w:t>标段4：</w:t>
            </w:r>
            <w:r>
              <w:rPr>
                <w:rFonts w:hint="eastAsia" w:cs="宋体"/>
                <w:color w:val="auto"/>
                <w:szCs w:val="21"/>
                <w:highlight w:val="none"/>
              </w:rPr>
              <w:t>工程成本警戒价为</w:t>
            </w:r>
            <w:r>
              <w:rPr>
                <w:rFonts w:hint="eastAsia" w:cs="宋体"/>
                <w:color w:val="auto"/>
                <w:szCs w:val="21"/>
                <w:highlight w:val="none"/>
                <w:u w:val="single"/>
                <w:lang w:val="en-US" w:eastAsia="zh-CN"/>
              </w:rPr>
              <w:t>21577556.82</w:t>
            </w:r>
            <w:r>
              <w:rPr>
                <w:rFonts w:hint="eastAsia" w:cs="宋体"/>
                <w:color w:val="auto"/>
                <w:szCs w:val="21"/>
                <w:highlight w:val="none"/>
              </w:rPr>
              <w:t>元(按最高投标限价的</w:t>
            </w:r>
            <w:r>
              <w:rPr>
                <w:rFonts w:hint="eastAsia" w:cs="宋体"/>
                <w:color w:val="auto"/>
                <w:szCs w:val="21"/>
                <w:highlight w:val="none"/>
                <w:lang w:val="en-US" w:eastAsia="zh-CN"/>
              </w:rPr>
              <w:t>90</w:t>
            </w:r>
            <w:r>
              <w:rPr>
                <w:rFonts w:hint="eastAsia" w:cs="宋体"/>
                <w:color w:val="auto"/>
                <w:szCs w:val="21"/>
                <w:highlight w:val="none"/>
              </w:rPr>
              <w:t>%设置）。</w:t>
            </w:r>
          </w:p>
          <w:p>
            <w:pPr>
              <w:rPr>
                <w:rFonts w:hint="eastAsia" w:cs="宋体"/>
                <w:color w:val="auto"/>
                <w:szCs w:val="21"/>
                <w:highlight w:val="none"/>
              </w:rPr>
            </w:pPr>
            <w:r>
              <w:rPr>
                <w:rFonts w:hint="eastAsia" w:cs="宋体"/>
                <w:color w:val="auto"/>
                <w:szCs w:val="21"/>
                <w:highlight w:val="none"/>
                <w:lang w:val="en-US" w:eastAsia="zh-CN"/>
              </w:rPr>
              <w:t>标段5：</w:t>
            </w:r>
            <w:r>
              <w:rPr>
                <w:rFonts w:hint="eastAsia" w:cs="宋体"/>
                <w:color w:val="auto"/>
                <w:szCs w:val="21"/>
                <w:highlight w:val="none"/>
              </w:rPr>
              <w:t>工程成本警戒价为</w:t>
            </w:r>
            <w:r>
              <w:rPr>
                <w:rFonts w:hint="eastAsia" w:cs="宋体"/>
                <w:color w:val="auto"/>
                <w:szCs w:val="21"/>
                <w:highlight w:val="none"/>
                <w:u w:val="single"/>
                <w:lang w:val="en-US" w:eastAsia="zh-CN"/>
              </w:rPr>
              <w:t>21526516.45</w:t>
            </w:r>
            <w:r>
              <w:rPr>
                <w:rFonts w:hint="eastAsia" w:cs="宋体"/>
                <w:color w:val="auto"/>
                <w:szCs w:val="21"/>
                <w:highlight w:val="none"/>
              </w:rPr>
              <w:t>元(按最高投标限价的</w:t>
            </w:r>
            <w:r>
              <w:rPr>
                <w:rFonts w:hint="eastAsia" w:cs="宋体"/>
                <w:color w:val="auto"/>
                <w:szCs w:val="21"/>
                <w:highlight w:val="none"/>
                <w:lang w:val="en-US" w:eastAsia="zh-CN"/>
              </w:rPr>
              <w:t>90</w:t>
            </w:r>
            <w:r>
              <w:rPr>
                <w:rFonts w:hint="eastAsia" w:cs="宋体"/>
                <w:color w:val="auto"/>
                <w:szCs w:val="21"/>
                <w:highlight w:val="none"/>
              </w:rPr>
              <w:t>%设置）。</w:t>
            </w:r>
          </w:p>
          <w:p>
            <w:pPr>
              <w:rPr>
                <w:rFonts w:hint="eastAsia"/>
                <w:color w:val="auto"/>
                <w:highlight w:val="none"/>
              </w:rPr>
            </w:pPr>
          </w:p>
          <w:p>
            <w:pPr>
              <w:rPr>
                <w:rFonts w:cs="宋体"/>
                <w:color w:val="auto"/>
                <w:szCs w:val="21"/>
                <w:highlight w:val="none"/>
              </w:rPr>
            </w:pPr>
            <w:r>
              <w:rPr>
                <w:rFonts w:hint="eastAsia"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cs="宋体"/>
                <w:color w:val="auto"/>
                <w:szCs w:val="21"/>
                <w:highlight w:val="none"/>
                <w:u w:val="single"/>
              </w:rPr>
            </w:pPr>
            <w:r>
              <w:rPr>
                <w:rFonts w:hint="eastAsia" w:cs="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27</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第一阶段各分值的权重</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cs="宋体"/>
                <w:color w:val="auto"/>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28</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评标委员会人数</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cs="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29</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企业综合诚信评价分数</w:t>
            </w:r>
          </w:p>
        </w:tc>
        <w:tc>
          <w:tcPr>
            <w:tcW w:w="3301" w:type="pct"/>
            <w:tcBorders>
              <w:top w:val="single" w:color="auto" w:sz="4" w:space="0"/>
              <w:left w:val="single" w:color="auto" w:sz="4" w:space="0"/>
              <w:bottom w:val="single" w:color="auto" w:sz="4" w:space="0"/>
              <w:right w:val="double" w:color="auto" w:sz="4" w:space="0"/>
            </w:tcBorders>
            <w:vAlign w:val="center"/>
          </w:tcPr>
          <w:p>
            <w:pPr>
              <w:pStyle w:val="9"/>
              <w:ind w:firstLine="0" w:firstLineChars="0"/>
              <w:rPr>
                <w:rFonts w:cs="宋体"/>
                <w:color w:val="auto"/>
                <w:szCs w:val="21"/>
                <w:highlight w:val="none"/>
              </w:rPr>
            </w:pPr>
            <w:r>
              <w:rPr>
                <w:rFonts w:hint="eastAsia" w:cs="宋体"/>
                <w:color w:val="auto"/>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30</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第二阶段投标人名次的排序方法（适用于办法一、办法二）</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cs="宋体"/>
                <w:color w:val="auto"/>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31</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经济分相同情况下的排序方法（适用于办法三、办法四）</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cs="宋体"/>
                <w:color w:val="auto"/>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32</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第二阶段投标人名次的排序方法（适用于办法五、办法六）</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cs="宋体"/>
                <w:color w:val="auto"/>
                <w:szCs w:val="21"/>
                <w:highlight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33</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13.4、13.5.2</w:t>
            </w: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合同价款的调整办法</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u w:val="single"/>
              </w:rPr>
            </w:pPr>
            <w:r>
              <w:rPr>
                <w:rFonts w:hint="eastAsia" w:cs="宋体"/>
                <w:color w:val="auto"/>
                <w:szCs w:val="21"/>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34</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建设工程质量检测单位</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kern w:val="0"/>
                <w:szCs w:val="21"/>
                <w:highlight w:val="none"/>
                <w:lang w:val="zh-CN"/>
              </w:rPr>
            </w:pPr>
            <w:r>
              <w:rPr>
                <w:rFonts w:hint="eastAsia" w:cs="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35</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kern w:val="0"/>
                <w:szCs w:val="21"/>
                <w:highlight w:val="none"/>
                <w:lang w:val="zh-CN"/>
              </w:rPr>
            </w:pPr>
            <w:r>
              <w:rPr>
                <w:rFonts w:hint="eastAsia" w:cs="宋体"/>
                <w:color w:val="auto"/>
                <w:kern w:val="0"/>
                <w:szCs w:val="21"/>
                <w:highlight w:val="none"/>
                <w:lang w:val="zh-CN"/>
              </w:rPr>
              <w:t>分包</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kern w:val="0"/>
                <w:szCs w:val="21"/>
                <w:highlight w:val="none"/>
                <w:lang w:val="zh-CN"/>
              </w:rPr>
            </w:pPr>
            <w:r>
              <w:rPr>
                <w:rFonts w:hint="eastAsia" w:cs="宋体"/>
                <w:color w:val="auto"/>
                <w:kern w:val="0"/>
                <w:szCs w:val="21"/>
                <w:highlight w:val="none"/>
                <w:lang w:val="zh-CN"/>
              </w:rPr>
              <w:t>■不允许；</w:t>
            </w:r>
          </w:p>
          <w:p>
            <w:pPr>
              <w:rPr>
                <w:rFonts w:cs="宋体"/>
                <w:color w:val="auto"/>
                <w:kern w:val="0"/>
                <w:szCs w:val="21"/>
                <w:highlight w:val="none"/>
                <w:lang w:val="zh-CN"/>
              </w:rPr>
            </w:pPr>
            <w:r>
              <w:rPr>
                <w:rFonts w:hint="eastAsia" w:cs="宋体"/>
                <w:color w:val="auto"/>
                <w:kern w:val="0"/>
                <w:szCs w:val="21"/>
                <w:highlight w:val="none"/>
                <w:lang w:val="zh-CN"/>
              </w:rPr>
              <w:t>□允许：分包内容要要求：</w:t>
            </w:r>
            <w:r>
              <w:rPr>
                <w:rFonts w:hint="eastAsia" w:cs="宋体"/>
                <w:color w:val="auto"/>
                <w:kern w:val="0"/>
                <w:szCs w:val="21"/>
                <w:highlight w:val="none"/>
                <w:u w:val="single"/>
              </w:rPr>
              <w:t>/</w:t>
            </w:r>
            <w:r>
              <w:rPr>
                <w:rFonts w:hint="eastAsia" w:cs="宋体"/>
                <w:color w:val="auto"/>
                <w:kern w:val="0"/>
                <w:szCs w:val="21"/>
                <w:highlight w:val="none"/>
                <w:u w:val="single"/>
                <w:lang w:val="zh-CN"/>
              </w:rPr>
              <w:t>。</w:t>
            </w:r>
          </w:p>
          <w:p>
            <w:pPr>
              <w:rPr>
                <w:rFonts w:cs="宋体"/>
                <w:color w:val="auto"/>
                <w:kern w:val="0"/>
                <w:szCs w:val="21"/>
                <w:highlight w:val="none"/>
                <w:lang w:val="zh-CN"/>
              </w:rPr>
            </w:pPr>
            <w:r>
              <w:rPr>
                <w:rFonts w:hint="eastAsia" w:cs="宋体"/>
                <w:color w:val="auto"/>
                <w:kern w:val="0"/>
                <w:szCs w:val="21"/>
                <w:highlight w:val="none"/>
                <w:lang w:val="zh-CN"/>
              </w:rPr>
              <w:t xml:space="preserve">     分包金额要求：</w:t>
            </w:r>
            <w:r>
              <w:rPr>
                <w:rFonts w:hint="eastAsia" w:cs="宋体"/>
                <w:color w:val="auto"/>
                <w:kern w:val="0"/>
                <w:szCs w:val="21"/>
                <w:highlight w:val="none"/>
                <w:u w:val="single"/>
              </w:rPr>
              <w:t>/</w:t>
            </w:r>
            <w:r>
              <w:rPr>
                <w:rFonts w:hint="eastAsia" w:cs="宋体"/>
                <w:color w:val="auto"/>
                <w:kern w:val="0"/>
                <w:szCs w:val="21"/>
                <w:highlight w:val="none"/>
                <w:u w:val="single"/>
                <w:lang w:val="zh-CN"/>
              </w:rPr>
              <w:t>。</w:t>
            </w:r>
          </w:p>
          <w:p>
            <w:pPr>
              <w:rPr>
                <w:rFonts w:cs="宋体"/>
                <w:color w:val="auto"/>
                <w:kern w:val="0"/>
                <w:szCs w:val="21"/>
                <w:highlight w:val="none"/>
                <w:lang w:val="zh-CN"/>
              </w:rPr>
            </w:pPr>
            <w:r>
              <w:rPr>
                <w:rFonts w:hint="eastAsia" w:cs="宋体"/>
                <w:color w:val="auto"/>
                <w:kern w:val="0"/>
                <w:szCs w:val="21"/>
                <w:highlight w:val="none"/>
                <w:lang w:val="zh-CN"/>
              </w:rPr>
              <w:t xml:space="preserve">     对分包人的资质要求：</w:t>
            </w:r>
            <w:r>
              <w:rPr>
                <w:rFonts w:hint="eastAsia" w:cs="宋体"/>
                <w:color w:val="auto"/>
                <w:kern w:val="0"/>
                <w:szCs w:val="21"/>
                <w:highlight w:val="none"/>
                <w:u w:val="single"/>
              </w:rPr>
              <w:t>/</w:t>
            </w:r>
            <w:r>
              <w:rPr>
                <w:rFonts w:hint="eastAsia" w:cs="宋体"/>
                <w:color w:val="auto"/>
                <w:kern w:val="0"/>
                <w:szCs w:val="21"/>
                <w:highlight w:val="none"/>
                <w:u w:val="single"/>
                <w:lang w:val="zh-CN"/>
              </w:rPr>
              <w:t>。</w:t>
            </w:r>
          </w:p>
          <w:p>
            <w:pPr>
              <w:rPr>
                <w:rFonts w:cs="宋体"/>
                <w:color w:val="auto"/>
                <w:kern w:val="0"/>
                <w:szCs w:val="21"/>
                <w:highlight w:val="none"/>
                <w:lang w:val="zh-CN"/>
              </w:rPr>
            </w:pPr>
            <w:r>
              <w:rPr>
                <w:rFonts w:hint="eastAsia" w:cs="宋体"/>
                <w:color w:val="auto"/>
                <w:kern w:val="0"/>
                <w:szCs w:val="21"/>
                <w:highlight w:val="none"/>
                <w:lang w:val="zh-CN"/>
              </w:rPr>
              <w:t xml:space="preserve">     对分包人的其他要求：</w:t>
            </w:r>
            <w:r>
              <w:rPr>
                <w:rFonts w:hint="eastAsia" w:cs="宋体"/>
                <w:color w:val="auto"/>
                <w:kern w:val="0"/>
                <w:szCs w:val="21"/>
                <w:highlight w:val="none"/>
                <w:u w:val="single"/>
              </w:rPr>
              <w:t>/</w:t>
            </w:r>
            <w:r>
              <w:rPr>
                <w:rFonts w:hint="eastAsia" w:cs="宋体"/>
                <w:color w:val="auto"/>
                <w:kern w:val="0"/>
                <w:szCs w:val="21"/>
                <w:highlight w:val="none"/>
                <w:u w:val="singl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36</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电子招标投标解密失败及突发情况的补救</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rPr>
            </w:pPr>
            <w:r>
              <w:rPr>
                <w:rFonts w:hint="eastAsia" w:cs="宋体"/>
                <w:color w:val="auto"/>
                <w:szCs w:val="21"/>
                <w:highlight w:val="none"/>
              </w:rPr>
              <w:t>1、按照交易平台关于全流程电子化项目的相关指南进行操作。详见：</w:t>
            </w:r>
            <w:r>
              <w:rPr>
                <w:rFonts w:hint="eastAsia" w:cs="宋体"/>
                <w:bCs/>
                <w:color w:val="auto"/>
                <w:kern w:val="0"/>
                <w:szCs w:val="21"/>
                <w:highlight w:val="none"/>
                <w:u w:val="single"/>
              </w:rPr>
              <w:t>广州交易集团有限公司（广州公共资源交易中心）网站发布的最新版操作指引</w:t>
            </w:r>
            <w:r>
              <w:rPr>
                <w:rFonts w:hint="eastAsia" w:cs="宋体"/>
                <w:color w:val="auto"/>
                <w:szCs w:val="21"/>
                <w:highlight w:val="none"/>
              </w:rPr>
              <w:t>。</w:t>
            </w:r>
          </w:p>
          <w:p>
            <w:pPr>
              <w:rPr>
                <w:rFonts w:cs="宋体"/>
                <w:color w:val="auto"/>
                <w:szCs w:val="21"/>
                <w:highlight w:val="none"/>
              </w:rPr>
            </w:pPr>
            <w:r>
              <w:rPr>
                <w:rFonts w:hint="eastAsia" w:cs="宋体"/>
                <w:color w:val="auto"/>
                <w:szCs w:val="21"/>
                <w:highlight w:val="none"/>
              </w:rPr>
              <w:t>2、提交投标文件光盘备用</w:t>
            </w:r>
          </w:p>
          <w:p>
            <w:pPr>
              <w:rPr>
                <w:rFonts w:cs="宋体"/>
                <w:color w:val="auto"/>
                <w:szCs w:val="21"/>
                <w:highlight w:val="none"/>
              </w:rPr>
            </w:pPr>
            <w:r>
              <w:rPr>
                <w:rFonts w:hint="eastAsia"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cs="宋体"/>
                <w:color w:val="auto"/>
                <w:szCs w:val="21"/>
                <w:highlight w:val="none"/>
              </w:rPr>
            </w:pPr>
            <w:r>
              <w:rPr>
                <w:rFonts w:hint="eastAsia" w:cs="宋体"/>
                <w:color w:val="auto"/>
                <w:szCs w:val="21"/>
                <w:highlight w:val="none"/>
              </w:rPr>
              <w:t xml:space="preserve"> 3、补救方案</w:t>
            </w:r>
          </w:p>
          <w:p>
            <w:pPr>
              <w:rPr>
                <w:rFonts w:cs="宋体"/>
                <w:color w:val="auto"/>
                <w:szCs w:val="21"/>
                <w:highlight w:val="none"/>
              </w:rPr>
            </w:pPr>
            <w:r>
              <w:rPr>
                <w:rFonts w:hint="eastAsia" w:cs="宋体"/>
                <w:color w:val="auto"/>
                <w:szCs w:val="21"/>
                <w:highlight w:val="none"/>
              </w:rPr>
              <w:t>（1）投标文件解密失败的补救方案：</w:t>
            </w:r>
          </w:p>
          <w:p>
            <w:pPr>
              <w:rPr>
                <w:rFonts w:cs="宋体"/>
                <w:color w:val="auto"/>
                <w:szCs w:val="21"/>
                <w:highlight w:val="none"/>
              </w:rPr>
            </w:pPr>
            <w:r>
              <w:rPr>
                <w:rFonts w:hint="eastAsia"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cs="宋体"/>
                <w:color w:val="auto"/>
                <w:szCs w:val="21"/>
                <w:highlight w:val="none"/>
              </w:rPr>
            </w:pPr>
            <w:r>
              <w:rPr>
                <w:rFonts w:hint="eastAsia" w:cs="宋体"/>
                <w:color w:val="auto"/>
                <w:szCs w:val="21"/>
                <w:highlight w:val="none"/>
              </w:rPr>
              <w:t>（2）评标时突发情况的补救方案</w:t>
            </w:r>
          </w:p>
          <w:p>
            <w:pPr>
              <w:rPr>
                <w:rFonts w:cs="宋体"/>
                <w:color w:val="auto"/>
                <w:szCs w:val="21"/>
                <w:highlight w:val="none"/>
              </w:rPr>
            </w:pPr>
            <w:r>
              <w:rPr>
                <w:rFonts w:hint="eastAsia" w:cs="宋体"/>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cs="宋体"/>
                <w:color w:val="auto"/>
                <w:szCs w:val="21"/>
                <w:highlight w:val="none"/>
              </w:rPr>
            </w:pPr>
            <w:r>
              <w:rPr>
                <w:rFonts w:hint="eastAsia" w:cs="宋体"/>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hint="default" w:eastAsia="宋体" w:cs="宋体"/>
                <w:color w:val="auto"/>
                <w:szCs w:val="21"/>
                <w:highlight w:val="none"/>
                <w:lang w:val="en-US" w:eastAsia="zh-CN"/>
              </w:rPr>
            </w:pPr>
            <w:r>
              <w:rPr>
                <w:rFonts w:hint="eastAsia" w:cs="宋体"/>
                <w:color w:val="auto"/>
                <w:szCs w:val="21"/>
                <w:highlight w:val="none"/>
                <w:lang w:val="en-US" w:eastAsia="zh-CN"/>
              </w:rPr>
              <w:t>37</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color w:val="auto"/>
                <w:szCs w:val="21"/>
                <w:highlight w:val="none"/>
              </w:rPr>
            </w:pPr>
            <w:r>
              <w:rPr>
                <w:rFonts w:hint="eastAsia" w:cs="宋体"/>
                <w:color w:val="auto"/>
                <w:szCs w:val="21"/>
                <w:highlight w:val="none"/>
              </w:rPr>
              <w:t>招标人对中标人参与“百千万工程”的具体要求</w:t>
            </w:r>
          </w:p>
        </w:tc>
        <w:tc>
          <w:tcPr>
            <w:tcW w:w="3301" w:type="pct"/>
            <w:tcBorders>
              <w:top w:val="single" w:color="auto" w:sz="4" w:space="0"/>
              <w:left w:val="single" w:color="auto" w:sz="4" w:space="0"/>
              <w:bottom w:val="single" w:color="auto" w:sz="4" w:space="0"/>
              <w:right w:val="double" w:color="auto" w:sz="4" w:space="0"/>
            </w:tcBorders>
            <w:vAlign w:val="center"/>
          </w:tcPr>
          <w:p>
            <w:pPr>
              <w:rPr>
                <w:rFonts w:hint="eastAsia" w:cs="宋体"/>
                <w:color w:val="auto"/>
                <w:szCs w:val="21"/>
                <w:highlight w:val="none"/>
                <w:lang w:val="zh-CN"/>
              </w:rPr>
            </w:pPr>
            <w:r>
              <w:rPr>
                <w:rFonts w:hint="eastAsia" w:cs="宋体"/>
                <w:color w:val="auto"/>
                <w:szCs w:val="21"/>
                <w:highlight w:val="none"/>
                <w:lang w:val="zh-CN"/>
              </w:rPr>
              <w:t>☑具体要求在中标后按照投标承诺和招标人的要求执行。</w:t>
            </w:r>
          </w:p>
          <w:p>
            <w:pPr>
              <w:rPr>
                <w:rFonts w:hint="eastAsia"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47" w:type="pct"/>
            <w:tcBorders>
              <w:top w:val="single" w:color="auto" w:sz="4" w:space="0"/>
              <w:left w:val="double" w:color="auto" w:sz="4" w:space="0"/>
              <w:bottom w:val="single" w:color="auto" w:sz="4" w:space="0"/>
              <w:right w:val="single" w:color="auto" w:sz="4" w:space="0"/>
            </w:tcBorders>
            <w:vAlign w:val="center"/>
          </w:tcPr>
          <w:p>
            <w:pPr>
              <w:jc w:val="center"/>
              <w:rPr>
                <w:rFonts w:hint="eastAsia" w:eastAsia="宋体" w:cs="宋体"/>
                <w:color w:val="auto"/>
                <w:szCs w:val="21"/>
                <w:highlight w:val="none"/>
                <w:lang w:eastAsia="zh-CN"/>
              </w:rPr>
            </w:pPr>
            <w:r>
              <w:rPr>
                <w:rFonts w:hint="eastAsia" w:cs="宋体"/>
                <w:color w:val="auto"/>
                <w:szCs w:val="21"/>
                <w:highlight w:val="none"/>
              </w:rPr>
              <w:t>3</w:t>
            </w:r>
            <w:r>
              <w:rPr>
                <w:rFonts w:hint="eastAsia" w:cs="宋体"/>
                <w:color w:val="auto"/>
                <w:szCs w:val="21"/>
                <w:highlight w:val="none"/>
                <w:lang w:val="en-US" w:eastAsia="zh-CN"/>
              </w:rPr>
              <w:t>8</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u w:val="single"/>
              </w:rPr>
              <w:t>招标人拒绝接收投标文件备用光盘的情况</w:t>
            </w:r>
          </w:p>
        </w:tc>
        <w:tc>
          <w:tcPr>
            <w:tcW w:w="3301" w:type="pct"/>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u w:val="single"/>
              </w:rPr>
            </w:pPr>
            <w:r>
              <w:rPr>
                <w:rFonts w:hint="eastAsia" w:cs="宋体"/>
                <w:color w:val="auto"/>
                <w:szCs w:val="21"/>
                <w:highlight w:val="none"/>
                <w:u w:val="single"/>
              </w:rPr>
              <w:t>1、在投标截止期后逾期或未在指定地点递交投标文件备用光盘的；</w:t>
            </w:r>
          </w:p>
          <w:p>
            <w:pPr>
              <w:rPr>
                <w:rFonts w:cs="宋体"/>
                <w:color w:val="auto"/>
                <w:szCs w:val="21"/>
                <w:highlight w:val="none"/>
                <w:u w:val="single"/>
              </w:rPr>
            </w:pPr>
            <w:r>
              <w:rPr>
                <w:rFonts w:hint="eastAsia" w:cs="宋体"/>
                <w:color w:val="auto"/>
                <w:szCs w:val="21"/>
                <w:highlight w:val="none"/>
                <w:u w:val="single"/>
              </w:rPr>
              <w:t>2、投标文件备用光盘未按招标文件要求密封或未在密封处盖章的；</w:t>
            </w:r>
          </w:p>
          <w:p>
            <w:pPr>
              <w:rPr>
                <w:rFonts w:cs="宋体"/>
                <w:color w:val="auto"/>
                <w:szCs w:val="21"/>
                <w:highlight w:val="none"/>
              </w:rPr>
            </w:pPr>
            <w:r>
              <w:rPr>
                <w:rFonts w:hint="eastAsia" w:cs="宋体"/>
                <w:color w:val="auto"/>
                <w:szCs w:val="21"/>
                <w:highlight w:val="none"/>
                <w:u w:val="single"/>
              </w:rPr>
              <w:t>3、投标人代表未凭法定代表人证明书（原件）、授权委托书原件（仅限于非法定代表人）、本人身份证原件递交投标文件备用光盘的。</w:t>
            </w:r>
          </w:p>
        </w:tc>
      </w:tr>
    </w:tbl>
    <w:p>
      <w:pPr>
        <w:pStyle w:val="3"/>
        <w:jc w:val="center"/>
        <w:rPr>
          <w:rFonts w:hint="default"/>
          <w:color w:val="auto"/>
          <w:highlight w:val="none"/>
        </w:rPr>
      </w:pPr>
      <w:r>
        <w:rPr>
          <w:color w:val="auto"/>
          <w:highlight w:val="none"/>
        </w:rPr>
        <w:br w:type="page"/>
      </w:r>
      <w:r>
        <w:rPr>
          <w:color w:val="auto"/>
          <w:highlight w:val="none"/>
        </w:rPr>
        <w:br w:type="page"/>
      </w:r>
      <w:bookmarkStart w:id="1" w:name="_Toc20971"/>
      <w:r>
        <w:rPr>
          <w:color w:val="auto"/>
          <w:highlight w:val="none"/>
        </w:rPr>
        <w:t>第一章  投标须知</w:t>
      </w:r>
      <w:bookmarkEnd w:id="1"/>
    </w:p>
    <w:p>
      <w:pPr>
        <w:pStyle w:val="2"/>
        <w:rPr>
          <w:color w:val="auto"/>
          <w:highlight w:val="none"/>
        </w:rPr>
      </w:pPr>
      <w:bookmarkStart w:id="2" w:name="_Toc10964"/>
      <w:r>
        <w:rPr>
          <w:rFonts w:hint="eastAsia"/>
          <w:color w:val="auto"/>
          <w:highlight w:val="none"/>
        </w:rPr>
        <w:t>二、投标须知修改表</w:t>
      </w:r>
      <w:bookmarkEnd w:id="2"/>
    </w:p>
    <w:p>
      <w:pPr>
        <w:pStyle w:val="5"/>
        <w:pBdr>
          <w:bottom w:val="single" w:color="auto" w:sz="6" w:space="1"/>
        </w:pBdr>
        <w:spacing w:line="360" w:lineRule="auto"/>
        <w:rPr>
          <w:rFonts w:ascii="宋体" w:hAnsi="宋体" w:cs="宋体"/>
          <w:b/>
          <w:color w:val="auto"/>
          <w:szCs w:val="21"/>
          <w:highlight w:val="none"/>
        </w:rPr>
      </w:pPr>
      <w:r>
        <w:rPr>
          <w:rFonts w:hint="eastAsia" w:ascii="宋体" w:hAnsi="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w:t>
      </w:r>
      <w:r>
        <w:rPr>
          <w:rFonts w:ascii="仿宋" w:hAnsi="仿宋" w:eastAsia="仿宋" w:cs="宋体"/>
          <w:b/>
          <w:bCs/>
          <w:color w:val="auto"/>
          <w:sz w:val="22"/>
          <w:highlight w:val="none"/>
        </w:rPr>
        <w:t>http://zfcj.gz.gov.cn/</w:t>
      </w:r>
      <w:r>
        <w:rPr>
          <w:rFonts w:hint="eastAsia" w:ascii="宋体" w:hAnsi="宋体" w:cs="宋体"/>
          <w:b/>
          <w:color w:val="auto"/>
          <w:szCs w:val="21"/>
          <w:highlight w:val="none"/>
        </w:rPr>
        <w:t>）下载查阅。</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条款号：2.5                          修改类型：增加</w:t>
      </w:r>
    </w:p>
    <w:p>
      <w:pPr>
        <w:pStyle w:val="5"/>
        <w:pBdr>
          <w:bottom w:val="single" w:color="auto" w:sz="6" w:space="1"/>
        </w:pBdr>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条款号：5.1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：5.1</w:t>
      </w:r>
      <w:r>
        <w:rPr>
          <w:rFonts w:hint="eastAsia" w:cs="宋体"/>
          <w:bCs/>
          <w:color w:val="auto"/>
          <w:szCs w:val="21"/>
          <w:highlight w:val="none"/>
        </w:rPr>
        <w:t>投标人应按本投标须知前附表第15项所述时间和要求对工程现场及周围环境进行踏勘，</w:t>
      </w:r>
      <w:r>
        <w:rPr>
          <w:rFonts w:hint="eastAsia" w:cs="宋体"/>
          <w:color w:val="auto"/>
          <w:szCs w:val="21"/>
          <w:highlight w:val="none"/>
        </w:rPr>
        <w:t>投标人应充分重视和仔细地进行这种考察，</w:t>
      </w:r>
      <w:r>
        <w:rPr>
          <w:rFonts w:hint="eastAsia" w:cs="宋体"/>
          <w:bCs/>
          <w:color w:val="auto"/>
          <w:szCs w:val="21"/>
          <w:highlight w:val="none"/>
        </w:rPr>
        <w:t>以便投标人获取</w:t>
      </w:r>
      <w:r>
        <w:rPr>
          <w:rFonts w:hint="eastAsia" w:cs="宋体"/>
          <w:color w:val="auto"/>
          <w:szCs w:val="21"/>
          <w:highlight w:val="none"/>
        </w:rPr>
        <w:t>那些须投标人自己负责的</w:t>
      </w:r>
      <w:r>
        <w:rPr>
          <w:rFonts w:hint="eastAsia" w:cs="宋体"/>
          <w:bCs/>
          <w:color w:val="auto"/>
          <w:szCs w:val="21"/>
          <w:highlight w:val="none"/>
        </w:rPr>
        <w:t>有关编制投标文件和签署合同所涉及现场所有的资料。</w:t>
      </w:r>
      <w:r>
        <w:rPr>
          <w:rFonts w:hint="eastAsia" w:cs="宋体"/>
          <w:color w:val="auto"/>
          <w:szCs w:val="21"/>
          <w:highlight w:val="none"/>
        </w:rPr>
        <w:t>一旦中标，这种考察即被认为其结果已在中标文件中得到充分反映。考察现场的费用由投标人自己承担。</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Pr>
          <w:rFonts w:hint="eastAsia" w:cs="宋体"/>
          <w:color w:val="auto"/>
          <w:szCs w:val="21"/>
          <w:highlight w:val="none"/>
          <w:u w:val="single"/>
        </w:rPr>
        <w:t>招标人不受理因投标人缺乏对现场条件的了解或掌握而提出的任何索赔。</w:t>
      </w:r>
      <w:r>
        <w:rPr>
          <w:rFonts w:hint="eastAsia" w:cs="宋体"/>
          <w:color w:val="auto"/>
          <w:szCs w:val="21"/>
          <w:highlight w:val="none"/>
        </w:rPr>
        <w:t>考察现场的费用由投标人自己承担。</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条款号：8.1                          修改类型：修改</w:t>
      </w:r>
    </w:p>
    <w:p>
      <w:pPr>
        <w:pStyle w:val="5"/>
        <w:pBdr>
          <w:bottom w:val="single" w:color="auto" w:sz="6" w:space="1"/>
        </w:pBdr>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8.1投标人若对招标文件（包括招标图纸）中有疑问，可以书面形式通过交易平台提交给招标人或招标代理人，提交形式见本须知前附表第16项。</w:t>
      </w:r>
    </w:p>
    <w:p>
      <w:pPr>
        <w:pStyle w:val="5"/>
        <w:pBdr>
          <w:bottom w:val="single" w:color="auto" w:sz="6" w:space="1"/>
        </w:pBdr>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8.1项目答疑纪要采用网上答疑方式进行。投标人若对招标文件（包括招标图纸、清单、最高投标限价、合同条款）有疑问的，可在规定的时间内通过广州公共资源交易中心网站将问题提交给招标人或招标代理人，提交问题时一律不得署名。</w:t>
      </w:r>
    </w:p>
    <w:p>
      <w:pPr>
        <w:pStyle w:val="5"/>
        <w:pBdr>
          <w:bottom w:val="single" w:color="auto" w:sz="6" w:space="1"/>
        </w:pBdr>
        <w:spacing w:after="0" w:line="360" w:lineRule="auto"/>
        <w:ind w:firstLine="409" w:firstLineChars="195"/>
        <w:rPr>
          <w:rFonts w:ascii="宋体" w:hAnsi="宋体" w:cs="宋体"/>
          <w:color w:val="auto"/>
          <w:sz w:val="21"/>
          <w:szCs w:val="21"/>
          <w:highlight w:val="none"/>
        </w:rPr>
      </w:pPr>
      <w:r>
        <w:rPr>
          <w:rFonts w:hint="eastAsia" w:ascii="宋体" w:hAnsi="宋体" w:cs="宋体"/>
          <w:color w:val="auto"/>
          <w:sz w:val="21"/>
          <w:szCs w:val="21"/>
          <w:highlight w:val="none"/>
        </w:rPr>
        <w:t>网上答疑的操作指南为：投标人登录交易中心数字交易平台，进入“我是投标人（供应商）”-&gt;“我的投标”-&gt;“招标答疑提问”查询项目并提问(提问一律不得署名)以及查看所有的问题。</w:t>
      </w:r>
    </w:p>
    <w:p>
      <w:pPr>
        <w:pStyle w:val="5"/>
        <w:pBdr>
          <w:bottom w:val="single" w:color="auto" w:sz="6" w:space="1"/>
        </w:pBdr>
        <w:spacing w:after="0" w:line="360" w:lineRule="auto"/>
        <w:ind w:firstLine="409" w:firstLineChars="195"/>
        <w:rPr>
          <w:rFonts w:ascii="宋体" w:hAnsi="宋体" w:cs="宋体"/>
          <w:color w:val="auto"/>
          <w:sz w:val="21"/>
          <w:szCs w:val="21"/>
          <w:highlight w:val="none"/>
        </w:rPr>
      </w:pPr>
    </w:p>
    <w:p>
      <w:pPr>
        <w:spacing w:line="360" w:lineRule="auto"/>
        <w:ind w:firstLine="411" w:firstLineChars="195"/>
        <w:rPr>
          <w:rFonts w:cs="宋体"/>
          <w:b/>
          <w:color w:val="auto"/>
          <w:szCs w:val="21"/>
          <w:highlight w:val="none"/>
        </w:rPr>
      </w:pPr>
      <w:r>
        <w:rPr>
          <w:rFonts w:hint="eastAsia" w:cs="宋体"/>
          <w:b/>
          <w:color w:val="auto"/>
          <w:szCs w:val="21"/>
          <w:highlight w:val="none"/>
        </w:rPr>
        <w:t>条款号：8.2                         修改类型：修改</w:t>
      </w:r>
    </w:p>
    <w:p>
      <w:pPr>
        <w:pStyle w:val="5"/>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8.2招标答疑会会议纪要将在提交投标文件截止时间15日前在交易平台 “项目答疑纪要”专区公开发布。答疑纪要一经在交易平台发布，视作已发放给所有投标人。</w:t>
      </w:r>
    </w:p>
    <w:p>
      <w:pPr>
        <w:pStyle w:val="5"/>
        <w:pBdr>
          <w:bottom w:val="single" w:color="auto" w:sz="4" w:space="1"/>
        </w:pBdr>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8.2招标答疑会会议纪要将在提交投标文件截止时间15日前在</w:t>
      </w:r>
      <w:r>
        <w:rPr>
          <w:rFonts w:hint="eastAsia" w:ascii="宋体" w:hAnsi="宋体" w:cs="宋体"/>
          <w:color w:val="auto"/>
          <w:sz w:val="21"/>
          <w:szCs w:val="21"/>
          <w:highlight w:val="none"/>
          <w:u w:val="single"/>
        </w:rPr>
        <w:t>广州交易集团有限公司（广州公共资源交易中心）</w:t>
      </w:r>
      <w:r>
        <w:rPr>
          <w:rFonts w:hint="eastAsia" w:ascii="宋体" w:hAnsi="宋体" w:cs="宋体"/>
          <w:color w:val="auto"/>
          <w:sz w:val="21"/>
          <w:szCs w:val="21"/>
          <w:highlight w:val="none"/>
        </w:rPr>
        <w:t>交易平台“</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ascii="宋体" w:hAnsi="宋体" w:cs="宋体"/>
          <w:color w:val="auto"/>
          <w:sz w:val="21"/>
          <w:szCs w:val="21"/>
          <w:highlight w:val="none"/>
          <w:u w:val="single"/>
        </w:rPr>
        <w:t>项目查询(日程安排、答疑纪要)</w:t>
      </w:r>
      <w:r>
        <w:rPr>
          <w:rFonts w:hint="eastAsia" w:ascii="宋体" w:hAnsi="宋体" w:cs="宋体"/>
          <w:color w:val="auto"/>
          <w:sz w:val="21"/>
          <w:szCs w:val="21"/>
          <w:highlight w:val="none"/>
          <w:u w:val="single"/>
        </w:rPr>
        <w:fldChar w:fldCharType="end"/>
      </w:r>
      <w:r>
        <w:rPr>
          <w:rFonts w:hint="eastAsia" w:ascii="宋体" w:hAnsi="宋体" w:cs="宋体"/>
          <w:color w:val="auto"/>
          <w:sz w:val="21"/>
          <w:szCs w:val="21"/>
          <w:highlight w:val="none"/>
        </w:rPr>
        <w:t>”专区公开发布。答疑纪要一经在</w:t>
      </w:r>
      <w:r>
        <w:rPr>
          <w:rFonts w:hint="eastAsia" w:ascii="宋体" w:hAnsi="宋体" w:cs="宋体"/>
          <w:color w:val="auto"/>
          <w:sz w:val="21"/>
          <w:szCs w:val="21"/>
          <w:highlight w:val="none"/>
          <w:u w:val="single"/>
        </w:rPr>
        <w:t>广州交易集团有限公司（广州公共资源交易中心）</w:t>
      </w:r>
      <w:r>
        <w:rPr>
          <w:rFonts w:hint="eastAsia" w:ascii="宋体" w:hAnsi="宋体" w:cs="宋体"/>
          <w:color w:val="auto"/>
          <w:sz w:val="21"/>
          <w:szCs w:val="21"/>
          <w:highlight w:val="none"/>
        </w:rPr>
        <w:t>交易平台发布，视作已发放给所有投标人。</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条款号：9.2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9.2招标文件的澄清或修改将在交易平台“项目答疑纪要”专区公开发布。答疑纪要一经在交易平台发布，视作已发放给所有投标人，以交易平台上网发布时间作为送达时间。</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9.2招标文件的澄清或修改将在</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cs="宋体"/>
          <w:color w:val="auto"/>
          <w:szCs w:val="21"/>
          <w:highlight w:val="none"/>
          <w:u w:val="single"/>
        </w:rPr>
        <w:t>项目查询(日程安排、答疑纪要)</w:t>
      </w:r>
      <w:r>
        <w:rPr>
          <w:rFonts w:hint="eastAsia" w:cs="宋体"/>
          <w:color w:val="auto"/>
          <w:szCs w:val="21"/>
          <w:highlight w:val="none"/>
          <w:u w:val="single"/>
        </w:rPr>
        <w:fldChar w:fldCharType="end"/>
      </w:r>
      <w:r>
        <w:rPr>
          <w:rFonts w:hint="eastAsia" w:cs="宋体"/>
          <w:color w:val="auto"/>
          <w:szCs w:val="21"/>
          <w:highlight w:val="none"/>
        </w:rPr>
        <w:t>”专区公开发布。答疑纪要一经在</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交易平台发布，视作已发放给所有投标人，以</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交易平台上网发布时间作为送达时间。</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条款号：9.4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9.4招标文件的澄清或修改均以</w:t>
      </w:r>
      <w:r>
        <w:rPr>
          <w:rFonts w:hint="eastAsia" w:cs="宋体"/>
          <w:color w:val="auto"/>
          <w:szCs w:val="21"/>
          <w:highlight w:val="none"/>
          <w:u w:val="single"/>
        </w:rPr>
        <w:t>网上答疑公布</w:t>
      </w:r>
      <w:r>
        <w:rPr>
          <w:rFonts w:hint="eastAsia" w:cs="宋体"/>
          <w:color w:val="auto"/>
          <w:szCs w:val="21"/>
          <w:highlight w:val="none"/>
        </w:rPr>
        <w:t>的内容为准。当招标文件的澄清、修改、补充等在同一内容的表述不一致时，以最后发出的</w:t>
      </w:r>
      <w:r>
        <w:rPr>
          <w:rFonts w:hint="eastAsia" w:cs="宋体"/>
          <w:color w:val="auto"/>
          <w:szCs w:val="21"/>
          <w:highlight w:val="none"/>
          <w:u w:val="single"/>
        </w:rPr>
        <w:t>文件</w:t>
      </w:r>
      <w:r>
        <w:rPr>
          <w:rFonts w:hint="eastAsia" w:cs="宋体"/>
          <w:color w:val="auto"/>
          <w:szCs w:val="21"/>
          <w:highlight w:val="none"/>
        </w:rPr>
        <w:t>为准。</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条款号：11.2                       修改类型：修改</w:t>
      </w:r>
    </w:p>
    <w:p>
      <w:pPr>
        <w:spacing w:line="360" w:lineRule="auto"/>
        <w:ind w:firstLine="411" w:firstLineChars="195"/>
        <w:rPr>
          <w:rFonts w:cs="宋体"/>
          <w:bCs/>
          <w:color w:val="auto"/>
          <w:szCs w:val="21"/>
          <w:highlight w:val="none"/>
        </w:rPr>
      </w:pPr>
      <w:r>
        <w:rPr>
          <w:rFonts w:hint="eastAsia" w:cs="宋体"/>
          <w:b/>
          <w:color w:val="auto"/>
          <w:szCs w:val="21"/>
          <w:highlight w:val="none"/>
        </w:rPr>
        <w:t>原文：</w:t>
      </w:r>
      <w:r>
        <w:rPr>
          <w:rFonts w:hint="eastAsia" w:cs="宋体"/>
          <w:bCs/>
          <w:color w:val="auto"/>
          <w:szCs w:val="21"/>
          <w:highlight w:val="none"/>
        </w:rPr>
        <w:t>11.2投标文件技术标部分主要包括下列内容:</w:t>
      </w:r>
    </w:p>
    <w:p>
      <w:pPr>
        <w:spacing w:line="360" w:lineRule="auto"/>
        <w:ind w:firstLine="409" w:firstLineChars="195"/>
        <w:rPr>
          <w:rFonts w:cs="宋体"/>
          <w:bCs/>
          <w:color w:val="auto"/>
          <w:szCs w:val="21"/>
          <w:highlight w:val="none"/>
        </w:rPr>
      </w:pPr>
      <w:r>
        <w:rPr>
          <w:rFonts w:hint="eastAsia" w:cs="宋体"/>
          <w:bCs/>
          <w:color w:val="auto"/>
          <w:szCs w:val="21"/>
          <w:highlight w:val="none"/>
        </w:rPr>
        <w:t>11.2.1 技术投标文件</w:t>
      </w:r>
      <w:r>
        <w:rPr>
          <w:rFonts w:hint="eastAsia" w:cs="宋体"/>
          <w:color w:val="auto"/>
          <w:szCs w:val="21"/>
          <w:highlight w:val="none"/>
        </w:rPr>
        <w:t>(按招标文件的要求填写)</w:t>
      </w:r>
      <w:r>
        <w:rPr>
          <w:rFonts w:hint="eastAsia" w:cs="宋体"/>
          <w:bCs/>
          <w:color w:val="auto"/>
          <w:szCs w:val="21"/>
          <w:highlight w:val="none"/>
        </w:rPr>
        <w:t>；</w:t>
      </w:r>
    </w:p>
    <w:p>
      <w:pPr>
        <w:spacing w:line="360" w:lineRule="auto"/>
        <w:ind w:firstLine="409" w:firstLineChars="195"/>
        <w:rPr>
          <w:rFonts w:cs="宋体"/>
          <w:bCs/>
          <w:color w:val="auto"/>
          <w:szCs w:val="21"/>
          <w:highlight w:val="none"/>
        </w:rPr>
      </w:pPr>
      <w:r>
        <w:rPr>
          <w:rFonts w:hint="eastAsia" w:cs="宋体"/>
          <w:bCs/>
          <w:color w:val="auto"/>
          <w:szCs w:val="21"/>
          <w:highlight w:val="none"/>
        </w:rPr>
        <w:t>11.2.2 资格审查文件：</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 xml:space="preserve">（1）投标人声明； </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（2）法定代表人证明书、法定代表人签字或盖章的本投标文件授权委托证明书；</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（3）企业营业执照扫描件或电子证照；</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（4）企业资质证书扫描件或电子证照；</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（5）建筑施工企业安全生产许可证扫描件或电子证照；</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（6）项目负责人（按网上投标登记时选择拟投入本项目的项目负责人）</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（7）专职安全员（按网上投标登记时选择拟投入本项目的专职安全员）</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（8）拟委托技术负责人的相关证书、资料（具体要求由招标人明确）</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 xml:space="preserve">（9）拟委派项目负责人的有效期内的建造师注册证书扫描件或电子证书；  </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（10）项目负责人在有效期内的安全生产考核合格证书（B类）或建筑施工企业项目负责人安全生产考核合格证书扫描件或电子证书；</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（11）专职安全员须具有在有效期内的安全生产考核合格证书（C类）或建筑施工企业专职安全生产管理人员安全生产考核合格证书扫描件或电子证书；</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（12）用于资格审查的业绩（设置业绩要求时选择此项，投标人须提供类似工程业绩的项目名称及项目编号，具体格式由招标人自定）；</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 xml:space="preserve">（13）列明主办单位的联合体工作协议（采用联合体投标时需递交，投标人拟任本工程项目负责人应为联合体主办方信用档案中的在册人员，联合体工作协议应明确约定各方拟承担的工作和责任）； </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注：1.相关电子证书按规定需打印后手写本人签名的，应按照规定手写本人签名后再扫描提交。</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11.2.3 项目管理机构配备。</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（1）投标人应列出该项目工程的施工组织机构构成和画出机构框架图及其负责人；</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（2）投标人应详细列出该施工组织机构中主要成员的名单、简历资料、职务职称和</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在本项目中拟担任的职务等资料，并附上有关证明材料扫描件；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（3）其他辅助说明资料。</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11.2.4 投标人在广州市可使用适合本工程的机械设备（附：机械设备为自有或租赁的说明；及承诺机械设备如属于租赁的，其租赁是不属于重复租赁）。</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11.2.5 施工组织设计或施工方案。</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09" w:firstLineChars="195"/>
        <w:rPr>
          <w:rFonts w:hint="eastAsia" w:cs="宋体"/>
          <w:color w:val="auto"/>
          <w:szCs w:val="21"/>
          <w:highlight w:val="none"/>
        </w:rPr>
      </w:pPr>
      <w:r>
        <w:rPr>
          <w:rFonts w:hint="eastAsia"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11.2.6 按照招标文件要求填写的《参与编制技术标投标文件人员名单》。</w:t>
      </w:r>
    </w:p>
    <w:p>
      <w:pPr>
        <w:spacing w:line="360" w:lineRule="auto"/>
        <w:ind w:firstLine="411" w:firstLineChars="195"/>
        <w:rPr>
          <w:rFonts w:cs="宋体"/>
          <w:bCs/>
          <w:color w:val="auto"/>
          <w:szCs w:val="21"/>
          <w:highlight w:val="none"/>
        </w:rPr>
      </w:pPr>
      <w:r>
        <w:rPr>
          <w:rFonts w:hint="eastAsia" w:cs="宋体"/>
          <w:b/>
          <w:color w:val="auto"/>
          <w:szCs w:val="21"/>
          <w:highlight w:val="none"/>
        </w:rPr>
        <w:t>现文：</w:t>
      </w:r>
      <w:r>
        <w:rPr>
          <w:rFonts w:hint="eastAsia" w:cs="宋体"/>
          <w:bCs/>
          <w:color w:val="auto"/>
          <w:szCs w:val="21"/>
          <w:highlight w:val="none"/>
        </w:rPr>
        <w:t>11.2投标文件技术标部分主要包括下列内容</w:t>
      </w:r>
      <w:r>
        <w:rPr>
          <w:rFonts w:hint="eastAsia" w:cs="宋体"/>
          <w:color w:val="auto"/>
          <w:szCs w:val="21"/>
          <w:highlight w:val="none"/>
          <w:u w:val="single"/>
        </w:rPr>
        <w:t>（除注明原件外，均为清晰扫描件即可）</w:t>
      </w:r>
      <w:r>
        <w:rPr>
          <w:rFonts w:hint="eastAsia" w:cs="宋体"/>
          <w:bCs/>
          <w:color w:val="auto"/>
          <w:szCs w:val="21"/>
          <w:highlight w:val="none"/>
        </w:rPr>
        <w:t>:</w:t>
      </w:r>
    </w:p>
    <w:p>
      <w:pPr>
        <w:spacing w:line="360" w:lineRule="auto"/>
        <w:ind w:firstLine="409" w:firstLineChars="195"/>
        <w:rPr>
          <w:rFonts w:cs="宋体"/>
          <w:bCs/>
          <w:color w:val="auto"/>
          <w:szCs w:val="21"/>
          <w:highlight w:val="none"/>
        </w:rPr>
      </w:pPr>
      <w:r>
        <w:rPr>
          <w:rFonts w:hint="eastAsia" w:cs="宋体"/>
          <w:bCs/>
          <w:color w:val="auto"/>
          <w:szCs w:val="21"/>
          <w:highlight w:val="none"/>
        </w:rPr>
        <w:t>11.2.1 技术投标文件(按招标文件的要求填写)；</w:t>
      </w:r>
    </w:p>
    <w:p>
      <w:pPr>
        <w:spacing w:line="360" w:lineRule="auto"/>
        <w:ind w:firstLine="409" w:firstLineChars="195"/>
        <w:rPr>
          <w:rFonts w:cs="宋体"/>
          <w:bCs/>
          <w:color w:val="auto"/>
          <w:szCs w:val="21"/>
          <w:highlight w:val="none"/>
        </w:rPr>
      </w:pPr>
      <w:r>
        <w:rPr>
          <w:rFonts w:hint="eastAsia" w:cs="宋体"/>
          <w:bCs/>
          <w:color w:val="auto"/>
          <w:szCs w:val="21"/>
          <w:highlight w:val="none"/>
        </w:rPr>
        <w:t>11.2.2 资格审查文件：</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 xml:space="preserve">（1）投标人声明； </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（2）法定代表人证明书、法定代表人签字或盖章的本投标文件授权委托证明书；</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（3）企业营业执照扫描件或电子证照；</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（4）企业资质证书扫描件或电子证照；</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（5）建筑施工企业安全生产许可证扫描件或电子证照；</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（6）项目负责人（按网上投标登记时选择拟投入本项目的项目负责人）</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（7）专职安全员（按网上投标登记时选择拟投入本项目的专职安全员）</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（8）拟委托技术负责人的相关证书、资料（具体要求由招标人明确）</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 xml:space="preserve">（9）拟委派项目负责人的有效期内的建造师注册证书扫描件或电子证书；  </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（10）项目负责人在有效期内的安全生产考核合格证书（B类）或建筑施工企业项目负责人安全生产考核合格证书扫描件或电子证书；</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（11）专职安全员须具有在有效期内的安全生产考核合格证书（C类）或建筑施工企业专职安全生产管理人员安全生产考核合格证书扫描件或电子证书；</w:t>
      </w:r>
    </w:p>
    <w:p>
      <w:pPr>
        <w:spacing w:line="360" w:lineRule="auto"/>
        <w:ind w:firstLine="409" w:firstLineChars="19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注：1.相关电子证书按规定需打印后手写本人签名的，应按照规定手写本人签名后再扫描提交。</w:t>
      </w:r>
    </w:p>
    <w:p>
      <w:pPr>
        <w:spacing w:line="360" w:lineRule="auto"/>
        <w:ind w:firstLine="409" w:firstLineChars="19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09" w:firstLineChars="195"/>
        <w:rPr>
          <w:color w:val="auto"/>
          <w:szCs w:val="21"/>
          <w:highlight w:val="none"/>
        </w:rPr>
      </w:pPr>
      <w:r>
        <w:rPr>
          <w:rFonts w:hint="eastAsia" w:cs="宋体"/>
          <w:color w:val="auto"/>
          <w:szCs w:val="21"/>
          <w:highlight w:val="none"/>
          <w:u w:val="single"/>
        </w:rPr>
        <w:t>11.2.3企业资信的证明材料（按附表四要求提交）。</w:t>
      </w:r>
    </w:p>
    <w:p>
      <w:pPr>
        <w:spacing w:line="360" w:lineRule="auto"/>
        <w:ind w:firstLine="409" w:firstLineChars="195"/>
        <w:rPr>
          <w:rFonts w:cs="宋体"/>
          <w:color w:val="auto"/>
          <w:szCs w:val="21"/>
          <w:highlight w:val="none"/>
          <w:u w:val="single"/>
        </w:rPr>
      </w:pPr>
      <w:r>
        <w:rPr>
          <w:rFonts w:hint="eastAsia" w:cs="宋体"/>
          <w:color w:val="auto"/>
          <w:szCs w:val="21"/>
          <w:highlight w:val="none"/>
          <w:u w:val="single"/>
        </w:rPr>
        <w:t>11.2.4项目管理机构配备。</w:t>
      </w:r>
    </w:p>
    <w:p>
      <w:pPr>
        <w:spacing w:line="360" w:lineRule="auto"/>
        <w:ind w:firstLine="409" w:firstLineChars="195"/>
        <w:rPr>
          <w:rFonts w:cs="宋体"/>
          <w:color w:val="auto"/>
          <w:szCs w:val="21"/>
          <w:highlight w:val="none"/>
          <w:u w:val="single"/>
        </w:rPr>
      </w:pPr>
      <w:r>
        <w:rPr>
          <w:rFonts w:hint="eastAsia" w:cs="宋体"/>
          <w:color w:val="auto"/>
          <w:szCs w:val="21"/>
          <w:highlight w:val="none"/>
          <w:u w:val="single"/>
        </w:rPr>
        <w:t>（1）投标人应列出该项目工程的施工组织机构构成和画出机构框架图及其负责人；</w:t>
      </w:r>
    </w:p>
    <w:p>
      <w:pPr>
        <w:spacing w:line="360" w:lineRule="auto"/>
        <w:ind w:firstLine="409" w:firstLineChars="195"/>
        <w:rPr>
          <w:rFonts w:cs="宋体"/>
          <w:color w:val="auto"/>
          <w:szCs w:val="21"/>
          <w:highlight w:val="none"/>
          <w:u w:val="single"/>
        </w:rPr>
      </w:pPr>
      <w:r>
        <w:rPr>
          <w:rFonts w:hint="eastAsia" w:cs="宋体"/>
          <w:color w:val="auto"/>
          <w:szCs w:val="21"/>
          <w:highlight w:val="none"/>
          <w:u w:val="single"/>
        </w:rPr>
        <w:t>（2）投标人应详细列出该施工组织机构中主要成员的名单、职务职称和在本项目中拟担任的职务等资料，并附上有关证明材料扫描件及其他辅助说明资料。</w:t>
      </w:r>
    </w:p>
    <w:p>
      <w:pPr>
        <w:adjustRightInd w:val="0"/>
        <w:spacing w:line="360" w:lineRule="auto"/>
        <w:ind w:firstLine="409" w:firstLineChars="195"/>
        <w:textAlignment w:val="baseline"/>
        <w:rPr>
          <w:rFonts w:cs="宋体"/>
          <w:color w:val="auto"/>
          <w:szCs w:val="21"/>
          <w:highlight w:val="none"/>
          <w:u w:val="single"/>
        </w:rPr>
      </w:pPr>
      <w:r>
        <w:rPr>
          <w:rFonts w:hint="eastAsia" w:cs="宋体"/>
          <w:color w:val="auto"/>
          <w:szCs w:val="21"/>
          <w:highlight w:val="none"/>
          <w:u w:val="single"/>
        </w:rPr>
        <w:t>11.2.5《危险性较大的分部分项工程清单及超过一定规模的危险性较大的分部分项工程清单》（格式见第四章）。</w:t>
      </w:r>
    </w:p>
    <w:p>
      <w:pPr>
        <w:adjustRightInd w:val="0"/>
        <w:spacing w:line="360" w:lineRule="auto"/>
        <w:ind w:firstLine="409" w:firstLineChars="195"/>
        <w:textAlignment w:val="baseline"/>
        <w:rPr>
          <w:rFonts w:cs="宋体"/>
          <w:color w:val="auto"/>
          <w:szCs w:val="21"/>
          <w:highlight w:val="none"/>
          <w:u w:val="single"/>
        </w:rPr>
      </w:pPr>
      <w:r>
        <w:rPr>
          <w:rFonts w:hint="eastAsia" w:cs="宋体"/>
          <w:color w:val="auto"/>
          <w:szCs w:val="21"/>
          <w:highlight w:val="none"/>
          <w:u w:val="single"/>
        </w:rPr>
        <w:t>11.2.6《参与编制技术标投标文件人员名单》（格式见第四章）。</w:t>
      </w:r>
    </w:p>
    <w:p>
      <w:pPr>
        <w:pBdr>
          <w:bottom w:val="single" w:color="auto" w:sz="6" w:space="1"/>
        </w:pBdr>
        <w:adjustRightInd w:val="0"/>
        <w:spacing w:line="360" w:lineRule="auto"/>
        <w:ind w:firstLine="409" w:firstLineChars="195"/>
        <w:textAlignment w:val="baseline"/>
        <w:rPr>
          <w:rFonts w:cs="宋体"/>
          <w:color w:val="auto"/>
          <w:szCs w:val="21"/>
          <w:highlight w:val="none"/>
          <w:u w:val="single"/>
        </w:rPr>
      </w:pPr>
      <w:r>
        <w:rPr>
          <w:rFonts w:hint="eastAsia" w:cs="宋体"/>
          <w:color w:val="auto"/>
          <w:szCs w:val="21"/>
          <w:highlight w:val="none"/>
          <w:u w:val="single"/>
        </w:rPr>
        <w:t>11.2.7</w:t>
      </w:r>
      <w:r>
        <w:rPr>
          <w:rFonts w:hint="eastAsia" w:cs="宋体"/>
          <w:bCs/>
          <w:color w:val="auto"/>
          <w:szCs w:val="21"/>
          <w:highlight w:val="none"/>
          <w:u w:val="single"/>
        </w:rPr>
        <w:t>投标人认为应提供的其他资料。</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条款号：11.3                      修改类型：修改</w:t>
      </w:r>
    </w:p>
    <w:p>
      <w:pPr>
        <w:spacing w:line="360" w:lineRule="auto"/>
        <w:ind w:firstLine="411" w:firstLineChars="195"/>
        <w:rPr>
          <w:rFonts w:cs="宋体"/>
          <w:bCs/>
          <w:color w:val="auto"/>
          <w:szCs w:val="21"/>
          <w:highlight w:val="none"/>
        </w:rPr>
      </w:pPr>
      <w:r>
        <w:rPr>
          <w:rFonts w:hint="eastAsia" w:cs="宋体"/>
          <w:b/>
          <w:bCs/>
          <w:color w:val="auto"/>
          <w:szCs w:val="21"/>
          <w:highlight w:val="none"/>
        </w:rPr>
        <w:t>原文：</w:t>
      </w:r>
      <w:r>
        <w:rPr>
          <w:rFonts w:hint="eastAsia" w:cs="宋体"/>
          <w:bCs/>
          <w:color w:val="auto"/>
          <w:szCs w:val="21"/>
          <w:highlight w:val="none"/>
        </w:rPr>
        <w:t>11.3投标文件主要包括下列内容：</w:t>
      </w:r>
    </w:p>
    <w:p>
      <w:pPr>
        <w:spacing w:line="360" w:lineRule="auto"/>
        <w:ind w:firstLine="409" w:firstLineChars="195"/>
        <w:rPr>
          <w:rFonts w:cs="宋体"/>
          <w:color w:val="auto"/>
          <w:szCs w:val="21"/>
          <w:highlight w:val="none"/>
        </w:rPr>
      </w:pPr>
      <w:r>
        <w:rPr>
          <w:rFonts w:hint="eastAsia" w:cs="宋体"/>
          <w:color w:val="auto"/>
          <w:szCs w:val="21"/>
          <w:highlight w:val="none"/>
        </w:rPr>
        <w:t>11.3.1 经济投标文件(按招标文件的要求填写)。</w:t>
      </w:r>
    </w:p>
    <w:p>
      <w:pPr>
        <w:spacing w:line="360" w:lineRule="auto"/>
        <w:ind w:firstLine="409" w:firstLineChars="195"/>
        <w:rPr>
          <w:rFonts w:cs="宋体"/>
          <w:color w:val="auto"/>
          <w:szCs w:val="21"/>
          <w:highlight w:val="none"/>
        </w:rPr>
      </w:pPr>
      <w:r>
        <w:rPr>
          <w:rFonts w:hint="eastAsia" w:cs="宋体"/>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09" w:firstLineChars="195"/>
        <w:rPr>
          <w:rFonts w:cs="宋体"/>
          <w:color w:val="auto"/>
          <w:szCs w:val="21"/>
          <w:highlight w:val="none"/>
        </w:rPr>
      </w:pPr>
      <w:r>
        <w:rPr>
          <w:rFonts w:hint="eastAsia" w:cs="宋体"/>
          <w:color w:val="auto"/>
          <w:szCs w:val="21"/>
          <w:highlight w:val="none"/>
        </w:rPr>
        <w:t>（1）投标总价封面、扉页；</w:t>
      </w:r>
    </w:p>
    <w:p>
      <w:pPr>
        <w:spacing w:line="360" w:lineRule="auto"/>
        <w:ind w:firstLine="409" w:firstLineChars="195"/>
        <w:rPr>
          <w:rFonts w:cs="宋体"/>
          <w:color w:val="auto"/>
          <w:szCs w:val="21"/>
          <w:highlight w:val="none"/>
        </w:rPr>
      </w:pPr>
      <w:r>
        <w:rPr>
          <w:rFonts w:hint="eastAsia" w:cs="宋体"/>
          <w:color w:val="auto"/>
          <w:szCs w:val="21"/>
          <w:highlight w:val="none"/>
        </w:rPr>
        <w:t>（2）总说明</w:t>
      </w:r>
    </w:p>
    <w:p>
      <w:pPr>
        <w:spacing w:line="360" w:lineRule="auto"/>
        <w:ind w:firstLine="409" w:firstLineChars="195"/>
        <w:rPr>
          <w:rFonts w:cs="宋体"/>
          <w:color w:val="auto"/>
          <w:szCs w:val="21"/>
          <w:highlight w:val="none"/>
        </w:rPr>
      </w:pPr>
      <w:r>
        <w:rPr>
          <w:rFonts w:hint="eastAsia" w:cs="宋体"/>
          <w:color w:val="auto"/>
          <w:szCs w:val="21"/>
          <w:highlight w:val="none"/>
        </w:rPr>
        <w:t>（3）工程项目投标报价汇总表；</w:t>
      </w:r>
    </w:p>
    <w:p>
      <w:pPr>
        <w:spacing w:line="360" w:lineRule="auto"/>
        <w:ind w:firstLine="409" w:firstLineChars="195"/>
        <w:rPr>
          <w:rFonts w:cs="宋体"/>
          <w:color w:val="auto"/>
          <w:szCs w:val="21"/>
          <w:highlight w:val="none"/>
        </w:rPr>
      </w:pPr>
      <w:r>
        <w:rPr>
          <w:rFonts w:hint="eastAsia" w:cs="宋体"/>
          <w:color w:val="auto"/>
          <w:szCs w:val="21"/>
          <w:highlight w:val="none"/>
        </w:rPr>
        <w:t>（4）单项工程投标报价汇总表；</w:t>
      </w:r>
    </w:p>
    <w:p>
      <w:pPr>
        <w:spacing w:line="360" w:lineRule="auto"/>
        <w:ind w:firstLine="409" w:firstLineChars="195"/>
        <w:rPr>
          <w:rFonts w:cs="宋体"/>
          <w:color w:val="auto"/>
          <w:szCs w:val="21"/>
          <w:highlight w:val="none"/>
        </w:rPr>
      </w:pPr>
      <w:r>
        <w:rPr>
          <w:rFonts w:hint="eastAsia" w:cs="宋体"/>
          <w:color w:val="auto"/>
          <w:szCs w:val="21"/>
          <w:highlight w:val="none"/>
        </w:rPr>
        <w:t>（5）单位工程投标报价汇总表；</w:t>
      </w:r>
    </w:p>
    <w:p>
      <w:pPr>
        <w:spacing w:line="360" w:lineRule="auto"/>
        <w:ind w:firstLine="409" w:firstLineChars="195"/>
        <w:rPr>
          <w:rFonts w:cs="宋体"/>
          <w:color w:val="auto"/>
          <w:szCs w:val="21"/>
          <w:highlight w:val="none"/>
        </w:rPr>
      </w:pPr>
      <w:r>
        <w:rPr>
          <w:rFonts w:hint="eastAsia" w:cs="宋体"/>
          <w:color w:val="auto"/>
          <w:szCs w:val="21"/>
          <w:highlight w:val="none"/>
        </w:rPr>
        <w:t>（6）分部分项工程清单与计价表；</w:t>
      </w:r>
    </w:p>
    <w:p>
      <w:pPr>
        <w:spacing w:line="360" w:lineRule="auto"/>
        <w:ind w:firstLine="409" w:firstLineChars="195"/>
        <w:rPr>
          <w:rFonts w:cs="宋体"/>
          <w:color w:val="auto"/>
          <w:szCs w:val="21"/>
          <w:highlight w:val="none"/>
        </w:rPr>
      </w:pPr>
      <w:r>
        <w:rPr>
          <w:rFonts w:hint="eastAsia" w:cs="宋体"/>
          <w:color w:val="auto"/>
          <w:szCs w:val="21"/>
          <w:highlight w:val="none"/>
        </w:rPr>
        <w:t>（7）单价措施项目清单与计价表；</w:t>
      </w:r>
    </w:p>
    <w:p>
      <w:pPr>
        <w:spacing w:line="360" w:lineRule="auto"/>
        <w:ind w:firstLine="409" w:firstLineChars="195"/>
        <w:rPr>
          <w:rFonts w:cs="宋体"/>
          <w:color w:val="auto"/>
          <w:szCs w:val="21"/>
          <w:highlight w:val="none"/>
        </w:rPr>
      </w:pPr>
      <w:r>
        <w:rPr>
          <w:rFonts w:hint="eastAsia" w:cs="宋体"/>
          <w:color w:val="auto"/>
          <w:szCs w:val="21"/>
          <w:highlight w:val="none"/>
        </w:rPr>
        <w:t>（8）总价措施项目清单与计价表；</w:t>
      </w:r>
    </w:p>
    <w:p>
      <w:pPr>
        <w:spacing w:line="360" w:lineRule="auto"/>
        <w:ind w:firstLine="409" w:firstLineChars="195"/>
        <w:rPr>
          <w:rFonts w:cs="宋体"/>
          <w:color w:val="auto"/>
          <w:szCs w:val="21"/>
          <w:highlight w:val="none"/>
        </w:rPr>
      </w:pPr>
      <w:r>
        <w:rPr>
          <w:rFonts w:hint="eastAsia" w:cs="宋体"/>
          <w:color w:val="auto"/>
          <w:szCs w:val="21"/>
          <w:highlight w:val="none"/>
        </w:rPr>
        <w:t>（9）综合单价分析表；</w:t>
      </w:r>
    </w:p>
    <w:p>
      <w:pPr>
        <w:spacing w:line="360" w:lineRule="auto"/>
        <w:ind w:firstLine="409" w:firstLineChars="195"/>
        <w:rPr>
          <w:rFonts w:cs="宋体"/>
          <w:color w:val="auto"/>
          <w:szCs w:val="21"/>
          <w:highlight w:val="none"/>
        </w:rPr>
      </w:pPr>
      <w:r>
        <w:rPr>
          <w:rFonts w:hint="eastAsia" w:cs="宋体"/>
          <w:color w:val="auto"/>
          <w:szCs w:val="21"/>
          <w:highlight w:val="none"/>
        </w:rPr>
        <w:t>（10）其他项目清单与计价汇总表；</w:t>
      </w:r>
    </w:p>
    <w:p>
      <w:pPr>
        <w:spacing w:line="360" w:lineRule="auto"/>
        <w:ind w:firstLine="409" w:firstLineChars="195"/>
        <w:rPr>
          <w:rFonts w:cs="宋体"/>
          <w:color w:val="auto"/>
          <w:szCs w:val="21"/>
          <w:highlight w:val="none"/>
        </w:rPr>
      </w:pPr>
      <w:r>
        <w:rPr>
          <w:rFonts w:hint="eastAsia" w:cs="宋体"/>
          <w:color w:val="auto"/>
          <w:szCs w:val="21"/>
          <w:highlight w:val="none"/>
        </w:rPr>
        <w:t>（11）暂列金额明细表；</w:t>
      </w:r>
    </w:p>
    <w:p>
      <w:pPr>
        <w:spacing w:line="360" w:lineRule="auto"/>
        <w:ind w:firstLine="409" w:firstLineChars="195"/>
        <w:rPr>
          <w:rFonts w:cs="宋体"/>
          <w:color w:val="auto"/>
          <w:szCs w:val="21"/>
          <w:highlight w:val="none"/>
        </w:rPr>
      </w:pPr>
      <w:r>
        <w:rPr>
          <w:rFonts w:hint="eastAsia" w:cs="宋体"/>
          <w:color w:val="auto"/>
          <w:szCs w:val="21"/>
          <w:highlight w:val="none"/>
        </w:rPr>
        <w:t>（12）材料（工程设备）暂估价明细表；</w:t>
      </w:r>
    </w:p>
    <w:p>
      <w:pPr>
        <w:spacing w:line="360" w:lineRule="auto"/>
        <w:ind w:firstLine="409" w:firstLineChars="195"/>
        <w:rPr>
          <w:rFonts w:cs="宋体"/>
          <w:color w:val="auto"/>
          <w:szCs w:val="21"/>
          <w:highlight w:val="none"/>
        </w:rPr>
      </w:pPr>
      <w:r>
        <w:rPr>
          <w:rFonts w:hint="eastAsia" w:cs="宋体"/>
          <w:color w:val="auto"/>
          <w:szCs w:val="21"/>
          <w:highlight w:val="none"/>
        </w:rPr>
        <w:t>（13）专业工程暂估价明细表；</w:t>
      </w:r>
    </w:p>
    <w:p>
      <w:pPr>
        <w:spacing w:line="360" w:lineRule="auto"/>
        <w:ind w:firstLine="409" w:firstLineChars="195"/>
        <w:rPr>
          <w:rFonts w:cs="宋体"/>
          <w:color w:val="auto"/>
          <w:szCs w:val="21"/>
          <w:highlight w:val="none"/>
        </w:rPr>
      </w:pPr>
      <w:r>
        <w:rPr>
          <w:rFonts w:hint="eastAsia" w:cs="宋体"/>
          <w:color w:val="auto"/>
          <w:szCs w:val="21"/>
          <w:highlight w:val="none"/>
        </w:rPr>
        <w:t>（14）计日工表；</w:t>
      </w:r>
    </w:p>
    <w:p>
      <w:pPr>
        <w:spacing w:line="360" w:lineRule="auto"/>
        <w:ind w:firstLine="409" w:firstLineChars="195"/>
        <w:rPr>
          <w:rFonts w:cs="宋体"/>
          <w:color w:val="auto"/>
          <w:szCs w:val="21"/>
          <w:highlight w:val="none"/>
        </w:rPr>
      </w:pPr>
      <w:r>
        <w:rPr>
          <w:rFonts w:hint="eastAsia" w:cs="宋体"/>
          <w:color w:val="auto"/>
          <w:szCs w:val="21"/>
          <w:highlight w:val="none"/>
        </w:rPr>
        <w:t>（15）总承包服务计价表；</w:t>
      </w:r>
    </w:p>
    <w:p>
      <w:pPr>
        <w:spacing w:line="360" w:lineRule="auto"/>
        <w:ind w:firstLine="409" w:firstLineChars="195"/>
        <w:rPr>
          <w:rFonts w:cs="宋体"/>
          <w:color w:val="auto"/>
          <w:szCs w:val="21"/>
          <w:highlight w:val="none"/>
        </w:rPr>
      </w:pPr>
      <w:r>
        <w:rPr>
          <w:rFonts w:hint="eastAsia" w:cs="宋体"/>
          <w:color w:val="auto"/>
          <w:szCs w:val="21"/>
          <w:highlight w:val="none"/>
        </w:rPr>
        <w:t>（16）规费和税金项目计价表；</w:t>
      </w:r>
    </w:p>
    <w:p>
      <w:pPr>
        <w:spacing w:line="360" w:lineRule="auto"/>
        <w:ind w:firstLine="409" w:firstLineChars="195"/>
        <w:rPr>
          <w:rFonts w:cs="宋体"/>
          <w:color w:val="auto"/>
          <w:szCs w:val="21"/>
          <w:highlight w:val="none"/>
        </w:rPr>
      </w:pPr>
      <w:r>
        <w:rPr>
          <w:rFonts w:hint="eastAsia" w:cs="宋体"/>
          <w:color w:val="auto"/>
          <w:szCs w:val="21"/>
          <w:highlight w:val="none"/>
        </w:rPr>
        <w:t>（17）人工、主要材料和设备一览表</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11.3.3按照</w:t>
      </w:r>
      <w:r>
        <w:rPr>
          <w:rFonts w:hint="eastAsia" w:cs="宋体"/>
          <w:bCs/>
          <w:color w:val="auto"/>
          <w:szCs w:val="21"/>
          <w:highlight w:val="none"/>
        </w:rPr>
        <w:t>招标文件要求</w:t>
      </w:r>
      <w:r>
        <w:rPr>
          <w:rFonts w:hint="eastAsia" w:cs="宋体"/>
          <w:color w:val="auto"/>
          <w:szCs w:val="21"/>
          <w:highlight w:val="none"/>
        </w:rPr>
        <w:t>填写的《参与编制经济标投标文件人员名单》。</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现文：</w:t>
      </w:r>
      <w:r>
        <w:rPr>
          <w:rFonts w:hint="eastAsia" w:cs="宋体"/>
          <w:bCs/>
          <w:color w:val="auto"/>
          <w:szCs w:val="21"/>
          <w:highlight w:val="none"/>
        </w:rPr>
        <w:t>11.3 经济标投标文件主要包括下列内容：</w:t>
      </w:r>
    </w:p>
    <w:p>
      <w:pPr>
        <w:pBdr>
          <w:bottom w:val="single" w:color="auto" w:sz="6" w:space="1"/>
        </w:pBdr>
        <w:adjustRightInd w:val="0"/>
        <w:spacing w:line="360" w:lineRule="auto"/>
        <w:ind w:firstLine="409" w:firstLineChars="195"/>
        <w:textAlignment w:val="baseline"/>
        <w:rPr>
          <w:rFonts w:cs="宋体"/>
          <w:color w:val="auto"/>
          <w:szCs w:val="21"/>
          <w:highlight w:val="none"/>
        </w:rPr>
      </w:pPr>
      <w:r>
        <w:rPr>
          <w:rFonts w:hint="eastAsia" w:cs="宋体"/>
          <w:color w:val="auto"/>
          <w:szCs w:val="21"/>
          <w:highlight w:val="none"/>
        </w:rPr>
        <w:t>11.3.1</w:t>
      </w:r>
      <w:r>
        <w:rPr>
          <w:rFonts w:hint="eastAsia" w:cs="宋体"/>
          <w:color w:val="auto"/>
          <w:szCs w:val="21"/>
          <w:highlight w:val="none"/>
          <w:u w:val="single"/>
        </w:rPr>
        <w:t>广州建设工程施工招标投标书(需按招标文件第四章要求的格式填写，具体格式以《广州建设工程施工招标投标书（经济标）》为准；电子投标管理软件编制的“广州建设工程施工招标投标书”不作为否决投标的条件，投标人采用电子投标管理软件编制“广州建设工程施工招标投标书”时无法填写“项目编号”的可以不填写，没有填写“项目编号”也不作为否决投标的条件)；</w:t>
      </w:r>
    </w:p>
    <w:p>
      <w:pPr>
        <w:pBdr>
          <w:bottom w:val="single" w:color="auto" w:sz="6" w:space="1"/>
        </w:pBdr>
        <w:adjustRightInd w:val="0"/>
        <w:spacing w:line="360" w:lineRule="auto"/>
        <w:ind w:firstLine="409" w:firstLineChars="195"/>
        <w:textAlignment w:val="baseline"/>
        <w:rPr>
          <w:rFonts w:cs="宋体"/>
          <w:color w:val="auto"/>
          <w:szCs w:val="21"/>
          <w:highlight w:val="none"/>
        </w:rPr>
      </w:pPr>
      <w:r>
        <w:rPr>
          <w:rFonts w:hint="eastAsia"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企业定额、施工现场情况和投标时拟定的施工组织设计或者施工方案，结合企业成本、市场价格以及招标文件中载明的风险内容和范围等编制</w:t>
      </w:r>
      <w:r>
        <w:rPr>
          <w:rFonts w:hint="eastAsia"/>
          <w:color w:val="auto"/>
          <w:szCs w:val="21"/>
          <w:highlight w:val="none"/>
          <w:u w:val="single"/>
        </w:rPr>
        <w:t>（投标报价的工程量清单的组成、格式等按广州公共资源交易中心的投标文件管理软件自动生成）</w:t>
      </w:r>
      <w:r>
        <w:rPr>
          <w:rFonts w:hint="eastAsia" w:cs="宋体"/>
          <w:color w:val="auto"/>
          <w:szCs w:val="21"/>
          <w:highlight w:val="none"/>
        </w:rPr>
        <w:t>。其中包括如下：</w:t>
      </w:r>
    </w:p>
    <w:p>
      <w:pPr>
        <w:tabs>
          <w:tab w:val="left" w:pos="1125"/>
        </w:tabs>
        <w:spacing w:line="360" w:lineRule="auto"/>
        <w:ind w:firstLine="420" w:firstLineChars="200"/>
        <w:rPr>
          <w:color w:val="auto"/>
          <w:szCs w:val="21"/>
          <w:highlight w:val="none"/>
          <w:u w:val="single"/>
        </w:rPr>
      </w:pPr>
      <w:r>
        <w:rPr>
          <w:rFonts w:hint="eastAsia"/>
          <w:color w:val="auto"/>
          <w:szCs w:val="21"/>
          <w:highlight w:val="none"/>
          <w:u w:val="single"/>
        </w:rPr>
        <w:t>11.3.3按照</w:t>
      </w:r>
      <w:r>
        <w:rPr>
          <w:rFonts w:hint="eastAsia"/>
          <w:bCs/>
          <w:color w:val="auto"/>
          <w:szCs w:val="21"/>
          <w:highlight w:val="none"/>
          <w:u w:val="single"/>
        </w:rPr>
        <w:t>招标文件要求</w:t>
      </w:r>
      <w:r>
        <w:rPr>
          <w:rFonts w:hint="eastAsia"/>
          <w:color w:val="auto"/>
          <w:szCs w:val="21"/>
          <w:highlight w:val="none"/>
          <w:u w:val="single"/>
        </w:rPr>
        <w:t>填写的《参与编制经济标投标文件人员名单》。</w:t>
      </w:r>
    </w:p>
    <w:p>
      <w:pPr>
        <w:tabs>
          <w:tab w:val="left" w:pos="1125"/>
        </w:tabs>
        <w:spacing w:line="360" w:lineRule="auto"/>
        <w:ind w:firstLine="420" w:firstLineChars="200"/>
        <w:rPr>
          <w:bCs/>
          <w:color w:val="auto"/>
          <w:szCs w:val="21"/>
          <w:highlight w:val="none"/>
          <w:u w:val="single"/>
        </w:rPr>
      </w:pPr>
      <w:r>
        <w:rPr>
          <w:rFonts w:hint="eastAsia"/>
          <w:bCs/>
          <w:color w:val="auto"/>
          <w:szCs w:val="21"/>
          <w:highlight w:val="none"/>
          <w:u w:val="single"/>
        </w:rPr>
        <w:t>11.3.4 《对投标文件编制的承诺》。</w:t>
      </w:r>
    </w:p>
    <w:p>
      <w:pPr>
        <w:pBdr>
          <w:bottom w:val="single" w:color="auto" w:sz="6" w:space="1"/>
        </w:pBdr>
        <w:adjustRightInd w:val="0"/>
        <w:spacing w:line="360" w:lineRule="auto"/>
        <w:ind w:firstLine="409" w:firstLineChars="195"/>
        <w:textAlignment w:val="baseline"/>
        <w:rPr>
          <w:rFonts w:cs="宋体"/>
          <w:color w:val="auto"/>
          <w:szCs w:val="21"/>
          <w:highlight w:val="none"/>
        </w:rPr>
      </w:pPr>
      <w:r>
        <w:rPr>
          <w:rFonts w:hint="eastAsia" w:cs="宋体"/>
          <w:color w:val="auto"/>
          <w:szCs w:val="21"/>
          <w:highlight w:val="none"/>
        </w:rPr>
        <w:t>11.3.5若投标人的投标报价低于工程成本警戒价的，投标人还须提供详细的施工组织设计、单价、措施性费用、单价分析表、主要材料价格表、投标人成本分析供评标委员会评审。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09" w:firstLineChars="195"/>
        <w:textAlignment w:val="baseline"/>
        <w:rPr>
          <w:rFonts w:cs="宋体"/>
          <w:color w:val="auto"/>
          <w:szCs w:val="21"/>
          <w:highlight w:val="none"/>
          <w:u w:val="single"/>
        </w:rPr>
      </w:pPr>
      <w:r>
        <w:rPr>
          <w:rFonts w:hint="eastAsia" w:cs="宋体"/>
          <w:color w:val="auto"/>
          <w:szCs w:val="21"/>
          <w:highlight w:val="none"/>
          <w:u w:val="single"/>
        </w:rPr>
        <w:t>11.3.6投标人认为应提供的其他资料。</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条款号：12.2                        修改类型：修改</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12.2投标文件全部采用电子文档，投标文件所附证书证件均为原件扫描件，并采用单位数字证书，按招标文件要求在相应位置加盖电子印章。</w:t>
      </w:r>
      <w:r>
        <w:rPr>
          <w:rFonts w:hint="eastAsia" w:cs="宋体"/>
          <w:b/>
          <w:color w:val="auto"/>
          <w:szCs w:val="21"/>
          <w:highlight w:val="none"/>
        </w:rPr>
        <w:t>投标文件中需个人签字或盖章的，应在线下完成后扫描上传</w:t>
      </w:r>
      <w:r>
        <w:rPr>
          <w:rFonts w:hint="eastAsia" w:cs="宋体"/>
          <w:color w:val="auto"/>
          <w:szCs w:val="21"/>
          <w:highlight w:val="none"/>
        </w:rPr>
        <w:t>。按照交易平台关于全流程电子化项目的相关指南进行操作。详见： 。</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12.2投标文件全部采用电子文档，投标文件所附证书证件均为原件扫描件，并采用单位数字证书，按招标文件要求在相应位置加盖电子印章。投标文件中需个人签字或盖章的，</w:t>
      </w:r>
      <w:r>
        <w:rPr>
          <w:rFonts w:hint="eastAsia" w:cs="宋体"/>
          <w:color w:val="auto"/>
          <w:szCs w:val="21"/>
          <w:highlight w:val="none"/>
          <w:u w:val="single"/>
        </w:rPr>
        <w:t>应加盖个人电子印章或在线下完成后扫描上传。</w:t>
      </w:r>
      <w:r>
        <w:rPr>
          <w:rFonts w:hint="eastAsia" w:cs="宋体"/>
          <w:color w:val="auto"/>
          <w:szCs w:val="21"/>
          <w:highlight w:val="none"/>
        </w:rPr>
        <w:t>按照交易平台关于全流程电子化项目的相关指南进行操作。详见：</w:t>
      </w:r>
      <w:r>
        <w:rPr>
          <w:rFonts w:hint="eastAsia" w:cs="宋体"/>
          <w:color w:val="auto"/>
          <w:szCs w:val="21"/>
          <w:highlight w:val="none"/>
          <w:u w:val="single"/>
        </w:rPr>
        <w:t>《房屋建筑和市政基础设施工程全流程电子化项目专章》</w:t>
      </w:r>
      <w:r>
        <w:rPr>
          <w:rFonts w:hint="eastAsia" w:cs="宋体"/>
          <w:color w:val="auto"/>
          <w:szCs w:val="21"/>
          <w:highlight w:val="none"/>
        </w:rPr>
        <w:t>。</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条款号：12.3                        修改类型：修改</w:t>
      </w:r>
    </w:p>
    <w:p>
      <w:pPr>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12.3投标文件应按照交易平台关于全流程电子化项目的相关指南进行编制，详见：。</w:t>
      </w:r>
    </w:p>
    <w:p>
      <w:pPr>
        <w:spacing w:line="360" w:lineRule="auto"/>
        <w:ind w:firstLine="409" w:firstLineChars="195"/>
        <w:textAlignment w:val="baseline"/>
        <w:rPr>
          <w:rFonts w:cs="宋体"/>
          <w:b/>
          <w:color w:val="auto"/>
          <w:szCs w:val="21"/>
          <w:highlight w:val="none"/>
        </w:rPr>
      </w:pPr>
      <w:r>
        <w:rPr>
          <w:rFonts w:hint="eastAsia" w:cs="宋体"/>
          <w:bCs/>
          <w:color w:val="auto"/>
          <w:szCs w:val="21"/>
          <w:highlight w:val="none"/>
        </w:rPr>
        <w:t>如不按上述要求编制引起系统无法检索、读取相关信息的，其后果由投标人承担。</w:t>
      </w:r>
    </w:p>
    <w:p>
      <w:pPr>
        <w:pBdr>
          <w:bottom w:val="single" w:color="auto" w:sz="6" w:space="1"/>
        </w:pBdr>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12.3</w:t>
      </w:r>
      <w:r>
        <w:rPr>
          <w:rFonts w:hint="eastAsia" w:cs="宋体"/>
          <w:bCs/>
          <w:color w:val="auto"/>
          <w:szCs w:val="21"/>
          <w:highlight w:val="none"/>
        </w:rPr>
        <w:t>投标文件应按</w:t>
      </w:r>
      <w:r>
        <w:rPr>
          <w:rFonts w:hint="eastAsia" w:cs="宋体"/>
          <w:color w:val="auto"/>
          <w:szCs w:val="21"/>
          <w:highlight w:val="none"/>
        </w:rPr>
        <w:t>照</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交易平台关于全流程电子化项目的相关指南进行编制，详见：</w:t>
      </w:r>
      <w:r>
        <w:rPr>
          <w:rFonts w:hint="eastAsia" w:cs="宋体"/>
          <w:color w:val="auto"/>
          <w:szCs w:val="21"/>
          <w:highlight w:val="none"/>
          <w:u w:val="single"/>
        </w:rPr>
        <w:t>《房屋建筑和市政基础设施工程全流程电子化项目专章》</w:t>
      </w:r>
      <w:r>
        <w:rPr>
          <w:rFonts w:hint="eastAsia" w:cs="宋体"/>
          <w:color w:val="auto"/>
          <w:szCs w:val="21"/>
          <w:highlight w:val="none"/>
        </w:rPr>
        <w:t>。</w:t>
      </w:r>
    </w:p>
    <w:p>
      <w:pPr>
        <w:pBdr>
          <w:bottom w:val="single" w:color="auto" w:sz="6" w:space="1"/>
        </w:pBdr>
        <w:spacing w:line="360" w:lineRule="auto"/>
        <w:ind w:firstLine="409" w:firstLineChars="195"/>
        <w:textAlignment w:val="baseline"/>
        <w:rPr>
          <w:rFonts w:cs="宋体"/>
          <w:b/>
          <w:color w:val="auto"/>
          <w:szCs w:val="21"/>
          <w:highlight w:val="none"/>
        </w:rPr>
      </w:pPr>
      <w:r>
        <w:rPr>
          <w:rFonts w:hint="eastAsia" w:cs="宋体"/>
          <w:bCs/>
          <w:color w:val="auto"/>
          <w:szCs w:val="21"/>
          <w:highlight w:val="none"/>
        </w:rPr>
        <w:t>如不按上述要求编制引起系统无法检索、读取相关信息的，其后果由投标人承担。</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条款号：13.1                        修改类型：修改</w:t>
      </w:r>
    </w:p>
    <w:p>
      <w:pPr>
        <w:pBdr>
          <w:bottom w:val="single" w:color="auto" w:sz="6" w:space="1"/>
        </w:pBdr>
        <w:spacing w:line="360" w:lineRule="auto"/>
        <w:ind w:firstLine="411" w:firstLineChars="195"/>
        <w:rPr>
          <w:rFonts w:cs="宋体"/>
          <w:color w:val="auto"/>
          <w:szCs w:val="21"/>
          <w:highlight w:val="none"/>
          <w:u w:val="single"/>
        </w:rPr>
      </w:pPr>
      <w:r>
        <w:rPr>
          <w:rFonts w:hint="eastAsia" w:cs="宋体"/>
          <w:b/>
          <w:color w:val="auto"/>
          <w:szCs w:val="21"/>
          <w:highlight w:val="none"/>
        </w:rPr>
        <w:t>原文：</w:t>
      </w:r>
      <w:r>
        <w:rPr>
          <w:rFonts w:hint="eastAsia" w:cs="宋体"/>
          <w:color w:val="auto"/>
          <w:szCs w:val="21"/>
          <w:highlight w:val="none"/>
        </w:rPr>
        <w:t>13.1本工程的投标报价采用投标须知前附表第12项所规定的方式。投标报价（含单价及总价）精确到“分”。</w:t>
      </w:r>
    </w:p>
    <w:p>
      <w:pPr>
        <w:pBdr>
          <w:bottom w:val="single" w:color="auto" w:sz="6" w:space="1"/>
        </w:pBdr>
        <w:spacing w:line="360" w:lineRule="auto"/>
        <w:ind w:firstLine="411" w:firstLineChars="195"/>
        <w:rPr>
          <w:rFonts w:hint="eastAsia" w:eastAsia="宋体" w:cs="宋体"/>
          <w:color w:val="auto"/>
          <w:szCs w:val="21"/>
          <w:highlight w:val="none"/>
          <w:lang w:eastAsia="zh-CN"/>
        </w:rPr>
      </w:pPr>
      <w:r>
        <w:rPr>
          <w:rFonts w:hint="eastAsia" w:cs="宋体"/>
          <w:b/>
          <w:color w:val="auto"/>
          <w:szCs w:val="21"/>
          <w:highlight w:val="none"/>
        </w:rPr>
        <w:t>现文：</w:t>
      </w:r>
      <w:r>
        <w:rPr>
          <w:rFonts w:hint="eastAsia" w:cs="宋体"/>
          <w:color w:val="auto"/>
          <w:szCs w:val="21"/>
          <w:highlight w:val="none"/>
        </w:rPr>
        <w:t>13.1采用投标须知前附表第12项所规定的方式。投标文件中的大写金额和小写金额不一致的，以大写金额为准，投标报价（含单价及总价）精确到“分”。本项目实行双限价。投标人的投标总报价或分部分项综合单价超过招标人公布的最高投标限价或分部分项综合单价限价的投标文件将被拒绝。</w:t>
      </w:r>
      <w:r>
        <w:rPr>
          <w:rFonts w:hint="eastAsia" w:cs="宋体"/>
          <w:color w:val="auto"/>
          <w:szCs w:val="21"/>
          <w:highlight w:val="none"/>
          <w:lang w:eastAsia="zh-CN"/>
        </w:rPr>
        <w:t>。</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条款号：13.3                        修改类型：修改</w:t>
      </w:r>
    </w:p>
    <w:p>
      <w:pPr>
        <w:spacing w:line="360" w:lineRule="auto"/>
        <w:ind w:firstLine="411" w:firstLineChars="195"/>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w:t>
      </w:r>
      <w:r>
        <w:rPr>
          <w:rFonts w:hint="eastAsia" w:cs="宋体"/>
          <w:color w:val="auto"/>
          <w:szCs w:val="21"/>
          <w:highlight w:val="none"/>
          <w:u w:val="single"/>
        </w:rPr>
        <w:t>（含招标的相关资料）</w:t>
      </w:r>
      <w:r>
        <w:rPr>
          <w:rFonts w:hint="eastAsia" w:cs="宋体"/>
          <w:color w:val="auto"/>
          <w:szCs w:val="21"/>
          <w:highlight w:val="none"/>
        </w:rPr>
        <w:t>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条款号：13.4                         修改类型：修改</w:t>
      </w:r>
    </w:p>
    <w:p>
      <w:pPr>
        <w:pStyle w:val="5"/>
        <w:spacing w:after="0" w:line="360" w:lineRule="auto"/>
        <w:ind w:firstLine="392"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411" w:firstLineChars="195"/>
        <w:rPr>
          <w:rFonts w:hint="eastAsia" w:cs="宋体"/>
          <w:color w:val="auto"/>
          <w:szCs w:val="21"/>
          <w:highlight w:val="none"/>
          <w:u w:val="single"/>
        </w:rPr>
      </w:pPr>
      <w:r>
        <w:rPr>
          <w:rFonts w:hint="eastAsia" w:cs="宋体"/>
          <w:b/>
          <w:color w:val="auto"/>
          <w:szCs w:val="21"/>
          <w:highlight w:val="none"/>
        </w:rPr>
        <w:t>现文：</w:t>
      </w:r>
      <w:r>
        <w:rPr>
          <w:rFonts w:hint="eastAsia" w:cs="宋体"/>
          <w:color w:val="auto"/>
          <w:szCs w:val="21"/>
          <w:highlight w:val="none"/>
        </w:rPr>
        <w:t>13.4投标人一旦中标，投标人对招标人提供的招标工程量清单中列出的工程项目所报出的综合单价</w:t>
      </w:r>
      <w:r>
        <w:rPr>
          <w:rFonts w:hint="eastAsia" w:cs="宋体"/>
          <w:color w:val="auto"/>
          <w:szCs w:val="21"/>
          <w:highlight w:val="none"/>
          <w:u w:val="single"/>
        </w:rPr>
        <w:t>和措施项目费在工程结算时，按合同条款相关约定调整。</w:t>
      </w:r>
    </w:p>
    <w:p>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条款号：13.5  13.5.1  13.5.2  13.5.3  13.5.4             修改类型：修改</w:t>
      </w:r>
    </w:p>
    <w:p>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13.5工程项目实施期间……，中标后双方协商约定。</w:t>
      </w:r>
    </w:p>
    <w:p>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变更结算方式按招标文件及施工合同相关规定执行。</w:t>
      </w:r>
    </w:p>
    <w:p>
      <w:pPr>
        <w:keepNext/>
        <w:keepLines/>
        <w:spacing w:line="416" w:lineRule="auto"/>
        <w:outlineLvl w:val="9"/>
        <w:rPr>
          <w:color w:val="auto"/>
          <w:highlight w:val="none"/>
        </w:rPr>
      </w:pPr>
    </w:p>
    <w:p>
      <w:pPr>
        <w:spacing w:line="360" w:lineRule="auto"/>
        <w:ind w:firstLine="422" w:firstLineChars="200"/>
        <w:rPr>
          <w:rFonts w:cs="宋体"/>
          <w:b/>
          <w:color w:val="auto"/>
          <w:szCs w:val="21"/>
          <w:highlight w:val="none"/>
        </w:rPr>
      </w:pPr>
      <w:r>
        <w:rPr>
          <w:rFonts w:hint="eastAsia" w:cs="宋体"/>
          <w:b/>
          <w:color w:val="auto"/>
          <w:szCs w:val="21"/>
          <w:highlight w:val="none"/>
        </w:rPr>
        <w:t>条款号：16.1-16.5                        修改类型：删除</w:t>
      </w:r>
    </w:p>
    <w:p>
      <w:pPr>
        <w:spacing w:line="360" w:lineRule="auto"/>
        <w:ind w:firstLine="422" w:firstLineChars="200"/>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pPr>
        <w:spacing w:line="360" w:lineRule="auto"/>
        <w:ind w:firstLine="420" w:firstLineChars="200"/>
        <w:rPr>
          <w:rFonts w:cs="宋体"/>
          <w:color w:val="auto"/>
          <w:szCs w:val="21"/>
          <w:highlight w:val="none"/>
        </w:rPr>
      </w:pPr>
      <w:r>
        <w:rPr>
          <w:rFonts w:hint="eastAsia" w:cs="宋体"/>
          <w:color w:val="auto"/>
          <w:szCs w:val="21"/>
          <w:highlight w:val="none"/>
        </w:rPr>
        <w:t>16.1.1 采用现金或者支票形式提交的，投标保证金须从投标人的银行基本账户转出。</w:t>
      </w:r>
    </w:p>
    <w:p>
      <w:pPr>
        <w:spacing w:line="360" w:lineRule="auto"/>
        <w:ind w:firstLine="420" w:firstLineChars="200"/>
        <w:rPr>
          <w:rFonts w:cs="宋体"/>
          <w:color w:val="auto"/>
          <w:szCs w:val="21"/>
          <w:highlight w:val="none"/>
        </w:rPr>
      </w:pPr>
      <w:r>
        <w:rPr>
          <w:rFonts w:hint="eastAsia"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rFonts w:cs="宋体"/>
          <w:color w:val="auto"/>
          <w:szCs w:val="21"/>
          <w:highlight w:val="none"/>
        </w:rPr>
      </w:pPr>
      <w:r>
        <w:rPr>
          <w:rFonts w:hint="eastAsia" w:cs="宋体"/>
          <w:color w:val="auto"/>
          <w:szCs w:val="21"/>
          <w:highlight w:val="none"/>
        </w:rPr>
        <w:t>16.1.3 采用电子形式的保函、担保或保证保险提交投标保证金的，应在招标文件中明确电子递交途径。</w:t>
      </w:r>
    </w:p>
    <w:p>
      <w:pPr>
        <w:spacing w:line="360" w:lineRule="auto"/>
        <w:ind w:firstLine="420" w:firstLineChars="200"/>
        <w:rPr>
          <w:rFonts w:cs="宋体"/>
          <w:color w:val="auto"/>
          <w:szCs w:val="21"/>
          <w:highlight w:val="none"/>
        </w:rPr>
      </w:pPr>
      <w:r>
        <w:rPr>
          <w:rFonts w:hint="eastAsia"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rFonts w:cs="宋体"/>
          <w:color w:val="auto"/>
          <w:szCs w:val="21"/>
          <w:highlight w:val="none"/>
        </w:rPr>
      </w:pPr>
      <w:r>
        <w:rPr>
          <w:rFonts w:hint="eastAsia" w:cs="宋体"/>
          <w:color w:val="auto"/>
          <w:szCs w:val="21"/>
          <w:highlight w:val="none"/>
        </w:rPr>
        <w:t>16.3投标保证金应依据法律法规的相关规定退还。</w:t>
      </w:r>
    </w:p>
    <w:p>
      <w:pPr>
        <w:spacing w:line="360" w:lineRule="auto"/>
        <w:ind w:firstLine="420" w:firstLineChars="200"/>
        <w:rPr>
          <w:rFonts w:cs="宋体"/>
          <w:color w:val="auto"/>
          <w:szCs w:val="21"/>
          <w:highlight w:val="none"/>
        </w:rPr>
      </w:pPr>
      <w:r>
        <w:rPr>
          <w:rFonts w:hint="eastAsia" w:cs="宋体"/>
          <w:color w:val="auto"/>
          <w:szCs w:val="21"/>
          <w:highlight w:val="none"/>
        </w:rPr>
        <w:t>16.4如有下列情况之一的，招标人可以不予退还投标保证金（是否退还投标保证金由招标人在招标文件中规定）：</w:t>
      </w:r>
    </w:p>
    <w:p>
      <w:pPr>
        <w:spacing w:line="360" w:lineRule="auto"/>
        <w:ind w:firstLine="420" w:firstLineChars="200"/>
        <w:rPr>
          <w:rFonts w:cs="宋体"/>
          <w:color w:val="auto"/>
          <w:szCs w:val="21"/>
          <w:highlight w:val="none"/>
        </w:rPr>
      </w:pPr>
      <w:r>
        <w:rPr>
          <w:rFonts w:hint="eastAsia" w:cs="宋体"/>
          <w:color w:val="auto"/>
          <w:szCs w:val="21"/>
          <w:highlight w:val="none"/>
        </w:rPr>
        <w:t>16.4.1因投标人原因造成投标文件未解密的；</w:t>
      </w:r>
    </w:p>
    <w:p>
      <w:pPr>
        <w:spacing w:line="360" w:lineRule="auto"/>
        <w:ind w:firstLine="420" w:firstLineChars="200"/>
        <w:rPr>
          <w:rFonts w:cs="宋体"/>
          <w:color w:val="auto"/>
          <w:szCs w:val="21"/>
          <w:highlight w:val="none"/>
        </w:rPr>
      </w:pPr>
      <w:r>
        <w:rPr>
          <w:rFonts w:hint="eastAsia" w:cs="宋体"/>
          <w:color w:val="auto"/>
          <w:szCs w:val="21"/>
          <w:highlight w:val="none"/>
        </w:rPr>
        <w:t>16.4.2投标人在投标有效期内撤销投标文件；</w:t>
      </w:r>
    </w:p>
    <w:p>
      <w:pPr>
        <w:spacing w:line="360" w:lineRule="auto"/>
        <w:ind w:firstLine="420" w:firstLineChars="200"/>
        <w:rPr>
          <w:rFonts w:cs="宋体"/>
          <w:color w:val="auto"/>
          <w:szCs w:val="21"/>
          <w:highlight w:val="none"/>
        </w:rPr>
      </w:pPr>
      <w:r>
        <w:rPr>
          <w:rFonts w:hint="eastAsia" w:cs="宋体"/>
          <w:color w:val="auto"/>
          <w:szCs w:val="21"/>
          <w:highlight w:val="none"/>
        </w:rPr>
        <w:t>16.4.3中标人未能在规定期限内按要求提交履约担保；</w:t>
      </w:r>
    </w:p>
    <w:p>
      <w:pPr>
        <w:spacing w:line="360" w:lineRule="auto"/>
        <w:ind w:firstLine="420" w:firstLineChars="200"/>
        <w:rPr>
          <w:rFonts w:cs="宋体"/>
          <w:color w:val="auto"/>
          <w:szCs w:val="21"/>
          <w:highlight w:val="none"/>
        </w:rPr>
      </w:pPr>
      <w:r>
        <w:rPr>
          <w:rFonts w:hint="eastAsia" w:cs="宋体"/>
          <w:color w:val="auto"/>
          <w:szCs w:val="21"/>
          <w:highlight w:val="none"/>
        </w:rPr>
        <w:t>16.4.4中标人未能在规定期限内签署合同协议。</w:t>
      </w:r>
    </w:p>
    <w:p>
      <w:pPr>
        <w:spacing w:line="360" w:lineRule="auto"/>
        <w:ind w:firstLine="420" w:firstLineChars="200"/>
        <w:rPr>
          <w:rFonts w:cs="宋体"/>
          <w:color w:val="auto"/>
          <w:szCs w:val="21"/>
          <w:highlight w:val="none"/>
        </w:rPr>
      </w:pPr>
      <w:r>
        <w:rPr>
          <w:rFonts w:hint="eastAsia" w:cs="宋体"/>
          <w:color w:val="auto"/>
          <w:szCs w:val="21"/>
          <w:highlight w:val="none"/>
        </w:rPr>
        <w:t>16.5投标人如存在下列情况之一的，将被拒绝在一定时期内参与招标人后续工程投标（拒绝时限需在招标文件中明确）：</w:t>
      </w:r>
    </w:p>
    <w:p>
      <w:pPr>
        <w:spacing w:line="360" w:lineRule="auto"/>
        <w:ind w:firstLine="420" w:firstLineChars="200"/>
        <w:rPr>
          <w:rFonts w:cs="宋体"/>
          <w:color w:val="auto"/>
          <w:szCs w:val="21"/>
          <w:highlight w:val="none"/>
        </w:rPr>
      </w:pPr>
      <w:r>
        <w:rPr>
          <w:rFonts w:hint="eastAsia" w:cs="宋体"/>
          <w:color w:val="auto"/>
          <w:szCs w:val="21"/>
          <w:highlight w:val="none"/>
        </w:rPr>
        <w:t>16.5.1投标人存在16.4条款所列情形且投标人提交的保函、担保或保证保险无法兑付的；</w:t>
      </w:r>
    </w:p>
    <w:p>
      <w:pPr>
        <w:spacing w:line="360" w:lineRule="auto"/>
        <w:ind w:firstLine="420" w:firstLineChars="200"/>
        <w:rPr>
          <w:rFonts w:cs="宋体"/>
          <w:color w:val="auto"/>
          <w:szCs w:val="21"/>
          <w:highlight w:val="none"/>
        </w:rPr>
      </w:pPr>
      <w:r>
        <w:rPr>
          <w:rFonts w:hint="eastAsia" w:cs="宋体"/>
          <w:color w:val="auto"/>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cs="宋体"/>
          <w:color w:val="auto"/>
          <w:szCs w:val="21"/>
          <w:highlight w:val="none"/>
        </w:rPr>
      </w:pPr>
      <w:r>
        <w:rPr>
          <w:rFonts w:hint="eastAsia" w:cs="宋体"/>
          <w:color w:val="auto"/>
          <w:szCs w:val="21"/>
          <w:highlight w:val="none"/>
        </w:rPr>
        <w:t>16.5.3按招标文件要求免于提供投标保证金的投标人存在16.4条款所列情形，且未按招标人要求补交投标保证金的；</w:t>
      </w:r>
    </w:p>
    <w:p>
      <w:pPr>
        <w:spacing w:line="360" w:lineRule="auto"/>
        <w:ind w:firstLine="420" w:firstLineChars="200"/>
        <w:rPr>
          <w:rFonts w:cs="宋体"/>
          <w:color w:val="auto"/>
          <w:szCs w:val="21"/>
          <w:highlight w:val="none"/>
        </w:rPr>
      </w:pPr>
      <w:r>
        <w:rPr>
          <w:rFonts w:hint="eastAsia" w:cs="宋体"/>
          <w:color w:val="auto"/>
          <w:szCs w:val="21"/>
          <w:highlight w:val="none"/>
        </w:rPr>
        <w:t>16.5.3按招标文件要求免于提供投标保证金的投标人存在16.4条款所列情形的。</w:t>
      </w:r>
    </w:p>
    <w:p>
      <w:pPr>
        <w:pBdr>
          <w:bottom w:val="single" w:color="auto" w:sz="6" w:space="1"/>
        </w:pBdr>
        <w:spacing w:line="360" w:lineRule="auto"/>
        <w:ind w:firstLine="409" w:firstLineChars="195"/>
        <w:rPr>
          <w:rFonts w:cs="宋体"/>
          <w:color w:val="auto"/>
          <w:szCs w:val="21"/>
          <w:highlight w:val="none"/>
        </w:rPr>
      </w:pPr>
      <w:r>
        <w:rPr>
          <w:rFonts w:hint="eastAsia" w:cs="宋体"/>
          <w:color w:val="auto"/>
          <w:szCs w:val="21"/>
          <w:highlight w:val="none"/>
        </w:rPr>
        <w:t>注：16.5.3款由招标人二选一，需在招标文件中明确。</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条款号：17.1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17.1投标人应采用单位数字证书，按招标文件要求在相应位置加盖电子印章。</w:t>
      </w:r>
      <w:r>
        <w:rPr>
          <w:rFonts w:hint="eastAsia" w:cs="宋体"/>
          <w:b/>
          <w:color w:val="auto"/>
          <w:szCs w:val="21"/>
          <w:highlight w:val="none"/>
        </w:rPr>
        <w:t>投标文件中需个人签字或盖章的，应在线下完成后扫描上传</w:t>
      </w:r>
      <w:r>
        <w:rPr>
          <w:rFonts w:hint="eastAsia" w:cs="宋体"/>
          <w:color w:val="auto"/>
          <w:szCs w:val="21"/>
          <w:highlight w:val="none"/>
        </w:rPr>
        <w:t>。按照交易平台关于全流程电子化项目的相关指南进行操作。详见： 。</w:t>
      </w:r>
    </w:p>
    <w:p>
      <w:pPr>
        <w:pBdr>
          <w:bottom w:val="single" w:color="auto" w:sz="6" w:space="1"/>
        </w:pBdr>
        <w:spacing w:line="360" w:lineRule="auto"/>
        <w:ind w:firstLine="411" w:firstLineChars="195"/>
        <w:rPr>
          <w:rFonts w:cs="宋体"/>
          <w:b/>
          <w:color w:val="auto"/>
          <w:szCs w:val="21"/>
          <w:highlight w:val="none"/>
        </w:rPr>
      </w:pPr>
      <w:r>
        <w:rPr>
          <w:rFonts w:hint="eastAsia" w:cs="宋体"/>
          <w:b/>
          <w:color w:val="auto"/>
          <w:szCs w:val="21"/>
          <w:highlight w:val="none"/>
        </w:rPr>
        <w:t>现文：</w:t>
      </w:r>
      <w:r>
        <w:rPr>
          <w:rFonts w:hint="eastAsia" w:cs="宋体"/>
          <w:color w:val="auto"/>
          <w:szCs w:val="21"/>
          <w:highlight w:val="none"/>
        </w:rPr>
        <w:t>17.1投标人应采用单位数字证书，按招标文件要求在相应位置加盖电子印章。投标文件中需个人签字或盖章的，</w:t>
      </w:r>
      <w:r>
        <w:rPr>
          <w:rFonts w:hint="eastAsia" w:cs="宋体"/>
          <w:color w:val="auto"/>
          <w:szCs w:val="21"/>
          <w:highlight w:val="none"/>
          <w:u w:val="single"/>
        </w:rPr>
        <w:t>应加盖个人电子印章或在线下完成后扫描上传</w:t>
      </w:r>
      <w:r>
        <w:rPr>
          <w:rFonts w:hint="eastAsia" w:cs="宋体"/>
          <w:color w:val="auto"/>
          <w:szCs w:val="21"/>
          <w:highlight w:val="none"/>
        </w:rPr>
        <w:t>。按照交易平台关于全流程电子化项目的相关指南进行操作。详见：</w:t>
      </w:r>
      <w:r>
        <w:rPr>
          <w:rFonts w:hint="eastAsia" w:cs="宋体"/>
          <w:color w:val="auto"/>
          <w:szCs w:val="21"/>
          <w:highlight w:val="none"/>
          <w:u w:val="single"/>
        </w:rPr>
        <w:t>《房屋建筑和市政基础设施工程全流程电子化项目专章》</w:t>
      </w:r>
      <w:r>
        <w:rPr>
          <w:rFonts w:hint="eastAsia" w:cs="宋体"/>
          <w:color w:val="auto"/>
          <w:szCs w:val="21"/>
          <w:highlight w:val="none"/>
        </w:rPr>
        <w:t>。</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条款号：18.1                        修改类型：修改</w:t>
      </w:r>
    </w:p>
    <w:p>
      <w:pPr>
        <w:spacing w:line="360" w:lineRule="auto"/>
        <w:ind w:firstLine="411" w:firstLineChars="195"/>
        <w:rPr>
          <w:rFonts w:cs="宋体"/>
          <w:bCs/>
          <w:color w:val="auto"/>
          <w:szCs w:val="21"/>
          <w:highlight w:val="none"/>
        </w:rPr>
      </w:pPr>
      <w:r>
        <w:rPr>
          <w:rFonts w:hint="eastAsia" w:cs="宋体"/>
          <w:b/>
          <w:color w:val="auto"/>
          <w:szCs w:val="21"/>
          <w:highlight w:val="none"/>
        </w:rPr>
        <w:t>原文：</w:t>
      </w:r>
      <w:r>
        <w:rPr>
          <w:rFonts w:hint="eastAsia" w:cs="宋体"/>
          <w:color w:val="auto"/>
          <w:szCs w:val="21"/>
          <w:highlight w:val="none"/>
        </w:rPr>
        <w:t>18.1</w:t>
      </w:r>
      <w:r>
        <w:rPr>
          <w:rFonts w:hint="eastAsia" w:cs="宋体"/>
          <w:bCs/>
          <w:color w:val="auto"/>
          <w:szCs w:val="21"/>
          <w:highlight w:val="none"/>
        </w:rPr>
        <w:t>递交的电子投标文件（不含备用光盘）必须进行加密。按照交易平台关于</w:t>
      </w:r>
      <w:r>
        <w:rPr>
          <w:rFonts w:hint="eastAsia" w:cs="宋体"/>
          <w:color w:val="auto"/>
          <w:szCs w:val="21"/>
          <w:highlight w:val="none"/>
        </w:rPr>
        <w:t>全流程电子化项目的相关指南进行操作。详见： 。</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18.1</w:t>
      </w:r>
      <w:r>
        <w:rPr>
          <w:rFonts w:hint="eastAsia" w:cs="宋体"/>
          <w:bCs/>
          <w:color w:val="auto"/>
          <w:szCs w:val="21"/>
          <w:highlight w:val="none"/>
        </w:rPr>
        <w:t>递交的电子投标文件（不含备用光盘）必须进行加密。按照</w:t>
      </w:r>
      <w:r>
        <w:rPr>
          <w:rFonts w:hint="eastAsia" w:cs="宋体"/>
          <w:color w:val="auto"/>
          <w:szCs w:val="21"/>
          <w:highlight w:val="none"/>
          <w:u w:val="single"/>
        </w:rPr>
        <w:t>广州交易集团有限公司（广州公共资源交易中心）</w:t>
      </w:r>
      <w:r>
        <w:rPr>
          <w:rFonts w:hint="eastAsia" w:cs="宋体"/>
          <w:bCs/>
          <w:color w:val="auto"/>
          <w:szCs w:val="21"/>
          <w:highlight w:val="none"/>
        </w:rPr>
        <w:t>交易平台关于</w:t>
      </w:r>
      <w:r>
        <w:rPr>
          <w:rFonts w:hint="eastAsia" w:cs="宋体"/>
          <w:color w:val="auto"/>
          <w:szCs w:val="21"/>
          <w:highlight w:val="none"/>
        </w:rPr>
        <w:t>全流程电子化项目的相关指南进行操作。详见：</w:t>
      </w:r>
      <w:r>
        <w:rPr>
          <w:rFonts w:hint="eastAsia" w:cs="宋体"/>
          <w:color w:val="auto"/>
          <w:szCs w:val="21"/>
          <w:highlight w:val="none"/>
          <w:u w:val="single"/>
        </w:rPr>
        <w:t>《房屋建筑和市政基础设施工程全流程电子化项目专章》</w:t>
      </w:r>
      <w:r>
        <w:rPr>
          <w:rFonts w:hint="eastAsia" w:cs="宋体"/>
          <w:color w:val="auto"/>
          <w:szCs w:val="21"/>
          <w:highlight w:val="none"/>
        </w:rPr>
        <w:t>。</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条款号：18.2                       修改类型：修改</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18.2</w:t>
      </w:r>
      <w:r>
        <w:rPr>
          <w:rFonts w:hint="eastAsia" w:cs="宋体"/>
          <w:bCs/>
          <w:color w:val="auto"/>
          <w:szCs w:val="21"/>
          <w:highlight w:val="none"/>
        </w:rPr>
        <w:t>未按要求加密的投标文件，</w:t>
      </w:r>
      <w:r>
        <w:rPr>
          <w:rFonts w:hint="eastAsia" w:cs="宋体"/>
          <w:color w:val="auto"/>
          <w:szCs w:val="21"/>
          <w:highlight w:val="none"/>
        </w:rPr>
        <w:t>交易平台</w:t>
      </w:r>
      <w:r>
        <w:rPr>
          <w:rFonts w:hint="eastAsia" w:cs="宋体"/>
          <w:bCs/>
          <w:color w:val="auto"/>
          <w:szCs w:val="21"/>
          <w:highlight w:val="none"/>
        </w:rPr>
        <w:t>将予以拒收。</w:t>
      </w:r>
    </w:p>
    <w:p>
      <w:pPr>
        <w:pBdr>
          <w:bottom w:val="single" w:color="auto" w:sz="6" w:space="1"/>
        </w:pBdr>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18.2</w:t>
      </w:r>
      <w:r>
        <w:rPr>
          <w:rFonts w:hint="eastAsia" w:cs="宋体"/>
          <w:bCs/>
          <w:color w:val="auto"/>
          <w:szCs w:val="21"/>
          <w:highlight w:val="none"/>
        </w:rPr>
        <w:t>未按要求加密的投标文件，</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w:t>
      </w:r>
      <w:r>
        <w:rPr>
          <w:rFonts w:hint="eastAsia" w:cs="宋体"/>
          <w:bCs/>
          <w:color w:val="auto"/>
          <w:szCs w:val="21"/>
          <w:highlight w:val="none"/>
        </w:rPr>
        <w:t>将予以拒收。</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条款号：19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原文：19.投标文件的递交和接收</w:t>
      </w:r>
    </w:p>
    <w:p>
      <w:pPr>
        <w:pBdr>
          <w:bottom w:val="single" w:color="auto" w:sz="6" w:space="1"/>
        </w:pBdr>
        <w:spacing w:line="360" w:lineRule="auto"/>
        <w:ind w:firstLine="411" w:firstLineChars="195"/>
        <w:rPr>
          <w:rFonts w:cs="宋体"/>
          <w:bCs/>
          <w:color w:val="auto"/>
          <w:szCs w:val="21"/>
          <w:highlight w:val="none"/>
        </w:rPr>
      </w:pPr>
      <w:r>
        <w:rPr>
          <w:rFonts w:hint="eastAsia" w:cs="宋体"/>
          <w:b/>
          <w:color w:val="auto"/>
          <w:szCs w:val="21"/>
          <w:highlight w:val="none"/>
        </w:rPr>
        <w:t>现文：19.</w:t>
      </w:r>
      <w:r>
        <w:rPr>
          <w:rFonts w:hint="eastAsia" w:cs="宋体"/>
          <w:b/>
          <w:color w:val="auto"/>
          <w:szCs w:val="21"/>
          <w:highlight w:val="none"/>
          <w:u w:val="single"/>
        </w:rPr>
        <w:t>投标登记和</w:t>
      </w:r>
      <w:r>
        <w:rPr>
          <w:rFonts w:hint="eastAsia" w:cs="宋体"/>
          <w:b/>
          <w:color w:val="auto"/>
          <w:szCs w:val="21"/>
          <w:highlight w:val="none"/>
        </w:rPr>
        <w:t>投标文件的递交和接收</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条款号：19.1                        修改类型：修改</w:t>
      </w:r>
    </w:p>
    <w:p>
      <w:pPr>
        <w:spacing w:line="360" w:lineRule="auto"/>
        <w:ind w:firstLine="411" w:firstLineChars="195"/>
        <w:rPr>
          <w:rFonts w:cs="宋体"/>
          <w:bCs/>
          <w:color w:val="auto"/>
          <w:szCs w:val="21"/>
          <w:highlight w:val="none"/>
        </w:rPr>
      </w:pPr>
      <w:r>
        <w:rPr>
          <w:rFonts w:hint="eastAsia" w:cs="宋体"/>
          <w:b/>
          <w:color w:val="auto"/>
          <w:szCs w:val="21"/>
          <w:highlight w:val="none"/>
        </w:rPr>
        <w:t>原文：</w:t>
      </w:r>
      <w:r>
        <w:rPr>
          <w:rFonts w:hint="eastAsia" w:cs="宋体"/>
          <w:color w:val="auto"/>
          <w:szCs w:val="21"/>
          <w:highlight w:val="none"/>
        </w:rPr>
        <w:t>19.1</w:t>
      </w:r>
      <w:r>
        <w:rPr>
          <w:rFonts w:hint="eastAsia" w:cs="宋体"/>
          <w:bCs/>
          <w:color w:val="auto"/>
          <w:szCs w:val="21"/>
          <w:highlight w:val="none"/>
        </w:rPr>
        <w:t>投标人通过</w:t>
      </w:r>
      <w:r>
        <w:rPr>
          <w:rFonts w:hint="eastAsia" w:cs="宋体"/>
          <w:color w:val="auto"/>
          <w:szCs w:val="21"/>
          <w:highlight w:val="none"/>
        </w:rPr>
        <w:t>交易平台递交电子投标文件。</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19.1</w:t>
      </w:r>
      <w:r>
        <w:rPr>
          <w:rFonts w:hint="eastAsia" w:cs="宋体"/>
          <w:bCs/>
          <w:color w:val="auto"/>
          <w:szCs w:val="21"/>
          <w:highlight w:val="none"/>
        </w:rPr>
        <w:t>投标人通过</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交易平台递交电子投标文件。</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条款号：19.2                       修改类型：修改</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19.2</w:t>
      </w:r>
      <w:r>
        <w:rPr>
          <w:rFonts w:hint="eastAsia" w:cs="宋体"/>
          <w:bCs/>
          <w:color w:val="auto"/>
          <w:szCs w:val="21"/>
          <w:highlight w:val="none"/>
        </w:rPr>
        <w:t>投标人完成电子</w:t>
      </w:r>
      <w:r>
        <w:rPr>
          <w:rFonts w:hint="eastAsia" w:cs="宋体"/>
          <w:color w:val="auto"/>
          <w:szCs w:val="21"/>
          <w:highlight w:val="none"/>
        </w:rPr>
        <w:t>投标文件</w:t>
      </w:r>
      <w:r>
        <w:rPr>
          <w:rFonts w:hint="eastAsia" w:cs="宋体"/>
          <w:bCs/>
          <w:color w:val="auto"/>
          <w:szCs w:val="21"/>
          <w:highlight w:val="none"/>
        </w:rPr>
        <w:t>上传后，</w:t>
      </w:r>
      <w:r>
        <w:rPr>
          <w:rFonts w:hint="eastAsia" w:cs="宋体"/>
          <w:color w:val="auto"/>
          <w:szCs w:val="21"/>
          <w:highlight w:val="none"/>
        </w:rPr>
        <w:t>交易平台即时向投标人发出递交回执通知。递交时间以递交回执通知载明的传输完成时间为准。</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19.2</w:t>
      </w:r>
      <w:r>
        <w:rPr>
          <w:rFonts w:hint="eastAsia" w:cs="宋体"/>
          <w:bCs/>
          <w:color w:val="auto"/>
          <w:szCs w:val="21"/>
          <w:highlight w:val="none"/>
        </w:rPr>
        <w:t>投标人完成电子</w:t>
      </w:r>
      <w:r>
        <w:rPr>
          <w:rFonts w:hint="eastAsia" w:cs="宋体"/>
          <w:color w:val="auto"/>
          <w:szCs w:val="21"/>
          <w:highlight w:val="none"/>
        </w:rPr>
        <w:t>投标文件</w:t>
      </w:r>
      <w:r>
        <w:rPr>
          <w:rFonts w:hint="eastAsia" w:cs="宋体"/>
          <w:bCs/>
          <w:color w:val="auto"/>
          <w:szCs w:val="21"/>
          <w:highlight w:val="none"/>
        </w:rPr>
        <w:t>上传后，</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交易平台即时向投标人发出递交回执通知。递交时间以递交回执通知载明的传输完成时间为准。</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条款号：19.3                       修改类型：修改</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19.3</w:t>
      </w:r>
      <w:r>
        <w:rPr>
          <w:rFonts w:hint="eastAsia" w:cs="宋体"/>
          <w:bCs/>
          <w:color w:val="auto"/>
          <w:szCs w:val="21"/>
          <w:highlight w:val="none"/>
        </w:rPr>
        <w:t>逾期送达的电子投标文件，</w:t>
      </w:r>
      <w:r>
        <w:rPr>
          <w:rFonts w:hint="eastAsia" w:cs="宋体"/>
          <w:color w:val="auto"/>
          <w:szCs w:val="21"/>
          <w:highlight w:val="none"/>
        </w:rPr>
        <w:t>交易平台将予以拒收。</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19.3</w:t>
      </w:r>
      <w:r>
        <w:rPr>
          <w:rFonts w:hint="eastAsia" w:cs="宋体"/>
          <w:bCs/>
          <w:color w:val="auto"/>
          <w:szCs w:val="21"/>
          <w:highlight w:val="none"/>
        </w:rPr>
        <w:t>逾期送达的电子投标文件，</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交易平台将予以拒收。</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条款号：19.5                       修改类型：修改</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19.5如技术标和经济标先后分别开启，交易平台将按招标文件规定的时间分别开启技术标和经济标。</w:t>
      </w:r>
    </w:p>
    <w:p>
      <w:pPr>
        <w:pBdr>
          <w:bottom w:val="single" w:color="auto" w:sz="6" w:space="1"/>
        </w:pBdr>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19.5</w:t>
      </w:r>
      <w:r>
        <w:rPr>
          <w:rFonts w:hint="eastAsia" w:cs="宋体"/>
          <w:color w:val="auto"/>
          <w:szCs w:val="21"/>
          <w:highlight w:val="none"/>
          <w:u w:val="single"/>
        </w:rPr>
        <w:t>广州交易集团有限公司（广州公共资源交易中心）交易平台将按招标文件规定的时间同时开启技术标（含资格审查文件）和经济标。</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条款号：19.6                       修改类型：删除</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条款号：20.3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20.3到投标截止时间止，招标人收到的投标文件少于3家的，招标人将重新组织招标（当N个标段同时招标且不允许兼中时，若有效投标人不足N+2家，则重新组织招标）。</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20.3</w:t>
      </w:r>
      <w:r>
        <w:rPr>
          <w:rFonts w:hint="eastAsia" w:cs="宋体"/>
          <w:color w:val="auto"/>
          <w:szCs w:val="21"/>
          <w:highlight w:val="none"/>
          <w:u w:val="single"/>
        </w:rPr>
        <w:t>到投标截止时间止，招标人收到的投标文件少于</w:t>
      </w:r>
      <w:r>
        <w:rPr>
          <w:rFonts w:hint="eastAsia" w:cs="宋体"/>
          <w:color w:val="auto"/>
          <w:szCs w:val="21"/>
          <w:highlight w:val="none"/>
          <w:u w:val="single"/>
          <w:lang w:val="en-US" w:eastAsia="zh-CN"/>
        </w:rPr>
        <w:t>7</w:t>
      </w:r>
      <w:r>
        <w:rPr>
          <w:rFonts w:hint="eastAsia" w:cs="宋体"/>
          <w:color w:val="auto"/>
          <w:szCs w:val="21"/>
          <w:highlight w:val="none"/>
          <w:u w:val="single"/>
        </w:rPr>
        <w:t>家的，招标人将重新组织招标。</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条款号：21.1                       修改类型：修改</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21.1本须知前附表第17项规定的投标截止时间</w:t>
      </w:r>
      <w:r>
        <w:rPr>
          <w:rFonts w:hint="eastAsia" w:cs="宋体"/>
          <w:bCs/>
          <w:color w:val="auto"/>
          <w:szCs w:val="21"/>
          <w:highlight w:val="none"/>
        </w:rPr>
        <w:t>后送达的电子投标文件，</w:t>
      </w:r>
      <w:r>
        <w:rPr>
          <w:rFonts w:hint="eastAsia" w:cs="宋体"/>
          <w:color w:val="auto"/>
          <w:szCs w:val="21"/>
          <w:highlight w:val="none"/>
        </w:rPr>
        <w:t>交易平台将予以拒收。</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21.1本须知前附表第17项规定的投标截止时间</w:t>
      </w:r>
      <w:r>
        <w:rPr>
          <w:rFonts w:hint="eastAsia" w:cs="宋体"/>
          <w:bCs/>
          <w:color w:val="auto"/>
          <w:szCs w:val="21"/>
          <w:highlight w:val="none"/>
        </w:rPr>
        <w:t>后送达的电子投标文件，</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交易平台将予以拒收。</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条款号：27.1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27.1招标人将在</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条款号：27.4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27.4在产生中标候选人后，招标人将中标候选人的投标文件商务部分文件的所有内容（包括报价清单、人员、业绩、奖项等资料）在交易平台和广东省招标投标监管网公开。</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27.4在产生中标候选人后，招标人将中标候选人的投标文件商务部分文件的所有内容（</w:t>
      </w:r>
      <w:r>
        <w:rPr>
          <w:rFonts w:hint="eastAsia" w:cs="宋体"/>
          <w:color w:val="auto"/>
          <w:szCs w:val="21"/>
          <w:highlight w:val="none"/>
          <w:u w:val="single"/>
        </w:rPr>
        <w:t>包括人员、业绩、奖项等资料</w:t>
      </w:r>
      <w:r>
        <w:rPr>
          <w:rFonts w:hint="eastAsia" w:cs="宋体"/>
          <w:color w:val="auto"/>
          <w:szCs w:val="21"/>
          <w:highlight w:val="none"/>
        </w:rPr>
        <w:t>）在</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交易平台和广东省招标投标监管网公开。</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条款号：28.3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28.3非经招标人同意，中标人在投标过程中使用的银行名称及帐号至完成竣工结算不得变更，否则招标人有权停止工程款项的</w:t>
      </w:r>
      <w:r>
        <w:rPr>
          <w:rFonts w:hint="eastAsia" w:cs="宋体"/>
          <w:color w:val="auto"/>
          <w:szCs w:val="21"/>
          <w:highlight w:val="none"/>
          <w:u w:val="single"/>
        </w:rPr>
        <w:t>拨付</w:t>
      </w:r>
      <w:r>
        <w:rPr>
          <w:rFonts w:hint="eastAsia" w:cs="宋体"/>
          <w:color w:val="auto"/>
          <w:szCs w:val="21"/>
          <w:highlight w:val="none"/>
        </w:rPr>
        <w:t>及至解除合同，由此造成的一切责任由中标人承担。</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条款号：29.</w:t>
      </w:r>
      <w:r>
        <w:rPr>
          <w:rFonts w:cs="宋体"/>
          <w:b/>
          <w:color w:val="auto"/>
          <w:szCs w:val="21"/>
          <w:highlight w:val="none"/>
        </w:rPr>
        <w:t>1</w:t>
      </w:r>
      <w:r>
        <w:rPr>
          <w:rFonts w:hint="eastAsia" w:cs="宋体"/>
          <w:b/>
          <w:color w:val="auto"/>
          <w:szCs w:val="21"/>
          <w:highlight w:val="none"/>
        </w:rPr>
        <w:t xml:space="preserve">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29.</w:t>
      </w:r>
      <w:r>
        <w:rPr>
          <w:rFonts w:cs="宋体"/>
          <w:color w:val="auto"/>
          <w:szCs w:val="21"/>
          <w:highlight w:val="none"/>
        </w:rPr>
        <w:t>1</w:t>
      </w:r>
      <w:r>
        <w:rPr>
          <w:rFonts w:hint="eastAsia" w:cs="宋体"/>
          <w:color w:val="auto"/>
          <w:szCs w:val="21"/>
          <w:highlight w:val="none"/>
        </w:rPr>
        <w:t>在收到中标通知书后的</w:t>
      </w:r>
      <w:r>
        <w:rPr>
          <w:rFonts w:cs="宋体"/>
          <w:color w:val="auto"/>
          <w:szCs w:val="21"/>
          <w:highlight w:val="none"/>
        </w:rPr>
        <w:t>15</w:t>
      </w:r>
      <w:r>
        <w:rPr>
          <w:rFonts w:hint="eastAsia" w:cs="宋体"/>
          <w:color w:val="auto"/>
          <w:szCs w:val="21"/>
          <w:highlight w:val="none"/>
        </w:rPr>
        <w:t>日内，中标人应按本须知前附表第</w:t>
      </w:r>
      <w:r>
        <w:rPr>
          <w:rFonts w:cs="宋体"/>
          <w:color w:val="auto"/>
          <w:szCs w:val="21"/>
          <w:highlight w:val="none"/>
        </w:rPr>
        <w:t>2</w:t>
      </w:r>
      <w:r>
        <w:rPr>
          <w:rFonts w:hint="eastAsia" w:cs="宋体"/>
          <w:color w:val="auto"/>
          <w:szCs w:val="21"/>
          <w:highlight w:val="none"/>
        </w:rPr>
        <w:t>0项的规定向招标人提交履约担保；如果中标人的履约担保是以银行保函的形式提供，则该银行保函应由在中国注册且营业地点在广州行政辖区内的银行开具。</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：29.</w:t>
      </w:r>
      <w:r>
        <w:rPr>
          <w:rFonts w:cs="宋体"/>
          <w:color w:val="auto"/>
          <w:szCs w:val="21"/>
          <w:highlight w:val="none"/>
        </w:rPr>
        <w:t>1</w:t>
      </w:r>
      <w:r>
        <w:rPr>
          <w:rFonts w:hint="eastAsia" w:cs="宋体"/>
          <w:color w:val="auto"/>
          <w:szCs w:val="21"/>
          <w:highlight w:val="none"/>
          <w:u w:val="single"/>
        </w:rPr>
        <w:t>收到中标通知书30天内</w:t>
      </w:r>
      <w:r>
        <w:rPr>
          <w:rFonts w:hint="eastAsia" w:cs="宋体"/>
          <w:color w:val="auto"/>
          <w:szCs w:val="21"/>
          <w:highlight w:val="none"/>
        </w:rPr>
        <w:t>，中标人应按本须知前附表第</w:t>
      </w:r>
      <w:r>
        <w:rPr>
          <w:rFonts w:cs="宋体"/>
          <w:color w:val="auto"/>
          <w:szCs w:val="21"/>
          <w:highlight w:val="none"/>
        </w:rPr>
        <w:t>2</w:t>
      </w:r>
      <w:r>
        <w:rPr>
          <w:rFonts w:hint="eastAsia" w:cs="宋体"/>
          <w:color w:val="auto"/>
          <w:szCs w:val="21"/>
          <w:highlight w:val="none"/>
        </w:rPr>
        <w:t>0项的规定向招标人提交</w:t>
      </w:r>
      <w:r>
        <w:rPr>
          <w:rFonts w:hint="eastAsia" w:cs="宋体"/>
          <w:color w:val="auto"/>
          <w:szCs w:val="21"/>
          <w:highlight w:val="none"/>
          <w:u w:val="single"/>
        </w:rPr>
        <w:t>由银行开具的无条件</w:t>
      </w:r>
      <w:r>
        <w:rPr>
          <w:rFonts w:hint="eastAsia" w:cs="宋体"/>
          <w:color w:val="auto"/>
          <w:szCs w:val="21"/>
          <w:highlight w:val="none"/>
          <w:u w:val="single"/>
          <w:lang w:eastAsia="zh-CN"/>
        </w:rPr>
        <w:t>、</w:t>
      </w:r>
      <w:r>
        <w:rPr>
          <w:rFonts w:hint="eastAsia" w:cs="宋体"/>
          <w:color w:val="auto"/>
          <w:szCs w:val="21"/>
          <w:highlight w:val="none"/>
          <w:u w:val="single"/>
        </w:rPr>
        <w:t>不可撤销的</w:t>
      </w:r>
      <w:r>
        <w:rPr>
          <w:rFonts w:hint="eastAsia" w:cs="宋体"/>
          <w:color w:val="auto"/>
          <w:szCs w:val="21"/>
          <w:highlight w:val="none"/>
        </w:rPr>
        <w:t>履约担保。</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条款号：29.2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：29.2</w:t>
      </w:r>
      <w:r>
        <w:rPr>
          <w:rFonts w:hint="eastAsia" w:cs="宋体"/>
          <w:color w:val="auto"/>
          <w:szCs w:val="21"/>
          <w:highlight w:val="none"/>
          <w:u w:val="single"/>
        </w:rPr>
        <w:t>收到中标通知书30天内</w:t>
      </w:r>
      <w:r>
        <w:rPr>
          <w:rFonts w:hint="eastAsia" w:cs="宋体"/>
          <w:color w:val="auto"/>
          <w:szCs w:val="21"/>
          <w:highlight w:val="none"/>
        </w:rPr>
        <w:t>，中标人未按上款的规定递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11" w:firstLineChars="195"/>
        <w:rPr>
          <w:rFonts w:cs="宋体"/>
          <w:b/>
          <w:bCs/>
          <w:color w:val="auto"/>
          <w:szCs w:val="21"/>
          <w:highlight w:val="none"/>
        </w:rPr>
      </w:pPr>
      <w:r>
        <w:rPr>
          <w:rFonts w:hint="eastAsia" w:cs="宋体"/>
          <w:b/>
          <w:bCs/>
          <w:color w:val="auto"/>
          <w:szCs w:val="21"/>
          <w:highlight w:val="none"/>
        </w:rPr>
        <w:t>条款号：31                          修改类型：修改</w:t>
      </w:r>
    </w:p>
    <w:p>
      <w:pPr>
        <w:pBdr>
          <w:bottom w:val="single" w:color="auto" w:sz="6" w:space="1"/>
        </w:pBdr>
        <w:spacing w:line="360" w:lineRule="auto"/>
        <w:ind w:firstLine="411" w:firstLineChars="195"/>
        <w:rPr>
          <w:rFonts w:cs="宋体"/>
          <w:b/>
          <w:bCs/>
          <w:color w:val="auto"/>
          <w:szCs w:val="21"/>
          <w:highlight w:val="none"/>
        </w:rPr>
      </w:pPr>
      <w:r>
        <w:rPr>
          <w:rFonts w:hint="eastAsia" w:cs="宋体"/>
          <w:b/>
          <w:bCs/>
          <w:color w:val="auto"/>
          <w:szCs w:val="21"/>
          <w:highlight w:val="none"/>
        </w:rPr>
        <w:t>原文：31.其它费用</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w:t>
      </w:r>
      <w:r>
        <w:rPr>
          <w:rFonts w:hint="eastAsia" w:cs="宋体"/>
          <w:b/>
          <w:color w:val="auto"/>
          <w:szCs w:val="21"/>
          <w:highlight w:val="none"/>
        </w:rPr>
        <w:t>31.</w:t>
      </w:r>
      <w:r>
        <w:rPr>
          <w:rFonts w:hint="eastAsia" w:cs="宋体"/>
          <w:b/>
          <w:bCs/>
          <w:color w:val="auto"/>
          <w:szCs w:val="21"/>
          <w:highlight w:val="none"/>
        </w:rPr>
        <w:t>其它费用</w:t>
      </w:r>
    </w:p>
    <w:p>
      <w:pPr>
        <w:pBdr>
          <w:bottom w:val="single" w:color="auto" w:sz="6" w:space="1"/>
        </w:pBdr>
        <w:spacing w:line="360" w:lineRule="auto"/>
        <w:ind w:firstLine="409" w:firstLineChars="195"/>
        <w:rPr>
          <w:rFonts w:cs="宋体"/>
          <w:color w:val="auto"/>
          <w:szCs w:val="21"/>
          <w:highlight w:val="none"/>
          <w:u w:val="single"/>
        </w:rPr>
      </w:pPr>
      <w:r>
        <w:rPr>
          <w:rFonts w:hint="eastAsia" w:cs="宋体"/>
          <w:color w:val="auto"/>
          <w:szCs w:val="21"/>
          <w:highlight w:val="none"/>
          <w:u w:val="single"/>
        </w:rPr>
        <w:t>招标人缴纳广州交易集团有限公司（广州公共资源交易中心）的交易服务费，交易中心向招标人开具增值税发票。</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条款号：33                          修改类型：删除</w:t>
      </w:r>
    </w:p>
    <w:p>
      <w:pPr>
        <w:spacing w:line="360" w:lineRule="auto"/>
        <w:ind w:firstLine="411" w:firstLineChars="195"/>
        <w:rPr>
          <w:b/>
          <w:color w:val="auto"/>
          <w:sz w:val="24"/>
          <w:highlight w:val="none"/>
        </w:rPr>
      </w:pPr>
      <w:r>
        <w:rPr>
          <w:rFonts w:hint="eastAsia" w:cs="宋体"/>
          <w:b/>
          <w:bCs/>
          <w:color w:val="auto"/>
          <w:szCs w:val="21"/>
          <w:highlight w:val="none"/>
        </w:rPr>
        <w:t>原文：</w:t>
      </w:r>
      <w:r>
        <w:rPr>
          <w:rFonts w:hint="eastAsia" w:cs="宋体"/>
          <w:b/>
          <w:color w:val="auto"/>
          <w:szCs w:val="21"/>
          <w:highlight w:val="none"/>
        </w:rPr>
        <w:t>33.</w:t>
      </w:r>
      <w:r>
        <w:rPr>
          <w:rFonts w:hint="eastAsia"/>
          <w:b/>
          <w:color w:val="auto"/>
          <w:sz w:val="24"/>
          <w:highlight w:val="none"/>
        </w:rPr>
        <w:t>投标人信誉的要求</w:t>
      </w:r>
    </w:p>
    <w:p>
      <w:pPr>
        <w:spacing w:line="360" w:lineRule="auto"/>
        <w:ind w:firstLine="409" w:firstLineChars="195"/>
        <w:rPr>
          <w:rFonts w:cs="宋体"/>
          <w:color w:val="auto"/>
          <w:szCs w:val="21"/>
          <w:highlight w:val="none"/>
        </w:rPr>
      </w:pPr>
      <w:r>
        <w:rPr>
          <w:rFonts w:hint="eastAsia" w:cs="宋体"/>
          <w:color w:val="auto"/>
          <w:szCs w:val="21"/>
          <w:highlight w:val="none"/>
        </w:rPr>
        <w:t>存在下列情形之一的，招标人可以限制其投标（需在招标文件中明确评定方法）</w:t>
      </w:r>
    </w:p>
    <w:p>
      <w:pPr>
        <w:spacing w:line="360" w:lineRule="auto"/>
        <w:ind w:firstLine="409" w:firstLineChars="195"/>
        <w:rPr>
          <w:rFonts w:hint="eastAsia" w:eastAsia="宋体" w:cs="宋体"/>
          <w:color w:val="auto"/>
          <w:szCs w:val="21"/>
          <w:highlight w:val="none"/>
          <w:lang w:eastAsia="zh-CN"/>
        </w:rPr>
      </w:pPr>
      <w:r>
        <w:rPr>
          <w:rFonts w:hint="eastAsia" w:cs="宋体"/>
          <w:color w:val="auto"/>
          <w:szCs w:val="21"/>
          <w:highlight w:val="none"/>
        </w:rPr>
        <w:t>（1）被住房城乡建设行政主管部门在全国建筑市场监管一体化工作平台列入建筑市场主体“</w:t>
      </w:r>
      <w:r>
        <w:rPr>
          <w:color w:val="auto"/>
          <w:highlight w:val="none"/>
        </w:rPr>
        <w:drawing>
          <wp:inline distT="0" distB="0" distL="114300" distR="114300">
            <wp:extent cx="301625" cy="137160"/>
            <wp:effectExtent l="0" t="0" r="317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301625" cy="137160"/>
                    </a:xfrm>
                    <a:prstGeom prst="rect">
                      <a:avLst/>
                    </a:prstGeom>
                    <a:noFill/>
                    <a:ln>
                      <a:noFill/>
                    </a:ln>
                  </pic:spPr>
                </pic:pic>
              </a:graphicData>
            </a:graphic>
          </wp:inline>
        </w:drawing>
      </w:r>
      <w:r>
        <w:rPr>
          <w:rFonts w:hint="eastAsia" w:cs="宋体"/>
          <w:color w:val="auto"/>
          <w:szCs w:val="21"/>
          <w:highlight w:val="none"/>
        </w:rPr>
        <w:t>”；</w:t>
      </w:r>
    </w:p>
    <w:p>
      <w:pPr>
        <w:pBdr>
          <w:bottom w:val="single" w:color="auto" w:sz="4" w:space="1"/>
        </w:pBdr>
        <w:spacing w:line="360" w:lineRule="auto"/>
        <w:ind w:firstLine="409" w:firstLineChars="195"/>
        <w:rPr>
          <w:rFonts w:hint="eastAsia" w:eastAsia="宋体" w:cs="宋体"/>
          <w:color w:val="auto"/>
          <w:szCs w:val="21"/>
          <w:highlight w:val="none"/>
          <w:lang w:eastAsia="zh-CN"/>
        </w:rPr>
      </w:pPr>
      <w:r>
        <w:rPr>
          <w:rFonts w:hint="eastAsia" w:cs="宋体"/>
          <w:color w:val="auto"/>
          <w:szCs w:val="21"/>
          <w:highlight w:val="none"/>
        </w:rPr>
        <w:t>（2）被发改委、人力资源社会保障、质检总局等有关部门、单位在“信用中国”网站中列入联合惩戒失信</w:t>
      </w:r>
      <w:r>
        <w:rPr>
          <w:color w:val="auto"/>
          <w:highlight w:val="none"/>
        </w:rPr>
        <w:drawing>
          <wp:inline distT="0" distB="0" distL="114300" distR="114300">
            <wp:extent cx="287020" cy="13144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6"/>
                    <a:stretch>
                      <a:fillRect/>
                    </a:stretch>
                  </pic:blipFill>
                  <pic:spPr>
                    <a:xfrm>
                      <a:off x="0" y="0"/>
                      <a:ext cx="287020" cy="131445"/>
                    </a:xfrm>
                    <a:prstGeom prst="rect">
                      <a:avLst/>
                    </a:prstGeom>
                    <a:noFill/>
                    <a:ln>
                      <a:noFill/>
                    </a:ln>
                  </pic:spPr>
                </pic:pic>
              </a:graphicData>
            </a:graphic>
          </wp:inline>
        </w:drawing>
      </w:r>
      <w:r>
        <w:rPr>
          <w:rFonts w:hint="eastAsia" w:cs="宋体"/>
          <w:color w:val="auto"/>
          <w:szCs w:val="21"/>
          <w:highlight w:val="none"/>
        </w:rPr>
        <w:t>。</w:t>
      </w:r>
    </w:p>
    <w:p>
      <w:pPr>
        <w:spacing w:line="440" w:lineRule="exact"/>
        <w:ind w:firstLine="472" w:firstLineChars="224"/>
        <w:rPr>
          <w:b/>
          <w:color w:val="auto"/>
          <w:highlight w:val="none"/>
        </w:rPr>
      </w:pPr>
      <w:r>
        <w:rPr>
          <w:rFonts w:hint="eastAsia"/>
          <w:b/>
          <w:color w:val="auto"/>
          <w:highlight w:val="none"/>
        </w:rPr>
        <w:t>条款号：34</w:t>
      </w:r>
      <w:r>
        <w:rPr>
          <w:b/>
          <w:color w:val="auto"/>
          <w:highlight w:val="none"/>
        </w:rPr>
        <w:t xml:space="preserve">         </w:t>
      </w:r>
      <w:r>
        <w:rPr>
          <w:rFonts w:hint="eastAsia"/>
          <w:b/>
          <w:color w:val="auto"/>
          <w:highlight w:val="none"/>
        </w:rPr>
        <w:t xml:space="preserve">     </w:t>
      </w:r>
      <w:r>
        <w:rPr>
          <w:b/>
          <w:color w:val="auto"/>
          <w:highlight w:val="none"/>
        </w:rPr>
        <w:t xml:space="preserve">   </w:t>
      </w:r>
      <w:r>
        <w:rPr>
          <w:rFonts w:hint="eastAsia"/>
          <w:b/>
          <w:color w:val="auto"/>
          <w:highlight w:val="none"/>
        </w:rPr>
        <w:t>修改类型：增加</w:t>
      </w:r>
    </w:p>
    <w:p>
      <w:pPr>
        <w:pBdr>
          <w:bottom w:val="single" w:color="auto" w:sz="6" w:space="1"/>
        </w:pBdr>
        <w:spacing w:line="360" w:lineRule="auto"/>
        <w:ind w:firstLine="422" w:firstLineChars="200"/>
        <w:jc w:val="left"/>
        <w:rPr>
          <w:color w:val="auto"/>
          <w:highlight w:val="none"/>
        </w:rPr>
      </w:pPr>
      <w:r>
        <w:rPr>
          <w:rFonts w:hint="eastAsia"/>
          <w:b/>
          <w:color w:val="auto"/>
          <w:highlight w:val="none"/>
        </w:rPr>
        <w:t>现文：</w:t>
      </w:r>
      <w:r>
        <w:rPr>
          <w:rFonts w:hint="eastAsia"/>
          <w:b/>
          <w:color w:val="auto"/>
          <w:highlight w:val="none"/>
          <w:u w:val="single"/>
        </w:rPr>
        <w:t>34.（1）</w:t>
      </w:r>
      <w:r>
        <w:rPr>
          <w:rFonts w:hint="eastAsia" w:cs="宋体"/>
          <w:color w:val="auto"/>
          <w:szCs w:val="21"/>
          <w:highlight w:val="none"/>
          <w:u w:val="single"/>
        </w:rPr>
        <w:t>中标人向广州交易集团有限公司自行支付公共资源交易服务费，收费标准及结算账户详见广州交易集团有限公司官网通知“关于公共资源交易服务费标准及相关指引的说明”。</w:t>
      </w:r>
    </w:p>
    <w:p>
      <w:pPr>
        <w:pBdr>
          <w:bottom w:val="single" w:color="auto" w:sz="6" w:space="1"/>
        </w:pBdr>
        <w:spacing w:line="360" w:lineRule="auto"/>
        <w:ind w:firstLine="422" w:firstLineChars="201"/>
        <w:rPr>
          <w:rFonts w:cs="宋体"/>
          <w:color w:val="auto"/>
          <w:szCs w:val="21"/>
          <w:highlight w:val="none"/>
          <w:u w:val="single"/>
        </w:rPr>
      </w:pPr>
      <w:r>
        <w:rPr>
          <w:rFonts w:hint="eastAsia"/>
          <w:color w:val="auto"/>
          <w:highlight w:val="none"/>
        </w:rPr>
        <w:t>（2）</w:t>
      </w:r>
      <w:r>
        <w:rPr>
          <w:rFonts w:hint="eastAsia" w:cs="宋体"/>
          <w:color w:val="auto"/>
          <w:szCs w:val="21"/>
          <w:highlight w:val="none"/>
          <w:u w:val="single"/>
        </w:rPr>
        <w:t>中标人向广州市政府采购中心自行支付公共资源交易服务费（招标代理服务费），以中标金额按差额定率累进法计算，收费标准详见下表：</w:t>
      </w:r>
    </w:p>
    <w:tbl>
      <w:tblPr>
        <w:tblStyle w:val="20"/>
        <w:tblW w:w="5000" w:type="pct"/>
        <w:tblInd w:w="0" w:type="dxa"/>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Layout w:type="fixed"/>
        <w:tblCellMar>
          <w:top w:w="0" w:type="dxa"/>
          <w:left w:w="108" w:type="dxa"/>
          <w:bottom w:w="0" w:type="dxa"/>
          <w:right w:w="108" w:type="dxa"/>
        </w:tblCellMar>
      </w:tblPr>
      <w:tblGrid>
        <w:gridCol w:w="4290"/>
        <w:gridCol w:w="1442"/>
        <w:gridCol w:w="1537"/>
        <w:gridCol w:w="1587"/>
      </w:tblGrid>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219"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中标金额</w:t>
            </w:r>
          </w:p>
        </w:tc>
        <w:tc>
          <w:tcPr>
            <w:tcW w:w="1418"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货物类</w:t>
            </w:r>
          </w:p>
        </w:tc>
        <w:tc>
          <w:tcPr>
            <w:tcW w:w="1511"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服务类</w:t>
            </w:r>
          </w:p>
        </w:tc>
        <w:tc>
          <w:tcPr>
            <w:tcW w:w="1560"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工程类</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19"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中标金额≤100万元</w:t>
            </w:r>
          </w:p>
        </w:tc>
        <w:tc>
          <w:tcPr>
            <w:tcW w:w="1418"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1.5%</w:t>
            </w:r>
          </w:p>
        </w:tc>
        <w:tc>
          <w:tcPr>
            <w:tcW w:w="1511"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1.5%</w:t>
            </w:r>
          </w:p>
        </w:tc>
        <w:tc>
          <w:tcPr>
            <w:tcW w:w="1560"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1.0%</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4219"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100万元＜中标金额≤500万元</w:t>
            </w:r>
          </w:p>
        </w:tc>
        <w:tc>
          <w:tcPr>
            <w:tcW w:w="1418"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1.1%</w:t>
            </w:r>
          </w:p>
        </w:tc>
        <w:tc>
          <w:tcPr>
            <w:tcW w:w="1511"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0.8%</w:t>
            </w:r>
          </w:p>
        </w:tc>
        <w:tc>
          <w:tcPr>
            <w:tcW w:w="1560"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0.7%</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500万元＜中标金额≤1000万元</w:t>
            </w:r>
          </w:p>
        </w:tc>
        <w:tc>
          <w:tcPr>
            <w:tcW w:w="1418"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0.8%</w:t>
            </w:r>
          </w:p>
        </w:tc>
        <w:tc>
          <w:tcPr>
            <w:tcW w:w="1511"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0.45%</w:t>
            </w:r>
          </w:p>
        </w:tc>
        <w:tc>
          <w:tcPr>
            <w:tcW w:w="1560"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0.55%</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1000万元＜中标金额≤5000万元</w:t>
            </w:r>
          </w:p>
        </w:tc>
        <w:tc>
          <w:tcPr>
            <w:tcW w:w="1418"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0.5%</w:t>
            </w:r>
          </w:p>
        </w:tc>
        <w:tc>
          <w:tcPr>
            <w:tcW w:w="1511"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0.25%</w:t>
            </w:r>
          </w:p>
        </w:tc>
        <w:tc>
          <w:tcPr>
            <w:tcW w:w="1560"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0.35%</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5000万元＜中标金额≤1亿元</w:t>
            </w:r>
          </w:p>
        </w:tc>
        <w:tc>
          <w:tcPr>
            <w:tcW w:w="1418"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0.25%</w:t>
            </w:r>
          </w:p>
        </w:tc>
        <w:tc>
          <w:tcPr>
            <w:tcW w:w="1511"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0.1%</w:t>
            </w:r>
          </w:p>
        </w:tc>
        <w:tc>
          <w:tcPr>
            <w:tcW w:w="1560"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0.2%</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1亿元＜中标金额≤5亿元</w:t>
            </w:r>
          </w:p>
        </w:tc>
        <w:tc>
          <w:tcPr>
            <w:tcW w:w="1418"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0.05%</w:t>
            </w:r>
          </w:p>
        </w:tc>
        <w:tc>
          <w:tcPr>
            <w:tcW w:w="1511"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0.05%</w:t>
            </w:r>
          </w:p>
        </w:tc>
        <w:tc>
          <w:tcPr>
            <w:tcW w:w="1560"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0.05%</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5亿元＜中标金额≤10亿元</w:t>
            </w:r>
          </w:p>
        </w:tc>
        <w:tc>
          <w:tcPr>
            <w:tcW w:w="1418"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0.035%</w:t>
            </w:r>
          </w:p>
        </w:tc>
        <w:tc>
          <w:tcPr>
            <w:tcW w:w="1511"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0.035%</w:t>
            </w:r>
          </w:p>
        </w:tc>
        <w:tc>
          <w:tcPr>
            <w:tcW w:w="1560"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0.035%</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10亿元＜中标金额≤50亿元</w:t>
            </w:r>
          </w:p>
        </w:tc>
        <w:tc>
          <w:tcPr>
            <w:tcW w:w="1418"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0.0008%</w:t>
            </w:r>
          </w:p>
        </w:tc>
        <w:tc>
          <w:tcPr>
            <w:tcW w:w="1511"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0.0008%</w:t>
            </w:r>
          </w:p>
        </w:tc>
        <w:tc>
          <w:tcPr>
            <w:tcW w:w="1560"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0.0008%</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50亿元＜中标金额≤100亿元</w:t>
            </w:r>
          </w:p>
        </w:tc>
        <w:tc>
          <w:tcPr>
            <w:tcW w:w="1418"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0.0006%</w:t>
            </w:r>
          </w:p>
        </w:tc>
        <w:tc>
          <w:tcPr>
            <w:tcW w:w="1511"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0.0006%</w:t>
            </w:r>
          </w:p>
        </w:tc>
        <w:tc>
          <w:tcPr>
            <w:tcW w:w="1560"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0.0006%</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中标金额&gt;100亿元</w:t>
            </w:r>
          </w:p>
        </w:tc>
        <w:tc>
          <w:tcPr>
            <w:tcW w:w="1418"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0.0004%</w:t>
            </w:r>
          </w:p>
        </w:tc>
        <w:tc>
          <w:tcPr>
            <w:tcW w:w="1511"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0.0004%</w:t>
            </w:r>
          </w:p>
        </w:tc>
        <w:tc>
          <w:tcPr>
            <w:tcW w:w="1560" w:type="dxa"/>
            <w:tcBorders>
              <w:top w:val="single" w:color="auto" w:sz="4" w:space="0"/>
              <w:left w:val="single" w:color="auto" w:sz="4" w:space="0"/>
              <w:bottom w:val="single" w:color="auto" w:sz="4" w:space="0"/>
              <w:right w:val="single" w:color="auto" w:sz="4" w:space="0"/>
            </w:tcBorders>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0.0004%</w:t>
            </w:r>
          </w:p>
        </w:tc>
      </w:tr>
    </w:tbl>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广州市政府采购中心结算账户：</w:t>
      </w:r>
    </w:p>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收款单位：广州市政府采购中心</w:t>
      </w:r>
    </w:p>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开户行:中国建设银行广州天润路支行</w:t>
      </w:r>
    </w:p>
    <w:p>
      <w:pPr>
        <w:pBdr>
          <w:bottom w:val="single" w:color="auto" w:sz="6" w:space="1"/>
        </w:pBdr>
        <w:spacing w:line="360" w:lineRule="auto"/>
        <w:ind w:firstLine="420" w:firstLineChars="200"/>
        <w:jc w:val="left"/>
        <w:rPr>
          <w:color w:val="auto"/>
          <w:highlight w:val="none"/>
        </w:rPr>
      </w:pPr>
      <w:r>
        <w:rPr>
          <w:rFonts w:hint="eastAsia"/>
          <w:color w:val="auto"/>
          <w:szCs w:val="21"/>
          <w:highlight w:val="none"/>
          <w:u w:val="single"/>
        </w:rPr>
        <w:t>银行账号：44050158340409202288</w:t>
      </w:r>
    </w:p>
    <w:p>
      <w:pPr>
        <w:spacing w:line="360" w:lineRule="auto"/>
        <w:rPr>
          <w:rFonts w:cs="宋体"/>
          <w:b/>
          <w:color w:val="auto"/>
          <w:szCs w:val="21"/>
          <w:highlight w:val="none"/>
        </w:rPr>
      </w:pPr>
    </w:p>
    <w:p>
      <w:pPr>
        <w:spacing w:line="360" w:lineRule="auto"/>
        <w:rPr>
          <w:rFonts w:cs="宋体"/>
          <w:b/>
          <w:color w:val="auto"/>
          <w:szCs w:val="21"/>
          <w:highlight w:val="none"/>
        </w:rPr>
      </w:pPr>
      <w:r>
        <w:rPr>
          <w:rFonts w:hint="eastAsia" w:cs="宋体"/>
          <w:b/>
          <w:color w:val="auto"/>
          <w:szCs w:val="21"/>
          <w:highlight w:val="none"/>
        </w:rPr>
        <w:t>注：以上修改，仅限于本范本中有可供选择条款的情形。</w:t>
      </w:r>
    </w:p>
    <w:p>
      <w:pPr>
        <w:spacing w:line="360" w:lineRule="auto"/>
        <w:rPr>
          <w:rFonts w:cs="宋体"/>
          <w:color w:val="auto"/>
          <w:highlight w:val="none"/>
        </w:rPr>
      </w:pPr>
      <w:r>
        <w:rPr>
          <w:rFonts w:hint="eastAsia" w:cs="宋体"/>
          <w:b/>
          <w:color w:val="auto"/>
          <w:szCs w:val="21"/>
          <w:highlight w:val="none"/>
        </w:rPr>
        <w:t>（以下无正文）</w:t>
      </w:r>
    </w:p>
    <w:p>
      <w:pPr>
        <w:pStyle w:val="2"/>
        <w:rPr>
          <w:color w:val="auto"/>
          <w:highlight w:val="none"/>
        </w:rPr>
      </w:pPr>
      <w:r>
        <w:rPr>
          <w:color w:val="auto"/>
          <w:highlight w:val="none"/>
        </w:rPr>
        <w:br w:type="page"/>
      </w:r>
      <w:bookmarkStart w:id="3" w:name="_Toc23541"/>
      <w:r>
        <w:rPr>
          <w:rFonts w:hint="eastAsia"/>
          <w:color w:val="auto"/>
          <w:highlight w:val="none"/>
        </w:rPr>
        <w:t>三、投标须知通用条款</w:t>
      </w:r>
      <w:bookmarkEnd w:id="3"/>
    </w:p>
    <w:p>
      <w:pPr>
        <w:pStyle w:val="7"/>
        <w:spacing w:before="156" w:after="156"/>
        <w:jc w:val="center"/>
        <w:rPr>
          <w:color w:val="auto"/>
          <w:highlight w:val="none"/>
        </w:rPr>
      </w:pPr>
      <w:bookmarkStart w:id="4" w:name="_Toc313"/>
      <w:r>
        <w:rPr>
          <w:rFonts w:hint="eastAsia"/>
          <w:color w:val="auto"/>
          <w:highlight w:val="none"/>
        </w:rPr>
        <w:t>（一）总则</w:t>
      </w:r>
      <w:bookmarkEnd w:id="4"/>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spacing w:line="360" w:lineRule="auto"/>
        <w:ind w:firstLine="482" w:firstLineChars="200"/>
        <w:rPr>
          <w:b/>
          <w:color w:val="auto"/>
          <w:sz w:val="24"/>
          <w:highlight w:val="none"/>
        </w:rPr>
      </w:pPr>
      <w:r>
        <w:rPr>
          <w:b/>
          <w:color w:val="auto"/>
          <w:sz w:val="24"/>
          <w:highlight w:val="none"/>
        </w:rPr>
        <w:t>2</w:t>
      </w:r>
      <w:r>
        <w:rPr>
          <w:rFonts w:hint="eastAsia"/>
          <w:b/>
          <w:color w:val="auto"/>
          <w:sz w:val="24"/>
          <w:highlight w:val="none"/>
        </w:rPr>
        <w:t>、招标说明</w:t>
      </w:r>
    </w:p>
    <w:p>
      <w:pPr>
        <w:spacing w:line="360" w:lineRule="auto"/>
        <w:ind w:firstLine="480" w:firstLineChars="200"/>
        <w:rPr>
          <w:bCs/>
          <w:color w:val="auto"/>
          <w:sz w:val="24"/>
          <w:highlight w:val="none"/>
        </w:rPr>
      </w:pPr>
      <w:r>
        <w:rPr>
          <w:bCs/>
          <w:color w:val="auto"/>
          <w:sz w:val="24"/>
          <w:highlight w:val="none"/>
        </w:rPr>
        <w:t>2.1</w:t>
      </w:r>
      <w:r>
        <w:rPr>
          <w:rFonts w:hint="eastAsia"/>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bCs/>
          <w:color w:val="auto"/>
          <w:sz w:val="24"/>
          <w:highlight w:val="none"/>
        </w:rPr>
      </w:pPr>
      <w:r>
        <w:rPr>
          <w:bCs/>
          <w:color w:val="auto"/>
          <w:sz w:val="24"/>
          <w:highlight w:val="none"/>
        </w:rPr>
        <w:t>2.2</w:t>
      </w:r>
      <w:r>
        <w:rPr>
          <w:rFonts w:hint="eastAsia"/>
          <w:bCs/>
          <w:color w:val="auto"/>
          <w:sz w:val="24"/>
          <w:highlight w:val="none"/>
        </w:rPr>
        <w:t>工程名称、建设地点、建设规模、承包方式、质量标准、招标范围、工期要求等均在投标须知前附表中列明。</w:t>
      </w:r>
    </w:p>
    <w:p>
      <w:pPr>
        <w:spacing w:line="360" w:lineRule="auto"/>
        <w:ind w:firstLine="480" w:firstLineChars="200"/>
        <w:rPr>
          <w:bCs/>
          <w:color w:val="auto"/>
          <w:sz w:val="24"/>
          <w:highlight w:val="none"/>
        </w:rPr>
      </w:pPr>
      <w:r>
        <w:rPr>
          <w:bCs/>
          <w:color w:val="auto"/>
          <w:sz w:val="24"/>
          <w:highlight w:val="none"/>
        </w:rPr>
        <w:t>2.3</w:t>
      </w:r>
      <w:r>
        <w:rPr>
          <w:rFonts w:hint="eastAsia"/>
          <w:bCs/>
          <w:color w:val="auto"/>
          <w:sz w:val="24"/>
          <w:highlight w:val="none"/>
        </w:rPr>
        <w:t>设计说明：详见招标图纸。</w:t>
      </w:r>
    </w:p>
    <w:p>
      <w:pPr>
        <w:spacing w:line="360" w:lineRule="auto"/>
        <w:ind w:firstLine="480" w:firstLineChars="200"/>
        <w:rPr>
          <w:bCs/>
          <w:color w:val="auto"/>
          <w:sz w:val="24"/>
          <w:highlight w:val="none"/>
        </w:rPr>
      </w:pPr>
      <w:r>
        <w:rPr>
          <w:bCs/>
          <w:color w:val="auto"/>
          <w:sz w:val="24"/>
          <w:highlight w:val="none"/>
        </w:rPr>
        <w:t>2.4</w:t>
      </w:r>
      <w:r>
        <w:rPr>
          <w:rFonts w:hint="eastAsia"/>
          <w:bCs/>
          <w:color w:val="auto"/>
          <w:sz w:val="24"/>
          <w:highlight w:val="none"/>
        </w:rPr>
        <w:t>工程施工特点：详见招标图纸。</w:t>
      </w:r>
    </w:p>
    <w:p>
      <w:pPr>
        <w:tabs>
          <w:tab w:val="left" w:pos="105"/>
        </w:tabs>
        <w:spacing w:line="360" w:lineRule="auto"/>
        <w:ind w:firstLine="482" w:firstLineChars="200"/>
        <w:rPr>
          <w:b/>
          <w:color w:val="auto"/>
          <w:sz w:val="24"/>
          <w:highlight w:val="none"/>
        </w:rPr>
      </w:pPr>
      <w:r>
        <w:rPr>
          <w:b/>
          <w:color w:val="auto"/>
          <w:sz w:val="24"/>
          <w:highlight w:val="none"/>
        </w:rPr>
        <w:t>3</w:t>
      </w:r>
      <w:r>
        <w:rPr>
          <w:rFonts w:hint="eastAsia"/>
          <w:b/>
          <w:color w:val="auto"/>
          <w:sz w:val="24"/>
          <w:highlight w:val="none"/>
        </w:rPr>
        <w:t>．资金来源</w:t>
      </w:r>
    </w:p>
    <w:p>
      <w:pPr>
        <w:spacing w:line="360" w:lineRule="auto"/>
        <w:ind w:firstLine="480" w:firstLineChars="200"/>
        <w:rPr>
          <w:bCs/>
          <w:color w:val="auto"/>
          <w:sz w:val="24"/>
          <w:highlight w:val="none"/>
        </w:rPr>
      </w:pPr>
      <w:r>
        <w:rPr>
          <w:bCs/>
          <w:color w:val="auto"/>
          <w:sz w:val="24"/>
          <w:highlight w:val="none"/>
        </w:rPr>
        <w:t>3.1</w:t>
      </w:r>
      <w:r>
        <w:rPr>
          <w:rFonts w:hint="eastAsia"/>
          <w:bCs/>
          <w:color w:val="auto"/>
          <w:sz w:val="24"/>
          <w:highlight w:val="none"/>
        </w:rPr>
        <w:t>本招标工程项目资金来源见投标须知前附表第</w:t>
      </w:r>
      <w:r>
        <w:rPr>
          <w:bCs/>
          <w:color w:val="auto"/>
          <w:sz w:val="24"/>
          <w:highlight w:val="none"/>
        </w:rPr>
        <w:t>9</w:t>
      </w:r>
      <w:r>
        <w:rPr>
          <w:rFonts w:hint="eastAsia"/>
          <w:bCs/>
          <w:color w:val="auto"/>
          <w:sz w:val="24"/>
          <w:highlight w:val="none"/>
        </w:rPr>
        <w:t>项</w:t>
      </w:r>
    </w:p>
    <w:p>
      <w:pPr>
        <w:tabs>
          <w:tab w:val="left" w:pos="105"/>
        </w:tabs>
        <w:spacing w:line="360" w:lineRule="auto"/>
        <w:ind w:firstLine="482" w:firstLineChars="200"/>
        <w:rPr>
          <w:b/>
          <w:color w:val="auto"/>
          <w:sz w:val="24"/>
          <w:highlight w:val="none"/>
        </w:rPr>
      </w:pPr>
      <w:r>
        <w:rPr>
          <w:b/>
          <w:color w:val="auto"/>
          <w:sz w:val="24"/>
          <w:highlight w:val="none"/>
        </w:rPr>
        <w:t>4</w:t>
      </w:r>
      <w:r>
        <w:rPr>
          <w:rFonts w:hint="eastAsia"/>
          <w:b/>
          <w:color w:val="auto"/>
          <w:sz w:val="24"/>
          <w:highlight w:val="none"/>
        </w:rPr>
        <w:t>．合格投标人的条件</w:t>
      </w:r>
    </w:p>
    <w:p>
      <w:pPr>
        <w:spacing w:line="360" w:lineRule="auto"/>
        <w:ind w:firstLine="480" w:firstLineChars="200"/>
        <w:rPr>
          <w:bCs/>
          <w:color w:val="auto"/>
          <w:sz w:val="24"/>
          <w:highlight w:val="none"/>
        </w:rPr>
      </w:pPr>
      <w:r>
        <w:rPr>
          <w:bCs/>
          <w:color w:val="auto"/>
          <w:sz w:val="24"/>
          <w:highlight w:val="none"/>
        </w:rPr>
        <w:t>4.1</w:t>
      </w:r>
      <w:r>
        <w:rPr>
          <w:rFonts w:hint="eastAsia"/>
          <w:bCs/>
          <w:color w:val="auto"/>
          <w:sz w:val="24"/>
          <w:highlight w:val="none"/>
        </w:rPr>
        <w:t>详见本项目招标公告</w:t>
      </w:r>
    </w:p>
    <w:p>
      <w:pPr>
        <w:tabs>
          <w:tab w:val="left" w:pos="105"/>
        </w:tabs>
        <w:spacing w:line="360" w:lineRule="auto"/>
        <w:ind w:firstLine="482" w:firstLineChars="200"/>
        <w:rPr>
          <w:b/>
          <w:color w:val="auto"/>
          <w:sz w:val="24"/>
          <w:highlight w:val="none"/>
        </w:rPr>
      </w:pPr>
      <w:r>
        <w:rPr>
          <w:b/>
          <w:color w:val="auto"/>
          <w:sz w:val="24"/>
          <w:highlight w:val="none"/>
        </w:rPr>
        <w:t>5</w:t>
      </w:r>
      <w:r>
        <w:rPr>
          <w:rFonts w:hint="eastAsia"/>
          <w:b/>
          <w:color w:val="auto"/>
          <w:sz w:val="24"/>
          <w:highlight w:val="none"/>
        </w:rPr>
        <w:t>．踏勘现场</w:t>
      </w:r>
    </w:p>
    <w:p>
      <w:pPr>
        <w:spacing w:line="360" w:lineRule="auto"/>
        <w:ind w:firstLine="480" w:firstLineChars="200"/>
        <w:rPr>
          <w:bCs/>
          <w:color w:val="auto"/>
          <w:sz w:val="24"/>
          <w:highlight w:val="none"/>
          <w:u w:val="single"/>
        </w:rPr>
      </w:pPr>
      <w:r>
        <w:rPr>
          <w:bCs/>
          <w:color w:val="auto"/>
          <w:sz w:val="24"/>
          <w:highlight w:val="none"/>
        </w:rPr>
        <w:t xml:space="preserve">5.1 </w:t>
      </w:r>
      <w:r>
        <w:rPr>
          <w:rFonts w:hint="eastAsia"/>
          <w:bCs/>
          <w:color w:val="auto"/>
          <w:sz w:val="24"/>
          <w:highlight w:val="none"/>
        </w:rPr>
        <w:t>投标人应按本投标须知前附表第</w:t>
      </w:r>
      <w:r>
        <w:rPr>
          <w:bCs/>
          <w:color w:val="auto"/>
          <w:sz w:val="24"/>
          <w:highlight w:val="none"/>
        </w:rPr>
        <w:t>15</w:t>
      </w:r>
      <w:r>
        <w:rPr>
          <w:rFonts w:hint="eastAsia"/>
          <w:bCs/>
          <w:color w:val="auto"/>
          <w:sz w:val="24"/>
          <w:highlight w:val="none"/>
        </w:rPr>
        <w:t>项所述时间和要求对工程现场及周围环境进行踏勘，</w:t>
      </w:r>
      <w:r>
        <w:rPr>
          <w:rFonts w:hint="eastAsia"/>
          <w:color w:val="auto"/>
          <w:sz w:val="24"/>
          <w:highlight w:val="none"/>
        </w:rPr>
        <w:t>投标人应充分重视和仔细地进行这种考察，</w:t>
      </w:r>
      <w:r>
        <w:rPr>
          <w:rFonts w:hint="eastAsia"/>
          <w:bCs/>
          <w:color w:val="auto"/>
          <w:sz w:val="24"/>
          <w:highlight w:val="none"/>
        </w:rPr>
        <w:t>以便投标人获取</w:t>
      </w:r>
      <w:r>
        <w:rPr>
          <w:rFonts w:hint="eastAsia"/>
          <w:color w:val="auto"/>
          <w:sz w:val="24"/>
          <w:highlight w:val="none"/>
        </w:rPr>
        <w:t>那些须投标人自己负责的</w:t>
      </w:r>
      <w:r>
        <w:rPr>
          <w:rFonts w:hint="eastAsia"/>
          <w:bCs/>
          <w:color w:val="auto"/>
          <w:sz w:val="24"/>
          <w:highlight w:val="none"/>
        </w:rPr>
        <w:t>有关编制投标文件和签署合同所涉及现场所有的资料。</w:t>
      </w:r>
      <w:r>
        <w:rPr>
          <w:rFonts w:hint="eastAsia"/>
          <w:color w:val="auto"/>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bCs/>
          <w:color w:val="auto"/>
          <w:sz w:val="24"/>
          <w:highlight w:val="none"/>
        </w:rPr>
      </w:pPr>
      <w:r>
        <w:rPr>
          <w:bCs/>
          <w:color w:val="auto"/>
          <w:sz w:val="24"/>
          <w:highlight w:val="none"/>
        </w:rPr>
        <w:t xml:space="preserve">5.2 </w:t>
      </w:r>
      <w:r>
        <w:rPr>
          <w:rFonts w:hint="eastAsia"/>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bCs/>
          <w:color w:val="auto"/>
          <w:sz w:val="24"/>
          <w:highlight w:val="none"/>
        </w:rPr>
      </w:pPr>
      <w:r>
        <w:rPr>
          <w:bCs/>
          <w:color w:val="auto"/>
          <w:sz w:val="24"/>
          <w:highlight w:val="none"/>
        </w:rPr>
        <w:t xml:space="preserve">5.3 </w:t>
      </w:r>
      <w:r>
        <w:rPr>
          <w:rFonts w:hint="eastAsia"/>
          <w:bCs/>
          <w:color w:val="auto"/>
          <w:sz w:val="24"/>
          <w:highlight w:val="none"/>
        </w:rPr>
        <w:t>经招标人允许，投标人可为踏勘目的进入招标人的项目现场。</w:t>
      </w:r>
      <w:r>
        <w:rPr>
          <w:rFonts w:hint="eastAsia"/>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bCs/>
          <w:color w:val="auto"/>
          <w:sz w:val="24"/>
          <w:highlight w:val="none"/>
        </w:rPr>
        <w:t>投标人不得因此使招标人承担有关的责任和蒙受损失。</w:t>
      </w:r>
    </w:p>
    <w:p>
      <w:pPr>
        <w:tabs>
          <w:tab w:val="left" w:pos="105"/>
        </w:tabs>
        <w:spacing w:line="360" w:lineRule="auto"/>
        <w:ind w:firstLine="482" w:firstLineChars="200"/>
        <w:rPr>
          <w:b/>
          <w:color w:val="auto"/>
          <w:sz w:val="24"/>
          <w:highlight w:val="none"/>
        </w:rPr>
      </w:pPr>
      <w:r>
        <w:rPr>
          <w:b/>
          <w:color w:val="auto"/>
          <w:sz w:val="24"/>
          <w:highlight w:val="none"/>
        </w:rPr>
        <w:t>6</w:t>
      </w:r>
      <w:r>
        <w:rPr>
          <w:rFonts w:hint="eastAsia"/>
          <w:b/>
          <w:color w:val="auto"/>
          <w:sz w:val="24"/>
          <w:highlight w:val="none"/>
        </w:rPr>
        <w:t>．投标费用</w:t>
      </w:r>
    </w:p>
    <w:p>
      <w:pPr>
        <w:tabs>
          <w:tab w:val="left" w:pos="105"/>
        </w:tabs>
        <w:spacing w:line="360" w:lineRule="auto"/>
        <w:ind w:firstLine="480" w:firstLineChars="200"/>
        <w:rPr>
          <w:bCs/>
          <w:color w:val="auto"/>
          <w:sz w:val="24"/>
          <w:highlight w:val="none"/>
        </w:rPr>
      </w:pPr>
      <w:r>
        <w:rPr>
          <w:bCs/>
          <w:color w:val="auto"/>
          <w:sz w:val="24"/>
          <w:highlight w:val="none"/>
        </w:rPr>
        <w:t>6.1</w:t>
      </w:r>
      <w:r>
        <w:rPr>
          <w:rFonts w:hint="eastAsia"/>
          <w:color w:val="auto"/>
          <w:sz w:val="24"/>
          <w:highlight w:val="none"/>
        </w:rPr>
        <w:t>不论投标结果如何，投标人应承担</w:t>
      </w:r>
      <w:r>
        <w:rPr>
          <w:rFonts w:hint="eastAsia"/>
          <w:bCs/>
          <w:color w:val="auto"/>
          <w:sz w:val="24"/>
          <w:highlight w:val="none"/>
        </w:rPr>
        <w:t>自身</w:t>
      </w:r>
      <w:r>
        <w:rPr>
          <w:rFonts w:hint="eastAsia"/>
          <w:color w:val="auto"/>
          <w:sz w:val="24"/>
          <w:highlight w:val="none"/>
        </w:rPr>
        <w:t>因投标文件编制、递交及其他</w:t>
      </w:r>
      <w:r>
        <w:rPr>
          <w:rFonts w:hint="eastAsia"/>
          <w:bCs/>
          <w:color w:val="auto"/>
          <w:sz w:val="24"/>
          <w:highlight w:val="none"/>
        </w:rPr>
        <w:t>参加本招标活动</w:t>
      </w:r>
      <w:r>
        <w:rPr>
          <w:rFonts w:hint="eastAsia"/>
          <w:color w:val="auto"/>
          <w:sz w:val="24"/>
          <w:highlight w:val="none"/>
        </w:rPr>
        <w:t>所涉及的一切费用，招标人对上述费用不负任何责任。</w:t>
      </w:r>
    </w:p>
    <w:p>
      <w:pPr>
        <w:pStyle w:val="7"/>
        <w:spacing w:before="156" w:after="156"/>
        <w:rPr>
          <w:color w:val="auto"/>
          <w:highlight w:val="none"/>
        </w:rPr>
      </w:pPr>
      <w:bookmarkStart w:id="5" w:name="_Toc9256"/>
      <w:r>
        <w:rPr>
          <w:rFonts w:hint="eastAsia"/>
          <w:color w:val="auto"/>
          <w:highlight w:val="none"/>
        </w:rPr>
        <w:t>（二）招标文件</w:t>
      </w:r>
      <w:bookmarkEnd w:id="5"/>
    </w:p>
    <w:p>
      <w:pPr>
        <w:tabs>
          <w:tab w:val="left" w:pos="105"/>
        </w:tabs>
        <w:spacing w:line="360" w:lineRule="auto"/>
        <w:ind w:firstLine="482" w:firstLineChars="200"/>
        <w:rPr>
          <w:b/>
          <w:color w:val="auto"/>
          <w:sz w:val="24"/>
          <w:highlight w:val="none"/>
        </w:rPr>
      </w:pPr>
      <w:r>
        <w:rPr>
          <w:b/>
          <w:color w:val="auto"/>
          <w:sz w:val="24"/>
          <w:highlight w:val="none"/>
        </w:rPr>
        <w:t>7.</w:t>
      </w:r>
      <w:r>
        <w:rPr>
          <w:rFonts w:hint="eastAsia"/>
          <w:b/>
          <w:color w:val="auto"/>
          <w:sz w:val="24"/>
          <w:highlight w:val="none"/>
        </w:rPr>
        <w:t>招标文件的组成</w:t>
      </w:r>
    </w:p>
    <w:p>
      <w:pPr>
        <w:pStyle w:val="5"/>
        <w:spacing w:after="0" w:line="360" w:lineRule="auto"/>
        <w:ind w:firstLine="480" w:firstLineChars="200"/>
        <w:rPr>
          <w:bCs/>
          <w:color w:val="auto"/>
          <w:sz w:val="24"/>
          <w:highlight w:val="none"/>
        </w:rPr>
      </w:pPr>
      <w:r>
        <w:rPr>
          <w:bCs/>
          <w:color w:val="auto"/>
          <w:sz w:val="24"/>
          <w:highlight w:val="none"/>
        </w:rPr>
        <w:t>7.1本招标文件包括下列文件，以及所有按本须知第8条发出的招标答疑会会议纪要和按本须知第9条发出的澄清或修改：</w:t>
      </w:r>
    </w:p>
    <w:p>
      <w:pPr>
        <w:pStyle w:val="5"/>
        <w:spacing w:after="0" w:line="360" w:lineRule="auto"/>
        <w:ind w:firstLine="480" w:firstLineChars="200"/>
        <w:rPr>
          <w:bCs/>
          <w:color w:val="auto"/>
          <w:sz w:val="24"/>
          <w:highlight w:val="none"/>
        </w:rPr>
      </w:pPr>
      <w:r>
        <w:rPr>
          <w:rFonts w:hint="eastAsia"/>
          <w:bCs/>
          <w:color w:val="auto"/>
          <w:sz w:val="24"/>
          <w:highlight w:val="none"/>
        </w:rPr>
        <w:t>第一章</w:t>
      </w:r>
      <w:r>
        <w:rPr>
          <w:bCs/>
          <w:color w:val="auto"/>
          <w:sz w:val="24"/>
          <w:highlight w:val="none"/>
        </w:rPr>
        <w:t xml:space="preserve">  投标须知</w:t>
      </w:r>
    </w:p>
    <w:p>
      <w:pPr>
        <w:pStyle w:val="5"/>
        <w:spacing w:after="0" w:line="360" w:lineRule="auto"/>
        <w:ind w:firstLine="480" w:firstLineChars="200"/>
        <w:rPr>
          <w:bCs/>
          <w:color w:val="auto"/>
          <w:sz w:val="24"/>
          <w:highlight w:val="none"/>
        </w:rPr>
      </w:pPr>
      <w:r>
        <w:rPr>
          <w:rFonts w:hint="eastAsia"/>
          <w:bCs/>
          <w:color w:val="auto"/>
          <w:sz w:val="24"/>
          <w:highlight w:val="none"/>
        </w:rPr>
        <w:t>第二章</w:t>
      </w:r>
      <w:r>
        <w:rPr>
          <w:bCs/>
          <w:color w:val="auto"/>
          <w:sz w:val="24"/>
          <w:highlight w:val="none"/>
        </w:rPr>
        <w:t xml:space="preserve">  开标、评标及定标办法</w:t>
      </w:r>
    </w:p>
    <w:p>
      <w:pPr>
        <w:pStyle w:val="5"/>
        <w:spacing w:after="0" w:line="360" w:lineRule="auto"/>
        <w:ind w:firstLine="480" w:firstLineChars="200"/>
        <w:rPr>
          <w:bCs/>
          <w:color w:val="auto"/>
          <w:sz w:val="24"/>
          <w:highlight w:val="none"/>
        </w:rPr>
      </w:pPr>
      <w:r>
        <w:rPr>
          <w:rFonts w:hint="eastAsia"/>
          <w:bCs/>
          <w:color w:val="auto"/>
          <w:sz w:val="24"/>
          <w:highlight w:val="none"/>
        </w:rPr>
        <w:t>第三章</w:t>
      </w:r>
      <w:r>
        <w:rPr>
          <w:bCs/>
          <w:color w:val="auto"/>
          <w:sz w:val="24"/>
          <w:highlight w:val="none"/>
        </w:rPr>
        <w:t xml:space="preserve">  合同条款</w:t>
      </w:r>
    </w:p>
    <w:p>
      <w:pPr>
        <w:pStyle w:val="5"/>
        <w:spacing w:after="0" w:line="360" w:lineRule="auto"/>
        <w:ind w:firstLine="480" w:firstLineChars="200"/>
        <w:rPr>
          <w:bCs/>
          <w:color w:val="auto"/>
          <w:sz w:val="24"/>
          <w:highlight w:val="none"/>
        </w:rPr>
      </w:pPr>
      <w:r>
        <w:rPr>
          <w:rFonts w:hint="eastAsia"/>
          <w:bCs/>
          <w:color w:val="auto"/>
          <w:sz w:val="24"/>
          <w:highlight w:val="none"/>
        </w:rPr>
        <w:t>第四章</w:t>
      </w:r>
      <w:r>
        <w:rPr>
          <w:bCs/>
          <w:color w:val="auto"/>
          <w:sz w:val="24"/>
          <w:highlight w:val="none"/>
        </w:rPr>
        <w:t xml:space="preserve">  投标文件格式</w:t>
      </w:r>
    </w:p>
    <w:p>
      <w:pPr>
        <w:pStyle w:val="5"/>
        <w:spacing w:after="0" w:line="360" w:lineRule="auto"/>
        <w:ind w:firstLine="480" w:firstLineChars="200"/>
        <w:rPr>
          <w:bCs/>
          <w:color w:val="auto"/>
          <w:sz w:val="24"/>
          <w:highlight w:val="none"/>
        </w:rPr>
      </w:pPr>
      <w:r>
        <w:rPr>
          <w:rFonts w:hint="eastAsia"/>
          <w:bCs/>
          <w:color w:val="auto"/>
          <w:sz w:val="24"/>
          <w:highlight w:val="none"/>
        </w:rPr>
        <w:t>第五章</w:t>
      </w:r>
      <w:r>
        <w:rPr>
          <w:bCs/>
          <w:color w:val="auto"/>
          <w:sz w:val="24"/>
          <w:highlight w:val="none"/>
        </w:rPr>
        <w:t xml:space="preserve">  技术条件（工程建设标准）（另册）</w:t>
      </w:r>
    </w:p>
    <w:p>
      <w:pPr>
        <w:pStyle w:val="5"/>
        <w:spacing w:after="0" w:line="360" w:lineRule="auto"/>
        <w:ind w:firstLine="480" w:firstLineChars="200"/>
        <w:rPr>
          <w:bCs/>
          <w:color w:val="auto"/>
          <w:sz w:val="24"/>
          <w:highlight w:val="none"/>
        </w:rPr>
      </w:pPr>
      <w:r>
        <w:rPr>
          <w:rFonts w:hint="eastAsia"/>
          <w:bCs/>
          <w:color w:val="auto"/>
          <w:sz w:val="24"/>
          <w:highlight w:val="none"/>
        </w:rPr>
        <w:t>第六章</w:t>
      </w:r>
      <w:r>
        <w:rPr>
          <w:bCs/>
          <w:color w:val="auto"/>
          <w:sz w:val="24"/>
          <w:highlight w:val="none"/>
        </w:rPr>
        <w:t xml:space="preserve">  图纸及勘察资料（另册）</w:t>
      </w:r>
    </w:p>
    <w:p>
      <w:pPr>
        <w:pStyle w:val="5"/>
        <w:spacing w:after="0" w:line="360" w:lineRule="auto"/>
        <w:ind w:firstLine="480" w:firstLineChars="200"/>
        <w:rPr>
          <w:bCs/>
          <w:color w:val="auto"/>
          <w:sz w:val="24"/>
          <w:highlight w:val="none"/>
        </w:rPr>
      </w:pPr>
      <w:r>
        <w:rPr>
          <w:rFonts w:hint="eastAsia"/>
          <w:bCs/>
          <w:color w:val="auto"/>
          <w:sz w:val="24"/>
          <w:highlight w:val="none"/>
        </w:rPr>
        <w:t>第七章</w:t>
      </w:r>
      <w:r>
        <w:rPr>
          <w:bCs/>
          <w:color w:val="auto"/>
          <w:sz w:val="24"/>
          <w:highlight w:val="none"/>
        </w:rPr>
        <w:t xml:space="preserve">  招标工程量清单（另册）</w:t>
      </w:r>
    </w:p>
    <w:p>
      <w:pPr>
        <w:pStyle w:val="5"/>
        <w:spacing w:after="0" w:line="360" w:lineRule="auto"/>
        <w:ind w:firstLine="480" w:firstLineChars="200"/>
        <w:rPr>
          <w:bCs/>
          <w:color w:val="auto"/>
          <w:sz w:val="24"/>
          <w:highlight w:val="none"/>
        </w:rPr>
      </w:pPr>
      <w:r>
        <w:rPr>
          <w:rFonts w:hint="eastAsia"/>
          <w:bCs/>
          <w:color w:val="auto"/>
          <w:sz w:val="24"/>
          <w:highlight w:val="none"/>
        </w:rPr>
        <w:t>第八章</w:t>
      </w:r>
      <w:r>
        <w:rPr>
          <w:bCs/>
          <w:color w:val="auto"/>
          <w:sz w:val="24"/>
          <w:highlight w:val="none"/>
        </w:rPr>
        <w:t xml:space="preserve">  最高投标限价</w:t>
      </w:r>
    </w:p>
    <w:p>
      <w:pPr>
        <w:pStyle w:val="5"/>
        <w:spacing w:after="0" w:line="360" w:lineRule="auto"/>
        <w:ind w:firstLine="480" w:firstLineChars="200"/>
        <w:rPr>
          <w:rFonts w:ascii="宋体"/>
          <w:color w:val="auto"/>
          <w:sz w:val="24"/>
          <w:highlight w:val="none"/>
        </w:rPr>
      </w:pPr>
      <w:r>
        <w:rPr>
          <w:rFonts w:hint="eastAsia"/>
          <w:bCs/>
          <w:color w:val="auto"/>
          <w:sz w:val="24"/>
          <w:highlight w:val="none"/>
        </w:rPr>
        <w:t>注：</w:t>
      </w:r>
      <w:r>
        <w:rPr>
          <w:bCs/>
          <w:color w:val="auto"/>
          <w:sz w:val="24"/>
          <w:highlight w:val="none"/>
        </w:rPr>
        <w:fldChar w:fldCharType="begin"/>
      </w:r>
      <w:r>
        <w:rPr>
          <w:bCs/>
          <w:color w:val="auto"/>
          <w:sz w:val="24"/>
          <w:highlight w:val="none"/>
        </w:rPr>
        <w:instrText xml:space="preserve"> </w:instrText>
      </w:r>
      <w:r>
        <w:rPr>
          <w:rFonts w:hint="eastAsia"/>
          <w:bCs/>
          <w:color w:val="auto"/>
          <w:sz w:val="24"/>
          <w:highlight w:val="none"/>
        </w:rPr>
        <w:instrText xml:space="preserve">= 1 \* GB3</w:instrText>
      </w:r>
      <w:r>
        <w:rPr>
          <w:bCs/>
          <w:color w:val="auto"/>
          <w:sz w:val="24"/>
          <w:highlight w:val="none"/>
        </w:rPr>
        <w:instrText xml:space="preserve"> </w:instrText>
      </w:r>
      <w:r>
        <w:rPr>
          <w:bCs/>
          <w:color w:val="auto"/>
          <w:sz w:val="24"/>
          <w:highlight w:val="none"/>
        </w:rPr>
        <w:fldChar w:fldCharType="separate"/>
      </w:r>
      <w:r>
        <w:rPr>
          <w:rFonts w:hint="eastAsia"/>
          <w:bCs/>
          <w:color w:val="auto"/>
          <w:sz w:val="24"/>
          <w:highlight w:val="none"/>
        </w:rPr>
        <w:t>①</w:t>
      </w:r>
      <w:r>
        <w:rPr>
          <w:bCs/>
          <w:color w:val="auto"/>
          <w:sz w:val="24"/>
          <w:highlight w:val="none"/>
        </w:rPr>
        <w:fldChar w:fldCharType="end"/>
      </w:r>
      <w:r>
        <w:rPr>
          <w:rFonts w:hint="eastAsia"/>
          <w:bCs/>
          <w:color w:val="auto"/>
          <w:sz w:val="24"/>
          <w:highlight w:val="none"/>
        </w:rPr>
        <w:t>招标人应在技术条件（工程建设标准）中提出</w:t>
      </w:r>
      <w:r>
        <w:rPr>
          <w:bCs/>
          <w:color w:val="auto"/>
          <w:sz w:val="24"/>
          <w:highlight w:val="none"/>
        </w:rPr>
        <w:t>本项目对</w:t>
      </w:r>
      <w:r>
        <w:rPr>
          <w:rFonts w:hint="eastAsia"/>
          <w:bCs/>
          <w:color w:val="auto"/>
          <w:sz w:val="24"/>
          <w:highlight w:val="none"/>
        </w:rPr>
        <w:t>关键技术、工艺、重点、难点，以及拟在本项目采用的智能建造和新型建筑工业化相关技术的具体要求，</w:t>
      </w:r>
      <w:r>
        <w:rPr>
          <w:bCs/>
          <w:color w:val="auto"/>
          <w:sz w:val="24"/>
          <w:highlight w:val="none"/>
        </w:rPr>
        <w:t>明确</w:t>
      </w:r>
      <w:r>
        <w:rPr>
          <w:rFonts w:hint="eastAsia"/>
          <w:bCs/>
          <w:color w:val="auto"/>
          <w:sz w:val="24"/>
          <w:highlight w:val="none"/>
        </w:rPr>
        <w:t>本项目采购绿色建材和对原材料、生产制造工艺的环保、节能、低碳的要求，明确施工现场建筑垃圾源头减量的具体要求以及建筑垃圾综合利用产品的使用要求。</w:t>
      </w:r>
      <w:r>
        <w:rPr>
          <w:bCs/>
          <w:color w:val="auto"/>
          <w:sz w:val="24"/>
          <w:highlight w:val="none"/>
        </w:rPr>
        <w:fldChar w:fldCharType="begin"/>
      </w:r>
      <w:r>
        <w:rPr>
          <w:bCs/>
          <w:color w:val="auto"/>
          <w:sz w:val="24"/>
          <w:highlight w:val="none"/>
        </w:rPr>
        <w:instrText xml:space="preserve"> = 2 \* GB3 </w:instrText>
      </w:r>
      <w:r>
        <w:rPr>
          <w:bCs/>
          <w:color w:val="auto"/>
          <w:sz w:val="24"/>
          <w:highlight w:val="none"/>
        </w:rPr>
        <w:fldChar w:fldCharType="separate"/>
      </w:r>
      <w:r>
        <w:rPr>
          <w:rFonts w:hint="eastAsia"/>
          <w:bCs/>
          <w:color w:val="auto"/>
          <w:sz w:val="24"/>
          <w:highlight w:val="none"/>
        </w:rPr>
        <w:t>②</w:t>
      </w:r>
      <w:r>
        <w:rPr>
          <w:bCs/>
          <w:color w:val="auto"/>
          <w:sz w:val="24"/>
          <w:highlight w:val="none"/>
        </w:rPr>
        <w:fldChar w:fldCharType="end"/>
      </w:r>
      <w:r>
        <w:rPr>
          <w:rFonts w:hint="eastAsia"/>
          <w:bCs/>
          <w:color w:val="auto"/>
          <w:sz w:val="24"/>
          <w:highlight w:val="none"/>
        </w:rPr>
        <w:t>鼓励招标人对施工组织设计或施工方案实行隐藏投标人信息的暗标评审。</w:t>
      </w: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7"/>
        <w:spacing w:before="156" w:after="156"/>
        <w:rPr>
          <w:color w:val="auto"/>
          <w:highlight w:val="none"/>
        </w:rPr>
      </w:pPr>
      <w:bookmarkStart w:id="6" w:name="_Toc3357"/>
      <w:r>
        <w:rPr>
          <w:rFonts w:hint="eastAsia"/>
          <w:color w:val="auto"/>
          <w:highlight w:val="none"/>
        </w:rPr>
        <w:t>（三）投标文件的编制</w:t>
      </w:r>
      <w:bookmarkEnd w:id="6"/>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pPr>
        <w:pStyle w:val="5"/>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投标文件由技术部分（含资格审查文件）和经济部分两部分投标文件组成</w:t>
      </w:r>
      <w:r>
        <w:rPr>
          <w:rFonts w:hint="eastAsia" w:ascii="宋体" w:hAnsi="宋体"/>
          <w:b/>
          <w:color w:val="auto"/>
          <w:sz w:val="24"/>
          <w:highlight w:val="none"/>
        </w:rPr>
        <w:t>。</w:t>
      </w:r>
    </w:p>
    <w:p>
      <w:pPr>
        <w:spacing w:line="360" w:lineRule="auto"/>
        <w:ind w:firstLine="480" w:firstLineChars="200"/>
        <w:rPr>
          <w:bCs/>
          <w:color w:val="auto"/>
          <w:sz w:val="24"/>
          <w:highlight w:val="none"/>
        </w:rPr>
      </w:pPr>
      <w:r>
        <w:rPr>
          <w:bCs/>
          <w:color w:val="auto"/>
          <w:sz w:val="24"/>
          <w:highlight w:val="none"/>
        </w:rPr>
        <w:t>11.2</w:t>
      </w:r>
      <w:r>
        <w:rPr>
          <w:rFonts w:hint="eastAsia"/>
          <w:bCs/>
          <w:color w:val="auto"/>
          <w:sz w:val="24"/>
          <w:highlight w:val="none"/>
        </w:rPr>
        <w:t>投标文件技术标部分主要包括下列内容</w:t>
      </w:r>
      <w:r>
        <w:rPr>
          <w:bCs/>
          <w:color w:val="auto"/>
          <w:sz w:val="24"/>
          <w:highlight w:val="none"/>
        </w:rPr>
        <w:t>:</w:t>
      </w:r>
    </w:p>
    <w:p>
      <w:pPr>
        <w:spacing w:line="360" w:lineRule="auto"/>
        <w:ind w:firstLine="480" w:firstLineChars="200"/>
        <w:rPr>
          <w:bCs/>
          <w:color w:val="auto"/>
          <w:sz w:val="24"/>
          <w:highlight w:val="none"/>
        </w:rPr>
      </w:pPr>
      <w:r>
        <w:rPr>
          <w:rFonts w:hint="eastAsia"/>
          <w:bCs/>
          <w:color w:val="auto"/>
          <w:sz w:val="24"/>
          <w:highlight w:val="none"/>
        </w:rPr>
        <w:t>11.2.1 技术投标文件</w:t>
      </w:r>
      <w:r>
        <w:rPr>
          <w:color w:val="auto"/>
          <w:sz w:val="24"/>
          <w:highlight w:val="none"/>
        </w:rPr>
        <w:t>(</w:t>
      </w:r>
      <w:r>
        <w:rPr>
          <w:rFonts w:hint="eastAsia"/>
          <w:color w:val="auto"/>
          <w:sz w:val="24"/>
          <w:highlight w:val="none"/>
        </w:rPr>
        <w:t>按招标文件的要求填写</w:t>
      </w:r>
      <w:r>
        <w:rPr>
          <w:color w:val="auto"/>
          <w:sz w:val="24"/>
          <w:highlight w:val="none"/>
        </w:rPr>
        <w:t>)</w:t>
      </w:r>
      <w:r>
        <w:rPr>
          <w:rFonts w:hint="eastAsia"/>
          <w:bCs/>
          <w:color w:val="auto"/>
          <w:sz w:val="24"/>
          <w:highlight w:val="none"/>
        </w:rPr>
        <w:t>；</w:t>
      </w:r>
    </w:p>
    <w:p>
      <w:pPr>
        <w:spacing w:line="360" w:lineRule="auto"/>
        <w:ind w:firstLine="480" w:firstLineChars="200"/>
        <w:rPr>
          <w:rFonts w:hint="eastAsia"/>
          <w:bCs/>
          <w:color w:val="auto"/>
          <w:sz w:val="24"/>
          <w:highlight w:val="none"/>
        </w:rPr>
      </w:pPr>
      <w:r>
        <w:rPr>
          <w:rFonts w:hint="eastAsia"/>
          <w:bCs/>
          <w:color w:val="auto"/>
          <w:sz w:val="24"/>
          <w:highlight w:val="none"/>
        </w:rPr>
        <w:t>11.2.2 资格审查文件：</w:t>
      </w:r>
    </w:p>
    <w:p>
      <w:pPr>
        <w:spacing w:line="360" w:lineRule="auto"/>
        <w:ind w:firstLine="480" w:firstLineChars="200"/>
        <w:rPr>
          <w:rFonts w:hint="eastAsia"/>
          <w:bCs/>
          <w:color w:val="auto"/>
          <w:sz w:val="24"/>
          <w:highlight w:val="none"/>
        </w:rPr>
      </w:pPr>
      <w:r>
        <w:rPr>
          <w:rFonts w:hint="eastAsia"/>
          <w:bCs/>
          <w:color w:val="auto"/>
          <w:sz w:val="24"/>
          <w:highlight w:val="none"/>
        </w:rPr>
        <w:t xml:space="preserve">（1）投标人声明； </w:t>
      </w:r>
    </w:p>
    <w:p>
      <w:pPr>
        <w:spacing w:line="360" w:lineRule="auto"/>
        <w:ind w:firstLine="480" w:firstLineChars="200"/>
        <w:rPr>
          <w:rFonts w:hint="eastAsia"/>
          <w:bCs/>
          <w:color w:val="auto"/>
          <w:sz w:val="24"/>
          <w:highlight w:val="none"/>
        </w:rPr>
      </w:pPr>
      <w:r>
        <w:rPr>
          <w:rFonts w:hint="eastAsia"/>
          <w:bCs/>
          <w:color w:val="auto"/>
          <w:sz w:val="24"/>
          <w:highlight w:val="none"/>
        </w:rPr>
        <w:t>（2）法定代表人证明书、法定代表人签字或盖章的本投标文件授权委托证明书；</w:t>
      </w:r>
    </w:p>
    <w:p>
      <w:pPr>
        <w:spacing w:line="360" w:lineRule="auto"/>
        <w:ind w:firstLine="480" w:firstLineChars="200"/>
        <w:rPr>
          <w:rFonts w:hint="eastAsia"/>
          <w:bCs/>
          <w:color w:val="auto"/>
          <w:sz w:val="24"/>
          <w:highlight w:val="none"/>
        </w:rPr>
      </w:pPr>
      <w:r>
        <w:rPr>
          <w:rFonts w:hint="eastAsia"/>
          <w:bCs/>
          <w:color w:val="auto"/>
          <w:sz w:val="24"/>
          <w:highlight w:val="none"/>
        </w:rPr>
        <w:t>（3）企业营业执照扫描件或电子证照；</w:t>
      </w:r>
    </w:p>
    <w:p>
      <w:pPr>
        <w:spacing w:line="360" w:lineRule="auto"/>
        <w:ind w:firstLine="480" w:firstLineChars="200"/>
        <w:rPr>
          <w:rFonts w:hint="eastAsia"/>
          <w:bCs/>
          <w:color w:val="auto"/>
          <w:sz w:val="24"/>
          <w:highlight w:val="none"/>
        </w:rPr>
      </w:pPr>
      <w:r>
        <w:rPr>
          <w:rFonts w:hint="eastAsia"/>
          <w:bCs/>
          <w:color w:val="auto"/>
          <w:sz w:val="24"/>
          <w:highlight w:val="none"/>
        </w:rPr>
        <w:t>（4）企业资质证书扫描件或电子证照；</w:t>
      </w:r>
    </w:p>
    <w:p>
      <w:pPr>
        <w:spacing w:line="360" w:lineRule="auto"/>
        <w:ind w:firstLine="480" w:firstLineChars="200"/>
        <w:rPr>
          <w:rFonts w:hint="eastAsia"/>
          <w:bCs/>
          <w:color w:val="auto"/>
          <w:sz w:val="24"/>
          <w:highlight w:val="none"/>
        </w:rPr>
      </w:pPr>
      <w:r>
        <w:rPr>
          <w:rFonts w:hint="eastAsia"/>
          <w:bCs/>
          <w:color w:val="auto"/>
          <w:sz w:val="24"/>
          <w:highlight w:val="none"/>
        </w:rPr>
        <w:t>（5）建筑施工企业安全生产许可证扫描件或电子证照；</w:t>
      </w:r>
    </w:p>
    <w:p>
      <w:pPr>
        <w:spacing w:line="360" w:lineRule="auto"/>
        <w:ind w:firstLine="480" w:firstLineChars="200"/>
        <w:rPr>
          <w:rFonts w:hint="eastAsia"/>
          <w:bCs/>
          <w:color w:val="auto"/>
          <w:sz w:val="24"/>
          <w:highlight w:val="none"/>
        </w:rPr>
      </w:pPr>
      <w:r>
        <w:rPr>
          <w:rFonts w:hint="eastAsia"/>
          <w:bCs/>
          <w:color w:val="auto"/>
          <w:sz w:val="24"/>
          <w:highlight w:val="none"/>
        </w:rPr>
        <w:t>（6）项目负责人（按网上投标登记时选择拟投入本项目的项目负责人）</w:t>
      </w:r>
    </w:p>
    <w:p>
      <w:pPr>
        <w:spacing w:line="360" w:lineRule="auto"/>
        <w:ind w:firstLine="480" w:firstLineChars="200"/>
        <w:rPr>
          <w:rFonts w:hint="eastAsia"/>
          <w:bCs/>
          <w:color w:val="auto"/>
          <w:sz w:val="24"/>
          <w:highlight w:val="none"/>
        </w:rPr>
      </w:pPr>
      <w:r>
        <w:rPr>
          <w:rFonts w:hint="eastAsia"/>
          <w:bCs/>
          <w:color w:val="auto"/>
          <w:sz w:val="24"/>
          <w:highlight w:val="none"/>
        </w:rPr>
        <w:t>（7）专职安全员（按网上投标登记时选择拟投入本项目的专职安全员）</w:t>
      </w:r>
    </w:p>
    <w:p>
      <w:pPr>
        <w:spacing w:line="360" w:lineRule="auto"/>
        <w:ind w:firstLine="480" w:firstLineChars="200"/>
        <w:rPr>
          <w:rFonts w:hint="eastAsia"/>
          <w:bCs/>
          <w:color w:val="auto"/>
          <w:sz w:val="24"/>
          <w:highlight w:val="none"/>
        </w:rPr>
      </w:pPr>
      <w:r>
        <w:rPr>
          <w:rFonts w:hint="eastAsia"/>
          <w:bCs/>
          <w:color w:val="auto"/>
          <w:sz w:val="24"/>
          <w:highlight w:val="none"/>
        </w:rPr>
        <w:t>（8）拟委托技术负责人的相关证书、资料（具体要求由招标人明确）</w:t>
      </w:r>
    </w:p>
    <w:p>
      <w:pPr>
        <w:spacing w:line="360" w:lineRule="auto"/>
        <w:ind w:firstLine="480" w:firstLineChars="200"/>
        <w:rPr>
          <w:rFonts w:hint="eastAsia"/>
          <w:bCs/>
          <w:color w:val="auto"/>
          <w:sz w:val="24"/>
          <w:highlight w:val="none"/>
        </w:rPr>
      </w:pPr>
      <w:r>
        <w:rPr>
          <w:rFonts w:hint="eastAsia"/>
          <w:bCs/>
          <w:color w:val="auto"/>
          <w:sz w:val="24"/>
          <w:highlight w:val="none"/>
        </w:rPr>
        <w:t xml:space="preserve">（9）拟委派项目负责人的有效期内的建造师注册证书扫描件或电子证书；  </w:t>
      </w:r>
    </w:p>
    <w:p>
      <w:pPr>
        <w:spacing w:line="360" w:lineRule="auto"/>
        <w:ind w:firstLine="480" w:firstLineChars="200"/>
        <w:rPr>
          <w:rFonts w:hint="eastAsia"/>
          <w:bCs/>
          <w:color w:val="auto"/>
          <w:sz w:val="24"/>
          <w:highlight w:val="none"/>
        </w:rPr>
      </w:pPr>
      <w:r>
        <w:rPr>
          <w:rFonts w:hint="eastAsia"/>
          <w:bCs/>
          <w:color w:val="auto"/>
          <w:sz w:val="24"/>
          <w:highlight w:val="none"/>
        </w:rPr>
        <w:t>（10）项目负责人在有效期内的安全生产考核合格证书（B类）或建筑施工企业项目负责人安全生产考核合格证书扫描件或电子证书；</w:t>
      </w:r>
    </w:p>
    <w:p>
      <w:pPr>
        <w:spacing w:line="360" w:lineRule="auto"/>
        <w:ind w:firstLine="480" w:firstLineChars="200"/>
        <w:rPr>
          <w:rFonts w:hint="eastAsia"/>
          <w:bCs/>
          <w:color w:val="auto"/>
          <w:sz w:val="24"/>
          <w:highlight w:val="none"/>
        </w:rPr>
      </w:pPr>
      <w:r>
        <w:rPr>
          <w:rFonts w:hint="eastAsia"/>
          <w:bCs/>
          <w:color w:val="auto"/>
          <w:sz w:val="24"/>
          <w:highlight w:val="none"/>
        </w:rPr>
        <w:t>（11）专职安全员须具有在有效期内的安全生产考核合格证书（C类）或建筑施工企业专职安全生产管理人员安全生产考核合格证书扫描件或电子证书；</w:t>
      </w:r>
    </w:p>
    <w:p>
      <w:pPr>
        <w:spacing w:line="360" w:lineRule="auto"/>
        <w:ind w:firstLine="480" w:firstLineChars="200"/>
        <w:rPr>
          <w:rFonts w:hint="eastAsia"/>
          <w:bCs/>
          <w:color w:val="auto"/>
          <w:sz w:val="24"/>
          <w:highlight w:val="none"/>
        </w:rPr>
      </w:pPr>
      <w:r>
        <w:rPr>
          <w:rFonts w:hint="eastAsia"/>
          <w:bCs/>
          <w:color w:val="auto"/>
          <w:sz w:val="24"/>
          <w:highlight w:val="none"/>
        </w:rPr>
        <w:t>（12）用于资格审查的业绩（设置业绩要求时选择此项，投标人须提供类似工程业绩的项目名称及项目编号，具体格式由招标人自定）；</w:t>
      </w:r>
    </w:p>
    <w:p>
      <w:pPr>
        <w:spacing w:line="360" w:lineRule="auto"/>
        <w:ind w:firstLine="480" w:firstLineChars="200"/>
        <w:rPr>
          <w:rFonts w:hint="eastAsia"/>
          <w:bCs/>
          <w:color w:val="auto"/>
          <w:sz w:val="24"/>
          <w:highlight w:val="none"/>
        </w:rPr>
      </w:pPr>
      <w:r>
        <w:rPr>
          <w:rFonts w:hint="eastAsia"/>
          <w:bCs/>
          <w:color w:val="auto"/>
          <w:sz w:val="24"/>
          <w:highlight w:val="none"/>
        </w:rPr>
        <w:t xml:space="preserve">（13）列明主办单位的联合体工作协议（采用联合体投标时需递交，投标人拟任本工程项目负责人应为联合体主办方信用档案中的在册人员，联合体工作协议应明确约定各方拟承担的工作和责任）； </w:t>
      </w:r>
    </w:p>
    <w:p>
      <w:pPr>
        <w:spacing w:line="360" w:lineRule="auto"/>
        <w:ind w:firstLine="480" w:firstLineChars="200"/>
        <w:rPr>
          <w:rFonts w:hint="eastAsia"/>
          <w:bCs/>
          <w:color w:val="auto"/>
          <w:sz w:val="24"/>
          <w:highlight w:val="none"/>
        </w:rPr>
      </w:pPr>
      <w:r>
        <w:rPr>
          <w:rFonts w:hint="eastAsia"/>
          <w:bCs/>
          <w:color w:val="auto"/>
          <w:sz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spacing w:line="360" w:lineRule="auto"/>
        <w:ind w:firstLine="480" w:firstLineChars="200"/>
        <w:rPr>
          <w:rFonts w:hint="eastAsia"/>
          <w:bCs/>
          <w:color w:val="auto"/>
          <w:sz w:val="24"/>
          <w:highlight w:val="none"/>
        </w:rPr>
      </w:pPr>
      <w:r>
        <w:rPr>
          <w:rFonts w:hint="eastAsia"/>
          <w:bCs/>
          <w:color w:val="auto"/>
          <w:sz w:val="24"/>
          <w:highlight w:val="none"/>
        </w:rPr>
        <w:t>注：1.相关电子证书按规定需打印后手写本人签名的，应按照规定手写本人签名后再扫描提交。</w:t>
      </w:r>
    </w:p>
    <w:p>
      <w:pPr>
        <w:spacing w:line="360" w:lineRule="auto"/>
        <w:ind w:firstLine="480" w:firstLineChars="200"/>
        <w:rPr>
          <w:bCs/>
          <w:color w:val="auto"/>
          <w:sz w:val="24"/>
          <w:highlight w:val="none"/>
        </w:rPr>
      </w:pPr>
      <w:r>
        <w:rPr>
          <w:rFonts w:hint="eastAsia"/>
          <w:bCs/>
          <w:color w:val="auto"/>
          <w:sz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80" w:firstLineChars="200"/>
        <w:rPr>
          <w:color w:val="auto"/>
          <w:sz w:val="24"/>
          <w:highlight w:val="none"/>
        </w:rPr>
      </w:pPr>
      <w:r>
        <w:rPr>
          <w:color w:val="auto"/>
          <w:sz w:val="24"/>
          <w:highlight w:val="none"/>
        </w:rPr>
        <w:t>11.2.3</w:t>
      </w:r>
      <w:r>
        <w:rPr>
          <w:rFonts w:hint="eastAsia"/>
          <w:color w:val="auto"/>
          <w:sz w:val="24"/>
          <w:highlight w:val="none"/>
        </w:rPr>
        <w:t>项目管理机构配备。</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）投标人应列出该项目工程的施工组织机构构成和画出机构框架图及其负责人；</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）其他辅助说明资料。</w:t>
      </w:r>
    </w:p>
    <w:p>
      <w:pPr>
        <w:spacing w:line="360" w:lineRule="auto"/>
        <w:ind w:firstLine="480" w:firstLineChars="200"/>
        <w:rPr>
          <w:color w:val="auto"/>
          <w:sz w:val="24"/>
          <w:highlight w:val="none"/>
        </w:rPr>
      </w:pPr>
      <w:r>
        <w:rPr>
          <w:color w:val="auto"/>
          <w:sz w:val="24"/>
          <w:highlight w:val="none"/>
        </w:rPr>
        <w:t>11.2.4</w:t>
      </w:r>
      <w:r>
        <w:rPr>
          <w:rFonts w:hint="eastAsia"/>
          <w:color w:val="auto"/>
          <w:sz w:val="24"/>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color w:val="auto"/>
          <w:sz w:val="24"/>
          <w:highlight w:val="none"/>
        </w:rPr>
      </w:pPr>
      <w:r>
        <w:rPr>
          <w:color w:val="auto"/>
          <w:sz w:val="24"/>
          <w:highlight w:val="none"/>
        </w:rPr>
        <w:t>11.2.5施工组织设计或施工方案。</w:t>
      </w:r>
    </w:p>
    <w:p>
      <w:pPr>
        <w:tabs>
          <w:tab w:val="left" w:pos="1125"/>
        </w:tabs>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80" w:firstLineChars="200"/>
        <w:rPr>
          <w:color w:val="auto"/>
          <w:sz w:val="24"/>
          <w:highlight w:val="none"/>
        </w:rPr>
      </w:pPr>
      <w:r>
        <w:rPr>
          <w:rFonts w:hint="eastAsia"/>
          <w:color w:val="auto"/>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w:t>
      </w:r>
      <w:r>
        <w:rPr>
          <w:color w:val="auto"/>
          <w:sz w:val="24"/>
          <w:highlight w:val="none"/>
        </w:rPr>
        <w:t>150页；对于技术特别复杂，施工工艺超出国家标准的项目，施工组织设计的篇幅要求可适当放宽，但不宜超过200页。</w:t>
      </w:r>
      <w:r>
        <w:rPr>
          <w:rFonts w:hint="eastAsia"/>
          <w:color w:val="auto"/>
          <w:sz w:val="24"/>
          <w:highlight w:val="none"/>
        </w:rPr>
        <w:t>超过部分不予评审。</w:t>
      </w:r>
    </w:p>
    <w:p>
      <w:pPr>
        <w:tabs>
          <w:tab w:val="left" w:pos="1125"/>
        </w:tabs>
        <w:spacing w:line="360" w:lineRule="auto"/>
        <w:ind w:firstLine="480" w:firstLineChars="200"/>
        <w:rPr>
          <w:color w:val="auto"/>
          <w:sz w:val="24"/>
          <w:highlight w:val="none"/>
        </w:rPr>
      </w:pPr>
      <w:r>
        <w:rPr>
          <w:color w:val="auto"/>
          <w:sz w:val="24"/>
          <w:highlight w:val="none"/>
        </w:rPr>
        <w:t>11.2.</w:t>
      </w:r>
      <w:r>
        <w:rPr>
          <w:rFonts w:hint="eastAsia"/>
          <w:color w:val="auto"/>
          <w:sz w:val="24"/>
          <w:highlight w:val="none"/>
        </w:rPr>
        <w:t>6按照</w:t>
      </w:r>
      <w:r>
        <w:rPr>
          <w:rFonts w:hint="eastAsia"/>
          <w:bCs/>
          <w:color w:val="auto"/>
          <w:sz w:val="24"/>
          <w:highlight w:val="none"/>
        </w:rPr>
        <w:t>招标文件要求</w:t>
      </w:r>
      <w:r>
        <w:rPr>
          <w:rFonts w:hint="eastAsia"/>
          <w:color w:val="auto"/>
          <w:sz w:val="24"/>
          <w:highlight w:val="none"/>
        </w:rPr>
        <w:t>填写的《参与编制技术标投标文件人员名单》。</w:t>
      </w:r>
    </w:p>
    <w:p>
      <w:pPr>
        <w:spacing w:line="360" w:lineRule="auto"/>
        <w:ind w:firstLine="480" w:firstLineChars="200"/>
        <w:rPr>
          <w:bCs/>
          <w:color w:val="auto"/>
          <w:sz w:val="24"/>
          <w:highlight w:val="none"/>
        </w:rPr>
      </w:pPr>
      <w:r>
        <w:rPr>
          <w:bCs/>
          <w:color w:val="auto"/>
          <w:sz w:val="24"/>
          <w:highlight w:val="none"/>
        </w:rPr>
        <w:t xml:space="preserve">11.3 </w:t>
      </w:r>
      <w:r>
        <w:rPr>
          <w:rFonts w:hint="eastAsia"/>
          <w:bCs/>
          <w:color w:val="auto"/>
          <w:sz w:val="24"/>
          <w:highlight w:val="none"/>
        </w:rPr>
        <w:t>经济部分投标文件主要包括下列内容：</w:t>
      </w:r>
    </w:p>
    <w:p>
      <w:pPr>
        <w:spacing w:line="360" w:lineRule="auto"/>
        <w:ind w:firstLine="480" w:firstLineChars="200"/>
        <w:rPr>
          <w:color w:val="auto"/>
          <w:sz w:val="24"/>
          <w:highlight w:val="none"/>
        </w:rPr>
      </w:pPr>
      <w:r>
        <w:rPr>
          <w:color w:val="auto"/>
          <w:sz w:val="24"/>
          <w:highlight w:val="none"/>
        </w:rPr>
        <w:t xml:space="preserve">11.3.1 </w:t>
      </w:r>
      <w:r>
        <w:rPr>
          <w:rFonts w:hint="eastAsia"/>
          <w:color w:val="auto"/>
          <w:sz w:val="24"/>
          <w:highlight w:val="none"/>
        </w:rPr>
        <w:t>经济投标文件</w:t>
      </w:r>
      <w:r>
        <w:rPr>
          <w:color w:val="auto"/>
          <w:sz w:val="24"/>
          <w:highlight w:val="none"/>
        </w:rPr>
        <w:t>(</w:t>
      </w:r>
      <w:r>
        <w:rPr>
          <w:rFonts w:hint="eastAsia"/>
          <w:color w:val="auto"/>
          <w:sz w:val="24"/>
          <w:highlight w:val="none"/>
        </w:rPr>
        <w:t>按招标文件的要求填写</w:t>
      </w:r>
      <w:r>
        <w:rPr>
          <w:color w:val="auto"/>
          <w:sz w:val="24"/>
          <w:highlight w:val="none"/>
        </w:rPr>
        <w:t>)</w:t>
      </w:r>
      <w:r>
        <w:rPr>
          <w:rFonts w:hint="eastAsia"/>
          <w:color w:val="auto"/>
          <w:sz w:val="24"/>
          <w:highlight w:val="none"/>
        </w:rPr>
        <w:t>。</w:t>
      </w:r>
    </w:p>
    <w:p>
      <w:pPr>
        <w:spacing w:line="360" w:lineRule="auto"/>
        <w:ind w:firstLine="480" w:firstLineChars="200"/>
        <w:rPr>
          <w:color w:val="auto"/>
          <w:sz w:val="24"/>
          <w:highlight w:val="none"/>
        </w:rPr>
      </w:pPr>
      <w:r>
        <w:rPr>
          <w:color w:val="auto"/>
          <w:sz w:val="24"/>
          <w:highlight w:val="none"/>
        </w:rPr>
        <w:t>11.3.2</w:t>
      </w:r>
      <w:r>
        <w:rPr>
          <w:rFonts w:hint="eastAsia"/>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color w:val="auto"/>
          <w:sz w:val="24"/>
          <w:szCs w:val="24"/>
          <w:highlight w:val="none"/>
        </w:rPr>
        <w:t>其中包括如下：</w:t>
      </w:r>
      <w:r>
        <w:rPr>
          <w:color w:val="auto"/>
          <w:sz w:val="24"/>
          <w:highlight w:val="none"/>
        </w:rPr>
        <w:t xml:space="preserve"> </w:t>
      </w:r>
    </w:p>
    <w:p>
      <w:pPr>
        <w:spacing w:line="360" w:lineRule="auto"/>
        <w:ind w:firstLine="566" w:firstLineChars="236"/>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）投标总价封面、扉页；</w:t>
      </w:r>
    </w:p>
    <w:p>
      <w:pPr>
        <w:spacing w:line="360" w:lineRule="auto"/>
        <w:ind w:firstLine="566" w:firstLineChars="236"/>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）总说明</w:t>
      </w:r>
    </w:p>
    <w:p>
      <w:pPr>
        <w:spacing w:line="360" w:lineRule="auto"/>
        <w:ind w:firstLine="566" w:firstLineChars="236"/>
        <w:rPr>
          <w:color w:val="auto"/>
          <w:sz w:val="24"/>
          <w:szCs w:val="24"/>
          <w:highlight w:val="none"/>
        </w:rPr>
      </w:pPr>
      <w:r>
        <w:rPr>
          <w:rFonts w:hint="eastAsia"/>
          <w:color w:val="auto"/>
          <w:sz w:val="24"/>
          <w:szCs w:val="24"/>
          <w:highlight w:val="none"/>
        </w:rPr>
        <w:t>（3）工程项目投标报价汇总表；</w:t>
      </w:r>
    </w:p>
    <w:p>
      <w:pPr>
        <w:spacing w:line="360" w:lineRule="auto"/>
        <w:ind w:firstLine="566" w:firstLineChars="236"/>
        <w:rPr>
          <w:color w:val="auto"/>
          <w:sz w:val="24"/>
          <w:szCs w:val="24"/>
          <w:highlight w:val="none"/>
        </w:rPr>
      </w:pPr>
      <w:r>
        <w:rPr>
          <w:rFonts w:hint="eastAsia"/>
          <w:color w:val="auto"/>
          <w:sz w:val="24"/>
          <w:szCs w:val="24"/>
          <w:highlight w:val="none"/>
        </w:rPr>
        <w:t>（4）单项工程投标报价汇总表；</w:t>
      </w:r>
    </w:p>
    <w:p>
      <w:pPr>
        <w:spacing w:line="360" w:lineRule="auto"/>
        <w:ind w:firstLine="566" w:firstLineChars="236"/>
        <w:rPr>
          <w:color w:val="auto"/>
          <w:sz w:val="24"/>
          <w:szCs w:val="24"/>
          <w:highlight w:val="none"/>
        </w:rPr>
      </w:pPr>
      <w:r>
        <w:rPr>
          <w:rFonts w:hint="eastAsia"/>
          <w:color w:val="auto"/>
          <w:sz w:val="24"/>
          <w:szCs w:val="24"/>
          <w:highlight w:val="none"/>
        </w:rPr>
        <w:t>（5）单位工程投标报价汇总表；</w:t>
      </w:r>
    </w:p>
    <w:p>
      <w:pPr>
        <w:spacing w:line="360" w:lineRule="auto"/>
        <w:ind w:firstLine="566" w:firstLineChars="236"/>
        <w:rPr>
          <w:color w:val="auto"/>
          <w:sz w:val="24"/>
          <w:szCs w:val="24"/>
          <w:highlight w:val="none"/>
        </w:rPr>
      </w:pPr>
      <w:r>
        <w:rPr>
          <w:rFonts w:hint="eastAsia"/>
          <w:color w:val="auto"/>
          <w:sz w:val="24"/>
          <w:szCs w:val="24"/>
          <w:highlight w:val="none"/>
        </w:rPr>
        <w:t>（6）分部分项工程清单与计价表；</w:t>
      </w:r>
    </w:p>
    <w:p>
      <w:pPr>
        <w:spacing w:line="360" w:lineRule="auto"/>
        <w:ind w:firstLine="566" w:firstLineChars="236"/>
        <w:rPr>
          <w:color w:val="auto"/>
          <w:sz w:val="24"/>
          <w:szCs w:val="24"/>
          <w:highlight w:val="none"/>
        </w:rPr>
      </w:pPr>
      <w:r>
        <w:rPr>
          <w:rFonts w:hint="eastAsia"/>
          <w:color w:val="auto"/>
          <w:sz w:val="24"/>
          <w:szCs w:val="24"/>
          <w:highlight w:val="none"/>
        </w:rPr>
        <w:t>（7）单价措施项目清单与计价表；</w:t>
      </w:r>
    </w:p>
    <w:p>
      <w:pPr>
        <w:spacing w:line="360" w:lineRule="auto"/>
        <w:ind w:firstLine="566" w:firstLineChars="236"/>
        <w:rPr>
          <w:color w:val="auto"/>
          <w:sz w:val="24"/>
          <w:szCs w:val="24"/>
          <w:highlight w:val="none"/>
        </w:rPr>
      </w:pPr>
      <w:r>
        <w:rPr>
          <w:rFonts w:hint="eastAsia"/>
          <w:color w:val="auto"/>
          <w:sz w:val="24"/>
          <w:szCs w:val="24"/>
          <w:highlight w:val="none"/>
        </w:rPr>
        <w:t>（8）总价措施项目清单与计价表；</w:t>
      </w:r>
    </w:p>
    <w:p>
      <w:pPr>
        <w:spacing w:line="360" w:lineRule="auto"/>
        <w:ind w:firstLine="566" w:firstLineChars="236"/>
        <w:rPr>
          <w:color w:val="auto"/>
          <w:sz w:val="24"/>
          <w:szCs w:val="24"/>
          <w:highlight w:val="none"/>
        </w:rPr>
      </w:pPr>
      <w:r>
        <w:rPr>
          <w:rFonts w:hint="eastAsia"/>
          <w:color w:val="auto"/>
          <w:sz w:val="24"/>
          <w:szCs w:val="24"/>
          <w:highlight w:val="none"/>
        </w:rPr>
        <w:t>（9）综合单价分析表；</w:t>
      </w:r>
    </w:p>
    <w:p>
      <w:pPr>
        <w:spacing w:line="360" w:lineRule="auto"/>
        <w:ind w:firstLine="566" w:firstLineChars="236"/>
        <w:rPr>
          <w:color w:val="auto"/>
          <w:sz w:val="24"/>
          <w:szCs w:val="24"/>
          <w:highlight w:val="none"/>
        </w:rPr>
      </w:pPr>
      <w:r>
        <w:rPr>
          <w:rFonts w:hint="eastAsia"/>
          <w:color w:val="auto"/>
          <w:sz w:val="24"/>
          <w:szCs w:val="24"/>
          <w:highlight w:val="none"/>
        </w:rPr>
        <w:t>（10）其他项目清单与计价汇总表；</w:t>
      </w:r>
    </w:p>
    <w:p>
      <w:pPr>
        <w:spacing w:line="360" w:lineRule="auto"/>
        <w:ind w:firstLine="566" w:firstLineChars="236"/>
        <w:rPr>
          <w:color w:val="auto"/>
          <w:sz w:val="24"/>
          <w:szCs w:val="24"/>
          <w:highlight w:val="none"/>
        </w:rPr>
      </w:pPr>
      <w:r>
        <w:rPr>
          <w:rFonts w:hint="eastAsia"/>
          <w:color w:val="auto"/>
          <w:sz w:val="24"/>
          <w:szCs w:val="24"/>
          <w:highlight w:val="none"/>
        </w:rPr>
        <w:t>（11）暂列金额明细表；</w:t>
      </w:r>
    </w:p>
    <w:p>
      <w:pPr>
        <w:spacing w:line="360" w:lineRule="auto"/>
        <w:ind w:firstLine="566" w:firstLineChars="236"/>
        <w:rPr>
          <w:color w:val="auto"/>
          <w:sz w:val="24"/>
          <w:szCs w:val="24"/>
          <w:highlight w:val="none"/>
        </w:rPr>
      </w:pPr>
      <w:r>
        <w:rPr>
          <w:rFonts w:hint="eastAsia"/>
          <w:color w:val="auto"/>
          <w:sz w:val="24"/>
          <w:szCs w:val="24"/>
          <w:highlight w:val="none"/>
        </w:rPr>
        <w:t>（12）材料（工程设备）暂估价明细表；</w:t>
      </w:r>
    </w:p>
    <w:p>
      <w:pPr>
        <w:spacing w:line="360" w:lineRule="auto"/>
        <w:ind w:firstLine="566" w:firstLineChars="236"/>
        <w:rPr>
          <w:color w:val="auto"/>
          <w:sz w:val="24"/>
          <w:szCs w:val="24"/>
          <w:highlight w:val="none"/>
        </w:rPr>
      </w:pPr>
      <w:r>
        <w:rPr>
          <w:rFonts w:hint="eastAsia"/>
          <w:color w:val="auto"/>
          <w:sz w:val="24"/>
          <w:szCs w:val="24"/>
          <w:highlight w:val="none"/>
        </w:rPr>
        <w:t>（13）专业工程暂估价明细表；</w:t>
      </w:r>
    </w:p>
    <w:p>
      <w:pPr>
        <w:spacing w:line="360" w:lineRule="auto"/>
        <w:ind w:firstLine="566" w:firstLineChars="236"/>
        <w:rPr>
          <w:color w:val="auto"/>
          <w:sz w:val="24"/>
          <w:szCs w:val="24"/>
          <w:highlight w:val="none"/>
        </w:rPr>
      </w:pPr>
      <w:r>
        <w:rPr>
          <w:rFonts w:hint="eastAsia"/>
          <w:color w:val="auto"/>
          <w:sz w:val="24"/>
          <w:szCs w:val="24"/>
          <w:highlight w:val="none"/>
        </w:rPr>
        <w:t>（14）计日工表；</w:t>
      </w:r>
    </w:p>
    <w:p>
      <w:pPr>
        <w:spacing w:line="360" w:lineRule="auto"/>
        <w:ind w:firstLine="566" w:firstLineChars="236"/>
        <w:rPr>
          <w:color w:val="auto"/>
          <w:sz w:val="24"/>
          <w:szCs w:val="24"/>
          <w:highlight w:val="none"/>
        </w:rPr>
      </w:pPr>
      <w:r>
        <w:rPr>
          <w:rFonts w:hint="eastAsia"/>
          <w:color w:val="auto"/>
          <w:sz w:val="24"/>
          <w:szCs w:val="24"/>
          <w:highlight w:val="none"/>
        </w:rPr>
        <w:t>（15）总承包服务计价表；</w:t>
      </w:r>
    </w:p>
    <w:p>
      <w:pPr>
        <w:spacing w:line="360" w:lineRule="auto"/>
        <w:ind w:firstLine="566" w:firstLineChars="236"/>
        <w:rPr>
          <w:color w:val="auto"/>
          <w:sz w:val="24"/>
          <w:szCs w:val="24"/>
          <w:highlight w:val="none"/>
        </w:rPr>
      </w:pPr>
      <w:r>
        <w:rPr>
          <w:rFonts w:hint="eastAsia"/>
          <w:color w:val="auto"/>
          <w:sz w:val="24"/>
          <w:szCs w:val="24"/>
          <w:highlight w:val="none"/>
        </w:rPr>
        <w:t>（16）规费和税金项目计价表；</w:t>
      </w:r>
    </w:p>
    <w:p>
      <w:pPr>
        <w:spacing w:line="360" w:lineRule="auto"/>
        <w:ind w:firstLine="480" w:firstLineChars="200"/>
        <w:rPr>
          <w:color w:val="auto"/>
          <w:sz w:val="24"/>
          <w:highlight w:val="none"/>
        </w:rPr>
      </w:pPr>
      <w:r>
        <w:rPr>
          <w:rFonts w:hint="eastAsia"/>
          <w:color w:val="auto"/>
          <w:sz w:val="24"/>
          <w:szCs w:val="24"/>
          <w:highlight w:val="none"/>
        </w:rPr>
        <w:t xml:space="preserve"> （17）人工、主要材料和设备一览表</w:t>
      </w:r>
    </w:p>
    <w:p>
      <w:pPr>
        <w:tabs>
          <w:tab w:val="left" w:pos="1125"/>
        </w:tabs>
        <w:spacing w:line="360" w:lineRule="auto"/>
        <w:ind w:firstLine="480" w:firstLineChars="200"/>
        <w:rPr>
          <w:color w:val="auto"/>
          <w:sz w:val="24"/>
          <w:highlight w:val="none"/>
        </w:rPr>
      </w:pPr>
      <w:r>
        <w:rPr>
          <w:color w:val="auto"/>
          <w:sz w:val="24"/>
          <w:highlight w:val="none"/>
        </w:rPr>
        <w:t>11.3.</w:t>
      </w:r>
      <w:r>
        <w:rPr>
          <w:rFonts w:hint="eastAsia"/>
          <w:color w:val="auto"/>
          <w:sz w:val="24"/>
          <w:highlight w:val="none"/>
        </w:rPr>
        <w:t>3按照</w:t>
      </w:r>
      <w:r>
        <w:rPr>
          <w:rFonts w:hint="eastAsia"/>
          <w:bCs/>
          <w:color w:val="auto"/>
          <w:sz w:val="24"/>
          <w:highlight w:val="none"/>
        </w:rPr>
        <w:t>招标文件要求</w:t>
      </w:r>
      <w:r>
        <w:rPr>
          <w:rFonts w:hint="eastAsia"/>
          <w:color w:val="auto"/>
          <w:sz w:val="24"/>
          <w:highlight w:val="none"/>
        </w:rPr>
        <w:t>填写的《参与编制经济标投标文件人员名单》。</w:t>
      </w:r>
    </w:p>
    <w:p>
      <w:pPr>
        <w:tabs>
          <w:tab w:val="left" w:pos="1125"/>
        </w:tabs>
        <w:spacing w:line="360" w:lineRule="auto"/>
        <w:ind w:firstLine="480" w:firstLineChars="200"/>
        <w:rPr>
          <w:color w:val="auto"/>
          <w:sz w:val="24"/>
          <w:highlight w:val="none"/>
        </w:rPr>
      </w:pPr>
      <w:r>
        <w:rPr>
          <w:rFonts w:hint="eastAsia"/>
          <w:color w:val="auto"/>
          <w:sz w:val="24"/>
          <w:highlight w:val="none"/>
        </w:rPr>
        <w:t>11.3.4若投标人的投标报价低于工程成本警戒价的，投标人还须提供详细的施工组织设计、单价、措施性费用、单价分析表、主要材料价格表、投标人成本分析供评标委员会评审。</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             。</w:t>
      </w:r>
    </w:p>
    <w:p>
      <w:pPr>
        <w:pStyle w:val="5"/>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注释：投标文件电子文档需要投标人单位盖章的材料，投标人加盖电子印章即可，不得将投标人未对电子文档加盖实物印章作为否决投标的情形。</w:t>
      </w:r>
    </w:p>
    <w:p>
      <w:pPr>
        <w:pStyle w:val="5"/>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 xml:space="preserve">。               </w:t>
      </w:r>
    </w:p>
    <w:p>
      <w:pPr>
        <w:pStyle w:val="5"/>
        <w:spacing w:after="0" w:line="360" w:lineRule="auto"/>
        <w:ind w:firstLine="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hint="eastAsia" w:ascii="宋体" w:eastAsia="宋体"/>
          <w:color w:val="auto"/>
          <w:sz w:val="24"/>
          <w:highlight w:val="none"/>
          <w:lang w:eastAsia="zh-CN"/>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w:t>
      </w:r>
      <w:r>
        <w:rPr>
          <w:color w:val="auto"/>
          <w:highlight w:val="none"/>
        </w:rPr>
        <w:drawing>
          <wp:inline distT="0" distB="0" distL="114300" distR="114300">
            <wp:extent cx="534035" cy="196850"/>
            <wp:effectExtent l="0" t="0" r="18415" b="1270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7"/>
                    <a:stretch>
                      <a:fillRect/>
                    </a:stretch>
                  </pic:blipFill>
                  <pic:spPr>
                    <a:xfrm>
                      <a:off x="0" y="0"/>
                      <a:ext cx="534035" cy="196850"/>
                    </a:xfrm>
                    <a:prstGeom prst="rect">
                      <a:avLst/>
                    </a:prstGeom>
                    <a:noFill/>
                    <a:ln>
                      <a:noFill/>
                    </a:ln>
                  </pic:spPr>
                </pic:pic>
              </a:graphicData>
            </a:graphic>
          </wp:inline>
        </w:drawing>
      </w:r>
      <w:r>
        <w:rPr>
          <w:rFonts w:hint="eastAsia" w:ascii="宋体" w:hAnsi="宋体"/>
          <w:color w:val="auto"/>
          <w:sz w:val="24"/>
          <w:highlight w:val="none"/>
        </w:rPr>
        <w:t>的，必须在</w:t>
      </w:r>
      <w:r>
        <w:rPr>
          <w:color w:val="auto"/>
          <w:highlight w:val="none"/>
        </w:rPr>
        <w:drawing>
          <wp:inline distT="0" distB="0" distL="114300" distR="114300">
            <wp:extent cx="516255" cy="189865"/>
            <wp:effectExtent l="0" t="0" r="17145" b="63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7"/>
                    <a:stretch>
                      <a:fillRect/>
                    </a:stretch>
                  </pic:blipFill>
                  <pic:spPr>
                    <a:xfrm>
                      <a:off x="0" y="0"/>
                      <a:ext cx="516255" cy="189865"/>
                    </a:xfrm>
                    <a:prstGeom prst="rect">
                      <a:avLst/>
                    </a:prstGeom>
                    <a:noFill/>
                    <a:ln>
                      <a:noFill/>
                    </a:ln>
                  </pic:spPr>
                </pic:pic>
              </a:graphicData>
            </a:graphic>
          </wp:inline>
        </w:drawing>
      </w:r>
      <w:r>
        <w:rPr>
          <w:rFonts w:hint="eastAsia" w:ascii="宋体" w:hAnsi="宋体"/>
          <w:color w:val="auto"/>
          <w:sz w:val="24"/>
          <w:highlight w:val="none"/>
        </w:rPr>
        <w:t>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hint="eastAsia" w:ascii="宋体" w:eastAsia="宋体"/>
          <w:color w:val="auto"/>
          <w:sz w:val="24"/>
          <w:szCs w:val="24"/>
          <w:highlight w:val="none"/>
          <w:lang w:eastAsia="zh-CN"/>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pPr>
        <w:spacing w:line="360" w:lineRule="auto"/>
        <w:ind w:firstLine="480" w:firstLineChars="200"/>
        <w:rPr>
          <w:color w:val="auto"/>
          <w:sz w:val="24"/>
          <w:highlight w:val="none"/>
        </w:rPr>
      </w:pPr>
      <w:r>
        <w:rPr>
          <w:color w:val="auto"/>
          <w:sz w:val="24"/>
          <w:highlight w:val="none"/>
        </w:rPr>
        <w:t>16.1</w:t>
      </w:r>
      <w:r>
        <w:rPr>
          <w:rFonts w:hint="eastAsia"/>
          <w:color w:val="auto"/>
          <w:sz w:val="24"/>
          <w:highlight w:val="none"/>
        </w:rPr>
        <w:t>投标人应按投标须知前附表第</w:t>
      </w:r>
      <w:r>
        <w:rPr>
          <w:color w:val="auto"/>
          <w:sz w:val="24"/>
          <w:highlight w:val="none"/>
        </w:rPr>
        <w:t>14</w:t>
      </w:r>
      <w:r>
        <w:rPr>
          <w:rFonts w:hint="eastAsia"/>
          <w:color w:val="auto"/>
          <w:sz w:val="24"/>
          <w:highlight w:val="none"/>
        </w:rPr>
        <w:t>项所述金额和时间递交</w:t>
      </w:r>
      <w:r>
        <w:rPr>
          <w:rFonts w:hint="eastAsia"/>
          <w:bCs/>
          <w:color w:val="auto"/>
          <w:sz w:val="24"/>
          <w:highlight w:val="none"/>
        </w:rPr>
        <w:t>投标保证金</w:t>
      </w:r>
      <w:r>
        <w:rPr>
          <w:rFonts w:hint="eastAsia"/>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color w:val="auto"/>
          <w:sz w:val="24"/>
          <w:highlight w:val="none"/>
        </w:rPr>
      </w:pPr>
      <w:r>
        <w:rPr>
          <w:rFonts w:hint="eastAsia"/>
          <w:color w:val="auto"/>
          <w:sz w:val="24"/>
          <w:highlight w:val="none"/>
        </w:rPr>
        <w:t>16.1.1 采用现金或者支票形式提交的，投标保证金须从投标人的银行基本账户转出。</w:t>
      </w:r>
    </w:p>
    <w:p>
      <w:pPr>
        <w:spacing w:line="360" w:lineRule="auto"/>
        <w:ind w:firstLine="480" w:firstLineChars="200"/>
        <w:rPr>
          <w:color w:val="auto"/>
          <w:sz w:val="24"/>
          <w:highlight w:val="none"/>
        </w:rPr>
      </w:pPr>
      <w:r>
        <w:rPr>
          <w:rFonts w:hint="eastAsia"/>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color w:val="auto"/>
          <w:sz w:val="24"/>
          <w:highlight w:val="none"/>
        </w:rPr>
      </w:pPr>
      <w:r>
        <w:rPr>
          <w:rFonts w:hint="eastAsia"/>
          <w:color w:val="auto"/>
          <w:sz w:val="24"/>
          <w:highlight w:val="none"/>
        </w:rPr>
        <w:t>16.1.3 采用电子形式的保函、担保或保证保险提交投标保证金的，应在招标文件中明确电子递交途径。</w:t>
      </w:r>
    </w:p>
    <w:p>
      <w:pPr>
        <w:spacing w:line="360" w:lineRule="auto"/>
        <w:ind w:firstLine="480" w:firstLineChars="200"/>
        <w:rPr>
          <w:color w:val="auto"/>
          <w:sz w:val="24"/>
          <w:highlight w:val="none"/>
        </w:rPr>
      </w:pPr>
      <w:r>
        <w:rPr>
          <w:rFonts w:hint="eastAsia"/>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color w:val="auto"/>
          <w:sz w:val="24"/>
          <w:highlight w:val="none"/>
        </w:rPr>
      </w:pPr>
      <w:r>
        <w:rPr>
          <w:rFonts w:hint="eastAsia"/>
          <w:color w:val="auto"/>
          <w:sz w:val="24"/>
          <w:highlight w:val="none"/>
        </w:rPr>
        <w:t>16.3投标保证金应依据法律法规的相关规定退还。</w:t>
      </w:r>
    </w:p>
    <w:p>
      <w:pPr>
        <w:spacing w:line="360" w:lineRule="auto"/>
        <w:ind w:firstLine="480" w:firstLineChars="200"/>
        <w:rPr>
          <w:color w:val="auto"/>
          <w:sz w:val="24"/>
          <w:highlight w:val="none"/>
        </w:rPr>
      </w:pPr>
      <w:r>
        <w:rPr>
          <w:rFonts w:hint="eastAsia"/>
          <w:color w:val="auto"/>
          <w:sz w:val="24"/>
          <w:highlight w:val="none"/>
        </w:rPr>
        <w:t>16.4如有下列情况之一的，招标人可以不予退还投标保证金（是否退还投标保证金由招标人在招标文件中规定）：</w:t>
      </w:r>
    </w:p>
    <w:p>
      <w:pPr>
        <w:spacing w:line="360" w:lineRule="auto"/>
        <w:ind w:firstLine="480" w:firstLineChars="200"/>
        <w:rPr>
          <w:color w:val="auto"/>
          <w:sz w:val="24"/>
          <w:highlight w:val="none"/>
        </w:rPr>
      </w:pPr>
      <w:r>
        <w:rPr>
          <w:rFonts w:hint="eastAsia"/>
          <w:color w:val="auto"/>
          <w:sz w:val="24"/>
          <w:highlight w:val="none"/>
        </w:rPr>
        <w:t>16.4.1因投标人原因造成投标文件未解密的；</w:t>
      </w:r>
    </w:p>
    <w:p>
      <w:pPr>
        <w:spacing w:line="360" w:lineRule="auto"/>
        <w:ind w:firstLine="480" w:firstLineChars="200"/>
        <w:rPr>
          <w:color w:val="auto"/>
          <w:sz w:val="24"/>
          <w:highlight w:val="none"/>
        </w:rPr>
      </w:pPr>
      <w:r>
        <w:rPr>
          <w:rFonts w:hint="eastAsia"/>
          <w:color w:val="auto"/>
          <w:sz w:val="24"/>
          <w:highlight w:val="none"/>
        </w:rPr>
        <w:t>16.4.2投标人在投标有效期内撤销投标文件；</w:t>
      </w:r>
    </w:p>
    <w:p>
      <w:pPr>
        <w:spacing w:line="360" w:lineRule="auto"/>
        <w:ind w:firstLine="480" w:firstLineChars="200"/>
        <w:rPr>
          <w:color w:val="auto"/>
          <w:sz w:val="24"/>
          <w:highlight w:val="none"/>
        </w:rPr>
      </w:pPr>
      <w:r>
        <w:rPr>
          <w:rFonts w:hint="eastAsia"/>
          <w:color w:val="auto"/>
          <w:sz w:val="24"/>
          <w:highlight w:val="none"/>
        </w:rPr>
        <w:t>16.4.3中标人未能在规定期限内按要求提交履约担保；</w:t>
      </w:r>
    </w:p>
    <w:p>
      <w:pPr>
        <w:spacing w:line="360" w:lineRule="auto"/>
        <w:ind w:firstLine="480" w:firstLineChars="200"/>
        <w:rPr>
          <w:color w:val="auto"/>
          <w:sz w:val="24"/>
          <w:highlight w:val="none"/>
        </w:rPr>
      </w:pPr>
      <w:r>
        <w:rPr>
          <w:rFonts w:hint="eastAsia"/>
          <w:color w:val="auto"/>
          <w:sz w:val="24"/>
          <w:highlight w:val="none"/>
        </w:rPr>
        <w:t>16.4.4中标人未能在规定期限内签署合同协议。</w:t>
      </w:r>
    </w:p>
    <w:p>
      <w:pPr>
        <w:spacing w:line="360" w:lineRule="auto"/>
        <w:ind w:firstLine="480" w:firstLineChars="200"/>
        <w:rPr>
          <w:color w:val="auto"/>
          <w:sz w:val="24"/>
          <w:highlight w:val="none"/>
        </w:rPr>
      </w:pPr>
      <w:r>
        <w:rPr>
          <w:rFonts w:hint="eastAsia"/>
          <w:color w:val="auto"/>
          <w:sz w:val="24"/>
          <w:highlight w:val="none"/>
        </w:rPr>
        <w:t>16.5投标人如存在下列情况之一的，将被拒绝在一定时期内参与招标人后续工程投标（拒绝时限需在招标文件中明确）：</w:t>
      </w:r>
    </w:p>
    <w:p>
      <w:pPr>
        <w:spacing w:line="360" w:lineRule="auto"/>
        <w:ind w:firstLine="480" w:firstLineChars="200"/>
        <w:rPr>
          <w:color w:val="auto"/>
          <w:sz w:val="24"/>
          <w:highlight w:val="none"/>
        </w:rPr>
      </w:pPr>
      <w:r>
        <w:rPr>
          <w:rFonts w:hint="eastAsia"/>
          <w:color w:val="auto"/>
          <w:sz w:val="24"/>
          <w:highlight w:val="none"/>
        </w:rPr>
        <w:t>16.5.1投标人存在16.4条款所列情形且投标人提交的保函、担保或保证保险无法兑付的；</w:t>
      </w:r>
    </w:p>
    <w:p>
      <w:pPr>
        <w:spacing w:line="360" w:lineRule="auto"/>
        <w:ind w:firstLine="480" w:firstLineChars="200"/>
        <w:rPr>
          <w:color w:val="auto"/>
          <w:sz w:val="24"/>
          <w:highlight w:val="none"/>
        </w:rPr>
      </w:pPr>
      <w:r>
        <w:rPr>
          <w:rFonts w:hint="eastAsia"/>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color w:val="auto"/>
          <w:sz w:val="24"/>
          <w:highlight w:val="none"/>
        </w:rPr>
      </w:pPr>
      <w:r>
        <w:rPr>
          <w:rFonts w:hint="eastAsia"/>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color w:val="auto"/>
          <w:sz w:val="24"/>
          <w:highlight w:val="none"/>
        </w:rPr>
      </w:pPr>
      <w:r>
        <w:rPr>
          <w:rFonts w:hint="eastAsia"/>
          <w:color w:val="auto"/>
          <w:sz w:val="24"/>
          <w:highlight w:val="none"/>
        </w:rPr>
        <w:t>16.5.3按招标文件要求免于提供投标保证金的投标人存在16.4条款所列情形的。</w:t>
      </w:r>
    </w:p>
    <w:p>
      <w:pPr>
        <w:spacing w:line="360" w:lineRule="auto"/>
        <w:ind w:firstLine="480" w:firstLineChars="200"/>
        <w:rPr>
          <w:color w:val="auto"/>
          <w:sz w:val="24"/>
          <w:highlight w:val="none"/>
        </w:rPr>
      </w:pPr>
      <w:r>
        <w:rPr>
          <w:rFonts w:hint="eastAsia"/>
          <w:color w:val="auto"/>
          <w:sz w:val="24"/>
          <w:highlight w:val="none"/>
        </w:rPr>
        <w:t>注：16.5.3款由招标人二选一，需在招标文件中明确。</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pPr>
        <w:spacing w:line="360" w:lineRule="auto"/>
        <w:ind w:firstLine="480" w:firstLineChars="200"/>
        <w:rPr>
          <w:color w:val="auto"/>
          <w:sz w:val="24"/>
          <w:highlight w:val="none"/>
        </w:rPr>
      </w:pPr>
      <w:r>
        <w:rPr>
          <w:color w:val="auto"/>
          <w:sz w:val="24"/>
          <w:highlight w:val="none"/>
        </w:rPr>
        <w:t>17.1</w:t>
      </w:r>
      <w:r>
        <w:rPr>
          <w:rFonts w:hint="eastAsia"/>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color w:val="auto"/>
          <w:sz w:val="24"/>
          <w:highlight w:val="none"/>
          <w:u w:val="single"/>
        </w:rPr>
        <w:t xml:space="preserve">            </w:t>
      </w:r>
      <w:r>
        <w:rPr>
          <w:rFonts w:hint="eastAsia"/>
          <w:color w:val="auto"/>
          <w:sz w:val="24"/>
          <w:highlight w:val="none"/>
        </w:rPr>
        <w:t xml:space="preserve"> 。</w:t>
      </w:r>
    </w:p>
    <w:p>
      <w:pPr>
        <w:pStyle w:val="7"/>
        <w:spacing w:before="156" w:after="156"/>
        <w:rPr>
          <w:color w:val="auto"/>
          <w:highlight w:val="none"/>
        </w:rPr>
      </w:pPr>
      <w:bookmarkStart w:id="7" w:name="_Toc32548"/>
      <w:r>
        <w:rPr>
          <w:rFonts w:hint="eastAsia"/>
          <w:color w:val="auto"/>
          <w:highlight w:val="none"/>
        </w:rPr>
        <w:t>（四）投标文件的提交</w:t>
      </w:r>
      <w:bookmarkEnd w:id="7"/>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pPr>
        <w:spacing w:line="360" w:lineRule="auto"/>
        <w:ind w:firstLine="480" w:firstLineChars="200"/>
        <w:rPr>
          <w:bCs/>
          <w:color w:val="auto"/>
          <w:sz w:val="24"/>
          <w:highlight w:val="none"/>
        </w:rPr>
      </w:pPr>
      <w:r>
        <w:rPr>
          <w:bCs/>
          <w:color w:val="auto"/>
          <w:sz w:val="24"/>
          <w:highlight w:val="none"/>
        </w:rPr>
        <w:t>1</w:t>
      </w:r>
      <w:r>
        <w:rPr>
          <w:rFonts w:hint="eastAsia"/>
          <w:bCs/>
          <w:color w:val="auto"/>
          <w:sz w:val="24"/>
          <w:highlight w:val="none"/>
        </w:rPr>
        <w:t>8</w:t>
      </w:r>
      <w:r>
        <w:rPr>
          <w:bCs/>
          <w:color w:val="auto"/>
          <w:sz w:val="24"/>
          <w:highlight w:val="none"/>
        </w:rPr>
        <w:t>.1</w:t>
      </w:r>
      <w:r>
        <w:rPr>
          <w:rFonts w:hint="eastAsia"/>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pPr>
        <w:spacing w:line="360" w:lineRule="auto"/>
        <w:ind w:firstLine="480" w:firstLineChars="200"/>
        <w:rPr>
          <w:bCs/>
          <w:color w:val="auto"/>
          <w:sz w:val="24"/>
          <w:highlight w:val="none"/>
        </w:rPr>
      </w:pPr>
      <w:r>
        <w:rPr>
          <w:bCs/>
          <w:color w:val="auto"/>
          <w:sz w:val="24"/>
          <w:highlight w:val="none"/>
        </w:rPr>
        <w:t>1</w:t>
      </w:r>
      <w:r>
        <w:rPr>
          <w:rFonts w:hint="eastAsia"/>
          <w:bCs/>
          <w:color w:val="auto"/>
          <w:sz w:val="24"/>
          <w:highlight w:val="none"/>
        </w:rPr>
        <w:t>8</w:t>
      </w:r>
      <w:r>
        <w:rPr>
          <w:bCs/>
          <w:color w:val="auto"/>
          <w:sz w:val="24"/>
          <w:highlight w:val="none"/>
        </w:rPr>
        <w:t xml:space="preserve">.2 </w:t>
      </w:r>
      <w:r>
        <w:rPr>
          <w:rFonts w:hint="eastAsia"/>
          <w:bCs/>
          <w:color w:val="auto"/>
          <w:sz w:val="24"/>
          <w:highlight w:val="none"/>
        </w:rPr>
        <w:t>未按要求加密的投标文件，</w:t>
      </w:r>
      <w:r>
        <w:rPr>
          <w:color w:val="auto"/>
          <w:sz w:val="24"/>
          <w:szCs w:val="24"/>
          <w:highlight w:val="none"/>
          <w:u w:val="single"/>
        </w:rPr>
        <w:t xml:space="preserve">        </w:t>
      </w:r>
      <w:r>
        <w:rPr>
          <w:rFonts w:hint="eastAsia"/>
          <w:color w:val="auto"/>
          <w:sz w:val="24"/>
          <w:szCs w:val="24"/>
          <w:highlight w:val="none"/>
        </w:rPr>
        <w:t>交易平台</w:t>
      </w:r>
      <w:r>
        <w:rPr>
          <w:rFonts w:hint="eastAsia"/>
          <w:bCs/>
          <w:color w:val="auto"/>
          <w:sz w:val="24"/>
          <w:highlight w:val="none"/>
        </w:rPr>
        <w:t>将予以拒收。</w:t>
      </w:r>
    </w:p>
    <w:p>
      <w:pPr>
        <w:spacing w:line="360" w:lineRule="auto"/>
        <w:ind w:firstLine="482" w:firstLineChars="200"/>
        <w:rPr>
          <w:b/>
          <w:bCs/>
          <w:color w:val="auto"/>
          <w:sz w:val="24"/>
          <w:highlight w:val="none"/>
        </w:rPr>
      </w:pPr>
      <w:r>
        <w:rPr>
          <w:b/>
          <w:bCs/>
          <w:color w:val="auto"/>
          <w:sz w:val="24"/>
          <w:highlight w:val="none"/>
        </w:rPr>
        <w:t>19</w:t>
      </w:r>
      <w:r>
        <w:rPr>
          <w:rFonts w:hint="eastAsia"/>
          <w:b/>
          <w:bCs/>
          <w:color w:val="auto"/>
          <w:sz w:val="24"/>
          <w:highlight w:val="none"/>
        </w:rPr>
        <w:t>．投标文件的递交和接收</w:t>
      </w:r>
    </w:p>
    <w:p>
      <w:pPr>
        <w:spacing w:line="360" w:lineRule="auto"/>
        <w:ind w:firstLine="480" w:firstLineChars="200"/>
        <w:rPr>
          <w:bCs/>
          <w:color w:val="auto"/>
          <w:sz w:val="24"/>
          <w:highlight w:val="none"/>
        </w:rPr>
      </w:pPr>
      <w:r>
        <w:rPr>
          <w:bCs/>
          <w:color w:val="auto"/>
          <w:sz w:val="24"/>
          <w:highlight w:val="none"/>
        </w:rPr>
        <w:t>1</w:t>
      </w:r>
      <w:r>
        <w:rPr>
          <w:rFonts w:hint="eastAsia"/>
          <w:bCs/>
          <w:color w:val="auto"/>
          <w:sz w:val="24"/>
          <w:highlight w:val="none"/>
        </w:rPr>
        <w:t>9</w:t>
      </w:r>
      <w:r>
        <w:rPr>
          <w:bCs/>
          <w:color w:val="auto"/>
          <w:sz w:val="24"/>
          <w:highlight w:val="none"/>
        </w:rPr>
        <w:t>.</w:t>
      </w:r>
      <w:r>
        <w:rPr>
          <w:rFonts w:hint="eastAsia"/>
          <w:bCs/>
          <w:color w:val="auto"/>
          <w:sz w:val="24"/>
          <w:highlight w:val="none"/>
        </w:rPr>
        <w:t>1投标人通过</w:t>
      </w:r>
      <w:r>
        <w:rPr>
          <w:color w:val="auto"/>
          <w:sz w:val="24"/>
          <w:szCs w:val="24"/>
          <w:highlight w:val="none"/>
          <w:u w:val="single"/>
        </w:rPr>
        <w:t xml:space="preserve">        </w:t>
      </w:r>
      <w:r>
        <w:rPr>
          <w:rFonts w:hint="eastAsia"/>
          <w:color w:val="auto"/>
          <w:sz w:val="24"/>
          <w:szCs w:val="24"/>
          <w:highlight w:val="none"/>
        </w:rPr>
        <w:t>交易平台</w:t>
      </w:r>
      <w:r>
        <w:rPr>
          <w:rFonts w:hint="eastAsia"/>
          <w:color w:val="auto"/>
          <w:sz w:val="24"/>
          <w:highlight w:val="none"/>
        </w:rPr>
        <w:t>递交电子投标文件。</w:t>
      </w:r>
    </w:p>
    <w:p>
      <w:pPr>
        <w:spacing w:line="360" w:lineRule="auto"/>
        <w:ind w:firstLine="480" w:firstLineChars="200"/>
        <w:rPr>
          <w:bCs/>
          <w:color w:val="auto"/>
          <w:sz w:val="24"/>
          <w:highlight w:val="none"/>
        </w:rPr>
      </w:pPr>
      <w:r>
        <w:rPr>
          <w:bCs/>
          <w:color w:val="auto"/>
          <w:sz w:val="24"/>
          <w:highlight w:val="none"/>
        </w:rPr>
        <w:t>1</w:t>
      </w:r>
      <w:r>
        <w:rPr>
          <w:rFonts w:hint="eastAsia"/>
          <w:bCs/>
          <w:color w:val="auto"/>
          <w:sz w:val="24"/>
          <w:highlight w:val="none"/>
        </w:rPr>
        <w:t>9</w:t>
      </w:r>
      <w:r>
        <w:rPr>
          <w:bCs/>
          <w:color w:val="auto"/>
          <w:sz w:val="24"/>
          <w:highlight w:val="none"/>
        </w:rPr>
        <w:t>.</w:t>
      </w:r>
      <w:r>
        <w:rPr>
          <w:rFonts w:hint="eastAsia"/>
          <w:bCs/>
          <w:color w:val="auto"/>
          <w:sz w:val="24"/>
          <w:highlight w:val="none"/>
        </w:rPr>
        <w:t>2投标人完成电子</w:t>
      </w:r>
      <w:r>
        <w:rPr>
          <w:rFonts w:hint="eastAsia"/>
          <w:color w:val="auto"/>
          <w:sz w:val="24"/>
          <w:highlight w:val="none"/>
        </w:rPr>
        <w:t>投标文件</w:t>
      </w:r>
      <w:r>
        <w:rPr>
          <w:rFonts w:hint="eastAsia"/>
          <w:bCs/>
          <w:color w:val="auto"/>
          <w:sz w:val="24"/>
          <w:highlight w:val="none"/>
        </w:rPr>
        <w:t>上传后，</w:t>
      </w:r>
      <w:r>
        <w:rPr>
          <w:color w:val="auto"/>
          <w:sz w:val="24"/>
          <w:szCs w:val="24"/>
          <w:highlight w:val="none"/>
          <w:u w:val="single"/>
        </w:rPr>
        <w:t xml:space="preserve">        </w:t>
      </w:r>
      <w:r>
        <w:rPr>
          <w:rFonts w:hint="eastAsia"/>
          <w:color w:val="auto"/>
          <w:sz w:val="24"/>
          <w:szCs w:val="24"/>
          <w:highlight w:val="none"/>
        </w:rPr>
        <w:t>交易平台</w:t>
      </w:r>
      <w:r>
        <w:rPr>
          <w:rFonts w:hint="eastAsia"/>
          <w:color w:val="auto"/>
          <w:sz w:val="24"/>
          <w:highlight w:val="none"/>
        </w:rPr>
        <w:t>即时向投标人发出递交回执通知。递交时间以递交回执通知载明的传输完成时间为准。</w:t>
      </w:r>
    </w:p>
    <w:p>
      <w:pPr>
        <w:spacing w:line="360" w:lineRule="auto"/>
        <w:ind w:firstLine="480" w:firstLineChars="200"/>
        <w:rPr>
          <w:color w:val="auto"/>
          <w:sz w:val="24"/>
          <w:highlight w:val="none"/>
        </w:rPr>
      </w:pPr>
      <w:r>
        <w:rPr>
          <w:bCs/>
          <w:color w:val="auto"/>
          <w:sz w:val="24"/>
          <w:highlight w:val="none"/>
        </w:rPr>
        <w:t>1</w:t>
      </w:r>
      <w:r>
        <w:rPr>
          <w:rFonts w:hint="eastAsia"/>
          <w:bCs/>
          <w:color w:val="auto"/>
          <w:sz w:val="24"/>
          <w:highlight w:val="none"/>
        </w:rPr>
        <w:t>9</w:t>
      </w:r>
      <w:r>
        <w:rPr>
          <w:bCs/>
          <w:color w:val="auto"/>
          <w:sz w:val="24"/>
          <w:highlight w:val="none"/>
        </w:rPr>
        <w:t>.</w:t>
      </w:r>
      <w:r>
        <w:rPr>
          <w:rFonts w:hint="eastAsia"/>
          <w:bCs/>
          <w:color w:val="auto"/>
          <w:sz w:val="24"/>
          <w:highlight w:val="none"/>
        </w:rPr>
        <w:t>3</w:t>
      </w:r>
      <w:r>
        <w:rPr>
          <w:rFonts w:hint="eastAsia"/>
          <w:bCs/>
          <w:color w:val="auto"/>
          <w:sz w:val="24"/>
          <w:szCs w:val="24"/>
          <w:highlight w:val="none"/>
        </w:rPr>
        <w:t>逾期送达的</w:t>
      </w:r>
      <w:r>
        <w:rPr>
          <w:rFonts w:hint="eastAsia"/>
          <w:bCs/>
          <w:color w:val="auto"/>
          <w:sz w:val="24"/>
          <w:highlight w:val="none"/>
        </w:rPr>
        <w:t>电子投标文件，</w:t>
      </w:r>
      <w:r>
        <w:rPr>
          <w:color w:val="auto"/>
          <w:sz w:val="24"/>
          <w:szCs w:val="24"/>
          <w:highlight w:val="none"/>
          <w:u w:val="single"/>
        </w:rPr>
        <w:t xml:space="preserve">        </w:t>
      </w:r>
      <w:r>
        <w:rPr>
          <w:rFonts w:hint="eastAsia"/>
          <w:color w:val="auto"/>
          <w:sz w:val="24"/>
          <w:szCs w:val="24"/>
          <w:highlight w:val="none"/>
        </w:rPr>
        <w:t>交易平台</w:t>
      </w:r>
      <w:r>
        <w:rPr>
          <w:rFonts w:hint="eastAsia"/>
          <w:color w:val="auto"/>
          <w:sz w:val="24"/>
          <w:highlight w:val="none"/>
        </w:rPr>
        <w:t>将予以拒收。</w:t>
      </w:r>
    </w:p>
    <w:p>
      <w:pPr>
        <w:spacing w:line="360" w:lineRule="auto"/>
        <w:ind w:firstLine="480" w:firstLineChars="200"/>
        <w:rPr>
          <w:color w:val="auto"/>
          <w:sz w:val="24"/>
          <w:highlight w:val="none"/>
        </w:rPr>
      </w:pPr>
      <w:r>
        <w:rPr>
          <w:color w:val="auto"/>
          <w:sz w:val="24"/>
          <w:highlight w:val="none"/>
        </w:rPr>
        <w:t>19.</w:t>
      </w:r>
      <w:r>
        <w:rPr>
          <w:rFonts w:hint="eastAsia"/>
          <w:color w:val="auto"/>
          <w:sz w:val="24"/>
          <w:highlight w:val="none"/>
        </w:rPr>
        <w:t>4</w:t>
      </w:r>
      <w:r>
        <w:rPr>
          <w:color w:val="auto"/>
          <w:sz w:val="24"/>
          <w:highlight w:val="none"/>
        </w:rPr>
        <w:t xml:space="preserve"> </w:t>
      </w:r>
      <w:r>
        <w:rPr>
          <w:rFonts w:hint="eastAsia"/>
          <w:color w:val="auto"/>
          <w:sz w:val="24"/>
          <w:szCs w:val="24"/>
          <w:highlight w:val="none"/>
        </w:rPr>
        <w:t>投标截止前，招标人拒绝接收符合条件的投标文件，投标人可向招标投标监督机构投诉。</w:t>
      </w:r>
    </w:p>
    <w:p>
      <w:pPr>
        <w:spacing w:line="360" w:lineRule="auto"/>
        <w:ind w:firstLine="480" w:firstLineChars="200"/>
        <w:rPr>
          <w:color w:val="auto"/>
          <w:sz w:val="24"/>
          <w:highlight w:val="none"/>
        </w:rPr>
      </w:pPr>
      <w:r>
        <w:rPr>
          <w:color w:val="auto"/>
          <w:sz w:val="24"/>
          <w:highlight w:val="none"/>
        </w:rPr>
        <w:t>19.</w:t>
      </w:r>
      <w:r>
        <w:rPr>
          <w:rFonts w:hint="eastAsia"/>
          <w:color w:val="auto"/>
          <w:sz w:val="24"/>
          <w:highlight w:val="none"/>
        </w:rPr>
        <w:t>5如技术标和经济标先后分别开启，</w:t>
      </w:r>
      <w:r>
        <w:rPr>
          <w:color w:val="auto"/>
          <w:sz w:val="24"/>
          <w:szCs w:val="24"/>
          <w:highlight w:val="none"/>
          <w:u w:val="single"/>
        </w:rPr>
        <w:t xml:space="preserve">        </w:t>
      </w:r>
      <w:r>
        <w:rPr>
          <w:rFonts w:hint="eastAsia"/>
          <w:color w:val="auto"/>
          <w:sz w:val="24"/>
          <w:szCs w:val="24"/>
          <w:highlight w:val="none"/>
        </w:rPr>
        <w:t>交易平台</w:t>
      </w:r>
      <w:r>
        <w:rPr>
          <w:rFonts w:hint="eastAsia"/>
          <w:color w:val="auto"/>
          <w:sz w:val="24"/>
          <w:highlight w:val="none"/>
        </w:rPr>
        <w:t>将按招标文件规定的时间分别开启技术标和经济标。</w:t>
      </w:r>
    </w:p>
    <w:p>
      <w:pPr>
        <w:spacing w:line="360" w:lineRule="auto"/>
        <w:ind w:firstLine="480" w:firstLineChars="200"/>
        <w:rPr>
          <w:color w:val="auto"/>
          <w:sz w:val="24"/>
          <w:highlight w:val="none"/>
        </w:rPr>
      </w:pPr>
      <w:r>
        <w:rPr>
          <w:color w:val="auto"/>
          <w:sz w:val="24"/>
          <w:szCs w:val="24"/>
          <w:highlight w:val="none"/>
        </w:rPr>
        <w:t>19.6</w:t>
      </w:r>
      <w:r>
        <w:rPr>
          <w:rFonts w:hint="eastAsia"/>
          <w:color w:val="auto"/>
          <w:sz w:val="24"/>
          <w:szCs w:val="24"/>
          <w:highlight w:val="none"/>
        </w:rPr>
        <w:t>在规定的时间内，项目负责人须到自助签到。按照交易平台有关项目负责人自助签到流程进行操作。项目负责人凡未凭身份证按时到达指定地点签到的，</w:t>
      </w:r>
      <w:r>
        <w:rPr>
          <w:rFonts w:hint="eastAsia"/>
          <w:color w:val="auto"/>
          <w:sz w:val="24"/>
          <w:highlight w:val="none"/>
        </w:rPr>
        <w:t>该投标文件将不能参与资格审查和评标</w:t>
      </w:r>
      <w:r>
        <w:rPr>
          <w:rFonts w:hint="eastAsia"/>
          <w:color w:val="auto"/>
          <w:sz w:val="24"/>
          <w:szCs w:val="24"/>
          <w:highlight w:val="none"/>
        </w:rPr>
        <w:t>（选择性条款）。</w:t>
      </w:r>
    </w:p>
    <w:p>
      <w:pPr>
        <w:spacing w:line="360" w:lineRule="auto"/>
        <w:ind w:firstLine="482" w:firstLineChars="200"/>
        <w:rPr>
          <w:b/>
          <w:bCs/>
          <w:color w:val="auto"/>
          <w:sz w:val="24"/>
          <w:highlight w:val="none"/>
        </w:rPr>
      </w:pPr>
      <w:r>
        <w:rPr>
          <w:b/>
          <w:bCs/>
          <w:color w:val="auto"/>
          <w:sz w:val="24"/>
          <w:highlight w:val="none"/>
        </w:rPr>
        <w:t>20</w:t>
      </w:r>
      <w:r>
        <w:rPr>
          <w:rFonts w:hint="eastAsia"/>
          <w:b/>
          <w:bCs/>
          <w:color w:val="auto"/>
          <w:sz w:val="24"/>
          <w:highlight w:val="none"/>
        </w:rPr>
        <w:t>．投标文件提交的截止时间</w:t>
      </w:r>
    </w:p>
    <w:p>
      <w:pPr>
        <w:spacing w:line="360" w:lineRule="auto"/>
        <w:ind w:firstLine="480" w:firstLineChars="200"/>
        <w:rPr>
          <w:b/>
          <w:bCs/>
          <w:color w:val="auto"/>
          <w:sz w:val="24"/>
          <w:highlight w:val="none"/>
        </w:rPr>
      </w:pPr>
      <w:r>
        <w:rPr>
          <w:color w:val="auto"/>
          <w:sz w:val="24"/>
          <w:highlight w:val="none"/>
        </w:rPr>
        <w:t>20.1</w:t>
      </w:r>
      <w:r>
        <w:rPr>
          <w:rFonts w:hint="eastAsia"/>
          <w:color w:val="auto"/>
          <w:sz w:val="24"/>
          <w:highlight w:val="none"/>
        </w:rPr>
        <w:t>投标人应在投标须知前附表第17项所述的时间前提交投标文件。</w:t>
      </w:r>
    </w:p>
    <w:p>
      <w:pPr>
        <w:spacing w:line="360" w:lineRule="auto"/>
        <w:ind w:firstLine="480" w:firstLineChars="200"/>
        <w:rPr>
          <w:color w:val="auto"/>
          <w:sz w:val="24"/>
          <w:highlight w:val="none"/>
        </w:rPr>
      </w:pPr>
      <w:r>
        <w:rPr>
          <w:color w:val="auto"/>
          <w:sz w:val="24"/>
          <w:highlight w:val="none"/>
        </w:rPr>
        <w:t>20.2</w:t>
      </w:r>
      <w:r>
        <w:rPr>
          <w:rFonts w:hint="eastAsia"/>
          <w:color w:val="auto"/>
          <w:sz w:val="24"/>
          <w:highlight w:val="none"/>
        </w:rPr>
        <w:t>招标人可按本须知第</w:t>
      </w:r>
      <w:r>
        <w:rPr>
          <w:color w:val="auto"/>
          <w:sz w:val="24"/>
          <w:highlight w:val="none"/>
        </w:rPr>
        <w:t>9</w:t>
      </w:r>
      <w:r>
        <w:rPr>
          <w:rFonts w:hint="eastAsia"/>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color w:val="auto"/>
          <w:sz w:val="24"/>
          <w:highlight w:val="none"/>
        </w:rPr>
      </w:pPr>
      <w:r>
        <w:rPr>
          <w:color w:val="auto"/>
          <w:sz w:val="24"/>
          <w:highlight w:val="none"/>
        </w:rPr>
        <w:t xml:space="preserve">20.3 </w:t>
      </w:r>
      <w:r>
        <w:rPr>
          <w:rFonts w:hint="eastAsia"/>
          <w:color w:val="auto"/>
          <w:sz w:val="24"/>
          <w:highlight w:val="none"/>
        </w:rPr>
        <w:t>到投标截止时间止，招标人收到的投标文件少于3家的，招标人将重新组织招标</w:t>
      </w:r>
      <w:r>
        <w:rPr>
          <w:rFonts w:hint="eastAsia"/>
          <w:color w:val="auto"/>
          <w:sz w:val="24"/>
          <w:szCs w:val="24"/>
          <w:highlight w:val="none"/>
        </w:rPr>
        <w:t>（当</w:t>
      </w:r>
      <w:r>
        <w:rPr>
          <w:color w:val="auto"/>
          <w:sz w:val="24"/>
          <w:szCs w:val="24"/>
          <w:highlight w:val="none"/>
        </w:rPr>
        <w:t>N</w:t>
      </w:r>
      <w:r>
        <w:rPr>
          <w:rFonts w:hint="eastAsia"/>
          <w:color w:val="auto"/>
          <w:sz w:val="24"/>
          <w:szCs w:val="24"/>
          <w:highlight w:val="none"/>
        </w:rPr>
        <w:t>个标段同时招标且不允许兼中时，若有效投标人不足</w:t>
      </w:r>
      <w:r>
        <w:rPr>
          <w:color w:val="auto"/>
          <w:sz w:val="24"/>
          <w:szCs w:val="24"/>
          <w:highlight w:val="none"/>
        </w:rPr>
        <w:t>N+</w:t>
      </w:r>
      <w:r>
        <w:rPr>
          <w:rFonts w:hint="eastAsia"/>
          <w:color w:val="auto"/>
          <w:sz w:val="24"/>
          <w:szCs w:val="24"/>
          <w:highlight w:val="none"/>
        </w:rPr>
        <w:t>2家，则重新组织招标）</w:t>
      </w:r>
      <w:r>
        <w:rPr>
          <w:rFonts w:hint="eastAsia"/>
          <w:color w:val="auto"/>
          <w:sz w:val="24"/>
          <w:highlight w:val="none"/>
        </w:rPr>
        <w:t>。</w:t>
      </w:r>
    </w:p>
    <w:p>
      <w:pPr>
        <w:spacing w:line="360" w:lineRule="auto"/>
        <w:ind w:firstLine="482" w:firstLineChars="200"/>
        <w:rPr>
          <w:b/>
          <w:bCs/>
          <w:color w:val="auto"/>
          <w:sz w:val="24"/>
          <w:highlight w:val="none"/>
        </w:rPr>
      </w:pPr>
      <w:r>
        <w:rPr>
          <w:b/>
          <w:bCs/>
          <w:color w:val="auto"/>
          <w:sz w:val="24"/>
          <w:highlight w:val="none"/>
        </w:rPr>
        <w:t>21</w:t>
      </w:r>
      <w:r>
        <w:rPr>
          <w:rFonts w:hint="eastAsia"/>
          <w:b/>
          <w:bCs/>
          <w:color w:val="auto"/>
          <w:sz w:val="24"/>
          <w:highlight w:val="none"/>
        </w:rPr>
        <w:t>．迟交的投标文件</w:t>
      </w:r>
    </w:p>
    <w:p>
      <w:pPr>
        <w:spacing w:line="360" w:lineRule="auto"/>
        <w:ind w:firstLine="480" w:firstLineChars="200"/>
        <w:rPr>
          <w:color w:val="auto"/>
          <w:sz w:val="24"/>
          <w:highlight w:val="none"/>
        </w:rPr>
      </w:pPr>
      <w:r>
        <w:rPr>
          <w:color w:val="auto"/>
          <w:sz w:val="24"/>
          <w:highlight w:val="none"/>
        </w:rPr>
        <w:t xml:space="preserve">21.1 </w:t>
      </w:r>
      <w:r>
        <w:rPr>
          <w:rFonts w:hint="eastAsia"/>
          <w:color w:val="auto"/>
          <w:sz w:val="24"/>
          <w:highlight w:val="none"/>
        </w:rPr>
        <w:t>本须知前附表第</w:t>
      </w:r>
      <w:r>
        <w:rPr>
          <w:color w:val="auto"/>
          <w:sz w:val="24"/>
          <w:highlight w:val="none"/>
        </w:rPr>
        <w:t>1</w:t>
      </w:r>
      <w:r>
        <w:rPr>
          <w:rFonts w:hint="eastAsia"/>
          <w:color w:val="auto"/>
          <w:sz w:val="24"/>
          <w:highlight w:val="none"/>
        </w:rPr>
        <w:t>7项规定的投标截止时间</w:t>
      </w:r>
      <w:r>
        <w:rPr>
          <w:rFonts w:hint="eastAsia"/>
          <w:bCs/>
          <w:color w:val="auto"/>
          <w:sz w:val="24"/>
          <w:szCs w:val="24"/>
          <w:highlight w:val="none"/>
        </w:rPr>
        <w:t>后送达的</w:t>
      </w:r>
      <w:r>
        <w:rPr>
          <w:rFonts w:hint="eastAsia"/>
          <w:bCs/>
          <w:color w:val="auto"/>
          <w:sz w:val="24"/>
          <w:highlight w:val="none"/>
        </w:rPr>
        <w:t>电子投标文件，</w:t>
      </w:r>
      <w:r>
        <w:rPr>
          <w:color w:val="auto"/>
          <w:sz w:val="24"/>
          <w:szCs w:val="24"/>
          <w:highlight w:val="none"/>
          <w:u w:val="single"/>
        </w:rPr>
        <w:t xml:space="preserve">       </w:t>
      </w:r>
      <w:r>
        <w:rPr>
          <w:rFonts w:hint="eastAsia"/>
          <w:color w:val="auto"/>
          <w:sz w:val="24"/>
          <w:szCs w:val="24"/>
          <w:highlight w:val="none"/>
        </w:rPr>
        <w:t>交易平台</w:t>
      </w:r>
      <w:r>
        <w:rPr>
          <w:rFonts w:hint="eastAsia"/>
          <w:color w:val="auto"/>
          <w:sz w:val="24"/>
          <w:highlight w:val="none"/>
        </w:rPr>
        <w:t>将予以拒收。</w:t>
      </w:r>
    </w:p>
    <w:p>
      <w:pPr>
        <w:spacing w:line="360" w:lineRule="auto"/>
        <w:ind w:firstLine="482" w:firstLineChars="200"/>
        <w:rPr>
          <w:b/>
          <w:bCs/>
          <w:color w:val="auto"/>
          <w:sz w:val="24"/>
          <w:highlight w:val="none"/>
        </w:rPr>
      </w:pPr>
      <w:r>
        <w:rPr>
          <w:b/>
          <w:bCs/>
          <w:color w:val="auto"/>
          <w:sz w:val="24"/>
          <w:highlight w:val="none"/>
        </w:rPr>
        <w:t>22</w:t>
      </w:r>
      <w:r>
        <w:rPr>
          <w:rFonts w:hint="eastAsia"/>
          <w:b/>
          <w:bCs/>
          <w:color w:val="auto"/>
          <w:sz w:val="24"/>
          <w:highlight w:val="none"/>
        </w:rPr>
        <w:t>．投标文件的修改与撤回</w:t>
      </w:r>
    </w:p>
    <w:p>
      <w:pPr>
        <w:spacing w:line="360" w:lineRule="auto"/>
        <w:ind w:firstLine="480" w:firstLineChars="200"/>
        <w:rPr>
          <w:color w:val="auto"/>
          <w:sz w:val="24"/>
          <w:highlight w:val="none"/>
        </w:rPr>
      </w:pPr>
      <w:r>
        <w:rPr>
          <w:color w:val="auto"/>
          <w:sz w:val="24"/>
          <w:highlight w:val="none"/>
        </w:rPr>
        <w:t>22.1</w:t>
      </w:r>
      <w:r>
        <w:rPr>
          <w:rFonts w:hint="eastAsia"/>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color w:val="auto"/>
          <w:sz w:val="24"/>
          <w:szCs w:val="24"/>
          <w:highlight w:val="none"/>
        </w:rPr>
        <w:t>22.2投标人修改或撤回已递交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color w:val="auto"/>
          <w:sz w:val="24"/>
          <w:szCs w:val="24"/>
          <w:highlight w:val="none"/>
        </w:rPr>
        <w:t>22.3修改后再次递交的，按19点的规定执行。</w:t>
      </w:r>
    </w:p>
    <w:p>
      <w:pPr>
        <w:spacing w:line="360" w:lineRule="auto"/>
        <w:ind w:firstLine="480" w:firstLineChars="200"/>
        <w:rPr>
          <w:color w:val="auto"/>
          <w:sz w:val="24"/>
          <w:highlight w:val="none"/>
        </w:rPr>
      </w:pPr>
      <w:r>
        <w:rPr>
          <w:color w:val="auto"/>
          <w:sz w:val="24"/>
          <w:highlight w:val="none"/>
        </w:rPr>
        <w:t>22.</w:t>
      </w:r>
      <w:r>
        <w:rPr>
          <w:rFonts w:hint="eastAsia"/>
          <w:color w:val="auto"/>
          <w:sz w:val="24"/>
          <w:highlight w:val="none"/>
        </w:rPr>
        <w:t>4</w:t>
      </w:r>
      <w:r>
        <w:rPr>
          <w:color w:val="auto"/>
          <w:sz w:val="24"/>
          <w:highlight w:val="none"/>
        </w:rPr>
        <w:t xml:space="preserve"> </w:t>
      </w:r>
      <w:r>
        <w:rPr>
          <w:rFonts w:hint="eastAsia"/>
          <w:color w:val="auto"/>
          <w:sz w:val="24"/>
          <w:highlight w:val="none"/>
        </w:rPr>
        <w:t>在投标截止时间之后，投标人不得补充、修改和更换投标文件。</w:t>
      </w:r>
    </w:p>
    <w:p>
      <w:pPr>
        <w:pStyle w:val="7"/>
        <w:spacing w:before="156" w:after="156"/>
        <w:rPr>
          <w:color w:val="auto"/>
          <w:highlight w:val="none"/>
        </w:rPr>
      </w:pPr>
      <w:bookmarkStart w:id="8" w:name="_Toc31688"/>
      <w:r>
        <w:rPr>
          <w:rFonts w:hint="eastAsia"/>
          <w:color w:val="auto"/>
          <w:highlight w:val="none"/>
        </w:rPr>
        <w:t>（五）开标、评标、定标及合同签定</w:t>
      </w:r>
      <w:bookmarkEnd w:id="8"/>
    </w:p>
    <w:p>
      <w:pPr>
        <w:spacing w:line="360" w:lineRule="auto"/>
        <w:ind w:firstLine="482" w:firstLineChars="200"/>
        <w:rPr>
          <w:b/>
          <w:bCs/>
          <w:color w:val="auto"/>
          <w:sz w:val="24"/>
          <w:highlight w:val="none"/>
        </w:rPr>
      </w:pPr>
      <w:r>
        <w:rPr>
          <w:b/>
          <w:bCs/>
          <w:color w:val="auto"/>
          <w:sz w:val="24"/>
          <w:highlight w:val="none"/>
        </w:rPr>
        <w:t>23</w:t>
      </w:r>
      <w:r>
        <w:rPr>
          <w:rFonts w:hint="eastAsia"/>
          <w:b/>
          <w:bCs/>
          <w:color w:val="auto"/>
          <w:sz w:val="24"/>
          <w:highlight w:val="none"/>
        </w:rPr>
        <w:t>、开标。</w:t>
      </w:r>
    </w:p>
    <w:p>
      <w:pPr>
        <w:spacing w:line="360" w:lineRule="auto"/>
        <w:ind w:firstLine="480" w:firstLineChars="200"/>
        <w:rPr>
          <w:color w:val="auto"/>
          <w:sz w:val="24"/>
          <w:highlight w:val="none"/>
        </w:rPr>
      </w:pPr>
      <w:r>
        <w:rPr>
          <w:rFonts w:hint="eastAsia"/>
          <w:color w:val="auto"/>
          <w:sz w:val="24"/>
          <w:highlight w:val="none"/>
        </w:rPr>
        <w:t>详见第二章开标、评标及定标办法</w:t>
      </w:r>
    </w:p>
    <w:p>
      <w:pPr>
        <w:spacing w:line="360" w:lineRule="auto"/>
        <w:ind w:firstLine="482" w:firstLineChars="200"/>
        <w:rPr>
          <w:b/>
          <w:bCs/>
          <w:color w:val="auto"/>
          <w:sz w:val="24"/>
          <w:highlight w:val="none"/>
        </w:rPr>
      </w:pPr>
      <w:r>
        <w:rPr>
          <w:b/>
          <w:bCs/>
          <w:color w:val="auto"/>
          <w:sz w:val="24"/>
          <w:highlight w:val="none"/>
        </w:rPr>
        <w:t>24</w:t>
      </w:r>
      <w:r>
        <w:rPr>
          <w:rFonts w:hint="eastAsia"/>
          <w:b/>
          <w:bCs/>
          <w:color w:val="auto"/>
          <w:sz w:val="24"/>
          <w:highlight w:val="none"/>
        </w:rPr>
        <w:t>．评标过程的保密</w:t>
      </w:r>
    </w:p>
    <w:p>
      <w:pPr>
        <w:spacing w:line="360" w:lineRule="auto"/>
        <w:ind w:firstLine="480" w:firstLineChars="200"/>
        <w:rPr>
          <w:color w:val="auto"/>
          <w:sz w:val="24"/>
          <w:highlight w:val="none"/>
        </w:rPr>
      </w:pPr>
      <w:r>
        <w:rPr>
          <w:color w:val="auto"/>
          <w:sz w:val="24"/>
          <w:highlight w:val="none"/>
        </w:rPr>
        <w:t xml:space="preserve">24.1 </w:t>
      </w:r>
      <w:r>
        <w:rPr>
          <w:rFonts w:hint="eastAsia"/>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color w:val="auto"/>
          <w:sz w:val="24"/>
          <w:highlight w:val="none"/>
        </w:rPr>
      </w:pPr>
      <w:r>
        <w:rPr>
          <w:color w:val="auto"/>
          <w:sz w:val="24"/>
          <w:highlight w:val="none"/>
        </w:rPr>
        <w:t xml:space="preserve">24.2 </w:t>
      </w:r>
      <w:r>
        <w:rPr>
          <w:rFonts w:hint="eastAsia"/>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b/>
          <w:bCs/>
          <w:color w:val="auto"/>
          <w:sz w:val="24"/>
          <w:highlight w:val="none"/>
        </w:rPr>
      </w:pPr>
      <w:r>
        <w:rPr>
          <w:b/>
          <w:bCs/>
          <w:color w:val="auto"/>
          <w:sz w:val="24"/>
          <w:highlight w:val="none"/>
        </w:rPr>
        <w:t>25</w:t>
      </w:r>
      <w:r>
        <w:rPr>
          <w:rFonts w:hint="eastAsia"/>
          <w:b/>
          <w:bCs/>
          <w:color w:val="auto"/>
          <w:sz w:val="24"/>
          <w:highlight w:val="none"/>
        </w:rPr>
        <w:t>．投标文件的澄清，计算错误的修正</w:t>
      </w:r>
    </w:p>
    <w:p>
      <w:pPr>
        <w:spacing w:line="360" w:lineRule="auto"/>
        <w:ind w:firstLine="480" w:firstLineChars="200"/>
        <w:rPr>
          <w:color w:val="auto"/>
          <w:sz w:val="24"/>
          <w:highlight w:val="none"/>
        </w:rPr>
      </w:pPr>
      <w:r>
        <w:rPr>
          <w:rFonts w:hint="eastAsia"/>
          <w:color w:val="auto"/>
          <w:sz w:val="24"/>
          <w:highlight w:val="none"/>
        </w:rPr>
        <w:t>详见招标文件第二章开标、评标及定标办法</w:t>
      </w:r>
    </w:p>
    <w:p>
      <w:pPr>
        <w:spacing w:line="360" w:lineRule="auto"/>
        <w:ind w:firstLine="482" w:firstLineChars="200"/>
        <w:rPr>
          <w:b/>
          <w:bCs/>
          <w:color w:val="auto"/>
          <w:sz w:val="24"/>
          <w:highlight w:val="none"/>
        </w:rPr>
      </w:pPr>
      <w:r>
        <w:rPr>
          <w:b/>
          <w:bCs/>
          <w:color w:val="auto"/>
          <w:sz w:val="24"/>
          <w:highlight w:val="none"/>
        </w:rPr>
        <w:t>26</w:t>
      </w:r>
      <w:r>
        <w:rPr>
          <w:rFonts w:hint="eastAsia"/>
          <w:b/>
          <w:bCs/>
          <w:color w:val="auto"/>
          <w:sz w:val="24"/>
          <w:highlight w:val="none"/>
        </w:rPr>
        <w:t>．投标文件的评审、比较和否决</w:t>
      </w:r>
    </w:p>
    <w:p>
      <w:pPr>
        <w:spacing w:line="360" w:lineRule="auto"/>
        <w:ind w:firstLine="480" w:firstLineChars="200"/>
        <w:rPr>
          <w:bCs/>
          <w:color w:val="auto"/>
          <w:sz w:val="24"/>
          <w:szCs w:val="24"/>
          <w:highlight w:val="none"/>
        </w:rPr>
      </w:pPr>
      <w:r>
        <w:rPr>
          <w:rFonts w:hint="eastAsia"/>
          <w:color w:val="auto"/>
          <w:sz w:val="24"/>
          <w:highlight w:val="none"/>
        </w:rPr>
        <w:t>详见招标文件第二章开标、评标及定标办法。</w:t>
      </w:r>
    </w:p>
    <w:p>
      <w:pPr>
        <w:spacing w:line="360" w:lineRule="auto"/>
        <w:ind w:firstLine="482" w:firstLineChars="200"/>
        <w:rPr>
          <w:b/>
          <w:bCs/>
          <w:color w:val="auto"/>
          <w:sz w:val="24"/>
          <w:highlight w:val="none"/>
        </w:rPr>
      </w:pPr>
      <w:r>
        <w:rPr>
          <w:b/>
          <w:bCs/>
          <w:color w:val="auto"/>
          <w:sz w:val="24"/>
          <w:highlight w:val="none"/>
        </w:rPr>
        <w:t>27</w:t>
      </w:r>
      <w:r>
        <w:rPr>
          <w:rFonts w:hint="eastAsia"/>
          <w:b/>
          <w:bCs/>
          <w:color w:val="auto"/>
          <w:sz w:val="24"/>
          <w:highlight w:val="none"/>
        </w:rPr>
        <w:t>．中标通知书</w:t>
      </w:r>
    </w:p>
    <w:p>
      <w:pPr>
        <w:spacing w:line="360" w:lineRule="auto"/>
        <w:ind w:firstLine="480" w:firstLineChars="200"/>
        <w:rPr>
          <w:color w:val="auto"/>
          <w:sz w:val="24"/>
          <w:highlight w:val="none"/>
        </w:rPr>
      </w:pPr>
      <w:r>
        <w:rPr>
          <w:color w:val="auto"/>
          <w:sz w:val="24"/>
          <w:highlight w:val="none"/>
        </w:rPr>
        <w:t>27.1</w:t>
      </w:r>
      <w:r>
        <w:rPr>
          <w:rFonts w:hint="eastAsia"/>
          <w:color w:val="auto"/>
          <w:sz w:val="24"/>
          <w:highlight w:val="none"/>
        </w:rPr>
        <w:t>招标人将在</w:t>
      </w:r>
      <w:r>
        <w:rPr>
          <w:color w:val="auto"/>
          <w:sz w:val="24"/>
          <w:szCs w:val="24"/>
          <w:highlight w:val="none"/>
          <w:u w:val="single"/>
        </w:rPr>
        <w:t xml:space="preserve">        </w:t>
      </w:r>
      <w:r>
        <w:rPr>
          <w:rFonts w:hint="eastAsia"/>
          <w:color w:val="auto"/>
          <w:sz w:val="24"/>
          <w:szCs w:val="24"/>
          <w:highlight w:val="none"/>
        </w:rPr>
        <w:t>交易平台</w:t>
      </w:r>
      <w:r>
        <w:rPr>
          <w:rFonts w:hint="eastAsia"/>
          <w:color w:val="auto"/>
          <w:sz w:val="24"/>
          <w:highlight w:val="none"/>
        </w:rPr>
        <w:t>、广东省招标投标监管网和中国招标投标公共服务平台公示中标候选人，公示期为三天。</w:t>
      </w:r>
    </w:p>
    <w:p>
      <w:pPr>
        <w:spacing w:line="360" w:lineRule="auto"/>
        <w:ind w:firstLine="480" w:firstLineChars="200"/>
        <w:rPr>
          <w:rFonts w:ascii="仿宋_GB2312" w:eastAsia="仿宋_GB2312"/>
          <w:color w:val="auto"/>
          <w:sz w:val="24"/>
          <w:highlight w:val="none"/>
        </w:rPr>
      </w:pPr>
      <w:r>
        <w:rPr>
          <w:color w:val="auto"/>
          <w:sz w:val="24"/>
          <w:highlight w:val="none"/>
        </w:rPr>
        <w:t>27.2</w:t>
      </w:r>
      <w:r>
        <w:rPr>
          <w:rFonts w:hint="eastAsia"/>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color w:val="auto"/>
          <w:sz w:val="24"/>
          <w:highlight w:val="none"/>
        </w:rPr>
      </w:pPr>
      <w:r>
        <w:rPr>
          <w:color w:val="auto"/>
          <w:sz w:val="24"/>
          <w:highlight w:val="none"/>
        </w:rPr>
        <w:t>27.3</w:t>
      </w:r>
      <w:r>
        <w:rPr>
          <w:rFonts w:hint="eastAsia"/>
          <w:color w:val="auto"/>
          <w:sz w:val="24"/>
          <w:highlight w:val="none"/>
        </w:rPr>
        <w:t>中标人必须在收到中标通知书后</w:t>
      </w:r>
      <w:r>
        <w:rPr>
          <w:color w:val="auto"/>
          <w:sz w:val="24"/>
          <w:highlight w:val="none"/>
        </w:rPr>
        <w:t>24</w:t>
      </w:r>
      <w:r>
        <w:rPr>
          <w:rFonts w:hint="eastAsia"/>
          <w:color w:val="auto"/>
          <w:sz w:val="24"/>
          <w:highlight w:val="none"/>
        </w:rPr>
        <w:t>小时之内以书面形式回复招标人，确认收到。</w:t>
      </w:r>
    </w:p>
    <w:p>
      <w:pPr>
        <w:spacing w:line="360" w:lineRule="auto"/>
        <w:ind w:firstLine="480" w:firstLineChars="200"/>
        <w:rPr>
          <w:color w:val="auto"/>
          <w:sz w:val="24"/>
          <w:highlight w:val="none"/>
        </w:rPr>
      </w:pPr>
      <w:r>
        <w:rPr>
          <w:rFonts w:hint="eastAsia"/>
          <w:color w:val="auto"/>
          <w:sz w:val="24"/>
          <w:highlight w:val="none"/>
        </w:rPr>
        <w:t>27.4在产生中标候选人后，招标人将中标候选人的投标文件商务部分文件的所有内容（包括人员、业绩、奖项等资料）在</w:t>
      </w:r>
      <w:r>
        <w:rPr>
          <w:color w:val="auto"/>
          <w:sz w:val="24"/>
          <w:szCs w:val="24"/>
          <w:highlight w:val="none"/>
          <w:u w:val="single"/>
        </w:rPr>
        <w:t xml:space="preserve">        </w:t>
      </w:r>
      <w:r>
        <w:rPr>
          <w:rFonts w:hint="eastAsia"/>
          <w:color w:val="auto"/>
          <w:sz w:val="24"/>
          <w:szCs w:val="24"/>
          <w:highlight w:val="none"/>
        </w:rPr>
        <w:t>交易平台和广东省招标投标监管网</w:t>
      </w:r>
      <w:r>
        <w:rPr>
          <w:rFonts w:hint="eastAsia"/>
          <w:color w:val="auto"/>
          <w:sz w:val="24"/>
          <w:highlight w:val="none"/>
        </w:rPr>
        <w:t>公开。</w:t>
      </w:r>
    </w:p>
    <w:p>
      <w:pPr>
        <w:spacing w:line="360" w:lineRule="auto"/>
        <w:ind w:firstLine="482" w:firstLineChars="200"/>
        <w:rPr>
          <w:b/>
          <w:bCs/>
          <w:color w:val="auto"/>
          <w:sz w:val="24"/>
          <w:highlight w:val="none"/>
        </w:rPr>
      </w:pPr>
      <w:r>
        <w:rPr>
          <w:b/>
          <w:bCs/>
          <w:color w:val="auto"/>
          <w:sz w:val="24"/>
          <w:highlight w:val="none"/>
        </w:rPr>
        <w:t>28</w:t>
      </w:r>
      <w:r>
        <w:rPr>
          <w:rFonts w:hint="eastAsia"/>
          <w:b/>
          <w:bCs/>
          <w:color w:val="auto"/>
          <w:sz w:val="24"/>
          <w:highlight w:val="none"/>
        </w:rPr>
        <w:t>．合同协议书的签订</w:t>
      </w:r>
    </w:p>
    <w:p>
      <w:pPr>
        <w:spacing w:line="360" w:lineRule="auto"/>
        <w:ind w:firstLine="480" w:firstLineChars="200"/>
        <w:rPr>
          <w:color w:val="auto"/>
          <w:sz w:val="24"/>
          <w:highlight w:val="none"/>
        </w:rPr>
      </w:pPr>
      <w:r>
        <w:rPr>
          <w:color w:val="auto"/>
          <w:sz w:val="24"/>
          <w:highlight w:val="none"/>
        </w:rPr>
        <w:t xml:space="preserve">28.1 </w:t>
      </w:r>
      <w:r>
        <w:rPr>
          <w:rFonts w:hint="eastAsia"/>
          <w:color w:val="auto"/>
          <w:sz w:val="24"/>
          <w:highlight w:val="none"/>
        </w:rPr>
        <w:t>招标人与中标人将于中标通知书发出之日起</w:t>
      </w:r>
      <w:r>
        <w:rPr>
          <w:color w:val="auto"/>
          <w:sz w:val="24"/>
          <w:highlight w:val="none"/>
        </w:rPr>
        <w:t>30</w:t>
      </w:r>
      <w:r>
        <w:rPr>
          <w:rFonts w:hint="eastAsia"/>
          <w:color w:val="auto"/>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color w:val="auto"/>
          <w:sz w:val="24"/>
          <w:highlight w:val="none"/>
        </w:rPr>
      </w:pPr>
      <w:r>
        <w:rPr>
          <w:color w:val="auto"/>
          <w:sz w:val="24"/>
          <w:highlight w:val="none"/>
        </w:rPr>
        <w:t>28.2</w:t>
      </w:r>
      <w:r>
        <w:rPr>
          <w:rFonts w:hint="eastAsia"/>
          <w:color w:val="auto"/>
          <w:sz w:val="24"/>
          <w:highlight w:val="none"/>
        </w:rPr>
        <w:t>中标通知书发出之日起</w:t>
      </w:r>
      <w:r>
        <w:rPr>
          <w:color w:val="auto"/>
          <w:sz w:val="24"/>
          <w:highlight w:val="none"/>
        </w:rPr>
        <w:t>30</w:t>
      </w:r>
      <w:r>
        <w:rPr>
          <w:rFonts w:hint="eastAsia"/>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color w:val="auto"/>
          <w:sz w:val="24"/>
          <w:highlight w:val="none"/>
        </w:rPr>
      </w:pPr>
      <w:r>
        <w:rPr>
          <w:color w:val="auto"/>
          <w:sz w:val="24"/>
          <w:highlight w:val="none"/>
        </w:rPr>
        <w:t>28.3</w:t>
      </w:r>
      <w:r>
        <w:rPr>
          <w:rFonts w:hint="eastAsia"/>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color w:val="auto"/>
          <w:sz w:val="24"/>
          <w:highlight w:val="none"/>
        </w:rPr>
      </w:pPr>
      <w:r>
        <w:rPr>
          <w:color w:val="auto"/>
          <w:sz w:val="24"/>
          <w:highlight w:val="none"/>
        </w:rPr>
        <w:t>28.4</w:t>
      </w:r>
      <w:r>
        <w:rPr>
          <w:rFonts w:hint="eastAsia"/>
          <w:color w:val="auto"/>
          <w:sz w:val="24"/>
          <w:highlight w:val="none"/>
        </w:rPr>
        <w:t>招标人支付工程款时，中标人应按规定开具发票。</w:t>
      </w:r>
    </w:p>
    <w:p>
      <w:pPr>
        <w:spacing w:line="360" w:lineRule="auto"/>
        <w:ind w:firstLine="482" w:firstLineChars="200"/>
        <w:rPr>
          <w:b/>
          <w:bCs/>
          <w:color w:val="auto"/>
          <w:sz w:val="24"/>
          <w:highlight w:val="none"/>
        </w:rPr>
      </w:pPr>
      <w:r>
        <w:rPr>
          <w:b/>
          <w:bCs/>
          <w:color w:val="auto"/>
          <w:sz w:val="24"/>
          <w:highlight w:val="none"/>
        </w:rPr>
        <w:t>29</w:t>
      </w:r>
      <w:r>
        <w:rPr>
          <w:rFonts w:hint="eastAsia"/>
          <w:b/>
          <w:bCs/>
          <w:color w:val="auto"/>
          <w:sz w:val="24"/>
          <w:highlight w:val="none"/>
        </w:rPr>
        <w:t>．履约担保</w:t>
      </w:r>
    </w:p>
    <w:p>
      <w:pPr>
        <w:snapToGrid w:val="0"/>
        <w:spacing w:line="360" w:lineRule="auto"/>
        <w:ind w:firstLine="480" w:firstLineChars="200"/>
        <w:rPr>
          <w:color w:val="auto"/>
          <w:sz w:val="24"/>
          <w:highlight w:val="none"/>
        </w:rPr>
      </w:pPr>
      <w:r>
        <w:rPr>
          <w:color w:val="auto"/>
          <w:sz w:val="24"/>
          <w:highlight w:val="none"/>
        </w:rPr>
        <w:t xml:space="preserve">29.1 </w:t>
      </w:r>
      <w:r>
        <w:rPr>
          <w:rFonts w:hint="eastAsia"/>
          <w:color w:val="auto"/>
          <w:sz w:val="24"/>
          <w:highlight w:val="none"/>
        </w:rPr>
        <w:t>在收到中标通知书后的</w:t>
      </w:r>
      <w:r>
        <w:rPr>
          <w:b/>
          <w:color w:val="auto"/>
          <w:sz w:val="24"/>
          <w:highlight w:val="none"/>
        </w:rPr>
        <w:t>15</w:t>
      </w:r>
      <w:r>
        <w:rPr>
          <w:rFonts w:hint="eastAsia"/>
          <w:b/>
          <w:color w:val="auto"/>
          <w:sz w:val="24"/>
          <w:highlight w:val="none"/>
        </w:rPr>
        <w:t>日</w:t>
      </w:r>
      <w:r>
        <w:rPr>
          <w:rFonts w:hint="eastAsia"/>
          <w:color w:val="auto"/>
          <w:sz w:val="24"/>
          <w:highlight w:val="none"/>
        </w:rPr>
        <w:t>内，中标人应按本须知前附表第</w:t>
      </w:r>
      <w:r>
        <w:rPr>
          <w:color w:val="auto"/>
          <w:sz w:val="24"/>
          <w:highlight w:val="none"/>
        </w:rPr>
        <w:t>2</w:t>
      </w:r>
      <w:r>
        <w:rPr>
          <w:rFonts w:hint="eastAsia"/>
          <w:color w:val="auto"/>
          <w:sz w:val="24"/>
          <w:highlight w:val="none"/>
        </w:rPr>
        <w:t>0项的规定向招标人提交履约担保。</w:t>
      </w:r>
    </w:p>
    <w:p>
      <w:pPr>
        <w:snapToGrid w:val="0"/>
        <w:spacing w:line="360" w:lineRule="auto"/>
        <w:ind w:firstLine="480" w:firstLineChars="200"/>
        <w:rPr>
          <w:color w:val="auto"/>
          <w:sz w:val="24"/>
          <w:highlight w:val="none"/>
        </w:rPr>
      </w:pPr>
      <w:r>
        <w:rPr>
          <w:color w:val="auto"/>
          <w:sz w:val="24"/>
          <w:highlight w:val="none"/>
        </w:rPr>
        <w:t>29.2</w:t>
      </w:r>
      <w:r>
        <w:rPr>
          <w:rFonts w:hint="eastAsia"/>
          <w:color w:val="auto"/>
          <w:sz w:val="24"/>
          <w:highlight w:val="none"/>
        </w:rPr>
        <w:t>中标通知书发出之日起</w:t>
      </w:r>
      <w:r>
        <w:rPr>
          <w:color w:val="auto"/>
          <w:sz w:val="24"/>
          <w:highlight w:val="none"/>
        </w:rPr>
        <w:t>15</w:t>
      </w:r>
      <w:r>
        <w:rPr>
          <w:rFonts w:hint="eastAsia"/>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b/>
          <w:bCs/>
          <w:color w:val="auto"/>
          <w:sz w:val="24"/>
          <w:highlight w:val="none"/>
        </w:rPr>
      </w:pPr>
      <w:r>
        <w:rPr>
          <w:b/>
          <w:bCs/>
          <w:color w:val="auto"/>
          <w:sz w:val="24"/>
          <w:highlight w:val="none"/>
        </w:rPr>
        <w:t>30</w:t>
      </w:r>
      <w:r>
        <w:rPr>
          <w:rFonts w:hint="eastAsia"/>
          <w:b/>
          <w:bCs/>
          <w:color w:val="auto"/>
          <w:sz w:val="24"/>
          <w:highlight w:val="none"/>
        </w:rPr>
        <w:t>．合同生效</w:t>
      </w:r>
    </w:p>
    <w:p>
      <w:pPr>
        <w:spacing w:line="360" w:lineRule="auto"/>
        <w:ind w:firstLine="480" w:firstLineChars="200"/>
        <w:rPr>
          <w:color w:val="auto"/>
          <w:sz w:val="24"/>
          <w:highlight w:val="none"/>
        </w:rPr>
      </w:pPr>
      <w:r>
        <w:rPr>
          <w:color w:val="auto"/>
          <w:sz w:val="24"/>
          <w:highlight w:val="none"/>
        </w:rPr>
        <w:t>30.1</w:t>
      </w:r>
      <w:r>
        <w:rPr>
          <w:rFonts w:hint="eastAsia"/>
          <w:color w:val="auto"/>
          <w:sz w:val="24"/>
          <w:highlight w:val="none"/>
        </w:rPr>
        <w:t>在合同双方全权代表在合同协议书上签字，并分别加盖双方单位的公章后，合同正式生效。</w:t>
      </w:r>
    </w:p>
    <w:p>
      <w:pPr>
        <w:spacing w:line="360" w:lineRule="auto"/>
        <w:ind w:firstLine="482" w:firstLineChars="200"/>
        <w:rPr>
          <w:b/>
          <w:bCs/>
          <w:color w:val="auto"/>
          <w:sz w:val="24"/>
          <w:highlight w:val="none"/>
        </w:rPr>
      </w:pPr>
      <w:r>
        <w:rPr>
          <w:b/>
          <w:bCs/>
          <w:color w:val="auto"/>
          <w:sz w:val="24"/>
          <w:highlight w:val="none"/>
        </w:rPr>
        <w:t>31</w:t>
      </w:r>
      <w:r>
        <w:rPr>
          <w:rFonts w:hint="eastAsia"/>
          <w:b/>
          <w:bCs/>
          <w:color w:val="auto"/>
          <w:sz w:val="24"/>
          <w:highlight w:val="none"/>
        </w:rPr>
        <w:t>．其它费用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pPr>
        <w:pStyle w:val="5"/>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32.3投标人如在本项目中存在串通投标、弄虚作假、行贿情形的，中标无效，行政监督部门将对其违法行为进行政处罚并通报。该投标人将被招标人列入</w:t>
      </w:r>
      <w:r>
        <w:rPr>
          <w:color w:val="auto"/>
          <w:highlight w:val="none"/>
        </w:rPr>
        <w:drawing>
          <wp:inline distT="0" distB="0" distL="114300" distR="114300">
            <wp:extent cx="309245" cy="140970"/>
            <wp:effectExtent l="0" t="0" r="1460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tretch>
                      <a:fillRect/>
                    </a:stretch>
                  </pic:blipFill>
                  <pic:spPr>
                    <a:xfrm>
                      <a:off x="0" y="0"/>
                      <a:ext cx="309245" cy="140970"/>
                    </a:xfrm>
                    <a:prstGeom prst="rect">
                      <a:avLst/>
                    </a:prstGeom>
                    <a:noFill/>
                    <a:ln>
                      <a:noFill/>
                    </a:ln>
                  </pic:spPr>
                </pic:pic>
              </a:graphicData>
            </a:graphic>
          </wp:inline>
        </w:drawing>
      </w:r>
      <w:r>
        <w:rPr>
          <w:rFonts w:hint="eastAsia" w:ascii="宋体"/>
          <w:color w:val="auto"/>
          <w:sz w:val="24"/>
          <w:highlight w:val="none"/>
        </w:rPr>
        <w:t>并限制其参与招标人后续项目的投标。</w:t>
      </w:r>
    </w:p>
    <w:p>
      <w:pPr>
        <w:spacing w:line="480" w:lineRule="auto"/>
        <w:ind w:firstLine="540" w:firstLineChars="224"/>
        <w:rPr>
          <w:b/>
          <w:color w:val="auto"/>
          <w:sz w:val="24"/>
          <w:highlight w:val="none"/>
        </w:rPr>
      </w:pPr>
      <w:r>
        <w:rPr>
          <w:rFonts w:hint="eastAsia"/>
          <w:b/>
          <w:color w:val="auto"/>
          <w:sz w:val="24"/>
          <w:highlight w:val="none"/>
        </w:rPr>
        <w:t>33. 投标人信誉的要求</w:t>
      </w:r>
    </w:p>
    <w:p>
      <w:pPr>
        <w:spacing w:line="480" w:lineRule="auto"/>
        <w:ind w:firstLine="537" w:firstLineChars="224"/>
        <w:rPr>
          <w:color w:val="auto"/>
          <w:sz w:val="24"/>
          <w:highlight w:val="none"/>
        </w:rPr>
      </w:pPr>
      <w:r>
        <w:rPr>
          <w:rFonts w:hint="eastAsia"/>
          <w:color w:val="auto"/>
          <w:sz w:val="24"/>
          <w:highlight w:val="none"/>
        </w:rPr>
        <w:t>存在下列情形之一的，招标人可以限制其投标（需在招标文件中明确评定方法）</w:t>
      </w:r>
    </w:p>
    <w:p>
      <w:pPr>
        <w:spacing w:line="480" w:lineRule="auto"/>
        <w:ind w:firstLine="537" w:firstLineChars="224"/>
        <w:rPr>
          <w:color w:val="auto"/>
          <w:sz w:val="24"/>
          <w:highlight w:val="none"/>
        </w:rPr>
      </w:pPr>
      <w:r>
        <w:rPr>
          <w:rFonts w:hint="eastAsia"/>
          <w:color w:val="auto"/>
          <w:sz w:val="24"/>
          <w:highlight w:val="none"/>
        </w:rPr>
        <w:t>（1）被住房城乡建设行政主管部门在全国建筑市场监管一体化工作平台列入建筑市场主体“</w:t>
      </w:r>
      <w:r>
        <w:rPr>
          <w:color w:val="auto"/>
          <w:highlight w:val="none"/>
        </w:rPr>
        <w:drawing>
          <wp:inline distT="0" distB="0" distL="114300" distR="114300">
            <wp:extent cx="334010" cy="152400"/>
            <wp:effectExtent l="0" t="0" r="889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6"/>
                    <a:stretch>
                      <a:fillRect/>
                    </a:stretch>
                  </pic:blipFill>
                  <pic:spPr>
                    <a:xfrm>
                      <a:off x="0" y="0"/>
                      <a:ext cx="334010" cy="152400"/>
                    </a:xfrm>
                    <a:prstGeom prst="rect">
                      <a:avLst/>
                    </a:prstGeom>
                    <a:noFill/>
                    <a:ln>
                      <a:noFill/>
                    </a:ln>
                  </pic:spPr>
                </pic:pic>
              </a:graphicData>
            </a:graphic>
          </wp:inline>
        </w:drawing>
      </w:r>
      <w:r>
        <w:rPr>
          <w:rFonts w:hint="eastAsia"/>
          <w:color w:val="auto"/>
          <w:sz w:val="24"/>
          <w:highlight w:val="none"/>
        </w:rPr>
        <w:t>”；</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（2）被发改委、人力资源社会保障、质检总局等有关部门、单位在“信用中国”网站中列入联合惩戒失信</w:t>
      </w:r>
      <w:r>
        <w:rPr>
          <w:color w:val="auto"/>
          <w:highlight w:val="none"/>
        </w:rPr>
        <w:drawing>
          <wp:inline distT="0" distB="0" distL="114300" distR="114300">
            <wp:extent cx="334010" cy="152400"/>
            <wp:effectExtent l="0" t="0" r="889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6"/>
                    <a:stretch>
                      <a:fillRect/>
                    </a:stretch>
                  </pic:blipFill>
                  <pic:spPr>
                    <a:xfrm>
                      <a:off x="0" y="0"/>
                      <a:ext cx="334010" cy="152400"/>
                    </a:xfrm>
                    <a:prstGeom prst="rect">
                      <a:avLst/>
                    </a:prstGeom>
                    <a:noFill/>
                    <a:ln>
                      <a:noFill/>
                    </a:ln>
                  </pic:spPr>
                </pic:pic>
              </a:graphicData>
            </a:graphic>
          </wp:inline>
        </w:drawing>
      </w:r>
      <w:r>
        <w:rPr>
          <w:rFonts w:hint="eastAsia" w:ascii="宋体" w:hAnsi="宋体"/>
          <w:color w:val="auto"/>
          <w:sz w:val="24"/>
          <w:highlight w:val="none"/>
        </w:rPr>
        <w:t>。</w:t>
      </w:r>
    </w:p>
    <w:p>
      <w:pPr>
        <w:pStyle w:val="3"/>
        <w:spacing w:before="0" w:beforeAutospacing="0" w:after="0" w:afterAutospacing="0"/>
        <w:jc w:val="center"/>
        <w:rPr>
          <w:rFonts w:hint="default"/>
          <w:color w:val="auto"/>
          <w:highlight w:val="none"/>
        </w:rPr>
      </w:pPr>
      <w:r>
        <w:rPr>
          <w:color w:val="auto"/>
          <w:sz w:val="24"/>
          <w:highlight w:val="none"/>
        </w:rPr>
        <w:br w:type="page"/>
      </w:r>
      <w:bookmarkStart w:id="9" w:name="_Toc16737"/>
      <w:r>
        <w:rPr>
          <w:color w:val="auto"/>
          <w:highlight w:val="none"/>
        </w:rPr>
        <w:t>第二章  开标、评标及定标办法</w:t>
      </w:r>
      <w:bookmarkEnd w:id="9"/>
    </w:p>
    <w:p>
      <w:pPr>
        <w:pStyle w:val="2"/>
        <w:rPr>
          <w:color w:val="auto"/>
          <w:highlight w:val="none"/>
        </w:rPr>
      </w:pPr>
      <w:bookmarkStart w:id="10" w:name="_Toc25336"/>
      <w:r>
        <w:rPr>
          <w:rFonts w:hint="eastAsia"/>
          <w:color w:val="auto"/>
          <w:sz w:val="28"/>
          <w:szCs w:val="28"/>
          <w:highlight w:val="none"/>
        </w:rPr>
        <w:t>一、</w:t>
      </w:r>
      <w:r>
        <w:rPr>
          <w:rFonts w:hint="eastAsia"/>
          <w:color w:val="auto"/>
          <w:highlight w:val="none"/>
        </w:rPr>
        <w:t>开标、评标及定标办法修改表</w:t>
      </w:r>
      <w:bookmarkEnd w:id="10"/>
    </w:p>
    <w:p>
      <w:pPr>
        <w:tabs>
          <w:tab w:val="left" w:pos="4410"/>
        </w:tabs>
        <w:spacing w:line="336" w:lineRule="auto"/>
        <w:ind w:firstLine="422" w:firstLineChars="200"/>
        <w:rPr>
          <w:rFonts w:cs="宋体"/>
          <w:b/>
          <w:color w:val="auto"/>
          <w:szCs w:val="21"/>
          <w:highlight w:val="none"/>
        </w:rPr>
      </w:pPr>
      <w:r>
        <w:rPr>
          <w:rFonts w:hint="eastAsia" w:cs="宋体"/>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highlight w:val="none"/>
        </w:rPr>
        <w:fldChar w:fldCharType="begin"/>
      </w:r>
      <w:r>
        <w:rPr>
          <w:color w:val="auto"/>
          <w:highlight w:val="none"/>
        </w:rPr>
        <w:instrText xml:space="preserve"> HYPERLINK "http://zfcj.gz.gov.cn/）下载GZZB2018-3范本查阅。" </w:instrText>
      </w:r>
      <w:r>
        <w:rPr>
          <w:color w:val="auto"/>
          <w:highlight w:val="none"/>
        </w:rPr>
        <w:fldChar w:fldCharType="separate"/>
      </w:r>
      <w:r>
        <w:rPr>
          <w:rStyle w:val="24"/>
          <w:rFonts w:hint="eastAsia" w:cs="宋体"/>
          <w:b/>
          <w:color w:val="auto"/>
          <w:szCs w:val="21"/>
          <w:highlight w:val="none"/>
        </w:rPr>
        <w:t>http://zfcj.gz.gov.cn/）下载GZZB2018-3范本查阅。</w:t>
      </w:r>
      <w:r>
        <w:rPr>
          <w:rStyle w:val="24"/>
          <w:rFonts w:hint="eastAsia" w:cs="宋体"/>
          <w:b/>
          <w:color w:val="auto"/>
          <w:szCs w:val="21"/>
          <w:highlight w:val="none"/>
        </w:rPr>
        <w:fldChar w:fldCharType="end"/>
      </w:r>
    </w:p>
    <w:p>
      <w:pPr>
        <w:tabs>
          <w:tab w:val="left" w:pos="4410"/>
        </w:tabs>
        <w:spacing w:line="336" w:lineRule="auto"/>
        <w:ind w:firstLine="422" w:firstLineChars="200"/>
        <w:rPr>
          <w:rFonts w:cs="宋体"/>
          <w:b/>
          <w:color w:val="auto"/>
          <w:szCs w:val="21"/>
          <w:highlight w:val="none"/>
        </w:rPr>
      </w:pPr>
      <w:r>
        <w:rPr>
          <w:rFonts w:hint="eastAsia" w:cs="宋体"/>
          <w:b/>
          <w:color w:val="auto"/>
          <w:szCs w:val="21"/>
          <w:highlight w:val="none"/>
        </w:rPr>
        <w:t>条款号：36.1</w:t>
      </w:r>
      <w:r>
        <w:rPr>
          <w:rFonts w:hint="eastAsia" w:cs="宋体"/>
          <w:b/>
          <w:color w:val="auto"/>
          <w:szCs w:val="21"/>
          <w:highlight w:val="none"/>
        </w:rPr>
        <w:tab/>
      </w:r>
      <w:r>
        <w:rPr>
          <w:rFonts w:hint="eastAsia" w:cs="宋体"/>
          <w:b/>
          <w:color w:val="auto"/>
          <w:szCs w:val="21"/>
          <w:highlight w:val="none"/>
        </w:rPr>
        <w:t>修改类型：修改</w:t>
      </w:r>
    </w:p>
    <w:p>
      <w:pPr>
        <w:spacing w:line="336" w:lineRule="auto"/>
        <w:ind w:firstLine="422" w:firstLineChars="200"/>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36" w:lineRule="auto"/>
        <w:ind w:firstLine="422" w:firstLineChars="200"/>
        <w:rPr>
          <w:rFonts w:cs="宋体"/>
          <w:color w:val="auto"/>
          <w:szCs w:val="21"/>
          <w:highlight w:val="none"/>
          <w:u w:val="single"/>
        </w:rPr>
      </w:pPr>
      <w:r>
        <w:rPr>
          <w:rFonts w:hint="eastAsia" w:cs="宋体"/>
          <w:b/>
          <w:color w:val="auto"/>
          <w:szCs w:val="21"/>
          <w:highlight w:val="none"/>
        </w:rPr>
        <w:t>现文：</w:t>
      </w:r>
      <w:r>
        <w:rPr>
          <w:rFonts w:hint="eastAsia"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tabs>
          <w:tab w:val="left" w:pos="4410"/>
        </w:tabs>
        <w:spacing w:line="336" w:lineRule="auto"/>
        <w:ind w:firstLine="422" w:firstLineChars="200"/>
        <w:rPr>
          <w:rFonts w:cs="宋体"/>
          <w:b/>
          <w:color w:val="auto"/>
          <w:szCs w:val="21"/>
          <w:highlight w:val="none"/>
        </w:rPr>
      </w:pPr>
      <w:r>
        <w:rPr>
          <w:rFonts w:hint="eastAsia" w:cs="宋体"/>
          <w:b/>
          <w:color w:val="auto"/>
          <w:szCs w:val="21"/>
          <w:highlight w:val="none"/>
        </w:rPr>
        <w:t>条款号：36.3</w:t>
      </w:r>
      <w:r>
        <w:rPr>
          <w:rFonts w:hint="eastAsia" w:cs="宋体"/>
          <w:b/>
          <w:color w:val="auto"/>
          <w:szCs w:val="21"/>
          <w:highlight w:val="none"/>
        </w:rPr>
        <w:tab/>
      </w:r>
      <w:r>
        <w:rPr>
          <w:rFonts w:hint="eastAsia" w:cs="宋体"/>
          <w:b/>
          <w:color w:val="auto"/>
          <w:szCs w:val="21"/>
          <w:highlight w:val="none"/>
        </w:rPr>
        <w:t>修改类型：删除</w:t>
      </w:r>
    </w:p>
    <w:p>
      <w:pPr>
        <w:pBdr>
          <w:bottom w:val="single" w:color="auto" w:sz="6" w:space="1"/>
        </w:pBdr>
        <w:spacing w:line="336" w:lineRule="auto"/>
        <w:ind w:firstLine="422" w:firstLineChars="200"/>
        <w:rPr>
          <w:rFonts w:hint="eastAsia" w:cs="宋体"/>
          <w:color w:val="auto"/>
          <w:szCs w:val="21"/>
          <w:highlight w:val="none"/>
        </w:rPr>
      </w:pPr>
      <w:r>
        <w:rPr>
          <w:rFonts w:hint="eastAsia" w:cs="宋体"/>
          <w:b/>
          <w:color w:val="auto"/>
          <w:szCs w:val="21"/>
          <w:highlight w:val="none"/>
        </w:rPr>
        <w:t>原文：</w:t>
      </w:r>
      <w:r>
        <w:rPr>
          <w:rFonts w:hint="eastAsia"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条款号：36.4                修改类型：修改</w:t>
      </w:r>
    </w:p>
    <w:p>
      <w:pPr>
        <w:adjustRightInd w:val="0"/>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36.4若递交投标文件的投标人不足3家，则重新组织招标。（当N个标段同时招标且不允许兼中时，若有效投标人不足N+2家，则重新组织招标）。</w:t>
      </w:r>
    </w:p>
    <w:p>
      <w:pPr>
        <w:pBdr>
          <w:bottom w:val="single" w:color="auto" w:sz="6" w:space="1"/>
        </w:pBdr>
        <w:adjustRightInd w:val="0"/>
        <w:spacing w:line="360" w:lineRule="auto"/>
        <w:ind w:firstLine="422" w:firstLineChars="200"/>
        <w:rPr>
          <w:rFonts w:hint="eastAsia"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36.4若递交投标文件的投标人不足</w:t>
      </w:r>
      <w:r>
        <w:rPr>
          <w:rFonts w:ascii="宋体" w:hAnsi="宋体" w:cs="宋体"/>
          <w:bCs/>
          <w:color w:val="auto"/>
          <w:szCs w:val="21"/>
          <w:highlight w:val="none"/>
        </w:rPr>
        <w:t>7</w:t>
      </w:r>
      <w:r>
        <w:rPr>
          <w:rFonts w:hint="eastAsia" w:ascii="宋体" w:hAnsi="宋体" w:cs="宋体"/>
          <w:bCs/>
          <w:color w:val="auto"/>
          <w:szCs w:val="21"/>
          <w:highlight w:val="none"/>
        </w:rPr>
        <w:t>家，则重新组织招标。</w:t>
      </w:r>
    </w:p>
    <w:p>
      <w:pPr>
        <w:tabs>
          <w:tab w:val="left" w:pos="4410"/>
        </w:tabs>
        <w:spacing w:line="336" w:lineRule="auto"/>
        <w:ind w:firstLine="422" w:firstLineChars="200"/>
        <w:rPr>
          <w:rFonts w:cs="宋体"/>
          <w:b/>
          <w:color w:val="auto"/>
          <w:szCs w:val="21"/>
          <w:highlight w:val="none"/>
        </w:rPr>
      </w:pPr>
      <w:r>
        <w:rPr>
          <w:rFonts w:hint="eastAsia" w:cs="宋体"/>
          <w:b/>
          <w:color w:val="auto"/>
          <w:szCs w:val="21"/>
          <w:highlight w:val="none"/>
        </w:rPr>
        <w:t>条款号：36.5.1</w:t>
      </w:r>
      <w:r>
        <w:rPr>
          <w:rFonts w:hint="eastAsia" w:cs="宋体"/>
          <w:b/>
          <w:color w:val="auto"/>
          <w:szCs w:val="21"/>
          <w:highlight w:val="none"/>
        </w:rPr>
        <w:tab/>
      </w:r>
      <w:r>
        <w:rPr>
          <w:rFonts w:hint="eastAsia" w:cs="宋体"/>
          <w:b/>
          <w:color w:val="auto"/>
          <w:szCs w:val="21"/>
          <w:highlight w:val="none"/>
        </w:rPr>
        <w:t>修改类型：修改</w:t>
      </w:r>
    </w:p>
    <w:p>
      <w:pPr>
        <w:spacing w:line="336" w:lineRule="auto"/>
        <w:ind w:firstLine="422" w:firstLineChars="200"/>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pacing w:line="336" w:lineRule="auto"/>
        <w:ind w:firstLine="422" w:firstLineChars="200"/>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36.5.1在投标截止时间后半小时内，投标人通过</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交易平台对已递交的电子投标文件进行解密。投标人完成解密后，再由招标人进行解密。解密完成后，公布招标项目名称、投标人名称、投标报价、工期及其他内容；</w:t>
      </w:r>
    </w:p>
    <w:p>
      <w:pPr>
        <w:tabs>
          <w:tab w:val="left" w:pos="4410"/>
        </w:tabs>
        <w:spacing w:line="336" w:lineRule="auto"/>
        <w:ind w:firstLine="422" w:firstLineChars="200"/>
        <w:rPr>
          <w:rFonts w:cs="宋体"/>
          <w:b/>
          <w:color w:val="auto"/>
          <w:szCs w:val="21"/>
          <w:highlight w:val="none"/>
        </w:rPr>
      </w:pPr>
      <w:r>
        <w:rPr>
          <w:rFonts w:hint="eastAsia" w:cs="宋体"/>
          <w:b/>
          <w:color w:val="auto"/>
          <w:szCs w:val="21"/>
          <w:highlight w:val="none"/>
        </w:rPr>
        <w:t>条款号：36.5.3</w:t>
      </w:r>
      <w:r>
        <w:rPr>
          <w:rFonts w:hint="eastAsia" w:cs="宋体"/>
          <w:b/>
          <w:color w:val="auto"/>
          <w:szCs w:val="21"/>
          <w:highlight w:val="none"/>
        </w:rPr>
        <w:tab/>
      </w:r>
      <w:r>
        <w:rPr>
          <w:rFonts w:hint="eastAsia" w:cs="宋体"/>
          <w:b/>
          <w:color w:val="auto"/>
          <w:szCs w:val="21"/>
          <w:highlight w:val="none"/>
        </w:rPr>
        <w:t>修改类型：修改</w:t>
      </w:r>
    </w:p>
    <w:p>
      <w:pPr>
        <w:spacing w:line="336" w:lineRule="auto"/>
        <w:ind w:firstLine="422" w:firstLineChars="200"/>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投标人代表、招标人代表、监标人、记录人等有关人员在开标记录上签字确认；若有关人员不签字的，不影响开标程序；</w:t>
      </w:r>
    </w:p>
    <w:p>
      <w:pPr>
        <w:pBdr>
          <w:bottom w:val="single" w:color="auto" w:sz="6" w:space="1"/>
        </w:pBdr>
        <w:spacing w:line="336" w:lineRule="auto"/>
        <w:ind w:firstLine="422" w:firstLineChars="200"/>
        <w:rPr>
          <w:rFonts w:cs="宋体"/>
          <w:b/>
          <w:color w:val="auto"/>
          <w:szCs w:val="21"/>
          <w:highlight w:val="none"/>
        </w:rPr>
      </w:pPr>
      <w:r>
        <w:rPr>
          <w:rFonts w:hint="eastAsia" w:cs="宋体"/>
          <w:b/>
          <w:color w:val="auto"/>
          <w:szCs w:val="21"/>
          <w:highlight w:val="none"/>
        </w:rPr>
        <w:t>现文：</w:t>
      </w:r>
      <w:r>
        <w:rPr>
          <w:rFonts w:hint="eastAsia" w:cs="宋体"/>
          <w:color w:val="auto"/>
          <w:szCs w:val="21"/>
          <w:highlight w:val="none"/>
        </w:rPr>
        <w:t>投标人代表、招标人代表、监标人、记录人等有关人员在开标记录上签字确认；若有关人员不签字的，不影响开标程序；</w:t>
      </w:r>
      <w:r>
        <w:rPr>
          <w:rFonts w:hint="eastAsia" w:cs="宋体"/>
          <w:color w:val="auto"/>
          <w:szCs w:val="21"/>
          <w:highlight w:val="none"/>
          <w:u w:val="single"/>
        </w:rPr>
        <w:t>若投标人不参加开标会的，或不签字确认的，视同该投标人认可开标结果。</w:t>
      </w:r>
    </w:p>
    <w:p>
      <w:pPr>
        <w:pBdr>
          <w:bottom w:val="single" w:color="auto" w:sz="4" w:space="1"/>
        </w:pBdr>
        <w:tabs>
          <w:tab w:val="left" w:pos="4410"/>
        </w:tabs>
        <w:spacing w:line="336" w:lineRule="auto"/>
        <w:ind w:firstLine="422" w:firstLineChars="200"/>
        <w:rPr>
          <w:rFonts w:cs="宋体"/>
          <w:b/>
          <w:color w:val="auto"/>
          <w:szCs w:val="21"/>
          <w:highlight w:val="none"/>
        </w:rPr>
      </w:pPr>
      <w:r>
        <w:rPr>
          <w:rFonts w:hint="eastAsia" w:cs="宋体"/>
          <w:b/>
          <w:color w:val="auto"/>
          <w:szCs w:val="21"/>
          <w:highlight w:val="none"/>
        </w:rPr>
        <w:t>条款号：38.1</w:t>
      </w:r>
      <w:r>
        <w:rPr>
          <w:rFonts w:hint="eastAsia" w:cs="宋体"/>
          <w:b/>
          <w:color w:val="auto"/>
          <w:szCs w:val="21"/>
          <w:highlight w:val="none"/>
        </w:rPr>
        <w:tab/>
      </w:r>
      <w:r>
        <w:rPr>
          <w:rFonts w:hint="eastAsia" w:cs="宋体"/>
          <w:b/>
          <w:color w:val="auto"/>
          <w:szCs w:val="21"/>
          <w:highlight w:val="none"/>
        </w:rPr>
        <w:t>修改类型：修改</w:t>
      </w:r>
    </w:p>
    <w:p>
      <w:pPr>
        <w:pBdr>
          <w:bottom w:val="single" w:color="auto" w:sz="4" w:space="1"/>
        </w:pBdr>
        <w:spacing w:line="336" w:lineRule="auto"/>
        <w:ind w:firstLine="422" w:firstLineChars="200"/>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4" w:space="1"/>
        </w:pBdr>
        <w:spacing w:line="336" w:lineRule="auto"/>
        <w:ind w:firstLine="422" w:firstLineChars="200"/>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cs="宋体"/>
          <w:color w:val="auto"/>
          <w:szCs w:val="21"/>
          <w:highlight w:val="none"/>
          <w:u w:val="single"/>
        </w:rPr>
        <w:t>对投标文件含义不明确、对同类问题表述不一致、有明显文字和计算错误的内容以及细微偏差的内容作出澄清</w:t>
      </w:r>
      <w:r>
        <w:rPr>
          <w:rFonts w:hint="eastAsia" w:cs="宋体"/>
          <w:color w:val="auto"/>
          <w:szCs w:val="21"/>
          <w:highlight w:val="none"/>
        </w:rPr>
        <w:t>。</w:t>
      </w:r>
    </w:p>
    <w:p>
      <w:pPr>
        <w:tabs>
          <w:tab w:val="left" w:pos="4410"/>
        </w:tabs>
        <w:spacing w:line="336" w:lineRule="auto"/>
        <w:ind w:firstLine="422" w:firstLineChars="200"/>
        <w:rPr>
          <w:rFonts w:cs="宋体"/>
          <w:b/>
          <w:color w:val="auto"/>
          <w:szCs w:val="21"/>
          <w:highlight w:val="none"/>
        </w:rPr>
      </w:pPr>
      <w:r>
        <w:rPr>
          <w:rFonts w:hint="eastAsia" w:cs="宋体"/>
          <w:b/>
          <w:color w:val="auto"/>
          <w:szCs w:val="21"/>
          <w:highlight w:val="none"/>
        </w:rPr>
        <w:t>条款号：39.2</w:t>
      </w:r>
      <w:r>
        <w:rPr>
          <w:rFonts w:hint="eastAsia" w:cs="宋体"/>
          <w:b/>
          <w:color w:val="auto"/>
          <w:szCs w:val="21"/>
          <w:highlight w:val="none"/>
        </w:rPr>
        <w:tab/>
      </w:r>
      <w:r>
        <w:rPr>
          <w:rFonts w:hint="eastAsia" w:cs="宋体"/>
          <w:b/>
          <w:color w:val="auto"/>
          <w:szCs w:val="21"/>
          <w:highlight w:val="none"/>
        </w:rPr>
        <w:t>修改类型：修改</w:t>
      </w:r>
    </w:p>
    <w:p>
      <w:pPr>
        <w:spacing w:line="336" w:lineRule="auto"/>
        <w:ind w:firstLine="422" w:firstLineChars="200"/>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依法必须进行公开招标的项目，招标人应当确定排名第一的中标候选人为中标人；</w:t>
      </w:r>
    </w:p>
    <w:p>
      <w:pPr>
        <w:pBdr>
          <w:bottom w:val="single" w:color="auto" w:sz="6" w:space="1"/>
        </w:pBdr>
        <w:spacing w:line="336" w:lineRule="auto"/>
        <w:ind w:firstLine="422" w:firstLineChars="200"/>
        <w:rPr>
          <w:rFonts w:cs="宋体"/>
          <w:b/>
          <w:color w:val="auto"/>
          <w:szCs w:val="21"/>
          <w:highlight w:val="none"/>
        </w:rPr>
      </w:pPr>
      <w:r>
        <w:rPr>
          <w:rFonts w:hint="eastAsia" w:cs="宋体"/>
          <w:b/>
          <w:color w:val="auto"/>
          <w:szCs w:val="21"/>
          <w:highlight w:val="none"/>
        </w:rPr>
        <w:t>现文：</w:t>
      </w:r>
      <w:r>
        <w:rPr>
          <w:rFonts w:hint="eastAsia" w:cs="宋体"/>
          <w:color w:val="auto"/>
          <w:szCs w:val="21"/>
          <w:highlight w:val="none"/>
        </w:rPr>
        <w:t>依法必须进行公开招标的项目，招标人应当确定排名第一的中标候选人，若在填报中标候选人公示信息时被发现委派的项目负责人已在其他在建项目中任职的，则不能进行中标候选人公示，招标人可以确定排名第二的中标候选人为中标人。</w:t>
      </w:r>
    </w:p>
    <w:p>
      <w:pPr>
        <w:tabs>
          <w:tab w:val="left" w:pos="4410"/>
        </w:tabs>
        <w:spacing w:line="336" w:lineRule="auto"/>
        <w:ind w:firstLine="422" w:firstLineChars="200"/>
        <w:rPr>
          <w:rFonts w:cs="宋体"/>
          <w:b/>
          <w:color w:val="auto"/>
          <w:szCs w:val="21"/>
          <w:highlight w:val="none"/>
        </w:rPr>
      </w:pPr>
      <w:r>
        <w:rPr>
          <w:rFonts w:hint="eastAsia" w:cs="宋体"/>
          <w:b/>
          <w:color w:val="auto"/>
          <w:szCs w:val="21"/>
          <w:highlight w:val="none"/>
        </w:rPr>
        <w:t>条款号：39.3</w:t>
      </w:r>
      <w:r>
        <w:rPr>
          <w:rFonts w:hint="eastAsia" w:cs="宋体"/>
          <w:b/>
          <w:color w:val="auto"/>
          <w:szCs w:val="21"/>
          <w:highlight w:val="none"/>
        </w:rPr>
        <w:tab/>
      </w:r>
      <w:r>
        <w:rPr>
          <w:rFonts w:hint="eastAsia" w:cs="宋体"/>
          <w:b/>
          <w:color w:val="auto"/>
          <w:szCs w:val="21"/>
          <w:highlight w:val="none"/>
        </w:rPr>
        <w:t>修改类型：修改</w:t>
      </w:r>
    </w:p>
    <w:p>
      <w:pPr>
        <w:spacing w:line="336" w:lineRule="auto"/>
        <w:ind w:firstLine="422" w:firstLineChars="200"/>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36" w:lineRule="auto"/>
        <w:ind w:firstLine="422" w:firstLineChars="200"/>
        <w:rPr>
          <w:rFonts w:cs="宋体"/>
          <w:color w:val="auto"/>
          <w:szCs w:val="21"/>
          <w:highlight w:val="none"/>
          <w:u w:val="single"/>
        </w:rPr>
      </w:pPr>
      <w:r>
        <w:rPr>
          <w:rFonts w:hint="eastAsia" w:cs="宋体"/>
          <w:b/>
          <w:color w:val="auto"/>
          <w:szCs w:val="21"/>
          <w:highlight w:val="none"/>
        </w:rPr>
        <w:t>现文：</w:t>
      </w:r>
      <w:r>
        <w:rPr>
          <w:rFonts w:hint="eastAsia" w:cs="宋体"/>
          <w:color w:val="auto"/>
          <w:szCs w:val="21"/>
          <w:highlight w:val="none"/>
        </w:rPr>
        <w:t>排名第一的中标候选人放弃中标、或因不可抗力提出不能履行合同，或者招标文件规定应当提交履约担保而在规定的期限内未能提交的，</w:t>
      </w:r>
      <w:r>
        <w:rPr>
          <w:rFonts w:hint="eastAsia" w:cs="宋体"/>
          <w:color w:val="auto"/>
          <w:szCs w:val="21"/>
          <w:highlight w:val="none"/>
          <w:u w:val="single"/>
        </w:rPr>
        <w:t>或经核查发现委派的项目负责人已在其他在建项目中任职的，</w:t>
      </w:r>
      <w:r>
        <w:rPr>
          <w:rFonts w:hint="eastAsia" w:cs="宋体"/>
          <w:color w:val="auto"/>
          <w:szCs w:val="21"/>
          <w:highlight w:val="none"/>
        </w:rPr>
        <w:t>招标人可以确定排名第二的中标候选人为中标人。</w:t>
      </w:r>
    </w:p>
    <w:p>
      <w:pPr>
        <w:pStyle w:val="9"/>
        <w:tabs>
          <w:tab w:val="left" w:pos="5245"/>
        </w:tabs>
        <w:spacing w:line="360" w:lineRule="auto"/>
        <w:ind w:firstLine="422"/>
        <w:rPr>
          <w:rFonts w:cs="宋体"/>
          <w:b/>
          <w:color w:val="auto"/>
          <w:szCs w:val="21"/>
          <w:highlight w:val="none"/>
        </w:rPr>
      </w:pPr>
      <w:r>
        <w:rPr>
          <w:rFonts w:hint="eastAsia" w:cs="宋体"/>
          <w:b/>
          <w:color w:val="auto"/>
          <w:szCs w:val="21"/>
          <w:highlight w:val="none"/>
        </w:rPr>
        <w:t>条款号：（二）开标评标办法程序和细则-注</w:t>
      </w:r>
      <w:r>
        <w:rPr>
          <w:rFonts w:hint="eastAsia" w:cs="宋体"/>
          <w:b/>
          <w:color w:val="auto"/>
          <w:szCs w:val="21"/>
          <w:highlight w:val="none"/>
        </w:rPr>
        <w:tab/>
      </w:r>
      <w:r>
        <w:rPr>
          <w:rFonts w:hint="eastAsia" w:cs="宋体"/>
          <w:b/>
          <w:color w:val="auto"/>
          <w:szCs w:val="21"/>
          <w:highlight w:val="none"/>
        </w:rPr>
        <w:t>修改类型：删除</w:t>
      </w:r>
    </w:p>
    <w:p>
      <w:pPr>
        <w:pBdr>
          <w:bottom w:val="single" w:color="auto" w:sz="6" w:space="1"/>
        </w:pBdr>
        <w:spacing w:line="360" w:lineRule="auto"/>
        <w:ind w:firstLine="422" w:firstLineChars="200"/>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以下八种评标办法所述企业综合诚信评价分数即投标截止当日广州市住房和城乡建设局网站上公布的企业综合诚信评价</w:t>
      </w:r>
      <w:r>
        <w:rPr>
          <w:rFonts w:cs="宋体"/>
          <w:color w:val="auto"/>
          <w:szCs w:val="21"/>
          <w:highlight w:val="none"/>
        </w:rPr>
        <w:t>60日诚信分。</w:t>
      </w:r>
    </w:p>
    <w:p>
      <w:pPr>
        <w:spacing w:line="360" w:lineRule="auto"/>
        <w:ind w:firstLine="472" w:firstLineChars="224"/>
        <w:rPr>
          <w:rFonts w:cs="宋体"/>
          <w:b/>
          <w:color w:val="auto"/>
          <w:szCs w:val="21"/>
          <w:highlight w:val="none"/>
        </w:rPr>
      </w:pPr>
      <w:r>
        <w:rPr>
          <w:rFonts w:hint="eastAsia" w:cs="宋体"/>
          <w:b/>
          <w:color w:val="auto"/>
          <w:szCs w:val="21"/>
          <w:highlight w:val="none"/>
        </w:rPr>
        <w:t>条款号： 评标办法        修改类型：删除</w:t>
      </w:r>
    </w:p>
    <w:p>
      <w:pPr>
        <w:pBdr>
          <w:bottom w:val="single" w:color="auto" w:sz="6" w:space="1"/>
        </w:pBdr>
        <w:spacing w:line="360" w:lineRule="auto"/>
        <w:ind w:firstLine="527" w:firstLineChars="250"/>
        <w:rPr>
          <w:rStyle w:val="24"/>
          <w:rFonts w:cs="宋体"/>
          <w:color w:val="auto"/>
          <w:szCs w:val="21"/>
          <w:highlight w:val="none"/>
        </w:rPr>
      </w:pPr>
      <w:r>
        <w:rPr>
          <w:rFonts w:hint="eastAsia" w:cs="宋体"/>
          <w:b/>
          <w:color w:val="auto"/>
          <w:szCs w:val="21"/>
          <w:highlight w:val="none"/>
        </w:rPr>
        <w:t>原文：</w:t>
      </w:r>
      <w:r>
        <w:rPr>
          <w:rStyle w:val="24"/>
          <w:rFonts w:hint="eastAsia" w:cs="宋体"/>
          <w:color w:val="auto"/>
          <w:szCs w:val="21"/>
          <w:highlight w:val="none"/>
        </w:rPr>
        <w:t>可选</w:t>
      </w:r>
      <w:r>
        <w:rPr>
          <w:rFonts w:hint="eastAsia" w:cs="宋体"/>
          <w:color w:val="auto"/>
          <w:szCs w:val="21"/>
          <w:highlight w:val="none"/>
        </w:rPr>
        <w:t>办法</w:t>
      </w:r>
      <w:r>
        <w:rPr>
          <w:rStyle w:val="24"/>
          <w:rFonts w:hint="eastAsia" w:cs="宋体"/>
          <w:color w:val="auto"/>
          <w:szCs w:val="21"/>
          <w:highlight w:val="none"/>
        </w:rPr>
        <w:t>一（适合</w:t>
      </w:r>
      <w:r>
        <w:rPr>
          <w:rStyle w:val="24"/>
          <w:rFonts w:hint="eastAsia" w:cs="宋体"/>
          <w:color w:val="auto"/>
          <w:kern w:val="0"/>
          <w:szCs w:val="21"/>
          <w:highlight w:val="none"/>
        </w:rPr>
        <w:t>综合评分法一</w:t>
      </w:r>
      <w:r>
        <w:rPr>
          <w:rStyle w:val="24"/>
          <w:rFonts w:hint="eastAsia" w:cs="宋体"/>
          <w:color w:val="auto"/>
          <w:szCs w:val="21"/>
          <w:highlight w:val="none"/>
        </w:rPr>
        <w:t>，技术标与经济标先后分别开启）</w:t>
      </w:r>
    </w:p>
    <w:p>
      <w:pPr>
        <w:pBdr>
          <w:bottom w:val="single" w:color="auto" w:sz="6" w:space="1"/>
        </w:pBdr>
        <w:spacing w:line="360" w:lineRule="auto"/>
        <w:ind w:firstLine="1155" w:firstLineChars="550"/>
        <w:rPr>
          <w:rStyle w:val="24"/>
          <w:rFonts w:cs="宋体"/>
          <w:color w:val="auto"/>
          <w:szCs w:val="21"/>
          <w:highlight w:val="none"/>
        </w:rPr>
      </w:pPr>
      <w:r>
        <w:rPr>
          <w:rStyle w:val="24"/>
          <w:rFonts w:hint="eastAsia" w:cs="宋体"/>
          <w:color w:val="auto"/>
          <w:szCs w:val="21"/>
          <w:highlight w:val="none"/>
        </w:rPr>
        <w:t>可选</w:t>
      </w:r>
      <w:r>
        <w:rPr>
          <w:rFonts w:hint="eastAsia" w:cs="宋体"/>
          <w:color w:val="auto"/>
          <w:szCs w:val="21"/>
          <w:highlight w:val="none"/>
        </w:rPr>
        <w:t>办法</w:t>
      </w:r>
      <w:r>
        <w:rPr>
          <w:rStyle w:val="24"/>
          <w:rFonts w:hint="eastAsia" w:cs="宋体"/>
          <w:color w:val="auto"/>
          <w:szCs w:val="21"/>
          <w:highlight w:val="none"/>
        </w:rPr>
        <w:t>二（适合综合评分法一，技术标与经济标同时开启）</w:t>
      </w:r>
    </w:p>
    <w:p>
      <w:pPr>
        <w:pBdr>
          <w:bottom w:val="single" w:color="auto" w:sz="6" w:space="1"/>
        </w:pBdr>
        <w:spacing w:line="360" w:lineRule="auto"/>
        <w:ind w:firstLine="1155" w:firstLineChars="550"/>
        <w:rPr>
          <w:rStyle w:val="24"/>
          <w:rFonts w:cs="宋体"/>
          <w:color w:val="auto"/>
          <w:szCs w:val="21"/>
          <w:highlight w:val="none"/>
        </w:rPr>
      </w:pPr>
      <w:r>
        <w:rPr>
          <w:rStyle w:val="24"/>
          <w:rFonts w:hint="eastAsia" w:cs="宋体"/>
          <w:color w:val="auto"/>
          <w:szCs w:val="21"/>
          <w:highlight w:val="none"/>
        </w:rPr>
        <w:t>可选办法三（适合综合评分法二，技术标与经济标先后分别开启）</w:t>
      </w:r>
    </w:p>
    <w:p>
      <w:pPr>
        <w:pBdr>
          <w:bottom w:val="single" w:color="auto" w:sz="6" w:space="1"/>
        </w:pBdr>
        <w:spacing w:line="360" w:lineRule="auto"/>
        <w:ind w:firstLine="1155" w:firstLineChars="550"/>
        <w:rPr>
          <w:rStyle w:val="24"/>
          <w:rFonts w:cs="宋体"/>
          <w:color w:val="auto"/>
          <w:szCs w:val="21"/>
          <w:highlight w:val="none"/>
        </w:rPr>
      </w:pPr>
      <w:r>
        <w:rPr>
          <w:rStyle w:val="24"/>
          <w:rFonts w:hint="eastAsia" w:cs="宋体"/>
          <w:color w:val="auto"/>
          <w:szCs w:val="21"/>
          <w:highlight w:val="none"/>
        </w:rPr>
        <w:t>可选办法四（适合综合评分法二，技术标与经济标同时开启）</w:t>
      </w:r>
    </w:p>
    <w:p>
      <w:pPr>
        <w:pBdr>
          <w:bottom w:val="single" w:color="auto" w:sz="6" w:space="1"/>
        </w:pBdr>
        <w:spacing w:line="360" w:lineRule="auto"/>
        <w:ind w:firstLine="1155" w:firstLineChars="550"/>
        <w:rPr>
          <w:rStyle w:val="24"/>
          <w:rFonts w:cs="宋体"/>
          <w:color w:val="auto"/>
          <w:szCs w:val="21"/>
          <w:highlight w:val="none"/>
        </w:rPr>
      </w:pPr>
      <w:r>
        <w:rPr>
          <w:rStyle w:val="24"/>
          <w:rFonts w:hint="eastAsia" w:cs="宋体"/>
          <w:color w:val="auto"/>
          <w:szCs w:val="21"/>
          <w:highlight w:val="none"/>
        </w:rPr>
        <w:t>可选办法五（适合综合评分法三，技术标与经济标先后分别开启）</w:t>
      </w:r>
    </w:p>
    <w:p>
      <w:pPr>
        <w:pBdr>
          <w:bottom w:val="single" w:color="auto" w:sz="6" w:space="1"/>
        </w:pBdr>
        <w:spacing w:line="360" w:lineRule="auto"/>
        <w:ind w:firstLine="1155" w:firstLineChars="550"/>
        <w:rPr>
          <w:rStyle w:val="24"/>
          <w:rFonts w:cs="宋体"/>
          <w:color w:val="auto"/>
          <w:szCs w:val="21"/>
          <w:highlight w:val="none"/>
        </w:rPr>
      </w:pPr>
      <w:r>
        <w:rPr>
          <w:rStyle w:val="24"/>
          <w:rFonts w:hint="eastAsia" w:cs="宋体"/>
          <w:color w:val="auto"/>
          <w:szCs w:val="21"/>
          <w:highlight w:val="none"/>
        </w:rPr>
        <w:t>可选办法六（适合综合评分法三，技术标与经济标同时开启）</w:t>
      </w:r>
    </w:p>
    <w:p>
      <w:pPr>
        <w:pBdr>
          <w:bottom w:val="single" w:color="auto" w:sz="6" w:space="1"/>
        </w:pBdr>
        <w:spacing w:line="360" w:lineRule="auto"/>
        <w:ind w:firstLine="1155" w:firstLineChars="550"/>
        <w:rPr>
          <w:rFonts w:cs="宋体"/>
          <w:color w:val="auto"/>
          <w:szCs w:val="21"/>
          <w:highlight w:val="none"/>
        </w:rPr>
      </w:pPr>
      <w:r>
        <w:rPr>
          <w:rStyle w:val="24"/>
          <w:rFonts w:hint="eastAsia" w:cs="宋体"/>
          <w:color w:val="auto"/>
          <w:szCs w:val="21"/>
          <w:highlight w:val="none"/>
        </w:rPr>
        <w:t>可选办法八（适合经评审的最低投标价法，技术标与经济标同时开启）</w:t>
      </w:r>
    </w:p>
    <w:p>
      <w:pPr>
        <w:tabs>
          <w:tab w:val="left" w:pos="4410"/>
        </w:tabs>
        <w:spacing w:line="336" w:lineRule="auto"/>
        <w:ind w:firstLine="422" w:firstLineChars="200"/>
        <w:rPr>
          <w:rFonts w:cs="宋体"/>
          <w:b/>
          <w:color w:val="auto"/>
          <w:szCs w:val="21"/>
          <w:highlight w:val="none"/>
        </w:rPr>
      </w:pPr>
      <w:r>
        <w:rPr>
          <w:rFonts w:hint="eastAsia" w:cs="宋体"/>
          <w:b/>
          <w:color w:val="auto"/>
          <w:szCs w:val="21"/>
          <w:highlight w:val="none"/>
        </w:rPr>
        <w:t>条款号：41.1</w:t>
      </w:r>
      <w:r>
        <w:rPr>
          <w:rFonts w:hint="eastAsia" w:cs="宋体"/>
          <w:b/>
          <w:color w:val="auto"/>
          <w:szCs w:val="21"/>
          <w:highlight w:val="none"/>
        </w:rPr>
        <w:tab/>
      </w:r>
      <w:r>
        <w:rPr>
          <w:rFonts w:hint="eastAsia" w:cs="宋体"/>
          <w:b/>
          <w:color w:val="auto"/>
          <w:szCs w:val="21"/>
          <w:highlight w:val="none"/>
        </w:rPr>
        <w:t>修改类型：修改</w:t>
      </w:r>
    </w:p>
    <w:p>
      <w:pPr>
        <w:pBdr>
          <w:bottom w:val="single" w:color="auto" w:sz="6" w:space="1"/>
        </w:pBdr>
        <w:spacing w:line="336" w:lineRule="auto"/>
        <w:ind w:firstLine="422" w:firstLineChars="200"/>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41.1 开标由招标人主持；</w:t>
      </w:r>
    </w:p>
    <w:p>
      <w:pPr>
        <w:pBdr>
          <w:bottom w:val="single" w:color="auto" w:sz="6" w:space="1"/>
        </w:pBdr>
        <w:spacing w:line="336" w:lineRule="auto"/>
        <w:ind w:firstLine="422" w:firstLineChars="200"/>
        <w:rPr>
          <w:rFonts w:cs="宋体"/>
          <w:b/>
          <w:color w:val="auto"/>
          <w:szCs w:val="21"/>
          <w:highlight w:val="none"/>
        </w:rPr>
      </w:pPr>
      <w:r>
        <w:rPr>
          <w:rFonts w:hint="eastAsia" w:cs="宋体"/>
          <w:b/>
          <w:color w:val="auto"/>
          <w:szCs w:val="21"/>
          <w:highlight w:val="none"/>
        </w:rPr>
        <w:t>现文：</w:t>
      </w:r>
      <w:r>
        <w:rPr>
          <w:rFonts w:hint="eastAsia" w:cs="宋体"/>
          <w:color w:val="auto"/>
          <w:szCs w:val="21"/>
          <w:highlight w:val="none"/>
        </w:rPr>
        <w:t xml:space="preserve">41.1 </w:t>
      </w:r>
      <w:r>
        <w:rPr>
          <w:rFonts w:hint="eastAsia" w:cs="宋体"/>
          <w:color w:val="auto"/>
          <w:szCs w:val="21"/>
          <w:highlight w:val="none"/>
          <w:u w:val="single"/>
        </w:rPr>
        <w:t>开标由招标人或其委托的招标代理机构主持；</w:t>
      </w:r>
    </w:p>
    <w:p>
      <w:pPr>
        <w:tabs>
          <w:tab w:val="left" w:pos="4410"/>
        </w:tabs>
        <w:spacing w:line="336" w:lineRule="auto"/>
        <w:ind w:firstLine="422" w:firstLineChars="200"/>
        <w:rPr>
          <w:rFonts w:cs="宋体"/>
          <w:b/>
          <w:color w:val="auto"/>
          <w:szCs w:val="21"/>
          <w:highlight w:val="none"/>
        </w:rPr>
      </w:pPr>
      <w:r>
        <w:rPr>
          <w:rFonts w:hint="eastAsia" w:cs="宋体"/>
          <w:b/>
          <w:color w:val="auto"/>
          <w:szCs w:val="21"/>
          <w:highlight w:val="none"/>
        </w:rPr>
        <w:t>条款号：41.2.1</w:t>
      </w:r>
      <w:r>
        <w:rPr>
          <w:rFonts w:hint="eastAsia" w:cs="宋体"/>
          <w:b/>
          <w:color w:val="auto"/>
          <w:szCs w:val="21"/>
          <w:highlight w:val="none"/>
        </w:rPr>
        <w:tab/>
      </w:r>
      <w:r>
        <w:rPr>
          <w:rFonts w:hint="eastAsia" w:cs="宋体"/>
          <w:b/>
          <w:color w:val="auto"/>
          <w:szCs w:val="21"/>
          <w:highlight w:val="none"/>
        </w:rPr>
        <w:t>修改类型：修改</w:t>
      </w:r>
    </w:p>
    <w:p>
      <w:pPr>
        <w:pBdr>
          <w:bottom w:val="single" w:color="auto" w:sz="6" w:space="1"/>
        </w:pBdr>
        <w:spacing w:line="336" w:lineRule="auto"/>
        <w:ind w:firstLine="422" w:firstLineChars="200"/>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41.2.1投标截止期前，各投标人递交投标文件（包括技术标投标文件、经济标投标文件）至</w:t>
      </w:r>
      <w:r>
        <w:rPr>
          <w:rFonts w:hint="eastAsia" w:cs="宋体"/>
          <w:color w:val="auto"/>
          <w:szCs w:val="21"/>
          <w:highlight w:val="none"/>
          <w:u w:val="single"/>
        </w:rPr>
        <w:t xml:space="preserve">        </w:t>
      </w:r>
      <w:r>
        <w:rPr>
          <w:rFonts w:hint="eastAsia" w:cs="宋体"/>
          <w:color w:val="auto"/>
          <w:szCs w:val="21"/>
          <w:highlight w:val="none"/>
        </w:rPr>
        <w:t>交易平台。有关投标文件提交的事项详见第一章投标须知。</w:t>
      </w:r>
    </w:p>
    <w:p>
      <w:pPr>
        <w:pBdr>
          <w:bottom w:val="single" w:color="auto" w:sz="6" w:space="1"/>
        </w:pBdr>
        <w:spacing w:line="336" w:lineRule="auto"/>
        <w:ind w:firstLine="422" w:firstLineChars="200"/>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41.2.1投标截止期前，各投标人递交投标文件（包括技术标投标文件、经济标投标文件）至</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交易平台。有关投标文件提交的事项详见第一章投标须知。</w:t>
      </w:r>
    </w:p>
    <w:p>
      <w:pPr>
        <w:pStyle w:val="9"/>
        <w:tabs>
          <w:tab w:val="left" w:pos="5245"/>
        </w:tabs>
        <w:spacing w:line="360" w:lineRule="auto"/>
        <w:ind w:firstLine="422"/>
        <w:rPr>
          <w:rFonts w:cs="宋体"/>
          <w:b/>
          <w:color w:val="auto"/>
          <w:szCs w:val="21"/>
          <w:highlight w:val="none"/>
        </w:rPr>
      </w:pPr>
      <w:r>
        <w:rPr>
          <w:rFonts w:hint="eastAsia" w:cs="宋体"/>
          <w:b/>
          <w:color w:val="auto"/>
          <w:szCs w:val="21"/>
          <w:highlight w:val="none"/>
        </w:rPr>
        <w:t>条款号：41.2.2</w:t>
      </w:r>
      <w:r>
        <w:rPr>
          <w:rFonts w:hint="eastAsia" w:cs="宋体"/>
          <w:b/>
          <w:color w:val="auto"/>
          <w:szCs w:val="21"/>
          <w:highlight w:val="none"/>
        </w:rPr>
        <w:tab/>
      </w:r>
      <w:r>
        <w:rPr>
          <w:rFonts w:hint="eastAsia" w:cs="宋体"/>
          <w:b/>
          <w:color w:val="auto"/>
          <w:szCs w:val="21"/>
          <w:highlight w:val="none"/>
        </w:rPr>
        <w:t>修改类型：删除</w:t>
      </w:r>
    </w:p>
    <w:p>
      <w:pPr>
        <w:pBdr>
          <w:bottom w:val="single" w:color="auto" w:sz="6" w:space="1"/>
        </w:pBdr>
        <w:spacing w:line="360" w:lineRule="auto"/>
        <w:ind w:firstLine="422" w:firstLineChars="200"/>
        <w:rPr>
          <w:rFonts w:cs="宋体"/>
          <w:color w:val="auto"/>
          <w:szCs w:val="21"/>
          <w:highlight w:val="none"/>
        </w:rPr>
      </w:pPr>
      <w:r>
        <w:rPr>
          <w:rFonts w:hint="eastAsia" w:cs="宋体"/>
          <w:b/>
          <w:bCs/>
          <w:color w:val="auto"/>
          <w:szCs w:val="21"/>
          <w:highlight w:val="none"/>
        </w:rPr>
        <w:t>原文：</w:t>
      </w:r>
      <w:r>
        <w:rPr>
          <w:rFonts w:hint="eastAsia" w:cs="宋体"/>
          <w:color w:val="auto"/>
          <w:szCs w:val="21"/>
          <w:highlight w:val="none"/>
        </w:rPr>
        <w:t>41.2.2开标前，首先由招标人随机抽取确定该工程计算评标参考价的等分点值X。</w:t>
      </w:r>
    </w:p>
    <w:p>
      <w:pPr>
        <w:tabs>
          <w:tab w:val="left" w:pos="4410"/>
        </w:tabs>
        <w:spacing w:line="336" w:lineRule="auto"/>
        <w:ind w:firstLine="422" w:firstLineChars="200"/>
        <w:rPr>
          <w:rFonts w:cs="宋体"/>
          <w:b/>
          <w:color w:val="auto"/>
          <w:szCs w:val="21"/>
          <w:highlight w:val="none"/>
        </w:rPr>
      </w:pPr>
      <w:r>
        <w:rPr>
          <w:rFonts w:hint="eastAsia" w:cs="宋体"/>
          <w:b/>
          <w:color w:val="auto"/>
          <w:szCs w:val="21"/>
          <w:highlight w:val="none"/>
        </w:rPr>
        <w:t>条款号：41.3</w:t>
      </w:r>
      <w:r>
        <w:rPr>
          <w:rFonts w:hint="eastAsia" w:cs="宋体"/>
          <w:b/>
          <w:color w:val="auto"/>
          <w:szCs w:val="21"/>
          <w:highlight w:val="none"/>
        </w:rPr>
        <w:tab/>
      </w:r>
      <w:r>
        <w:rPr>
          <w:rFonts w:hint="eastAsia" w:cs="宋体"/>
          <w:b/>
          <w:color w:val="auto"/>
          <w:szCs w:val="21"/>
          <w:highlight w:val="none"/>
        </w:rPr>
        <w:t>修改类型：修改</w:t>
      </w:r>
    </w:p>
    <w:p>
      <w:pPr>
        <w:pBdr>
          <w:bottom w:val="single" w:color="auto" w:sz="6" w:space="1"/>
        </w:pBdr>
        <w:spacing w:line="336" w:lineRule="auto"/>
        <w:ind w:firstLine="422" w:firstLineChars="200"/>
        <w:rPr>
          <w:rFonts w:cs="宋体"/>
          <w:color w:val="auto"/>
          <w:szCs w:val="21"/>
          <w:highlight w:val="none"/>
        </w:rPr>
      </w:pPr>
      <w:r>
        <w:rPr>
          <w:rFonts w:hint="eastAsia" w:cs="宋体"/>
          <w:b/>
          <w:bCs/>
          <w:color w:val="auto"/>
          <w:szCs w:val="21"/>
          <w:highlight w:val="none"/>
        </w:rPr>
        <w:t>原文：</w:t>
      </w:r>
      <w:r>
        <w:rPr>
          <w:rFonts w:hint="eastAsia" w:cs="宋体"/>
          <w:color w:val="auto"/>
          <w:szCs w:val="21"/>
          <w:highlight w:val="none"/>
        </w:rPr>
        <w:t>41.3招标人对开标过程进行记录，并存档备查，投标人在开标记录上签字。</w:t>
      </w:r>
    </w:p>
    <w:p>
      <w:pPr>
        <w:pBdr>
          <w:bottom w:val="single" w:color="auto" w:sz="6" w:space="1"/>
        </w:pBdr>
        <w:spacing w:line="336" w:lineRule="auto"/>
        <w:ind w:firstLine="422" w:firstLineChars="200"/>
        <w:rPr>
          <w:rFonts w:cs="宋体"/>
          <w:color w:val="auto"/>
          <w:szCs w:val="21"/>
          <w:highlight w:val="none"/>
        </w:rPr>
      </w:pPr>
      <w:r>
        <w:rPr>
          <w:rFonts w:hint="eastAsia" w:cs="宋体"/>
          <w:b/>
          <w:bCs/>
          <w:color w:val="auto"/>
          <w:szCs w:val="21"/>
          <w:highlight w:val="none"/>
        </w:rPr>
        <w:t>现文：</w:t>
      </w:r>
      <w:r>
        <w:rPr>
          <w:rFonts w:hint="eastAsia" w:cs="宋体"/>
          <w:color w:val="auto"/>
          <w:szCs w:val="21"/>
          <w:highlight w:val="none"/>
        </w:rPr>
        <w:t>41.3招标人</w:t>
      </w:r>
      <w:r>
        <w:rPr>
          <w:rFonts w:hint="eastAsia" w:cs="宋体"/>
          <w:color w:val="auto"/>
          <w:szCs w:val="21"/>
          <w:highlight w:val="none"/>
          <w:u w:val="single"/>
        </w:rPr>
        <w:t>或招标代理</w:t>
      </w:r>
      <w:r>
        <w:rPr>
          <w:rFonts w:hint="eastAsia" w:cs="宋体"/>
          <w:color w:val="auto"/>
          <w:szCs w:val="21"/>
          <w:highlight w:val="none"/>
        </w:rPr>
        <w:t>对开标过程进行记录，并存档备查，投标人在开标记录上签字，</w:t>
      </w:r>
      <w:r>
        <w:rPr>
          <w:rFonts w:hint="eastAsia" w:cs="宋体"/>
          <w:color w:val="auto"/>
          <w:szCs w:val="21"/>
          <w:highlight w:val="none"/>
          <w:u w:val="single"/>
        </w:rPr>
        <w:t>投标人未签字且未提出异议的将被视为默认开标结果</w:t>
      </w:r>
      <w:r>
        <w:rPr>
          <w:rFonts w:hint="eastAsia" w:cs="宋体"/>
          <w:color w:val="auto"/>
          <w:szCs w:val="21"/>
          <w:highlight w:val="none"/>
        </w:rPr>
        <w:t>。</w:t>
      </w:r>
    </w:p>
    <w:p>
      <w:pPr>
        <w:tabs>
          <w:tab w:val="left" w:pos="4410"/>
        </w:tabs>
        <w:spacing w:line="336" w:lineRule="auto"/>
        <w:ind w:firstLine="422" w:firstLineChars="200"/>
        <w:rPr>
          <w:rFonts w:cs="宋体"/>
          <w:b/>
          <w:color w:val="auto"/>
          <w:szCs w:val="21"/>
          <w:highlight w:val="none"/>
        </w:rPr>
      </w:pPr>
      <w:r>
        <w:rPr>
          <w:rFonts w:hint="eastAsia" w:cs="宋体"/>
          <w:b/>
          <w:color w:val="auto"/>
          <w:szCs w:val="21"/>
          <w:highlight w:val="none"/>
        </w:rPr>
        <w:t>条款号：42.2</w:t>
      </w:r>
      <w:r>
        <w:rPr>
          <w:rFonts w:hint="eastAsia" w:cs="宋体"/>
          <w:b/>
          <w:color w:val="auto"/>
          <w:szCs w:val="21"/>
          <w:highlight w:val="none"/>
        </w:rPr>
        <w:tab/>
      </w:r>
      <w:r>
        <w:rPr>
          <w:rFonts w:hint="eastAsia" w:cs="宋体"/>
          <w:b/>
          <w:color w:val="auto"/>
          <w:szCs w:val="21"/>
          <w:highlight w:val="none"/>
        </w:rPr>
        <w:t>修改类型：修改</w:t>
      </w:r>
    </w:p>
    <w:p>
      <w:pPr>
        <w:pBdr>
          <w:bottom w:val="single" w:color="auto" w:sz="6" w:space="1"/>
        </w:pBdr>
        <w:spacing w:line="336" w:lineRule="auto"/>
        <w:ind w:firstLine="422" w:firstLineChars="200"/>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42.2评标委员会的组成：方式</w:t>
      </w:r>
      <w:r>
        <w:rPr>
          <w:rFonts w:hint="eastAsia" w:cs="宋体"/>
          <w:color w:val="auto"/>
          <w:szCs w:val="21"/>
          <w:highlight w:val="none"/>
          <w:u w:val="single"/>
        </w:rPr>
        <w:t xml:space="preserve">      </w:t>
      </w:r>
      <w:r>
        <w:rPr>
          <w:rFonts w:hint="eastAsia" w:cs="宋体"/>
          <w:color w:val="auto"/>
          <w:szCs w:val="21"/>
          <w:highlight w:val="none"/>
        </w:rPr>
        <w:t>。</w:t>
      </w:r>
    </w:p>
    <w:p>
      <w:pPr>
        <w:pBdr>
          <w:bottom w:val="single" w:color="auto" w:sz="6" w:space="1"/>
        </w:pBdr>
        <w:spacing w:line="336" w:lineRule="auto"/>
        <w:ind w:firstLine="420" w:firstLineChars="200"/>
        <w:rPr>
          <w:rFonts w:cs="宋体"/>
          <w:color w:val="auto"/>
          <w:szCs w:val="21"/>
          <w:highlight w:val="none"/>
        </w:rPr>
      </w:pPr>
      <w:r>
        <w:rPr>
          <w:rFonts w:hint="eastAsia" w:cs="宋体"/>
          <w:color w:val="auto"/>
          <w:szCs w:val="21"/>
          <w:highlight w:val="none"/>
        </w:rPr>
        <w:t>方式一：评标委员会为综合评标委员会，负责资格审查及评标工作。</w:t>
      </w:r>
    </w:p>
    <w:p>
      <w:pPr>
        <w:pBdr>
          <w:bottom w:val="single" w:color="auto" w:sz="6" w:space="1"/>
        </w:pBdr>
        <w:spacing w:line="336" w:lineRule="auto"/>
        <w:ind w:firstLine="420" w:firstLineChars="200"/>
        <w:rPr>
          <w:rFonts w:cs="宋体"/>
          <w:b/>
          <w:color w:val="auto"/>
          <w:szCs w:val="21"/>
          <w:highlight w:val="none"/>
        </w:rPr>
      </w:pPr>
      <w:r>
        <w:rPr>
          <w:rFonts w:hint="eastAsia" w:cs="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pacing w:line="336" w:lineRule="auto"/>
        <w:ind w:firstLine="422" w:firstLineChars="200"/>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42.2评标委员会的组成：方式</w:t>
      </w:r>
      <w:r>
        <w:rPr>
          <w:rFonts w:hint="eastAsia" w:cs="宋体"/>
          <w:color w:val="auto"/>
          <w:szCs w:val="21"/>
          <w:highlight w:val="none"/>
          <w:u w:val="single"/>
        </w:rPr>
        <w:t xml:space="preserve">  一  </w:t>
      </w:r>
      <w:r>
        <w:rPr>
          <w:rFonts w:hint="eastAsia" w:cs="宋体"/>
          <w:color w:val="auto"/>
          <w:szCs w:val="21"/>
          <w:highlight w:val="none"/>
        </w:rPr>
        <w:t>。</w:t>
      </w:r>
    </w:p>
    <w:p>
      <w:pPr>
        <w:pBdr>
          <w:bottom w:val="single" w:color="auto" w:sz="6" w:space="1"/>
        </w:pBdr>
        <w:spacing w:line="336" w:lineRule="auto"/>
        <w:ind w:firstLine="420" w:firstLineChars="200"/>
        <w:rPr>
          <w:rFonts w:cs="宋体"/>
          <w:color w:val="auto"/>
          <w:szCs w:val="21"/>
          <w:highlight w:val="none"/>
        </w:rPr>
      </w:pPr>
      <w:r>
        <w:rPr>
          <w:rFonts w:hint="eastAsia" w:cs="宋体"/>
          <w:color w:val="auto"/>
          <w:szCs w:val="21"/>
          <w:highlight w:val="none"/>
        </w:rPr>
        <w:t>方式一：评标委员会为综合评标委员会，负责资格审查及评标工作。</w:t>
      </w:r>
    </w:p>
    <w:p>
      <w:pPr>
        <w:pStyle w:val="9"/>
        <w:tabs>
          <w:tab w:val="left" w:pos="5245"/>
        </w:tabs>
        <w:spacing w:line="360" w:lineRule="auto"/>
        <w:ind w:firstLine="422"/>
        <w:rPr>
          <w:rFonts w:cs="宋体"/>
          <w:b/>
          <w:color w:val="auto"/>
          <w:szCs w:val="21"/>
          <w:highlight w:val="none"/>
        </w:rPr>
      </w:pPr>
      <w:r>
        <w:rPr>
          <w:rFonts w:hint="eastAsia" w:cs="宋体"/>
          <w:b/>
          <w:color w:val="auto"/>
          <w:szCs w:val="21"/>
          <w:highlight w:val="none"/>
        </w:rPr>
        <w:t>条款号：43.1</w:t>
      </w:r>
      <w:r>
        <w:rPr>
          <w:rFonts w:hint="eastAsia" w:cs="宋体"/>
          <w:b/>
          <w:color w:val="auto"/>
          <w:szCs w:val="21"/>
          <w:highlight w:val="none"/>
        </w:rPr>
        <w:tab/>
      </w:r>
      <w:r>
        <w:rPr>
          <w:rFonts w:hint="eastAsia" w:cs="宋体"/>
          <w:b/>
          <w:color w:val="auto"/>
          <w:szCs w:val="21"/>
          <w:highlight w:val="none"/>
        </w:rPr>
        <w:t>修改类型：修改</w:t>
      </w:r>
    </w:p>
    <w:p>
      <w:pPr>
        <w:spacing w:line="360" w:lineRule="auto"/>
        <w:ind w:firstLine="422" w:firstLineChars="200"/>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Bdr>
          <w:bottom w:val="single" w:color="auto" w:sz="6" w:space="1"/>
        </w:pBdr>
        <w:spacing w:line="360" w:lineRule="auto"/>
        <w:ind w:firstLine="422" w:firstLineChars="200"/>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9"/>
        <w:tabs>
          <w:tab w:val="left" w:pos="5245"/>
        </w:tabs>
        <w:spacing w:line="360" w:lineRule="auto"/>
        <w:ind w:firstLine="422"/>
        <w:rPr>
          <w:b/>
          <w:color w:val="auto"/>
          <w:szCs w:val="21"/>
          <w:highlight w:val="none"/>
        </w:rPr>
      </w:pPr>
      <w:r>
        <w:rPr>
          <w:rFonts w:hint="eastAsia"/>
          <w:b/>
          <w:color w:val="auto"/>
          <w:szCs w:val="21"/>
          <w:highlight w:val="none"/>
        </w:rPr>
        <w:t>条款号：43.6</w:t>
      </w:r>
      <w:r>
        <w:rPr>
          <w:rFonts w:hint="eastAsia" w:cs="宋体"/>
          <w:b/>
          <w:color w:val="auto"/>
          <w:szCs w:val="21"/>
          <w:highlight w:val="none"/>
        </w:rPr>
        <w:tab/>
      </w:r>
      <w:r>
        <w:rPr>
          <w:rFonts w:hint="eastAsia"/>
          <w:b/>
          <w:color w:val="auto"/>
          <w:szCs w:val="21"/>
          <w:highlight w:val="none"/>
        </w:rPr>
        <w:t>修改类型：</w:t>
      </w:r>
      <w:r>
        <w:rPr>
          <w:rFonts w:hint="eastAsia" w:cs="宋体"/>
          <w:b/>
          <w:color w:val="auto"/>
          <w:szCs w:val="21"/>
          <w:highlight w:val="none"/>
        </w:rPr>
        <w:t>修改</w:t>
      </w:r>
    </w:p>
    <w:p>
      <w:pPr>
        <w:pBdr>
          <w:bottom w:val="single" w:color="auto" w:sz="6" w:space="1"/>
        </w:pBd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43.6</w:t>
      </w:r>
      <w:r>
        <w:rPr>
          <w:color w:val="auto"/>
          <w:szCs w:val="21"/>
          <w:highlight w:val="none"/>
        </w:rPr>
        <w:t>资格审查合格的投标人少于3名的（当N个标段同时招标且不允许兼中时，资格审查合格的投标人少于N+2名），则本项目招标失败。</w:t>
      </w:r>
    </w:p>
    <w:p>
      <w:pPr>
        <w:pBdr>
          <w:bottom w:val="single" w:color="auto" w:sz="6" w:space="1"/>
        </w:pBdr>
        <w:spacing w:line="360" w:lineRule="auto"/>
        <w:ind w:firstLine="422" w:firstLineChars="200"/>
        <w:rPr>
          <w:rFonts w:cs="宋体"/>
          <w:b/>
          <w:color w:val="auto"/>
          <w:szCs w:val="21"/>
          <w:highlight w:val="none"/>
          <w:u w:val="single"/>
        </w:rPr>
      </w:pPr>
      <w:r>
        <w:rPr>
          <w:rFonts w:hint="eastAsia" w:cs="宋体"/>
          <w:b/>
          <w:color w:val="auto"/>
          <w:szCs w:val="21"/>
          <w:highlight w:val="none"/>
        </w:rPr>
        <w:t>现文：</w:t>
      </w:r>
      <w:r>
        <w:rPr>
          <w:rFonts w:hint="eastAsia" w:cs="宋体"/>
          <w:color w:val="auto"/>
          <w:szCs w:val="21"/>
          <w:highlight w:val="none"/>
        </w:rPr>
        <w:t>43.6</w:t>
      </w:r>
      <w:r>
        <w:rPr>
          <w:color w:val="auto"/>
          <w:szCs w:val="21"/>
          <w:highlight w:val="none"/>
        </w:rPr>
        <w:t>资格审查合格的投标人少于</w:t>
      </w:r>
      <w:r>
        <w:rPr>
          <w:rFonts w:hint="eastAsia"/>
          <w:color w:val="auto"/>
          <w:szCs w:val="21"/>
          <w:highlight w:val="none"/>
          <w:lang w:val="en-US" w:eastAsia="zh-CN"/>
        </w:rPr>
        <w:t>7</w:t>
      </w:r>
      <w:r>
        <w:rPr>
          <w:color w:val="auto"/>
          <w:szCs w:val="21"/>
          <w:highlight w:val="none"/>
        </w:rPr>
        <w:t>名的，则本项目招标失败。</w:t>
      </w:r>
    </w:p>
    <w:p>
      <w:pPr>
        <w:pStyle w:val="9"/>
        <w:tabs>
          <w:tab w:val="left" w:pos="5245"/>
        </w:tabs>
        <w:spacing w:line="360" w:lineRule="auto"/>
        <w:ind w:firstLine="422"/>
        <w:rPr>
          <w:b/>
          <w:color w:val="auto"/>
          <w:szCs w:val="21"/>
          <w:highlight w:val="none"/>
        </w:rPr>
      </w:pPr>
      <w:r>
        <w:rPr>
          <w:rFonts w:hint="eastAsia"/>
          <w:b/>
          <w:color w:val="auto"/>
          <w:szCs w:val="21"/>
          <w:highlight w:val="none"/>
        </w:rPr>
        <w:t>条款号：44.1</w:t>
      </w:r>
      <w:r>
        <w:rPr>
          <w:rFonts w:hint="eastAsia" w:cs="宋体"/>
          <w:b/>
          <w:color w:val="auto"/>
          <w:szCs w:val="21"/>
          <w:highlight w:val="none"/>
        </w:rPr>
        <w:tab/>
      </w:r>
      <w:r>
        <w:rPr>
          <w:rFonts w:hint="eastAsia"/>
          <w:b/>
          <w:color w:val="auto"/>
          <w:szCs w:val="21"/>
          <w:highlight w:val="none"/>
        </w:rPr>
        <w:t>修改类型：修改</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 xml:space="preserve">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 </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hint="eastAsia"/>
          <w:color w:val="auto"/>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w:t>
      </w:r>
      <w:r>
        <w:rPr>
          <w:rFonts w:hint="eastAsia"/>
          <w:color w:val="auto"/>
          <w:szCs w:val="21"/>
          <w:highlight w:val="none"/>
          <w:lang w:val="en-US" w:eastAsia="zh-CN"/>
        </w:rPr>
        <w:t>7</w:t>
      </w:r>
      <w:r>
        <w:rPr>
          <w:rFonts w:hint="eastAsia"/>
          <w:color w:val="auto"/>
          <w:szCs w:val="21"/>
          <w:highlight w:val="none"/>
        </w:rPr>
        <w:t>家，则重新招标。评委发现投标文件中含义不明确、对同类问题表述不一致、有明显文字和计算错误的，应当要求投标人作必要的澄清、说明后再判定投标人是否通过有效性审查，不得直接否决投标</w:t>
      </w:r>
      <w:r>
        <w:rPr>
          <w:color w:val="auto"/>
          <w:szCs w:val="21"/>
          <w:highlight w:val="none"/>
        </w:rPr>
        <w:t>。</w:t>
      </w:r>
    </w:p>
    <w:p>
      <w:pPr>
        <w:tabs>
          <w:tab w:val="left" w:pos="4410"/>
        </w:tabs>
        <w:spacing w:line="336" w:lineRule="auto"/>
        <w:ind w:firstLine="422" w:firstLineChars="200"/>
        <w:rPr>
          <w:rFonts w:cs="宋体"/>
          <w:b/>
          <w:color w:val="auto"/>
          <w:szCs w:val="21"/>
          <w:highlight w:val="none"/>
        </w:rPr>
      </w:pPr>
      <w:r>
        <w:rPr>
          <w:rFonts w:hint="eastAsia" w:cs="宋体"/>
          <w:b/>
          <w:color w:val="auto"/>
          <w:szCs w:val="21"/>
          <w:highlight w:val="none"/>
        </w:rPr>
        <w:t>条款号：45.2</w:t>
      </w:r>
      <w:r>
        <w:rPr>
          <w:rFonts w:hint="eastAsia" w:cs="宋体"/>
          <w:b/>
          <w:color w:val="auto"/>
          <w:szCs w:val="21"/>
          <w:highlight w:val="none"/>
        </w:rPr>
        <w:tab/>
      </w:r>
      <w:r>
        <w:rPr>
          <w:rFonts w:hint="eastAsia" w:cs="宋体"/>
          <w:b/>
          <w:color w:val="auto"/>
          <w:szCs w:val="21"/>
          <w:highlight w:val="none"/>
        </w:rPr>
        <w:t>修改类型：修改</w:t>
      </w:r>
    </w:p>
    <w:p>
      <w:pPr>
        <w:spacing w:line="336" w:lineRule="auto"/>
        <w:ind w:firstLine="472" w:firstLineChars="224"/>
        <w:rPr>
          <w:rFonts w:cs="宋体"/>
          <w:color w:val="auto"/>
          <w:spacing w:val="2"/>
          <w:szCs w:val="21"/>
          <w:highlight w:val="none"/>
        </w:rPr>
      </w:pPr>
      <w:r>
        <w:rPr>
          <w:rFonts w:hint="eastAsia" w:cs="宋体"/>
          <w:b/>
          <w:color w:val="auto"/>
          <w:szCs w:val="21"/>
          <w:highlight w:val="none"/>
        </w:rPr>
        <w:t>原文</w:t>
      </w:r>
      <w:r>
        <w:rPr>
          <w:rFonts w:hint="eastAsia" w:cs="宋体"/>
          <w:b/>
          <w:color w:val="auto"/>
          <w:spacing w:val="2"/>
          <w:szCs w:val="21"/>
          <w:highlight w:val="none"/>
        </w:rPr>
        <w:t>：</w:t>
      </w:r>
      <w:r>
        <w:rPr>
          <w:rFonts w:hint="eastAsia" w:cs="宋体"/>
          <w:color w:val="auto"/>
          <w:spacing w:val="2"/>
          <w:szCs w:val="21"/>
          <w:highlight w:val="none"/>
        </w:rPr>
        <w:t>45.2按方法</w:t>
      </w:r>
      <w:r>
        <w:rPr>
          <w:rFonts w:hint="eastAsia" w:cs="宋体"/>
          <w:color w:val="auto"/>
          <w:spacing w:val="2"/>
          <w:szCs w:val="21"/>
          <w:highlight w:val="none"/>
          <w:u w:val="single"/>
        </w:rPr>
        <w:t xml:space="preserve">    </w:t>
      </w:r>
      <w:r>
        <w:rPr>
          <w:rFonts w:hint="eastAsia" w:cs="宋体"/>
          <w:color w:val="auto"/>
          <w:spacing w:val="2"/>
          <w:szCs w:val="21"/>
          <w:highlight w:val="none"/>
        </w:rPr>
        <w:t>计算</w:t>
      </w:r>
      <w:r>
        <w:rPr>
          <w:rFonts w:hint="eastAsia" w:cs="宋体"/>
          <w:color w:val="auto"/>
          <w:szCs w:val="21"/>
          <w:highlight w:val="none"/>
        </w:rPr>
        <w:t>评标</w:t>
      </w:r>
      <w:r>
        <w:rPr>
          <w:rFonts w:hint="eastAsia" w:cs="宋体"/>
          <w:color w:val="auto"/>
          <w:spacing w:val="2"/>
          <w:szCs w:val="21"/>
          <w:highlight w:val="none"/>
        </w:rPr>
        <w:t>参考价：</w:t>
      </w:r>
    </w:p>
    <w:p>
      <w:pPr>
        <w:widowControl/>
        <w:spacing w:line="336" w:lineRule="auto"/>
        <w:ind w:firstLine="422" w:firstLineChars="200"/>
        <w:rPr>
          <w:b/>
          <w:bCs/>
          <w:color w:val="auto"/>
          <w:kern w:val="0"/>
          <w:szCs w:val="21"/>
          <w:highlight w:val="none"/>
        </w:rPr>
      </w:pPr>
      <w:r>
        <w:rPr>
          <w:rFonts w:hint="eastAsia" w:cs="仿宋"/>
          <w:b/>
          <w:bCs/>
          <w:color w:val="auto"/>
          <w:kern w:val="0"/>
          <w:szCs w:val="21"/>
          <w:highlight w:val="none"/>
        </w:rPr>
        <w:t>方法二：区间抽取法</w:t>
      </w:r>
    </w:p>
    <w:p>
      <w:pPr>
        <w:widowControl/>
        <w:spacing w:line="336" w:lineRule="auto"/>
        <w:ind w:firstLine="420" w:firstLineChars="200"/>
        <w:rPr>
          <w:color w:val="auto"/>
          <w:kern w:val="0"/>
          <w:szCs w:val="21"/>
          <w:highlight w:val="none"/>
        </w:rPr>
      </w:pPr>
      <w:r>
        <w:rPr>
          <w:rFonts w:hint="eastAsia" w:cs="仿宋"/>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pacing w:line="336" w:lineRule="auto"/>
        <w:ind w:firstLine="420" w:firstLineChars="200"/>
        <w:rPr>
          <w:color w:val="auto"/>
          <w:kern w:val="0"/>
          <w:szCs w:val="21"/>
          <w:highlight w:val="none"/>
          <w:vertAlign w:val="subscript"/>
        </w:rPr>
      </w:pPr>
      <w:r>
        <w:rPr>
          <w:rFonts w:hint="eastAsia" w:cs="仿宋"/>
          <w:color w:val="auto"/>
          <w:kern w:val="0"/>
          <w:szCs w:val="21"/>
          <w:highlight w:val="none"/>
        </w:rPr>
        <w:t>评标参考价</w:t>
      </w:r>
      <w:r>
        <w:rPr>
          <w:rFonts w:cs="仿宋"/>
          <w:color w:val="auto"/>
          <w:kern w:val="0"/>
          <w:szCs w:val="21"/>
          <w:highlight w:val="none"/>
        </w:rPr>
        <w:t>=</w:t>
      </w:r>
      <w:r>
        <w:rPr>
          <w:rFonts w:hint="eastAsia" w:cs="仿宋"/>
          <w:color w:val="auto"/>
          <w:kern w:val="0"/>
          <w:szCs w:val="21"/>
          <w:highlight w:val="none"/>
        </w:rPr>
        <w:t>（</w:t>
      </w:r>
      <w:r>
        <w:rPr>
          <w:rFonts w:cs="仿宋"/>
          <w:color w:val="auto"/>
          <w:kern w:val="0"/>
          <w:szCs w:val="21"/>
          <w:highlight w:val="none"/>
        </w:rPr>
        <w:t>Q</w:t>
      </w:r>
      <w:r>
        <w:rPr>
          <w:rFonts w:hint="eastAsia" w:cs="仿宋"/>
          <w:color w:val="auto"/>
          <w:kern w:val="0"/>
          <w:szCs w:val="21"/>
          <w:highlight w:val="none"/>
          <w:vertAlign w:val="subscript"/>
        </w:rPr>
        <w:t>高</w:t>
      </w:r>
      <w:r>
        <w:rPr>
          <w:rFonts w:cs="仿宋"/>
          <w:color w:val="auto"/>
          <w:kern w:val="0"/>
          <w:szCs w:val="21"/>
          <w:highlight w:val="none"/>
        </w:rPr>
        <w:t>-Q</w:t>
      </w:r>
      <w:r>
        <w:rPr>
          <w:rFonts w:hint="eastAsia" w:cs="仿宋"/>
          <w:color w:val="auto"/>
          <w:kern w:val="0"/>
          <w:szCs w:val="21"/>
          <w:highlight w:val="none"/>
          <w:vertAlign w:val="subscript"/>
        </w:rPr>
        <w:t>低</w:t>
      </w:r>
      <w:r>
        <w:rPr>
          <w:rFonts w:hint="eastAsia" w:cs="仿宋"/>
          <w:color w:val="auto"/>
          <w:kern w:val="0"/>
          <w:szCs w:val="21"/>
          <w:highlight w:val="none"/>
        </w:rPr>
        <w:t>）</w:t>
      </w:r>
      <w:r>
        <w:rPr>
          <w:rFonts w:cs="仿宋"/>
          <w:color w:val="auto"/>
          <w:kern w:val="0"/>
          <w:szCs w:val="21"/>
          <w:highlight w:val="none"/>
        </w:rPr>
        <w:t>/100*</w:t>
      </w:r>
      <w:r>
        <w:rPr>
          <w:rFonts w:hint="eastAsia" w:cs="仿宋"/>
          <w:color w:val="auto"/>
          <w:kern w:val="0"/>
          <w:szCs w:val="21"/>
          <w:highlight w:val="none"/>
        </w:rPr>
        <w:t>Ｘ</w:t>
      </w:r>
      <w:r>
        <w:rPr>
          <w:rFonts w:cs="仿宋"/>
          <w:color w:val="auto"/>
          <w:kern w:val="0"/>
          <w:szCs w:val="21"/>
          <w:highlight w:val="none"/>
        </w:rPr>
        <w:t>+Q</w:t>
      </w:r>
      <w:r>
        <w:rPr>
          <w:rFonts w:hint="eastAsia" w:cs="仿宋"/>
          <w:color w:val="auto"/>
          <w:kern w:val="0"/>
          <w:szCs w:val="21"/>
          <w:highlight w:val="none"/>
          <w:vertAlign w:val="subscript"/>
        </w:rPr>
        <w:t>低</w:t>
      </w:r>
    </w:p>
    <w:p>
      <w:pPr>
        <w:widowControl/>
        <w:spacing w:line="336" w:lineRule="auto"/>
        <w:ind w:firstLine="420" w:firstLineChars="200"/>
        <w:rPr>
          <w:color w:val="auto"/>
          <w:szCs w:val="21"/>
          <w:highlight w:val="none"/>
        </w:rPr>
      </w:pPr>
      <w:r>
        <w:rPr>
          <w:rFonts w:cs="仿宋"/>
          <w:color w:val="auto"/>
          <w:szCs w:val="21"/>
          <w:highlight w:val="none"/>
        </w:rPr>
        <w:t>Q</w:t>
      </w:r>
      <w:r>
        <w:rPr>
          <w:rFonts w:hint="eastAsia" w:cs="仿宋"/>
          <w:color w:val="auto"/>
          <w:szCs w:val="21"/>
          <w:highlight w:val="none"/>
          <w:vertAlign w:val="subscript"/>
        </w:rPr>
        <w:t>低</w:t>
      </w:r>
      <w:r>
        <w:rPr>
          <w:rFonts w:hint="eastAsia" w:cs="仿宋"/>
          <w:color w:val="auto"/>
          <w:szCs w:val="21"/>
          <w:highlight w:val="none"/>
        </w:rPr>
        <w:t>：为达到或超过技术标及格分数线的投标人最低报价与工程成本警示价两者中的较高值；</w:t>
      </w:r>
    </w:p>
    <w:p>
      <w:pPr>
        <w:spacing w:line="336" w:lineRule="auto"/>
        <w:ind w:firstLine="420" w:firstLineChars="200"/>
        <w:rPr>
          <w:rFonts w:cs="仿宋"/>
          <w:color w:val="auto"/>
          <w:szCs w:val="21"/>
          <w:highlight w:val="none"/>
        </w:rPr>
      </w:pPr>
      <w:r>
        <w:rPr>
          <w:rFonts w:cs="仿宋"/>
          <w:color w:val="auto"/>
          <w:kern w:val="0"/>
          <w:szCs w:val="21"/>
          <w:highlight w:val="none"/>
        </w:rPr>
        <w:t>Q</w:t>
      </w:r>
      <w:r>
        <w:rPr>
          <w:rFonts w:hint="eastAsia" w:cs="仿宋"/>
          <w:color w:val="auto"/>
          <w:kern w:val="0"/>
          <w:szCs w:val="21"/>
          <w:highlight w:val="none"/>
          <w:vertAlign w:val="subscript"/>
        </w:rPr>
        <w:t>高</w:t>
      </w:r>
      <w:r>
        <w:rPr>
          <w:rFonts w:hint="eastAsia" w:cs="仿宋"/>
          <w:color w:val="auto"/>
          <w:szCs w:val="21"/>
          <w:highlight w:val="none"/>
        </w:rPr>
        <w:t>：为最高投标限价</w:t>
      </w:r>
    </w:p>
    <w:p>
      <w:pPr>
        <w:spacing w:line="336" w:lineRule="auto"/>
        <w:ind w:firstLine="420" w:firstLineChars="200"/>
        <w:rPr>
          <w:color w:val="auto"/>
          <w:szCs w:val="21"/>
          <w:highlight w:val="none"/>
        </w:rPr>
      </w:pPr>
      <w:r>
        <w:rPr>
          <w:rFonts w:cs="仿宋"/>
          <w:color w:val="auto"/>
          <w:szCs w:val="21"/>
          <w:highlight w:val="none"/>
        </w:rPr>
        <w:t>X:</w:t>
      </w:r>
      <w:r>
        <w:rPr>
          <w:rFonts w:hint="eastAsia" w:cs="仿宋"/>
          <w:color w:val="auto"/>
          <w:szCs w:val="21"/>
          <w:highlight w:val="none"/>
        </w:rPr>
        <w:t>为等分点值，在开标前从</w:t>
      </w:r>
      <w:r>
        <w:rPr>
          <w:rFonts w:cs="仿宋"/>
          <w:color w:val="auto"/>
          <w:szCs w:val="21"/>
          <w:highlight w:val="none"/>
        </w:rPr>
        <w:t>[0,100]</w:t>
      </w:r>
      <w:r>
        <w:rPr>
          <w:rFonts w:hint="eastAsia" w:cs="仿宋"/>
          <w:color w:val="auto"/>
          <w:szCs w:val="21"/>
          <w:highlight w:val="none"/>
        </w:rPr>
        <w:t>整数中随机抽取</w:t>
      </w:r>
    </w:p>
    <w:p>
      <w:pPr>
        <w:pBdr>
          <w:bottom w:val="single" w:color="auto" w:sz="6" w:space="1"/>
        </w:pBdr>
        <w:spacing w:line="336" w:lineRule="auto"/>
        <w:ind w:firstLine="430" w:firstLineChars="200"/>
        <w:rPr>
          <w:rFonts w:cs="宋体"/>
          <w:color w:val="auto"/>
          <w:spacing w:val="2"/>
          <w:szCs w:val="21"/>
          <w:highlight w:val="none"/>
        </w:rPr>
      </w:pPr>
      <w:r>
        <w:rPr>
          <w:rFonts w:hint="eastAsia" w:cs="宋体"/>
          <w:b/>
          <w:color w:val="auto"/>
          <w:spacing w:val="2"/>
          <w:szCs w:val="21"/>
          <w:highlight w:val="none"/>
        </w:rPr>
        <w:t>现文：</w:t>
      </w:r>
      <w:r>
        <w:rPr>
          <w:rFonts w:hint="eastAsia" w:cs="宋体"/>
          <w:color w:val="auto"/>
          <w:spacing w:val="2"/>
          <w:szCs w:val="21"/>
          <w:highlight w:val="none"/>
        </w:rPr>
        <w:t>45.2按方法</w:t>
      </w:r>
      <w:r>
        <w:rPr>
          <w:rFonts w:hint="eastAsia" w:cs="宋体"/>
          <w:color w:val="auto"/>
          <w:spacing w:val="2"/>
          <w:szCs w:val="21"/>
          <w:highlight w:val="none"/>
          <w:u w:val="single"/>
        </w:rPr>
        <w:t xml:space="preserve"> 二 </w:t>
      </w:r>
      <w:r>
        <w:rPr>
          <w:rFonts w:hint="eastAsia" w:cs="宋体"/>
          <w:color w:val="auto"/>
          <w:spacing w:val="2"/>
          <w:szCs w:val="21"/>
          <w:highlight w:val="none"/>
        </w:rPr>
        <w:t>计算评标参考价：</w:t>
      </w: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r>
        <w:rPr>
          <w:rFonts w:hint="eastAsia"/>
          <w:color w:val="auto"/>
          <w:highlight w:val="none"/>
        </w:rPr>
        <w:t>方法二：</w:t>
      </w:r>
    </w:p>
    <w:p>
      <w:pPr>
        <w:spacing w:line="480" w:lineRule="auto"/>
        <w:ind w:firstLine="472" w:firstLineChars="224"/>
        <w:rPr>
          <w:rFonts w:cs="宋体"/>
          <w:color w:val="auto"/>
          <w:spacing w:val="2"/>
          <w:highlight w:val="none"/>
        </w:rPr>
      </w:pPr>
      <w:r>
        <w:rPr>
          <w:rFonts w:hint="eastAsia" w:cs="宋体"/>
          <w:b/>
          <w:color w:val="auto"/>
          <w:szCs w:val="21"/>
          <w:highlight w:val="none"/>
        </w:rPr>
        <w:t>评标参考价计算方法：</w:t>
      </w:r>
      <w:r>
        <w:rPr>
          <w:rFonts w:hint="eastAsia" w:cs="宋体"/>
          <w:color w:val="auto"/>
          <w:szCs w:val="21"/>
          <w:highlight w:val="none"/>
          <w:u w:val="single"/>
        </w:rPr>
        <w:t>通过技术标有效性审查且经济报价在</w:t>
      </w:r>
      <w:r>
        <w:rPr>
          <w:rFonts w:cs="宋体"/>
          <w:color w:val="auto"/>
          <w:szCs w:val="21"/>
          <w:highlight w:val="none"/>
          <w:u w:val="single"/>
        </w:rPr>
        <w:t xml:space="preserve">[工程成本警戒价, </w:t>
      </w:r>
      <w:r>
        <w:rPr>
          <w:rFonts w:hint="eastAsia" w:cs="宋体"/>
          <w:color w:val="auto"/>
          <w:szCs w:val="21"/>
          <w:highlight w:val="none"/>
          <w:u w:val="single"/>
        </w:rPr>
        <w:t>最高投标限价</w:t>
      </w:r>
      <w:r>
        <w:rPr>
          <w:rFonts w:hint="eastAsia" w:cs="宋体"/>
          <w:color w:val="auto"/>
          <w:szCs w:val="21"/>
          <w:highlight w:val="none"/>
          <w:u w:val="single"/>
          <w:lang w:val="en-US" w:eastAsia="zh-CN"/>
        </w:rPr>
        <w:t>*98%</w:t>
      </w:r>
      <w:r>
        <w:rPr>
          <w:rFonts w:cs="宋体"/>
          <w:color w:val="auto"/>
          <w:szCs w:val="21"/>
          <w:highlight w:val="none"/>
          <w:u w:val="single"/>
        </w:rPr>
        <w:t xml:space="preserve">]的投标人大于5名时，去掉一个最高价和一个最低价，取余下有效投标价的算术平均值，按随机抽取的计算评标参考价的下浮率X，计算评标参考价；当通过技术标有效性审查且经济报价在[工程成本警戒价, </w:t>
      </w:r>
      <w:r>
        <w:rPr>
          <w:rFonts w:hint="eastAsia" w:cs="宋体"/>
          <w:color w:val="auto"/>
          <w:szCs w:val="21"/>
          <w:highlight w:val="none"/>
          <w:u w:val="single"/>
        </w:rPr>
        <w:t>最高投标限价</w:t>
      </w:r>
      <w:r>
        <w:rPr>
          <w:rFonts w:hint="eastAsia" w:cs="宋体"/>
          <w:color w:val="auto"/>
          <w:szCs w:val="21"/>
          <w:highlight w:val="none"/>
          <w:u w:val="single"/>
          <w:lang w:val="en-US" w:eastAsia="zh-CN"/>
        </w:rPr>
        <w:t>*98%</w:t>
      </w:r>
      <w:r>
        <w:rPr>
          <w:rFonts w:cs="宋体"/>
          <w:color w:val="auto"/>
          <w:szCs w:val="21"/>
          <w:highlight w:val="none"/>
          <w:u w:val="single"/>
        </w:rPr>
        <w:t>]的投标人小于或等于5名时，取所有入围的有效投标价的算术平均值，按随机抽取的计算评标参考价的下浮率X，计算评标参考价；若所有投标人均不满足前述条件的，则以[工程成本警戒价，最高投标限价</w:t>
      </w:r>
      <w:r>
        <w:rPr>
          <w:rFonts w:hint="eastAsia" w:cs="宋体"/>
          <w:color w:val="auto"/>
          <w:szCs w:val="21"/>
          <w:highlight w:val="none"/>
          <w:u w:val="single"/>
          <w:lang w:val="en-US" w:eastAsia="zh-CN"/>
        </w:rPr>
        <w:t>*98%</w:t>
      </w:r>
      <w:r>
        <w:rPr>
          <w:rFonts w:cs="宋体"/>
          <w:color w:val="auto"/>
          <w:szCs w:val="21"/>
          <w:highlight w:val="none"/>
          <w:u w:val="single"/>
        </w:rPr>
        <w:t>]区间的中间值作为评标参考价。（评标参考价精确到小数点后两位）</w:t>
      </w:r>
      <w:r>
        <w:rPr>
          <w:rFonts w:hint="eastAsia" w:cs="宋体"/>
          <w:color w:val="auto"/>
          <w:szCs w:val="21"/>
          <w:highlight w:val="none"/>
        </w:rPr>
        <w:t>。</w:t>
      </w:r>
    </w:p>
    <w:p>
      <w:pPr>
        <w:spacing w:line="336" w:lineRule="auto"/>
        <w:ind w:firstLine="472" w:firstLineChars="224"/>
        <w:rPr>
          <w:rFonts w:cs="宋体"/>
          <w:b/>
          <w:color w:val="auto"/>
          <w:szCs w:val="21"/>
          <w:highlight w:val="none"/>
        </w:rPr>
      </w:pPr>
      <w:r>
        <w:rPr>
          <w:rFonts w:hint="eastAsia" w:cs="宋体"/>
          <w:b/>
          <w:color w:val="auto"/>
          <w:szCs w:val="21"/>
          <w:highlight w:val="none"/>
        </w:rPr>
        <w:t>条款号：45.</w:t>
      </w:r>
      <w:r>
        <w:rPr>
          <w:rFonts w:hint="eastAsia" w:cs="宋体"/>
          <w:b/>
          <w:color w:val="auto"/>
          <w:szCs w:val="21"/>
          <w:highlight w:val="none"/>
          <w:lang w:val="en-US" w:eastAsia="zh-CN"/>
        </w:rPr>
        <w:t>4</w:t>
      </w:r>
      <w:r>
        <w:rPr>
          <w:rFonts w:hint="eastAsia" w:cs="宋体"/>
          <w:b/>
          <w:color w:val="auto"/>
          <w:szCs w:val="21"/>
          <w:highlight w:val="none"/>
        </w:rPr>
        <w:t xml:space="preserve">                         修改类型：修改</w:t>
      </w:r>
    </w:p>
    <w:p>
      <w:pPr>
        <w:spacing w:line="336" w:lineRule="auto"/>
        <w:ind w:firstLine="472" w:firstLineChars="224"/>
        <w:rPr>
          <w:rFonts w:cs="宋体"/>
          <w:b/>
          <w:color w:val="auto"/>
          <w:szCs w:val="21"/>
          <w:highlight w:val="none"/>
        </w:rPr>
      </w:pPr>
      <w:r>
        <w:rPr>
          <w:rFonts w:hint="eastAsia" w:cs="宋体"/>
          <w:b/>
          <w:color w:val="auto"/>
          <w:szCs w:val="21"/>
          <w:highlight w:val="none"/>
        </w:rPr>
        <w:t>原文：</w:t>
      </w:r>
      <w:r>
        <w:rPr>
          <w:rFonts w:hint="eastAsia" w:cs="宋体"/>
          <w:bCs/>
          <w:color w:val="auto"/>
          <w:szCs w:val="21"/>
          <w:highlight w:val="none"/>
        </w:rPr>
        <w:t>45.</w:t>
      </w:r>
      <w:r>
        <w:rPr>
          <w:rFonts w:hint="eastAsia" w:cs="宋体"/>
          <w:bCs/>
          <w:color w:val="auto"/>
          <w:szCs w:val="21"/>
          <w:highlight w:val="none"/>
          <w:lang w:val="en-US" w:eastAsia="zh-CN"/>
        </w:rPr>
        <w:t>4</w:t>
      </w:r>
      <w:r>
        <w:rPr>
          <w:rFonts w:hint="eastAsia" w:cs="宋体"/>
          <w:bCs/>
          <w:color w:val="auto"/>
          <w:szCs w:val="21"/>
          <w:highlight w:val="none"/>
        </w:rPr>
        <w:t>当标价等于评标参考价时得</w:t>
      </w:r>
      <w:r>
        <w:rPr>
          <w:rFonts w:hint="eastAsia" w:cs="宋体"/>
          <w:bCs/>
          <w:color w:val="auto"/>
          <w:szCs w:val="21"/>
          <w:highlight w:val="none"/>
          <w:lang w:val="en-US" w:eastAsia="zh-CN"/>
        </w:rPr>
        <w:t>60</w:t>
      </w:r>
      <w:r>
        <w:rPr>
          <w:rFonts w:hint="eastAsia" w:cs="宋体"/>
          <w:bCs/>
          <w:color w:val="auto"/>
          <w:szCs w:val="21"/>
          <w:highlight w:val="none"/>
        </w:rPr>
        <w:t>分，标价每高于评标参考价1%，扣1.5分，每低于评标参考价1%，扣1分，扣至0分为止，得出经济分，精确到小数点后两位。</w:t>
      </w:r>
    </w:p>
    <w:p>
      <w:pPr>
        <w:pBdr>
          <w:bottom w:val="single" w:color="auto" w:sz="4" w:space="0"/>
        </w:pBdr>
        <w:spacing w:line="336" w:lineRule="auto"/>
        <w:ind w:firstLine="472" w:firstLineChars="224"/>
        <w:rPr>
          <w:rFonts w:cs="宋体"/>
          <w:b/>
          <w:color w:val="auto"/>
          <w:szCs w:val="21"/>
          <w:highlight w:val="none"/>
        </w:rPr>
      </w:pPr>
      <w:r>
        <w:rPr>
          <w:rFonts w:hint="eastAsia" w:cs="宋体"/>
          <w:b/>
          <w:color w:val="auto"/>
          <w:szCs w:val="21"/>
          <w:highlight w:val="none"/>
        </w:rPr>
        <w:t>现文：</w:t>
      </w:r>
      <w:r>
        <w:rPr>
          <w:rFonts w:hint="eastAsia" w:cs="宋体"/>
          <w:bCs/>
          <w:color w:val="auto"/>
          <w:szCs w:val="21"/>
          <w:highlight w:val="none"/>
        </w:rPr>
        <w:t>45.</w:t>
      </w:r>
      <w:r>
        <w:rPr>
          <w:rFonts w:hint="eastAsia" w:cs="宋体"/>
          <w:bCs/>
          <w:color w:val="auto"/>
          <w:szCs w:val="21"/>
          <w:highlight w:val="none"/>
          <w:lang w:val="en-US" w:eastAsia="zh-CN"/>
        </w:rPr>
        <w:t>4</w:t>
      </w:r>
      <w:r>
        <w:rPr>
          <w:rFonts w:hint="eastAsia" w:cs="宋体"/>
          <w:bCs/>
          <w:color w:val="auto"/>
          <w:szCs w:val="21"/>
          <w:highlight w:val="none"/>
        </w:rPr>
        <w:t>当投标价等于评标参考价时得100分，投标价每高于评标参考价1%，扣</w:t>
      </w:r>
      <w:r>
        <w:rPr>
          <w:rFonts w:hint="eastAsia" w:cs="宋体"/>
          <w:bCs/>
          <w:color w:val="auto"/>
          <w:szCs w:val="21"/>
          <w:highlight w:val="none"/>
          <w:lang w:val="en-US" w:eastAsia="zh-CN"/>
        </w:rPr>
        <w:t>0</w:t>
      </w:r>
      <w:r>
        <w:rPr>
          <w:rFonts w:hint="eastAsia" w:cs="宋体"/>
          <w:bCs/>
          <w:color w:val="auto"/>
          <w:szCs w:val="21"/>
          <w:highlight w:val="none"/>
          <w:u w:val="single"/>
        </w:rPr>
        <w:t>.</w:t>
      </w:r>
      <w:r>
        <w:rPr>
          <w:rFonts w:hint="eastAsia" w:cs="宋体"/>
          <w:bCs/>
          <w:color w:val="auto"/>
          <w:szCs w:val="21"/>
          <w:highlight w:val="none"/>
          <w:u w:val="single"/>
          <w:lang w:val="en-US" w:eastAsia="zh-CN"/>
        </w:rPr>
        <w:t>5</w:t>
      </w:r>
      <w:r>
        <w:rPr>
          <w:rFonts w:hint="eastAsia" w:cs="宋体"/>
          <w:bCs/>
          <w:color w:val="auto"/>
          <w:szCs w:val="21"/>
          <w:highlight w:val="none"/>
        </w:rPr>
        <w:t>分，每低于评标参考价1%，扣</w:t>
      </w:r>
      <w:r>
        <w:rPr>
          <w:rFonts w:hint="eastAsia" w:cs="宋体"/>
          <w:bCs/>
          <w:color w:val="auto"/>
          <w:szCs w:val="21"/>
          <w:highlight w:val="none"/>
          <w:lang w:val="en-US" w:eastAsia="zh-CN"/>
        </w:rPr>
        <w:t>0.3</w:t>
      </w:r>
      <w:r>
        <w:rPr>
          <w:rFonts w:hint="eastAsia" w:cs="宋体"/>
          <w:bCs/>
          <w:color w:val="auto"/>
          <w:szCs w:val="21"/>
          <w:highlight w:val="none"/>
        </w:rPr>
        <w:t>分，扣至0分为止，得出经济分，精确到小数点后两位。</w:t>
      </w:r>
    </w:p>
    <w:p>
      <w:pPr>
        <w:tabs>
          <w:tab w:val="left" w:pos="4410"/>
        </w:tabs>
        <w:spacing w:line="336" w:lineRule="auto"/>
        <w:ind w:firstLine="422" w:firstLineChars="200"/>
        <w:rPr>
          <w:rFonts w:cs="宋体"/>
          <w:b/>
          <w:color w:val="auto"/>
          <w:szCs w:val="21"/>
          <w:highlight w:val="none"/>
        </w:rPr>
      </w:pPr>
      <w:r>
        <w:rPr>
          <w:rFonts w:hint="eastAsia" w:cs="宋体"/>
          <w:b/>
          <w:color w:val="auto"/>
          <w:szCs w:val="21"/>
          <w:highlight w:val="none"/>
        </w:rPr>
        <w:t>条款号：45.</w:t>
      </w:r>
      <w:r>
        <w:rPr>
          <w:rFonts w:hint="eastAsia" w:cs="宋体"/>
          <w:b/>
          <w:color w:val="auto"/>
          <w:szCs w:val="21"/>
          <w:highlight w:val="none"/>
          <w:lang w:val="en-US" w:eastAsia="zh-CN"/>
        </w:rPr>
        <w:t>5</w:t>
      </w:r>
      <w:r>
        <w:rPr>
          <w:rFonts w:hint="eastAsia" w:cs="宋体"/>
          <w:b/>
          <w:color w:val="auto"/>
          <w:szCs w:val="21"/>
          <w:highlight w:val="none"/>
        </w:rPr>
        <w:tab/>
      </w:r>
      <w:r>
        <w:rPr>
          <w:rFonts w:hint="eastAsia" w:cs="宋体"/>
          <w:b/>
          <w:color w:val="auto"/>
          <w:szCs w:val="21"/>
          <w:highlight w:val="none"/>
        </w:rPr>
        <w:t>修改类型：修改</w:t>
      </w:r>
    </w:p>
    <w:p>
      <w:pPr>
        <w:pBdr>
          <w:bottom w:val="single" w:color="auto" w:sz="6" w:space="1"/>
        </w:pBdr>
        <w:spacing w:line="336" w:lineRule="auto"/>
        <w:ind w:firstLine="430" w:firstLineChars="200"/>
        <w:rPr>
          <w:rFonts w:cs="宋体"/>
          <w:color w:val="auto"/>
          <w:spacing w:val="2"/>
          <w:szCs w:val="21"/>
          <w:highlight w:val="none"/>
        </w:rPr>
      </w:pPr>
      <w:r>
        <w:rPr>
          <w:rFonts w:hint="eastAsia" w:cs="宋体"/>
          <w:b/>
          <w:color w:val="auto"/>
          <w:spacing w:val="2"/>
          <w:szCs w:val="21"/>
          <w:highlight w:val="none"/>
        </w:rPr>
        <w:t>原文：</w:t>
      </w:r>
      <w:r>
        <w:rPr>
          <w:rFonts w:hint="eastAsia" w:cs="宋体"/>
          <w:color w:val="auto"/>
          <w:szCs w:val="21"/>
          <w:highlight w:val="none"/>
        </w:rPr>
        <w:t>45.</w:t>
      </w:r>
      <w:r>
        <w:rPr>
          <w:rFonts w:hint="eastAsia" w:cs="宋体"/>
          <w:color w:val="auto"/>
          <w:szCs w:val="21"/>
          <w:highlight w:val="none"/>
          <w:lang w:val="en-US" w:eastAsia="zh-CN"/>
        </w:rPr>
        <w:t>5</w:t>
      </w:r>
      <w:r>
        <w:rPr>
          <w:rFonts w:hint="eastAsia" w:cs="宋体"/>
          <w:color w:val="auto"/>
          <w:szCs w:val="21"/>
          <w:highlight w:val="none"/>
        </w:rPr>
        <w:t>计算通过技术标有效性审查的投标人总得分。投标人总得分=（技术得分＋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36" w:lineRule="auto"/>
        <w:ind w:firstLine="430" w:firstLineChars="200"/>
        <w:rPr>
          <w:rFonts w:cs="宋体"/>
          <w:color w:val="auto"/>
          <w:szCs w:val="21"/>
          <w:highlight w:val="none"/>
        </w:rPr>
      </w:pPr>
      <w:r>
        <w:rPr>
          <w:rFonts w:hint="eastAsia" w:cs="宋体"/>
          <w:b/>
          <w:color w:val="auto"/>
          <w:spacing w:val="2"/>
          <w:szCs w:val="21"/>
          <w:highlight w:val="none"/>
        </w:rPr>
        <w:t>现文：</w:t>
      </w:r>
      <w:r>
        <w:rPr>
          <w:rFonts w:hint="eastAsia" w:cs="宋体"/>
          <w:color w:val="auto"/>
          <w:szCs w:val="21"/>
          <w:highlight w:val="none"/>
        </w:rPr>
        <w:t>45.</w:t>
      </w:r>
      <w:r>
        <w:rPr>
          <w:rFonts w:hint="eastAsia" w:cs="宋体"/>
          <w:color w:val="auto"/>
          <w:szCs w:val="21"/>
          <w:highlight w:val="none"/>
          <w:lang w:val="en-US" w:eastAsia="zh-CN"/>
        </w:rPr>
        <w:t>5</w:t>
      </w:r>
      <w:r>
        <w:rPr>
          <w:rFonts w:hint="eastAsia" w:cs="宋体"/>
          <w:color w:val="auto"/>
          <w:szCs w:val="21"/>
          <w:highlight w:val="none"/>
        </w:rPr>
        <w:t>计算通过技术标有效性审查的投标人总得分。投标人总得分=技术得分（</w:t>
      </w:r>
      <w:r>
        <w:rPr>
          <w:rFonts w:hint="eastAsia" w:cs="宋体"/>
          <w:color w:val="auto"/>
          <w:szCs w:val="21"/>
          <w:highlight w:val="none"/>
          <w:lang w:val="en-US" w:eastAsia="zh-CN"/>
        </w:rPr>
        <w:t>4</w:t>
      </w:r>
      <w:r>
        <w:rPr>
          <w:rFonts w:hint="eastAsia" w:cs="宋体"/>
          <w:color w:val="auto"/>
          <w:szCs w:val="21"/>
          <w:highlight w:val="none"/>
        </w:rPr>
        <w:t>0分）＋经济得分(100分)×经济得分权重（</w:t>
      </w:r>
      <w:r>
        <w:rPr>
          <w:rFonts w:hint="eastAsia" w:cs="宋体"/>
          <w:color w:val="auto"/>
          <w:szCs w:val="21"/>
          <w:highlight w:val="none"/>
          <w:lang w:val="en-US" w:eastAsia="zh-CN"/>
        </w:rPr>
        <w:t>6</w:t>
      </w:r>
      <w:r>
        <w:rPr>
          <w:rFonts w:hint="eastAsia" w:cs="宋体"/>
          <w:color w:val="auto"/>
          <w:szCs w:val="21"/>
          <w:highlight w:val="none"/>
        </w:rPr>
        <w:t>0%）。技术、经济得分权重按投标须知前附表的规定执行。总得分四舍五入保留两位小数。</w:t>
      </w:r>
    </w:p>
    <w:p>
      <w:pPr>
        <w:pBdr>
          <w:bottom w:val="single" w:color="auto" w:sz="6" w:space="1"/>
        </w:pBdr>
        <w:spacing w:line="336" w:lineRule="auto"/>
        <w:ind w:firstLine="420" w:firstLineChars="200"/>
        <w:rPr>
          <w:rFonts w:cs="宋体"/>
          <w:color w:val="auto"/>
          <w:szCs w:val="21"/>
          <w:highlight w:val="none"/>
        </w:rPr>
      </w:pPr>
      <w:r>
        <w:rPr>
          <w:rFonts w:hint="eastAsia" w:cs="宋体"/>
          <w:color w:val="auto"/>
          <w:szCs w:val="21"/>
          <w:highlight w:val="none"/>
        </w:rPr>
        <w:t>总得分相同的投标文件，以技术分较高的排前；总得分及技术分均相同的，以经济分较高的排前；总得分、技术分及经济分均相同的，以报价较低的排前；如仍存在相同情况，则对具有相同情况的投标人，由评标委员会采用记名投票方式，以得票多的排前。注：投票方式确定排序的具体操作步骤为：由评标会对出现该情况的投标人进行编号，然后通过投票方式依次确定投标人的排序。</w:t>
      </w:r>
    </w:p>
    <w:p>
      <w:pPr>
        <w:pBdr>
          <w:bottom w:val="single" w:color="auto" w:sz="6" w:space="1"/>
        </w:pBdr>
        <w:spacing w:line="336" w:lineRule="auto"/>
        <w:ind w:firstLine="428" w:firstLineChars="200"/>
        <w:rPr>
          <w:rFonts w:cs="宋体"/>
          <w:color w:val="auto"/>
          <w:spacing w:val="2"/>
          <w:szCs w:val="21"/>
          <w:highlight w:val="none"/>
        </w:rPr>
      </w:pPr>
    </w:p>
    <w:p>
      <w:pPr>
        <w:pStyle w:val="9"/>
        <w:tabs>
          <w:tab w:val="left" w:pos="5245"/>
        </w:tabs>
        <w:spacing w:line="360" w:lineRule="auto"/>
        <w:ind w:firstLine="422"/>
        <w:rPr>
          <w:b/>
          <w:color w:val="auto"/>
          <w:szCs w:val="21"/>
          <w:highlight w:val="none"/>
        </w:rPr>
      </w:pPr>
      <w:r>
        <w:rPr>
          <w:rFonts w:hint="eastAsia" w:cs="宋体"/>
          <w:b/>
          <w:color w:val="auto"/>
          <w:szCs w:val="21"/>
          <w:highlight w:val="none"/>
        </w:rPr>
        <w:t>条款号</w:t>
      </w:r>
      <w:r>
        <w:rPr>
          <w:rFonts w:hint="eastAsia" w:cs="宋体"/>
          <w:color w:val="auto"/>
          <w:szCs w:val="21"/>
          <w:highlight w:val="none"/>
        </w:rPr>
        <w:t>：</w:t>
      </w:r>
      <w:r>
        <w:rPr>
          <w:rFonts w:hint="eastAsia" w:cs="宋体"/>
          <w:b/>
          <w:color w:val="auto"/>
          <w:szCs w:val="21"/>
          <w:highlight w:val="none"/>
        </w:rPr>
        <w:t>46.1</w:t>
      </w:r>
      <w:r>
        <w:rPr>
          <w:rFonts w:hint="eastAsia" w:cs="宋体"/>
          <w:b/>
          <w:color w:val="auto"/>
          <w:szCs w:val="21"/>
          <w:highlight w:val="none"/>
        </w:rPr>
        <w:tab/>
      </w:r>
      <w:r>
        <w:rPr>
          <w:rFonts w:hint="eastAsia"/>
          <w:b/>
          <w:color w:val="auto"/>
          <w:szCs w:val="21"/>
          <w:highlight w:val="none"/>
        </w:rPr>
        <w:t>修改类型：修改</w:t>
      </w:r>
    </w:p>
    <w:p>
      <w:pPr>
        <w:pBdr>
          <w:bottom w:val="single" w:color="auto" w:sz="6" w:space="1"/>
        </w:pBdr>
        <w:spacing w:line="360" w:lineRule="auto"/>
        <w:ind w:firstLine="422" w:firstLineChars="200"/>
        <w:rPr>
          <w:bCs/>
          <w:color w:val="auto"/>
          <w:szCs w:val="21"/>
          <w:highlight w:val="none"/>
        </w:rPr>
      </w:pPr>
      <w:r>
        <w:rPr>
          <w:rFonts w:hint="eastAsia"/>
          <w:b/>
          <w:color w:val="auto"/>
          <w:szCs w:val="21"/>
          <w:highlight w:val="none"/>
        </w:rPr>
        <w:t>原文：</w:t>
      </w:r>
      <w:r>
        <w:rPr>
          <w:rFonts w:hint="eastAsia"/>
          <w:bCs/>
          <w:color w:val="auto"/>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hint="eastAsia"/>
          <w:color w:val="auto"/>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9"/>
        <w:tabs>
          <w:tab w:val="left" w:pos="5245"/>
        </w:tabs>
        <w:ind w:firstLine="422"/>
        <w:rPr>
          <w:rFonts w:cs="宋体"/>
          <w:b/>
          <w:color w:val="auto"/>
          <w:szCs w:val="21"/>
          <w:highlight w:val="none"/>
        </w:rPr>
      </w:pPr>
      <w:r>
        <w:rPr>
          <w:rFonts w:hint="eastAsia" w:cs="宋体"/>
          <w:b/>
          <w:color w:val="auto"/>
          <w:szCs w:val="21"/>
          <w:highlight w:val="none"/>
        </w:rPr>
        <w:t>条款号：48            修改类型：修改</w:t>
      </w:r>
    </w:p>
    <w:p>
      <w:pPr>
        <w:pBdr>
          <w:bottom w:val="single" w:color="auto" w:sz="6" w:space="1"/>
        </w:pBdr>
        <w:spacing w:line="360" w:lineRule="auto"/>
        <w:ind w:firstLine="422" w:firstLineChars="200"/>
        <w:rPr>
          <w:bCs/>
          <w:color w:val="auto"/>
          <w:szCs w:val="21"/>
          <w:highlight w:val="none"/>
        </w:rPr>
      </w:pPr>
      <w:r>
        <w:rPr>
          <w:rFonts w:hint="eastAsia"/>
          <w:b/>
          <w:color w:val="auto"/>
          <w:szCs w:val="21"/>
          <w:highlight w:val="none"/>
        </w:rPr>
        <w:t>原文：</w:t>
      </w:r>
      <w:r>
        <w:rPr>
          <w:rFonts w:hint="eastAsia"/>
          <w:bCs/>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360" w:lineRule="auto"/>
        <w:ind w:firstLine="422" w:firstLineChars="200"/>
        <w:rPr>
          <w:bCs/>
          <w:color w:val="auto"/>
          <w:szCs w:val="21"/>
          <w:highlight w:val="none"/>
        </w:rPr>
      </w:pPr>
      <w:r>
        <w:rPr>
          <w:rFonts w:hint="eastAsia"/>
          <w:b/>
          <w:color w:val="auto"/>
          <w:szCs w:val="21"/>
          <w:highlight w:val="none"/>
        </w:rPr>
        <w:t>现文：</w:t>
      </w:r>
      <w:r>
        <w:rPr>
          <w:rFonts w:hint="eastAsia"/>
          <w:bCs/>
          <w:color w:val="auto"/>
          <w:szCs w:val="21"/>
          <w:highlight w:val="none"/>
        </w:rPr>
        <w:t>48.评标委员会应在通过投标文件经济标有效性审查的投标人中，按步骤45.4确定的投标人总得分排序，推荐前3名依次为第一中标候选人至第三中标候选人,并编制评标报告。</w:t>
      </w:r>
    </w:p>
    <w:p>
      <w:pPr>
        <w:pStyle w:val="9"/>
        <w:tabs>
          <w:tab w:val="left" w:pos="5245"/>
        </w:tabs>
        <w:spacing w:line="360" w:lineRule="auto"/>
        <w:ind w:firstLine="422"/>
        <w:rPr>
          <w:b/>
          <w:color w:val="auto"/>
          <w:szCs w:val="21"/>
          <w:highlight w:val="none"/>
        </w:rPr>
      </w:pPr>
      <w:r>
        <w:rPr>
          <w:rFonts w:hint="eastAsia" w:cs="宋体"/>
          <w:b/>
          <w:color w:val="auto"/>
          <w:szCs w:val="21"/>
          <w:highlight w:val="none"/>
        </w:rPr>
        <w:t>条款号</w:t>
      </w:r>
      <w:r>
        <w:rPr>
          <w:rFonts w:hint="eastAsia" w:cs="宋体"/>
          <w:color w:val="auto"/>
          <w:szCs w:val="21"/>
          <w:highlight w:val="none"/>
        </w:rPr>
        <w:t>：</w:t>
      </w:r>
      <w:r>
        <w:rPr>
          <w:rFonts w:hint="eastAsia" w:cs="宋体"/>
          <w:b/>
          <w:color w:val="auto"/>
          <w:szCs w:val="21"/>
          <w:highlight w:val="none"/>
        </w:rPr>
        <w:t>49</w:t>
      </w:r>
      <w:r>
        <w:rPr>
          <w:rFonts w:hint="eastAsia" w:cs="宋体"/>
          <w:b/>
          <w:color w:val="auto"/>
          <w:szCs w:val="21"/>
          <w:highlight w:val="none"/>
        </w:rPr>
        <w:tab/>
      </w:r>
      <w:r>
        <w:rPr>
          <w:rFonts w:hint="eastAsia"/>
          <w:b/>
          <w:color w:val="auto"/>
          <w:szCs w:val="21"/>
          <w:highlight w:val="none"/>
        </w:rPr>
        <w:t>修改类型：修改</w:t>
      </w:r>
    </w:p>
    <w:p>
      <w:pPr>
        <w:pBdr>
          <w:bottom w:val="single" w:color="auto" w:sz="6" w:space="1"/>
        </w:pBd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：49</w:t>
      </w:r>
      <w:r>
        <w:rPr>
          <w:color w:val="auto"/>
          <w:szCs w:val="21"/>
          <w:highlight w:val="none"/>
        </w:rPr>
        <w:t>若通过</w:t>
      </w:r>
      <w:r>
        <w:rPr>
          <w:rFonts w:cs="宋体"/>
          <w:color w:val="auto"/>
          <w:szCs w:val="21"/>
          <w:highlight w:val="none"/>
        </w:rPr>
        <w:t>经济</w:t>
      </w:r>
      <w:r>
        <w:rPr>
          <w:color w:val="auto"/>
          <w:szCs w:val="21"/>
          <w:highlight w:val="none"/>
        </w:rPr>
        <w:t>标有效性审查的投标人不足三家，应当依法重新招标。（当N个标段同时招标且不允许兼中时，若有效投标人不足N+2家，应当依法重新招标）</w:t>
      </w:r>
    </w:p>
    <w:p>
      <w:pPr>
        <w:spacing w:line="336" w:lineRule="auto"/>
        <w:ind w:firstLine="422" w:firstLineChars="200"/>
        <w:rPr>
          <w:color w:val="auto"/>
          <w:szCs w:val="21"/>
          <w:highlight w:val="none"/>
        </w:rPr>
      </w:pPr>
      <w:r>
        <w:rPr>
          <w:rFonts w:hint="eastAsia"/>
          <w:b/>
          <w:color w:val="auto"/>
          <w:szCs w:val="21"/>
          <w:highlight w:val="none"/>
        </w:rPr>
        <w:t>现文：</w:t>
      </w:r>
      <w:r>
        <w:rPr>
          <w:rFonts w:hint="eastAsia"/>
          <w:color w:val="auto"/>
          <w:szCs w:val="21"/>
          <w:highlight w:val="none"/>
        </w:rPr>
        <w:t>49</w:t>
      </w:r>
      <w:r>
        <w:rPr>
          <w:color w:val="auto"/>
          <w:szCs w:val="21"/>
          <w:highlight w:val="none"/>
        </w:rPr>
        <w:t>若</w:t>
      </w:r>
      <w:r>
        <w:rPr>
          <w:rFonts w:cs="宋体"/>
          <w:color w:val="auto"/>
          <w:szCs w:val="21"/>
          <w:highlight w:val="none"/>
        </w:rPr>
        <w:t>通过</w:t>
      </w:r>
      <w:r>
        <w:rPr>
          <w:color w:val="auto"/>
          <w:szCs w:val="21"/>
          <w:highlight w:val="none"/>
        </w:rPr>
        <w:t>经济标有效性审查的投标人不足</w:t>
      </w:r>
      <w:r>
        <w:rPr>
          <w:rFonts w:hint="eastAsia"/>
          <w:color w:val="auto"/>
          <w:szCs w:val="21"/>
          <w:highlight w:val="none"/>
          <w:lang w:val="en-US" w:eastAsia="zh-CN"/>
        </w:rPr>
        <w:t>七</w:t>
      </w:r>
      <w:r>
        <w:rPr>
          <w:color w:val="auto"/>
          <w:szCs w:val="21"/>
          <w:highlight w:val="none"/>
        </w:rPr>
        <w:t>家，应当依法重新招标。</w:t>
      </w:r>
    </w:p>
    <w:p>
      <w:pPr>
        <w:spacing w:line="336" w:lineRule="auto"/>
        <w:ind w:firstLine="422" w:firstLineChars="200"/>
        <w:rPr>
          <w:rFonts w:cs="宋体"/>
          <w:b/>
          <w:color w:val="auto"/>
          <w:szCs w:val="21"/>
          <w:highlight w:val="none"/>
        </w:rPr>
      </w:pPr>
      <w:r>
        <w:rPr>
          <w:rFonts w:hint="eastAsia" w:cs="宋体"/>
          <w:b/>
          <w:color w:val="auto"/>
          <w:szCs w:val="21"/>
          <w:highlight w:val="none"/>
        </w:rPr>
        <w:t>条款号：附表一 《资格审查表》、附表二 《技术标有效性审查表》、附表三 《经济标有效性审查表》 、附表四《技术标详细审查评分表》                        修改类型：修改</w:t>
      </w:r>
    </w:p>
    <w:p>
      <w:pPr>
        <w:spacing w:line="336" w:lineRule="auto"/>
        <w:ind w:firstLine="422" w:firstLineChars="200"/>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见范本</w:t>
      </w:r>
    </w:p>
    <w:p>
      <w:pPr>
        <w:pBdr>
          <w:bottom w:val="single" w:color="auto" w:sz="6" w:space="1"/>
        </w:pBdr>
        <w:spacing w:line="336" w:lineRule="auto"/>
        <w:ind w:firstLine="422" w:firstLineChars="200"/>
        <w:rPr>
          <w:rFonts w:cs="宋体"/>
          <w:color w:val="auto"/>
          <w:highlight w:val="none"/>
        </w:rPr>
      </w:pPr>
      <w:r>
        <w:rPr>
          <w:rFonts w:hint="eastAsia" w:cs="宋体"/>
          <w:b/>
          <w:color w:val="auto"/>
          <w:szCs w:val="21"/>
          <w:highlight w:val="none"/>
        </w:rPr>
        <w:t>现文：</w:t>
      </w:r>
      <w:r>
        <w:rPr>
          <w:rFonts w:hint="eastAsia" w:cs="宋体"/>
          <w:color w:val="auto"/>
          <w:szCs w:val="21"/>
          <w:highlight w:val="none"/>
        </w:rPr>
        <w:t>见后附（现文：附表一《资格审查表》、附表二《技术标有效性审查表》、附表三《经济标有效性审查表》、附表四《技术标详细审查评分表》）</w:t>
      </w:r>
    </w:p>
    <w:p>
      <w:pPr>
        <w:pStyle w:val="9"/>
        <w:rPr>
          <w:rFonts w:cs="宋体"/>
          <w:color w:val="auto"/>
          <w:highlight w:val="none"/>
        </w:rPr>
      </w:pPr>
    </w:p>
    <w:p>
      <w:pPr>
        <w:spacing w:line="360" w:lineRule="auto"/>
        <w:ind w:firstLine="211" w:firstLineChars="100"/>
        <w:rPr>
          <w:rFonts w:cs="宋体"/>
          <w:b/>
          <w:color w:val="auto"/>
          <w:szCs w:val="21"/>
          <w:highlight w:val="none"/>
        </w:rPr>
      </w:pPr>
      <w:r>
        <w:rPr>
          <w:rFonts w:hint="eastAsia" w:cs="宋体"/>
          <w:b/>
          <w:color w:val="auto"/>
          <w:szCs w:val="21"/>
          <w:highlight w:val="none"/>
        </w:rPr>
        <w:t>注：以上修改，仅限于本范本中有可供选择条款的情形。</w:t>
      </w:r>
    </w:p>
    <w:p>
      <w:pPr>
        <w:spacing w:line="360" w:lineRule="auto"/>
        <w:rPr>
          <w:rFonts w:cs="宋体"/>
          <w:b/>
          <w:color w:val="auto"/>
          <w:szCs w:val="21"/>
          <w:highlight w:val="none"/>
        </w:rPr>
      </w:pPr>
      <w:r>
        <w:rPr>
          <w:rFonts w:hint="eastAsia" w:cs="宋体"/>
          <w:b/>
          <w:color w:val="auto"/>
          <w:szCs w:val="21"/>
          <w:highlight w:val="none"/>
        </w:rPr>
        <w:t>（以下无正文）</w:t>
      </w:r>
    </w:p>
    <w:p>
      <w:pPr>
        <w:pStyle w:val="13"/>
        <w:rPr>
          <w:color w:val="auto"/>
          <w:highlight w:val="none"/>
        </w:rPr>
      </w:pPr>
      <w:r>
        <w:rPr>
          <w:color w:val="auto"/>
          <w:highlight w:val="none"/>
        </w:rPr>
        <w:br w:type="page"/>
      </w:r>
    </w:p>
    <w:p>
      <w:pPr>
        <w:pStyle w:val="2"/>
        <w:ind w:firstLine="525"/>
        <w:rPr>
          <w:color w:val="auto"/>
          <w:highlight w:val="none"/>
        </w:rPr>
      </w:pPr>
      <w:bookmarkStart w:id="11" w:name="_Toc30780"/>
      <w:r>
        <w:rPr>
          <w:rFonts w:hint="eastAsia"/>
          <w:color w:val="auto"/>
          <w:highlight w:val="none"/>
        </w:rPr>
        <w:t>二、开标、评标及定标办法</w:t>
      </w:r>
      <w:r>
        <w:rPr>
          <w:rFonts w:hint="eastAsia"/>
          <w:color w:val="auto"/>
          <w:szCs w:val="30"/>
          <w:highlight w:val="none"/>
        </w:rPr>
        <w:t>通用条款</w:t>
      </w:r>
      <w:bookmarkEnd w:id="11"/>
    </w:p>
    <w:p>
      <w:pPr>
        <w:pStyle w:val="7"/>
        <w:spacing w:before="156" w:after="156"/>
        <w:ind w:firstLine="540" w:firstLineChars="200"/>
        <w:rPr>
          <w:color w:val="auto"/>
          <w:highlight w:val="none"/>
        </w:rPr>
      </w:pPr>
      <w:bookmarkStart w:id="12" w:name="_Toc5831"/>
      <w:r>
        <w:rPr>
          <w:rFonts w:hint="eastAsia"/>
          <w:color w:val="auto"/>
          <w:highlight w:val="none"/>
        </w:rPr>
        <w:t>（一）总则</w:t>
      </w:r>
      <w:bookmarkEnd w:id="12"/>
    </w:p>
    <w:p>
      <w:pPr>
        <w:spacing w:line="360" w:lineRule="auto"/>
        <w:ind w:firstLine="480" w:firstLineChars="200"/>
        <w:rPr>
          <w:color w:val="auto"/>
          <w:sz w:val="24"/>
          <w:szCs w:val="24"/>
          <w:highlight w:val="none"/>
        </w:rPr>
      </w:pPr>
      <w:r>
        <w:rPr>
          <w:color w:val="auto"/>
          <w:sz w:val="24"/>
          <w:szCs w:val="24"/>
          <w:highlight w:val="none"/>
        </w:rPr>
        <w:t>35 开标、评标及定标所依据的规则</w:t>
      </w:r>
    </w:p>
    <w:p>
      <w:pPr>
        <w:spacing w:line="360" w:lineRule="auto"/>
        <w:ind w:firstLine="480" w:firstLineChars="200"/>
        <w:rPr>
          <w:color w:val="auto"/>
          <w:sz w:val="24"/>
          <w:szCs w:val="24"/>
          <w:highlight w:val="none"/>
        </w:rPr>
      </w:pPr>
      <w:r>
        <w:rPr>
          <w:color w:val="auto"/>
          <w:sz w:val="24"/>
          <w:szCs w:val="24"/>
          <w:highlight w:val="none"/>
        </w:rPr>
        <w:t>35.1《中华人民共和国招标投标法》；</w:t>
      </w:r>
    </w:p>
    <w:p>
      <w:pPr>
        <w:spacing w:line="360" w:lineRule="auto"/>
        <w:ind w:firstLine="480" w:firstLineChars="200"/>
        <w:rPr>
          <w:color w:val="auto"/>
          <w:sz w:val="24"/>
          <w:szCs w:val="24"/>
          <w:highlight w:val="none"/>
        </w:rPr>
      </w:pPr>
      <w:r>
        <w:rPr>
          <w:color w:val="auto"/>
          <w:sz w:val="24"/>
          <w:szCs w:val="24"/>
          <w:highlight w:val="none"/>
        </w:rPr>
        <w:t>35.2《中华人民共和国招标投标法实施条例》；</w:t>
      </w:r>
    </w:p>
    <w:p>
      <w:pPr>
        <w:spacing w:line="360" w:lineRule="auto"/>
        <w:ind w:firstLine="480" w:firstLineChars="200"/>
        <w:rPr>
          <w:color w:val="auto"/>
          <w:sz w:val="24"/>
          <w:szCs w:val="24"/>
          <w:highlight w:val="none"/>
        </w:rPr>
      </w:pPr>
      <w:r>
        <w:rPr>
          <w:color w:val="auto"/>
          <w:sz w:val="24"/>
          <w:szCs w:val="24"/>
          <w:highlight w:val="none"/>
        </w:rPr>
        <w:t>35.3《评标委员会和评标方法暂行规定》（七部委第12号令）</w:t>
      </w:r>
    </w:p>
    <w:p>
      <w:pPr>
        <w:spacing w:line="360" w:lineRule="auto"/>
        <w:ind w:firstLine="480" w:firstLineChars="200"/>
        <w:rPr>
          <w:color w:val="auto"/>
          <w:sz w:val="24"/>
          <w:szCs w:val="24"/>
          <w:highlight w:val="none"/>
        </w:rPr>
      </w:pPr>
      <w:r>
        <w:rPr>
          <w:color w:val="auto"/>
          <w:sz w:val="24"/>
          <w:szCs w:val="24"/>
          <w:highlight w:val="none"/>
        </w:rPr>
        <w:t>35.4《工程建设项目施工招标投标办法》（七部委2003年第30号令）</w:t>
      </w:r>
    </w:p>
    <w:p>
      <w:pPr>
        <w:spacing w:line="360" w:lineRule="auto"/>
        <w:ind w:firstLine="480" w:firstLineChars="200"/>
        <w:rPr>
          <w:color w:val="auto"/>
          <w:sz w:val="24"/>
          <w:szCs w:val="24"/>
          <w:highlight w:val="none"/>
        </w:rPr>
      </w:pPr>
      <w:r>
        <w:rPr>
          <w:color w:val="auto"/>
          <w:sz w:val="24"/>
          <w:szCs w:val="24"/>
          <w:highlight w:val="none"/>
        </w:rPr>
        <w:t>35.5《广东省实施〈中华人民共和国招标投标法〉办法》；</w:t>
      </w:r>
    </w:p>
    <w:p>
      <w:pPr>
        <w:spacing w:line="360" w:lineRule="auto"/>
        <w:ind w:firstLine="480" w:firstLineChars="200"/>
        <w:rPr>
          <w:color w:val="auto"/>
          <w:sz w:val="24"/>
          <w:szCs w:val="24"/>
          <w:highlight w:val="none"/>
        </w:rPr>
      </w:pPr>
      <w:r>
        <w:rPr>
          <w:color w:val="auto"/>
          <w:sz w:val="24"/>
          <w:szCs w:val="24"/>
          <w:highlight w:val="none"/>
        </w:rPr>
        <w:t>35.6《房屋建筑和市政基础设施工程施工招标投标管理办法》（建设部令第89号）</w:t>
      </w:r>
    </w:p>
    <w:p>
      <w:pPr>
        <w:spacing w:line="360" w:lineRule="auto"/>
        <w:ind w:firstLine="480" w:firstLineChars="200"/>
        <w:rPr>
          <w:color w:val="auto"/>
          <w:sz w:val="24"/>
          <w:szCs w:val="24"/>
          <w:highlight w:val="none"/>
        </w:rPr>
      </w:pPr>
      <w:r>
        <w:rPr>
          <w:color w:val="auto"/>
          <w:sz w:val="24"/>
          <w:szCs w:val="24"/>
          <w:highlight w:val="none"/>
        </w:rPr>
        <w:t>35.7</w:t>
      </w:r>
      <w:r>
        <w:rPr>
          <w:rFonts w:hint="eastAsia"/>
          <w:color w:val="auto"/>
          <w:sz w:val="24"/>
          <w:szCs w:val="24"/>
          <w:highlight w:val="none"/>
        </w:rPr>
        <w:t>《财政部</w:t>
      </w:r>
      <w:r>
        <w:rPr>
          <w:color w:val="auto"/>
          <w:sz w:val="24"/>
          <w:szCs w:val="24"/>
          <w:highlight w:val="none"/>
        </w:rPr>
        <w:t> </w:t>
      </w:r>
      <w:r>
        <w:rPr>
          <w:rFonts w:hint="eastAsia"/>
          <w:color w:val="auto"/>
          <w:sz w:val="24"/>
          <w:szCs w:val="24"/>
          <w:highlight w:val="none"/>
        </w:rPr>
        <w:t>工业和信息化部关于印发〈政府采购促进中小企业发展管理办法〉的通知》（财库〔</w:t>
      </w:r>
      <w:r>
        <w:rPr>
          <w:color w:val="auto"/>
          <w:sz w:val="24"/>
          <w:szCs w:val="24"/>
          <w:highlight w:val="none"/>
        </w:rPr>
        <w:t>2020</w:t>
      </w:r>
      <w:r>
        <w:rPr>
          <w:rFonts w:hint="eastAsia"/>
          <w:color w:val="auto"/>
          <w:sz w:val="24"/>
          <w:szCs w:val="24"/>
          <w:highlight w:val="none"/>
        </w:rPr>
        <w:t>〕</w:t>
      </w:r>
      <w:r>
        <w:rPr>
          <w:color w:val="auto"/>
          <w:sz w:val="24"/>
          <w:szCs w:val="24"/>
          <w:highlight w:val="none"/>
        </w:rPr>
        <w:t>46</w:t>
      </w:r>
      <w:r>
        <w:rPr>
          <w:rFonts w:hint="eastAsia"/>
          <w:color w:val="auto"/>
          <w:sz w:val="24"/>
          <w:szCs w:val="24"/>
          <w:highlight w:val="none"/>
        </w:rPr>
        <w:t>号）</w:t>
      </w:r>
    </w:p>
    <w:p>
      <w:pPr>
        <w:spacing w:line="360" w:lineRule="auto"/>
        <w:ind w:firstLine="480" w:firstLineChars="200"/>
        <w:rPr>
          <w:color w:val="auto"/>
          <w:sz w:val="24"/>
          <w:szCs w:val="24"/>
          <w:highlight w:val="none"/>
        </w:rPr>
      </w:pPr>
      <w:r>
        <w:rPr>
          <w:color w:val="auto"/>
          <w:sz w:val="24"/>
          <w:szCs w:val="24"/>
          <w:highlight w:val="none"/>
        </w:rPr>
        <w:t>35.8《广东省加强建设工程招标投标监督管理的若干规定》（粤发[2004]4号）；</w:t>
      </w:r>
    </w:p>
    <w:p>
      <w:pPr>
        <w:spacing w:line="360" w:lineRule="auto"/>
        <w:ind w:firstLine="480" w:firstLineChars="200"/>
        <w:rPr>
          <w:color w:val="auto"/>
          <w:sz w:val="24"/>
          <w:szCs w:val="24"/>
          <w:highlight w:val="none"/>
        </w:rPr>
      </w:pPr>
      <w:r>
        <w:rPr>
          <w:color w:val="auto"/>
          <w:sz w:val="24"/>
          <w:szCs w:val="24"/>
          <w:highlight w:val="none"/>
        </w:rPr>
        <w:t>35.9</w:t>
      </w:r>
      <w:r>
        <w:rPr>
          <w:rFonts w:hint="eastAsia"/>
          <w:color w:val="auto"/>
          <w:sz w:val="24"/>
          <w:szCs w:val="24"/>
          <w:highlight w:val="none"/>
        </w:rPr>
        <w:t>《广东省政府采购促进中小企业发展实施细则（试行）》</w:t>
      </w:r>
    </w:p>
    <w:p>
      <w:pPr>
        <w:spacing w:line="360" w:lineRule="auto"/>
        <w:ind w:firstLine="480" w:firstLineChars="200"/>
        <w:rPr>
          <w:color w:val="auto"/>
          <w:sz w:val="24"/>
          <w:szCs w:val="24"/>
          <w:highlight w:val="none"/>
        </w:rPr>
      </w:pPr>
      <w:r>
        <w:rPr>
          <w:color w:val="auto"/>
          <w:sz w:val="24"/>
          <w:szCs w:val="24"/>
          <w:highlight w:val="none"/>
        </w:rPr>
        <w:t>35.10《广州市工程建设项目招标投标管理办法》（穗建规字〔2023〕12号）；</w:t>
      </w:r>
    </w:p>
    <w:p>
      <w:pPr>
        <w:spacing w:line="360" w:lineRule="auto"/>
        <w:ind w:firstLine="480" w:firstLineChars="200"/>
        <w:rPr>
          <w:color w:val="auto"/>
          <w:sz w:val="24"/>
          <w:szCs w:val="24"/>
          <w:highlight w:val="none"/>
        </w:rPr>
      </w:pPr>
      <w:r>
        <w:rPr>
          <w:rFonts w:hint="eastAsia"/>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pPr>
        <w:spacing w:line="360" w:lineRule="auto"/>
        <w:ind w:firstLine="480" w:firstLineChars="200"/>
        <w:rPr>
          <w:color w:val="auto"/>
          <w:sz w:val="24"/>
          <w:szCs w:val="24"/>
          <w:highlight w:val="none"/>
        </w:rPr>
      </w:pPr>
      <w:r>
        <w:rPr>
          <w:color w:val="auto"/>
          <w:sz w:val="24"/>
          <w:szCs w:val="24"/>
          <w:highlight w:val="none"/>
        </w:rPr>
        <w:t>35.12本项目招标文件。</w:t>
      </w:r>
    </w:p>
    <w:p>
      <w:pPr>
        <w:spacing w:line="360" w:lineRule="auto"/>
        <w:ind w:firstLine="480" w:firstLineChars="200"/>
        <w:rPr>
          <w:color w:val="auto"/>
          <w:sz w:val="24"/>
          <w:szCs w:val="24"/>
          <w:highlight w:val="none"/>
        </w:rPr>
      </w:pPr>
      <w:r>
        <w:rPr>
          <w:color w:val="auto"/>
          <w:sz w:val="24"/>
          <w:szCs w:val="24"/>
          <w:highlight w:val="none"/>
        </w:rPr>
        <w:t>36</w:t>
      </w:r>
      <w:r>
        <w:rPr>
          <w:rFonts w:hint="eastAsia"/>
          <w:color w:val="auto"/>
          <w:sz w:val="24"/>
          <w:szCs w:val="24"/>
          <w:highlight w:val="none"/>
        </w:rPr>
        <w:t>．开标</w:t>
      </w:r>
    </w:p>
    <w:p>
      <w:pPr>
        <w:spacing w:line="360" w:lineRule="auto"/>
        <w:ind w:firstLine="480" w:firstLineChars="200"/>
        <w:rPr>
          <w:color w:val="auto"/>
          <w:sz w:val="24"/>
          <w:szCs w:val="24"/>
          <w:highlight w:val="none"/>
        </w:rPr>
      </w:pPr>
      <w:r>
        <w:rPr>
          <w:color w:val="auto"/>
          <w:sz w:val="24"/>
          <w:szCs w:val="24"/>
          <w:highlight w:val="none"/>
        </w:rPr>
        <w:t xml:space="preserve">36.1 </w:t>
      </w:r>
      <w:r>
        <w:rPr>
          <w:rFonts w:hint="eastAsia"/>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color w:val="auto"/>
          <w:sz w:val="24"/>
          <w:szCs w:val="24"/>
          <w:highlight w:val="none"/>
        </w:rPr>
      </w:pPr>
      <w:r>
        <w:rPr>
          <w:color w:val="auto"/>
          <w:sz w:val="24"/>
          <w:szCs w:val="24"/>
          <w:highlight w:val="none"/>
        </w:rPr>
        <w:t>36.2</w:t>
      </w:r>
      <w:r>
        <w:rPr>
          <w:rFonts w:hint="eastAsia"/>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color w:val="auto"/>
          <w:sz w:val="24"/>
          <w:szCs w:val="24"/>
          <w:highlight w:val="none"/>
        </w:rPr>
      </w:pPr>
      <w:r>
        <w:rPr>
          <w:rFonts w:hint="eastAsia"/>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color w:val="auto"/>
          <w:sz w:val="24"/>
          <w:szCs w:val="24"/>
          <w:highlight w:val="none"/>
        </w:rPr>
      </w:pPr>
      <w:r>
        <w:rPr>
          <w:rFonts w:hint="eastAsia"/>
          <w:color w:val="auto"/>
          <w:sz w:val="24"/>
          <w:szCs w:val="24"/>
          <w:highlight w:val="none"/>
        </w:rPr>
        <w:t>36.4若递交投标文件的投标人不足3家，则重新组织招标。（当</w:t>
      </w:r>
      <w:r>
        <w:rPr>
          <w:color w:val="auto"/>
          <w:sz w:val="24"/>
          <w:szCs w:val="24"/>
          <w:highlight w:val="none"/>
        </w:rPr>
        <w:t>N</w:t>
      </w:r>
      <w:r>
        <w:rPr>
          <w:rFonts w:hint="eastAsia"/>
          <w:color w:val="auto"/>
          <w:sz w:val="24"/>
          <w:szCs w:val="24"/>
          <w:highlight w:val="none"/>
        </w:rPr>
        <w:t>个标段同时招标且不允许兼中时，若有效投标人不足</w:t>
      </w:r>
      <w:r>
        <w:rPr>
          <w:color w:val="auto"/>
          <w:sz w:val="24"/>
          <w:szCs w:val="24"/>
          <w:highlight w:val="none"/>
        </w:rPr>
        <w:t>N+</w:t>
      </w:r>
      <w:r>
        <w:rPr>
          <w:rFonts w:hint="eastAsia"/>
          <w:color w:val="auto"/>
          <w:sz w:val="24"/>
          <w:szCs w:val="24"/>
          <w:highlight w:val="none"/>
        </w:rPr>
        <w:t>2家，则重新组织招标）</w:t>
      </w:r>
    </w:p>
    <w:p>
      <w:pPr>
        <w:spacing w:line="360" w:lineRule="auto"/>
        <w:ind w:firstLine="480" w:firstLineChars="200"/>
        <w:rPr>
          <w:color w:val="auto"/>
          <w:sz w:val="24"/>
          <w:highlight w:val="none"/>
        </w:rPr>
      </w:pPr>
      <w:r>
        <w:rPr>
          <w:rFonts w:hint="eastAsia"/>
          <w:color w:val="auto"/>
          <w:sz w:val="24"/>
          <w:highlight w:val="none"/>
        </w:rPr>
        <w:t>36.5按下列程序进行开标：</w:t>
      </w:r>
    </w:p>
    <w:p>
      <w:pPr>
        <w:spacing w:line="360" w:lineRule="auto"/>
        <w:ind w:firstLine="480" w:firstLineChars="200"/>
        <w:rPr>
          <w:color w:val="auto"/>
          <w:sz w:val="24"/>
          <w:highlight w:val="none"/>
        </w:rPr>
      </w:pPr>
      <w:r>
        <w:rPr>
          <w:rFonts w:hint="eastAsia"/>
          <w:color w:val="auto"/>
          <w:sz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color w:val="auto"/>
          <w:sz w:val="24"/>
          <w:highlight w:val="none"/>
        </w:rPr>
      </w:pPr>
      <w:r>
        <w:rPr>
          <w:rFonts w:hint="eastAsia"/>
          <w:color w:val="auto"/>
          <w:sz w:val="24"/>
          <w:highlight w:val="none"/>
        </w:rPr>
        <w:t>36.5.2备用光盘的读取按投标须知前附表第36项的规定执行；</w:t>
      </w:r>
    </w:p>
    <w:p>
      <w:pPr>
        <w:spacing w:line="360" w:lineRule="auto"/>
        <w:ind w:firstLine="480" w:firstLineChars="200"/>
        <w:rPr>
          <w:color w:val="auto"/>
          <w:sz w:val="24"/>
          <w:highlight w:val="none"/>
        </w:rPr>
      </w:pPr>
      <w:r>
        <w:rPr>
          <w:rFonts w:hint="eastAsia"/>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color w:val="auto"/>
          <w:sz w:val="24"/>
          <w:highlight w:val="none"/>
        </w:rPr>
      </w:pPr>
      <w:r>
        <w:rPr>
          <w:rFonts w:hint="eastAsia"/>
          <w:color w:val="auto"/>
          <w:sz w:val="24"/>
          <w:highlight w:val="none"/>
        </w:rPr>
        <w:t>36.5.4开标结束。</w:t>
      </w:r>
    </w:p>
    <w:p>
      <w:pPr>
        <w:spacing w:line="360" w:lineRule="auto"/>
        <w:ind w:firstLine="480" w:firstLineChars="200"/>
        <w:rPr>
          <w:color w:val="auto"/>
          <w:sz w:val="24"/>
          <w:highlight w:val="none"/>
        </w:rPr>
      </w:pPr>
      <w:r>
        <w:rPr>
          <w:rFonts w:hint="eastAsia"/>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color w:val="auto"/>
          <w:sz w:val="24"/>
          <w:highlight w:val="none"/>
        </w:rPr>
      </w:pPr>
      <w:r>
        <w:rPr>
          <w:rFonts w:hint="eastAsia"/>
          <w:color w:val="auto"/>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color w:val="auto"/>
          <w:sz w:val="24"/>
          <w:szCs w:val="24"/>
          <w:highlight w:val="none"/>
        </w:rPr>
      </w:pPr>
      <w:r>
        <w:rPr>
          <w:color w:val="auto"/>
          <w:sz w:val="24"/>
          <w:szCs w:val="24"/>
          <w:highlight w:val="none"/>
        </w:rPr>
        <w:t>37</w:t>
      </w:r>
      <w:r>
        <w:rPr>
          <w:rFonts w:hint="eastAsia"/>
          <w:color w:val="auto"/>
          <w:sz w:val="24"/>
          <w:szCs w:val="24"/>
          <w:highlight w:val="none"/>
        </w:rPr>
        <w:t>．评标</w:t>
      </w:r>
    </w:p>
    <w:p>
      <w:pPr>
        <w:spacing w:line="360" w:lineRule="auto"/>
        <w:ind w:firstLine="480" w:firstLineChars="200"/>
        <w:rPr>
          <w:rFonts w:hint="eastAsia"/>
          <w:color w:val="auto"/>
          <w:sz w:val="24"/>
          <w:szCs w:val="24"/>
          <w:highlight w:val="none"/>
        </w:rPr>
      </w:pPr>
      <w:r>
        <w:rPr>
          <w:color w:val="auto"/>
          <w:sz w:val="24"/>
          <w:szCs w:val="24"/>
          <w:highlight w:val="none"/>
        </w:rPr>
        <w:t>37.1</w:t>
      </w:r>
      <w:r>
        <w:rPr>
          <w:rFonts w:hint="eastAsia"/>
          <w:color w:val="auto"/>
          <w:sz w:val="24"/>
          <w:szCs w:val="24"/>
          <w:highlight w:val="none"/>
        </w:rPr>
        <w:t>评标委员会由招标人依法组建。</w:t>
      </w:r>
    </w:p>
    <w:p>
      <w:pPr>
        <w:spacing w:line="360" w:lineRule="auto"/>
        <w:ind w:firstLine="480" w:firstLineChars="200"/>
        <w:rPr>
          <w:color w:val="auto"/>
          <w:sz w:val="24"/>
          <w:szCs w:val="24"/>
          <w:highlight w:val="none"/>
        </w:rPr>
      </w:pPr>
      <w:r>
        <w:rPr>
          <w:color w:val="auto"/>
          <w:sz w:val="24"/>
          <w:szCs w:val="24"/>
          <w:highlight w:val="none"/>
        </w:rPr>
        <w:t>37.2评标委员会</w:t>
      </w:r>
      <w:r>
        <w:rPr>
          <w:rFonts w:hint="default"/>
          <w:color w:val="auto"/>
          <w:sz w:val="24"/>
          <w:szCs w:val="24"/>
          <w:highlight w:val="none"/>
        </w:rPr>
        <w:t>在开始评标前，应了解评标专家</w:t>
      </w:r>
      <w:r>
        <w:rPr>
          <w:color w:val="auto"/>
          <w:sz w:val="24"/>
          <w:szCs w:val="24"/>
          <w:highlight w:val="none"/>
        </w:rPr>
        <w:t>的职责及守则</w:t>
      </w:r>
      <w:r>
        <w:rPr>
          <w:rFonts w:hint="default"/>
          <w:color w:val="auto"/>
          <w:sz w:val="24"/>
          <w:szCs w:val="24"/>
          <w:highlight w:val="none"/>
        </w:rPr>
        <w:t>，认真阅读附件</w:t>
      </w:r>
      <w:r>
        <w:rPr>
          <w:color w:val="auto"/>
          <w:sz w:val="24"/>
          <w:szCs w:val="24"/>
          <w:highlight w:val="none"/>
        </w:rPr>
        <w:t>1《</w:t>
      </w:r>
      <w:r>
        <w:rPr>
          <w:rFonts w:hint="default"/>
          <w:color w:val="auto"/>
          <w:sz w:val="24"/>
          <w:szCs w:val="24"/>
          <w:highlight w:val="none"/>
        </w:rPr>
        <w:t>评标委员会成员声明》的内容并签名，签字后方可进行评标；</w:t>
      </w:r>
    </w:p>
    <w:p>
      <w:pPr>
        <w:spacing w:line="360" w:lineRule="auto"/>
        <w:ind w:firstLine="480" w:firstLineChars="200"/>
        <w:rPr>
          <w:color w:val="auto"/>
          <w:sz w:val="24"/>
          <w:szCs w:val="24"/>
          <w:highlight w:val="none"/>
        </w:rPr>
      </w:pPr>
      <w:r>
        <w:rPr>
          <w:color w:val="auto"/>
          <w:sz w:val="24"/>
          <w:szCs w:val="24"/>
          <w:highlight w:val="none"/>
        </w:rPr>
        <w:t>37.</w:t>
      </w:r>
      <w:r>
        <w:rPr>
          <w:rFonts w:hint="eastAsia"/>
          <w:color w:val="auto"/>
          <w:sz w:val="24"/>
          <w:szCs w:val="24"/>
          <w:highlight w:val="none"/>
          <w:lang w:val="en-US" w:eastAsia="zh-CN"/>
        </w:rPr>
        <w:t>3</w:t>
      </w:r>
      <w:r>
        <w:rPr>
          <w:rFonts w:hint="eastAsia"/>
          <w:color w:val="auto"/>
          <w:sz w:val="24"/>
          <w:szCs w:val="24"/>
          <w:highlight w:val="none"/>
        </w:rPr>
        <w:t>评标委员会的职责及守则：</w:t>
      </w:r>
    </w:p>
    <w:p>
      <w:pPr>
        <w:spacing w:line="360" w:lineRule="auto"/>
        <w:ind w:firstLine="480" w:firstLineChars="200"/>
        <w:rPr>
          <w:color w:val="auto"/>
          <w:sz w:val="24"/>
          <w:szCs w:val="24"/>
          <w:highlight w:val="none"/>
        </w:rPr>
      </w:pPr>
      <w:r>
        <w:rPr>
          <w:color w:val="auto"/>
          <w:sz w:val="24"/>
          <w:szCs w:val="24"/>
          <w:highlight w:val="none"/>
        </w:rPr>
        <w:t>37.</w:t>
      </w:r>
      <w:r>
        <w:rPr>
          <w:rFonts w:hint="eastAsia"/>
          <w:color w:val="auto"/>
          <w:sz w:val="24"/>
          <w:szCs w:val="24"/>
          <w:highlight w:val="none"/>
          <w:lang w:val="en-US" w:eastAsia="zh-CN"/>
        </w:rPr>
        <w:t>3</w:t>
      </w:r>
      <w:r>
        <w:rPr>
          <w:color w:val="auto"/>
          <w:sz w:val="24"/>
          <w:szCs w:val="24"/>
          <w:highlight w:val="none"/>
        </w:rPr>
        <w:t>.1</w:t>
      </w:r>
      <w:r>
        <w:rPr>
          <w:rFonts w:hint="eastAsia"/>
          <w:color w:val="auto"/>
          <w:sz w:val="24"/>
          <w:szCs w:val="24"/>
          <w:highlight w:val="none"/>
        </w:rPr>
        <w:t>根据评标细则，对</w:t>
      </w:r>
      <w:r>
        <w:rPr>
          <w:rFonts w:hint="eastAsia"/>
          <w:color w:val="auto"/>
          <w:sz w:val="24"/>
          <w:highlight w:val="none"/>
        </w:rPr>
        <w:t>投标文件</w:t>
      </w:r>
      <w:r>
        <w:rPr>
          <w:rFonts w:hint="eastAsia"/>
          <w:color w:val="auto"/>
          <w:sz w:val="24"/>
          <w:szCs w:val="24"/>
          <w:highlight w:val="none"/>
        </w:rPr>
        <w:t>进行认真评审，完成评审报告；</w:t>
      </w:r>
    </w:p>
    <w:p>
      <w:pPr>
        <w:spacing w:line="360" w:lineRule="auto"/>
        <w:ind w:firstLine="480" w:firstLineChars="200"/>
        <w:rPr>
          <w:color w:val="auto"/>
          <w:sz w:val="24"/>
          <w:szCs w:val="24"/>
          <w:highlight w:val="none"/>
        </w:rPr>
      </w:pPr>
      <w:r>
        <w:rPr>
          <w:color w:val="auto"/>
          <w:sz w:val="24"/>
          <w:szCs w:val="24"/>
          <w:highlight w:val="none"/>
        </w:rPr>
        <w:t>37.</w:t>
      </w:r>
      <w:r>
        <w:rPr>
          <w:rFonts w:hint="eastAsia"/>
          <w:color w:val="auto"/>
          <w:sz w:val="24"/>
          <w:szCs w:val="24"/>
          <w:highlight w:val="none"/>
          <w:lang w:val="en-US" w:eastAsia="zh-CN"/>
        </w:rPr>
        <w:t>3</w:t>
      </w:r>
      <w:r>
        <w:rPr>
          <w:color w:val="auto"/>
          <w:sz w:val="24"/>
          <w:szCs w:val="24"/>
          <w:highlight w:val="none"/>
        </w:rPr>
        <w:t>.2</w:t>
      </w:r>
      <w:r>
        <w:rPr>
          <w:rFonts w:hint="eastAsia"/>
          <w:color w:val="auto"/>
          <w:sz w:val="24"/>
          <w:szCs w:val="24"/>
          <w:highlight w:val="none"/>
        </w:rPr>
        <w:t>向招标人报告评审意见，推荐合格的中标候选人。</w:t>
      </w:r>
    </w:p>
    <w:p>
      <w:pPr>
        <w:spacing w:line="360" w:lineRule="auto"/>
        <w:ind w:firstLine="480" w:firstLineChars="200"/>
        <w:rPr>
          <w:color w:val="auto"/>
          <w:sz w:val="24"/>
          <w:szCs w:val="24"/>
          <w:highlight w:val="none"/>
        </w:rPr>
      </w:pPr>
      <w:r>
        <w:rPr>
          <w:bCs/>
          <w:color w:val="auto"/>
          <w:sz w:val="24"/>
          <w:szCs w:val="24"/>
          <w:highlight w:val="none"/>
        </w:rPr>
        <w:t>37.</w:t>
      </w:r>
      <w:r>
        <w:rPr>
          <w:rFonts w:hint="eastAsia"/>
          <w:bCs/>
          <w:color w:val="auto"/>
          <w:sz w:val="24"/>
          <w:szCs w:val="24"/>
          <w:highlight w:val="none"/>
          <w:lang w:val="en-US" w:eastAsia="zh-CN"/>
        </w:rPr>
        <w:t>3</w:t>
      </w:r>
      <w:r>
        <w:rPr>
          <w:bCs/>
          <w:color w:val="auto"/>
          <w:sz w:val="24"/>
          <w:szCs w:val="24"/>
          <w:highlight w:val="none"/>
        </w:rPr>
        <w:t>.3</w:t>
      </w:r>
      <w:r>
        <w:rPr>
          <w:b/>
          <w:bCs/>
          <w:color w:val="auto"/>
          <w:sz w:val="24"/>
          <w:szCs w:val="24"/>
          <w:highlight w:val="none"/>
        </w:rPr>
        <w:t xml:space="preserve"> </w:t>
      </w:r>
      <w:r>
        <w:rPr>
          <w:rFonts w:hint="eastAsia"/>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color w:val="auto"/>
          <w:sz w:val="24"/>
          <w:szCs w:val="24"/>
          <w:highlight w:val="none"/>
        </w:rPr>
      </w:pPr>
      <w:r>
        <w:rPr>
          <w:color w:val="auto"/>
          <w:sz w:val="24"/>
          <w:szCs w:val="24"/>
          <w:highlight w:val="none"/>
        </w:rPr>
        <w:t>37.</w:t>
      </w:r>
      <w:r>
        <w:rPr>
          <w:rFonts w:hint="eastAsia"/>
          <w:color w:val="auto"/>
          <w:sz w:val="24"/>
          <w:szCs w:val="24"/>
          <w:highlight w:val="none"/>
          <w:lang w:val="en-US" w:eastAsia="zh-CN"/>
        </w:rPr>
        <w:t>3</w:t>
      </w:r>
      <w:r>
        <w:rPr>
          <w:color w:val="auto"/>
          <w:sz w:val="24"/>
          <w:szCs w:val="24"/>
          <w:highlight w:val="none"/>
        </w:rPr>
        <w:t>.4</w:t>
      </w:r>
      <w:r>
        <w:rPr>
          <w:rFonts w:hint="eastAsia"/>
          <w:color w:val="auto"/>
          <w:sz w:val="24"/>
          <w:szCs w:val="24"/>
          <w:highlight w:val="none"/>
        </w:rPr>
        <w:t>全体参与评标人员：</w:t>
      </w:r>
    </w:p>
    <w:p>
      <w:pPr>
        <w:spacing w:line="360" w:lineRule="auto"/>
        <w:ind w:firstLine="480" w:firstLineChars="200"/>
        <w:rPr>
          <w:color w:val="auto"/>
          <w:sz w:val="24"/>
          <w:szCs w:val="24"/>
          <w:highlight w:val="none"/>
        </w:rPr>
      </w:pPr>
      <w:r>
        <w:rPr>
          <w:color w:val="auto"/>
          <w:sz w:val="24"/>
          <w:szCs w:val="24"/>
          <w:highlight w:val="none"/>
        </w:rPr>
        <w:t>37.</w:t>
      </w:r>
      <w:r>
        <w:rPr>
          <w:rFonts w:hint="eastAsia"/>
          <w:color w:val="auto"/>
          <w:sz w:val="24"/>
          <w:szCs w:val="24"/>
          <w:highlight w:val="none"/>
          <w:lang w:val="en-US" w:eastAsia="zh-CN"/>
        </w:rPr>
        <w:t>3</w:t>
      </w:r>
      <w:r>
        <w:rPr>
          <w:color w:val="auto"/>
          <w:sz w:val="24"/>
          <w:szCs w:val="24"/>
          <w:highlight w:val="none"/>
        </w:rPr>
        <w:t xml:space="preserve">.4.1 </w:t>
      </w:r>
      <w:r>
        <w:rPr>
          <w:rFonts w:hint="eastAsia"/>
          <w:color w:val="auto"/>
          <w:sz w:val="24"/>
          <w:szCs w:val="24"/>
          <w:highlight w:val="none"/>
        </w:rPr>
        <w:t>必须遵守评标纪律、不得泄密；</w:t>
      </w:r>
    </w:p>
    <w:p>
      <w:pPr>
        <w:spacing w:line="360" w:lineRule="auto"/>
        <w:ind w:firstLine="480" w:firstLineChars="200"/>
        <w:rPr>
          <w:color w:val="auto"/>
          <w:sz w:val="24"/>
          <w:szCs w:val="24"/>
          <w:highlight w:val="none"/>
        </w:rPr>
      </w:pPr>
      <w:r>
        <w:rPr>
          <w:color w:val="auto"/>
          <w:sz w:val="24"/>
          <w:szCs w:val="24"/>
          <w:highlight w:val="none"/>
        </w:rPr>
        <w:t>37.</w:t>
      </w:r>
      <w:r>
        <w:rPr>
          <w:rFonts w:hint="eastAsia"/>
          <w:color w:val="auto"/>
          <w:sz w:val="24"/>
          <w:szCs w:val="24"/>
          <w:highlight w:val="none"/>
          <w:lang w:val="en-US" w:eastAsia="zh-CN"/>
        </w:rPr>
        <w:t>3</w:t>
      </w:r>
      <w:r>
        <w:rPr>
          <w:color w:val="auto"/>
          <w:sz w:val="24"/>
          <w:szCs w:val="24"/>
          <w:highlight w:val="none"/>
        </w:rPr>
        <w:t xml:space="preserve">.4.2 </w:t>
      </w:r>
      <w:r>
        <w:rPr>
          <w:rFonts w:hint="eastAsia"/>
          <w:color w:val="auto"/>
          <w:sz w:val="24"/>
          <w:szCs w:val="24"/>
          <w:highlight w:val="none"/>
        </w:rPr>
        <w:t>必须公正、不得循私；</w:t>
      </w:r>
    </w:p>
    <w:p>
      <w:pPr>
        <w:spacing w:line="360" w:lineRule="auto"/>
        <w:ind w:firstLine="480" w:firstLineChars="200"/>
        <w:rPr>
          <w:color w:val="auto"/>
          <w:sz w:val="24"/>
          <w:szCs w:val="24"/>
          <w:highlight w:val="none"/>
        </w:rPr>
      </w:pPr>
      <w:r>
        <w:rPr>
          <w:color w:val="auto"/>
          <w:sz w:val="24"/>
          <w:szCs w:val="24"/>
          <w:highlight w:val="none"/>
        </w:rPr>
        <w:t>37.</w:t>
      </w:r>
      <w:r>
        <w:rPr>
          <w:rFonts w:hint="eastAsia"/>
          <w:color w:val="auto"/>
          <w:sz w:val="24"/>
          <w:szCs w:val="24"/>
          <w:highlight w:val="none"/>
          <w:lang w:val="en-US" w:eastAsia="zh-CN"/>
        </w:rPr>
        <w:t>3</w:t>
      </w:r>
      <w:r>
        <w:rPr>
          <w:color w:val="auto"/>
          <w:sz w:val="24"/>
          <w:szCs w:val="24"/>
          <w:highlight w:val="none"/>
        </w:rPr>
        <w:t xml:space="preserve">.4.3 </w:t>
      </w:r>
      <w:r>
        <w:rPr>
          <w:rFonts w:hint="eastAsia"/>
          <w:color w:val="auto"/>
          <w:sz w:val="24"/>
          <w:szCs w:val="24"/>
          <w:highlight w:val="none"/>
        </w:rPr>
        <w:t>必须科学、不得草率；</w:t>
      </w:r>
    </w:p>
    <w:p>
      <w:pPr>
        <w:spacing w:line="360" w:lineRule="auto"/>
        <w:ind w:firstLine="480" w:firstLineChars="200"/>
        <w:rPr>
          <w:color w:val="auto"/>
          <w:sz w:val="24"/>
          <w:szCs w:val="24"/>
          <w:highlight w:val="none"/>
        </w:rPr>
      </w:pPr>
      <w:r>
        <w:rPr>
          <w:color w:val="auto"/>
          <w:sz w:val="24"/>
          <w:szCs w:val="24"/>
          <w:highlight w:val="none"/>
        </w:rPr>
        <w:t>37.</w:t>
      </w:r>
      <w:r>
        <w:rPr>
          <w:rFonts w:hint="eastAsia"/>
          <w:color w:val="auto"/>
          <w:sz w:val="24"/>
          <w:szCs w:val="24"/>
          <w:highlight w:val="none"/>
          <w:lang w:val="en-US" w:eastAsia="zh-CN"/>
        </w:rPr>
        <w:t>3</w:t>
      </w:r>
      <w:r>
        <w:rPr>
          <w:color w:val="auto"/>
          <w:sz w:val="24"/>
          <w:szCs w:val="24"/>
          <w:highlight w:val="none"/>
        </w:rPr>
        <w:t xml:space="preserve">.4.4 </w:t>
      </w:r>
      <w:r>
        <w:rPr>
          <w:rFonts w:hint="eastAsia"/>
          <w:color w:val="auto"/>
          <w:sz w:val="24"/>
          <w:szCs w:val="24"/>
          <w:highlight w:val="none"/>
        </w:rPr>
        <w:t>必须客观、不得带有成见；</w:t>
      </w:r>
    </w:p>
    <w:p>
      <w:pPr>
        <w:spacing w:line="360" w:lineRule="auto"/>
        <w:ind w:firstLine="480" w:firstLineChars="200"/>
        <w:rPr>
          <w:color w:val="auto"/>
          <w:sz w:val="24"/>
          <w:szCs w:val="24"/>
          <w:highlight w:val="none"/>
        </w:rPr>
      </w:pPr>
      <w:r>
        <w:rPr>
          <w:color w:val="auto"/>
          <w:sz w:val="24"/>
          <w:szCs w:val="24"/>
          <w:highlight w:val="none"/>
        </w:rPr>
        <w:t>37.</w:t>
      </w:r>
      <w:r>
        <w:rPr>
          <w:rFonts w:hint="eastAsia"/>
          <w:color w:val="auto"/>
          <w:sz w:val="24"/>
          <w:szCs w:val="24"/>
          <w:highlight w:val="none"/>
          <w:lang w:val="en-US" w:eastAsia="zh-CN"/>
        </w:rPr>
        <w:t>3</w:t>
      </w:r>
      <w:r>
        <w:rPr>
          <w:color w:val="auto"/>
          <w:sz w:val="24"/>
          <w:szCs w:val="24"/>
          <w:highlight w:val="none"/>
        </w:rPr>
        <w:t xml:space="preserve">.4.5 </w:t>
      </w:r>
      <w:r>
        <w:rPr>
          <w:rFonts w:hint="eastAsia"/>
          <w:color w:val="auto"/>
          <w:sz w:val="24"/>
          <w:szCs w:val="24"/>
          <w:highlight w:val="none"/>
        </w:rPr>
        <w:t>必须平等、不得强加于人；</w:t>
      </w:r>
    </w:p>
    <w:p>
      <w:pPr>
        <w:spacing w:line="360" w:lineRule="auto"/>
        <w:ind w:firstLine="480" w:firstLineChars="200"/>
        <w:rPr>
          <w:color w:val="auto"/>
          <w:sz w:val="24"/>
          <w:szCs w:val="24"/>
          <w:highlight w:val="none"/>
        </w:rPr>
      </w:pPr>
      <w:r>
        <w:rPr>
          <w:color w:val="auto"/>
          <w:sz w:val="24"/>
          <w:szCs w:val="24"/>
          <w:highlight w:val="none"/>
        </w:rPr>
        <w:t>37.</w:t>
      </w:r>
      <w:r>
        <w:rPr>
          <w:rFonts w:hint="eastAsia"/>
          <w:color w:val="auto"/>
          <w:sz w:val="24"/>
          <w:szCs w:val="24"/>
          <w:highlight w:val="none"/>
          <w:lang w:val="en-US" w:eastAsia="zh-CN"/>
        </w:rPr>
        <w:t>3</w:t>
      </w:r>
      <w:r>
        <w:rPr>
          <w:color w:val="auto"/>
          <w:sz w:val="24"/>
          <w:szCs w:val="24"/>
          <w:highlight w:val="none"/>
        </w:rPr>
        <w:t xml:space="preserve">.4.6 </w:t>
      </w:r>
      <w:r>
        <w:rPr>
          <w:rFonts w:hint="eastAsia"/>
          <w:color w:val="auto"/>
          <w:sz w:val="24"/>
          <w:szCs w:val="24"/>
          <w:highlight w:val="none"/>
        </w:rPr>
        <w:t>必须严谨、不得随意马虎。</w:t>
      </w:r>
    </w:p>
    <w:p>
      <w:pPr>
        <w:spacing w:line="360" w:lineRule="auto"/>
        <w:ind w:firstLine="480" w:firstLineChars="200"/>
        <w:rPr>
          <w:color w:val="auto"/>
          <w:sz w:val="24"/>
          <w:szCs w:val="24"/>
          <w:highlight w:val="none"/>
        </w:rPr>
      </w:pPr>
      <w:r>
        <w:rPr>
          <w:rFonts w:hint="eastAsia"/>
          <w:color w:val="auto"/>
          <w:sz w:val="24"/>
          <w:szCs w:val="24"/>
          <w:highlight w:val="none"/>
        </w:rPr>
        <w:t>37.</w:t>
      </w:r>
      <w:r>
        <w:rPr>
          <w:rFonts w:hint="eastAsia"/>
          <w:color w:val="auto"/>
          <w:sz w:val="24"/>
          <w:szCs w:val="24"/>
          <w:highlight w:val="none"/>
          <w:lang w:val="en-US" w:eastAsia="zh-CN"/>
        </w:rPr>
        <w:t>4</w:t>
      </w:r>
      <w:r>
        <w:rPr>
          <w:rFonts w:hint="eastAsia"/>
          <w:color w:val="auto"/>
          <w:sz w:val="24"/>
          <w:szCs w:val="24"/>
          <w:highlight w:val="none"/>
        </w:rPr>
        <w:t xml:space="preserve">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color w:val="auto"/>
          <w:sz w:val="24"/>
          <w:szCs w:val="24"/>
          <w:highlight w:val="none"/>
        </w:rPr>
      </w:pPr>
      <w:r>
        <w:rPr>
          <w:rFonts w:hint="eastAsia"/>
          <w:color w:val="auto"/>
          <w:sz w:val="24"/>
          <w:szCs w:val="24"/>
          <w:highlight w:val="none"/>
        </w:rPr>
        <w:t>37.</w:t>
      </w:r>
      <w:r>
        <w:rPr>
          <w:rFonts w:hint="eastAsia"/>
          <w:color w:val="auto"/>
          <w:sz w:val="24"/>
          <w:szCs w:val="24"/>
          <w:highlight w:val="none"/>
          <w:lang w:val="en-US" w:eastAsia="zh-CN"/>
        </w:rPr>
        <w:t>5</w:t>
      </w:r>
      <w:r>
        <w:rPr>
          <w:rFonts w:hint="eastAsia"/>
          <w:color w:val="auto"/>
          <w:sz w:val="24"/>
          <w:szCs w:val="24"/>
          <w:highlight w:val="none"/>
        </w:rPr>
        <w:t>评标结束后，评标委员会递交评标报告并依法推荐中标候选人。</w:t>
      </w:r>
      <w:r>
        <w:rPr>
          <w:color w:val="auto"/>
          <w:sz w:val="24"/>
          <w:szCs w:val="24"/>
          <w:highlight w:val="none"/>
        </w:rPr>
        <w:t xml:space="preserve"> </w:t>
      </w:r>
    </w:p>
    <w:p>
      <w:pPr>
        <w:spacing w:line="360" w:lineRule="auto"/>
        <w:ind w:firstLine="480" w:firstLineChars="200"/>
        <w:rPr>
          <w:color w:val="auto"/>
          <w:sz w:val="24"/>
          <w:szCs w:val="24"/>
          <w:highlight w:val="none"/>
        </w:rPr>
      </w:pPr>
      <w:r>
        <w:rPr>
          <w:color w:val="auto"/>
          <w:sz w:val="24"/>
          <w:szCs w:val="24"/>
          <w:highlight w:val="none"/>
        </w:rPr>
        <w:t>38</w:t>
      </w:r>
      <w:r>
        <w:rPr>
          <w:rFonts w:hint="eastAsia"/>
          <w:color w:val="auto"/>
          <w:sz w:val="24"/>
          <w:szCs w:val="24"/>
          <w:highlight w:val="none"/>
        </w:rPr>
        <w:t>．投标文件的澄清</w:t>
      </w:r>
    </w:p>
    <w:p>
      <w:pPr>
        <w:spacing w:line="360" w:lineRule="auto"/>
        <w:ind w:firstLine="480" w:firstLineChars="200"/>
        <w:rPr>
          <w:color w:val="auto"/>
          <w:sz w:val="24"/>
          <w:szCs w:val="24"/>
          <w:highlight w:val="none"/>
        </w:rPr>
      </w:pPr>
      <w:r>
        <w:rPr>
          <w:color w:val="auto"/>
          <w:sz w:val="24"/>
          <w:szCs w:val="24"/>
          <w:highlight w:val="none"/>
        </w:rPr>
        <w:t>38.1</w:t>
      </w:r>
      <w:r>
        <w:rPr>
          <w:rFonts w:hint="eastAsia"/>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color w:val="auto"/>
          <w:sz w:val="24"/>
          <w:szCs w:val="24"/>
          <w:highlight w:val="none"/>
        </w:rPr>
      </w:pPr>
      <w:r>
        <w:rPr>
          <w:color w:val="auto"/>
          <w:sz w:val="24"/>
          <w:szCs w:val="24"/>
          <w:highlight w:val="none"/>
        </w:rPr>
        <w:t xml:space="preserve">38.2 </w:t>
      </w:r>
      <w:r>
        <w:rPr>
          <w:rFonts w:hint="eastAsia"/>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color w:val="auto"/>
          <w:sz w:val="24"/>
          <w:szCs w:val="24"/>
          <w:highlight w:val="none"/>
        </w:rPr>
      </w:pPr>
      <w:r>
        <w:rPr>
          <w:color w:val="auto"/>
          <w:sz w:val="24"/>
          <w:szCs w:val="24"/>
          <w:highlight w:val="none"/>
        </w:rPr>
        <w:t xml:space="preserve">38.3 </w:t>
      </w:r>
      <w:r>
        <w:rPr>
          <w:rFonts w:hint="eastAsia"/>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color w:val="auto"/>
          <w:sz w:val="24"/>
          <w:szCs w:val="24"/>
          <w:highlight w:val="none"/>
        </w:rPr>
      </w:pPr>
      <w:r>
        <w:rPr>
          <w:color w:val="auto"/>
          <w:sz w:val="24"/>
          <w:szCs w:val="24"/>
          <w:highlight w:val="none"/>
        </w:rPr>
        <w:t>38.4</w:t>
      </w:r>
      <w:r>
        <w:rPr>
          <w:rFonts w:hint="eastAsia"/>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color w:val="auto"/>
          <w:sz w:val="24"/>
          <w:szCs w:val="24"/>
          <w:highlight w:val="none"/>
        </w:rPr>
      </w:pPr>
      <w:r>
        <w:rPr>
          <w:rFonts w:hint="eastAsia"/>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color w:val="auto"/>
          <w:sz w:val="24"/>
          <w:szCs w:val="24"/>
          <w:highlight w:val="none"/>
        </w:rPr>
      </w:pPr>
      <w:r>
        <w:rPr>
          <w:color w:val="auto"/>
          <w:sz w:val="24"/>
          <w:szCs w:val="24"/>
          <w:highlight w:val="none"/>
        </w:rPr>
        <w:t>39</w:t>
      </w:r>
      <w:r>
        <w:rPr>
          <w:rFonts w:hint="eastAsia"/>
          <w:color w:val="auto"/>
          <w:sz w:val="24"/>
          <w:szCs w:val="24"/>
          <w:highlight w:val="none"/>
        </w:rPr>
        <w:t>．定标</w:t>
      </w:r>
    </w:p>
    <w:p>
      <w:pPr>
        <w:spacing w:line="360" w:lineRule="auto"/>
        <w:ind w:firstLine="480" w:firstLineChars="200"/>
        <w:rPr>
          <w:color w:val="auto"/>
          <w:sz w:val="24"/>
          <w:szCs w:val="24"/>
          <w:highlight w:val="none"/>
        </w:rPr>
      </w:pPr>
      <w:r>
        <w:rPr>
          <w:color w:val="auto"/>
          <w:sz w:val="24"/>
          <w:szCs w:val="24"/>
          <w:highlight w:val="none"/>
        </w:rPr>
        <w:t xml:space="preserve">39.1 </w:t>
      </w:r>
      <w:r>
        <w:rPr>
          <w:rFonts w:hint="eastAsia"/>
          <w:color w:val="auto"/>
          <w:sz w:val="24"/>
          <w:szCs w:val="24"/>
          <w:highlight w:val="none"/>
        </w:rPr>
        <w:t>招标人根据评标委员会递交的评标报告，最终审定中标人。</w:t>
      </w:r>
    </w:p>
    <w:p>
      <w:pPr>
        <w:spacing w:line="360" w:lineRule="auto"/>
        <w:ind w:firstLine="480" w:firstLineChars="200"/>
        <w:rPr>
          <w:color w:val="auto"/>
          <w:sz w:val="24"/>
          <w:szCs w:val="24"/>
          <w:highlight w:val="none"/>
        </w:rPr>
      </w:pPr>
      <w:r>
        <w:rPr>
          <w:color w:val="auto"/>
          <w:sz w:val="24"/>
          <w:szCs w:val="24"/>
          <w:highlight w:val="none"/>
        </w:rPr>
        <w:t xml:space="preserve">39.2 </w:t>
      </w:r>
      <w:r>
        <w:rPr>
          <w:rFonts w:hint="eastAsia"/>
          <w:color w:val="auto"/>
          <w:sz w:val="24"/>
          <w:szCs w:val="24"/>
          <w:highlight w:val="none"/>
        </w:rPr>
        <w:t>依法必须进行公开招标的项目，招标人应当确定排名第一的中标候选人为中标人。</w:t>
      </w:r>
    </w:p>
    <w:p>
      <w:pPr>
        <w:spacing w:line="360" w:lineRule="auto"/>
        <w:ind w:firstLine="480" w:firstLineChars="200"/>
        <w:rPr>
          <w:color w:val="auto"/>
          <w:sz w:val="24"/>
          <w:szCs w:val="24"/>
          <w:highlight w:val="none"/>
        </w:rPr>
      </w:pPr>
      <w:r>
        <w:rPr>
          <w:color w:val="auto"/>
          <w:sz w:val="24"/>
          <w:szCs w:val="24"/>
          <w:highlight w:val="none"/>
        </w:rPr>
        <w:t>39.3</w:t>
      </w:r>
      <w:r>
        <w:rPr>
          <w:rFonts w:hint="eastAsia"/>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color w:val="auto"/>
          <w:sz w:val="24"/>
          <w:szCs w:val="24"/>
          <w:highlight w:val="none"/>
        </w:rPr>
      </w:pPr>
      <w:r>
        <w:rPr>
          <w:color w:val="auto"/>
          <w:sz w:val="24"/>
          <w:szCs w:val="24"/>
          <w:highlight w:val="none"/>
        </w:rPr>
        <w:t>39.4</w:t>
      </w:r>
      <w:r>
        <w:rPr>
          <w:rFonts w:hint="eastAsia"/>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color w:val="auto"/>
          <w:sz w:val="24"/>
          <w:szCs w:val="24"/>
          <w:highlight w:val="none"/>
        </w:rPr>
      </w:pPr>
      <w:r>
        <w:rPr>
          <w:rFonts w:hint="eastAsia"/>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7"/>
        <w:spacing w:before="156" w:after="156"/>
        <w:ind w:firstLine="540" w:firstLineChars="200"/>
        <w:rPr>
          <w:color w:val="auto"/>
          <w:highlight w:val="none"/>
        </w:rPr>
      </w:pPr>
      <w:bookmarkStart w:id="13" w:name="_Toc31441"/>
      <w:r>
        <w:rPr>
          <w:rFonts w:hint="eastAsia"/>
          <w:color w:val="auto"/>
          <w:highlight w:val="none"/>
        </w:rPr>
        <w:t>（二）开标评标办法程序和细则</w:t>
      </w:r>
      <w:bookmarkEnd w:id="13"/>
    </w:p>
    <w:p>
      <w:pPr>
        <w:spacing w:line="360" w:lineRule="auto"/>
        <w:ind w:firstLine="480" w:firstLineChars="200"/>
        <w:rPr>
          <w:color w:val="auto"/>
          <w:sz w:val="24"/>
          <w:szCs w:val="24"/>
          <w:highlight w:val="none"/>
        </w:rPr>
      </w:pPr>
      <w:r>
        <w:rPr>
          <w:rFonts w:hint="eastAsia"/>
          <w:color w:val="auto"/>
          <w:sz w:val="24"/>
          <w:szCs w:val="24"/>
          <w:highlight w:val="none"/>
        </w:rPr>
        <w:t>注：以下八种评标办法所述企业综合诚信评价分数即投标截止当日广州市工程招标代理行业协会网站上公布的企业综合诚信评价</w:t>
      </w:r>
      <w:r>
        <w:rPr>
          <w:color w:val="auto"/>
          <w:sz w:val="24"/>
          <w:szCs w:val="24"/>
          <w:highlight w:val="none"/>
        </w:rPr>
        <w:t>60</w:t>
      </w:r>
      <w:r>
        <w:rPr>
          <w:rFonts w:hint="eastAsia"/>
          <w:color w:val="auto"/>
          <w:sz w:val="24"/>
          <w:szCs w:val="24"/>
          <w:highlight w:val="none"/>
        </w:rPr>
        <w:t>日诚信分。</w:t>
      </w:r>
    </w:p>
    <w:p>
      <w:pPr>
        <w:widowControl/>
        <w:spacing w:before="100" w:beforeAutospacing="1" w:after="100" w:afterAutospacing="1"/>
        <w:ind w:firstLine="540" w:firstLineChars="200"/>
        <w:jc w:val="left"/>
        <w:outlineLvl w:val="2"/>
        <w:rPr>
          <w:rFonts w:cs="宋体"/>
          <w:color w:val="auto"/>
          <w:kern w:val="0"/>
          <w:sz w:val="27"/>
          <w:szCs w:val="27"/>
          <w:highlight w:val="none"/>
        </w:rPr>
      </w:pPr>
      <w:bookmarkStart w:id="14" w:name="_Toc16290"/>
      <w:r>
        <w:rPr>
          <w:rFonts w:hint="eastAsia" w:cs="宋体"/>
          <w:color w:val="auto"/>
          <w:kern w:val="0"/>
          <w:sz w:val="27"/>
          <w:szCs w:val="27"/>
          <w:highlight w:val="none"/>
        </w:rPr>
        <w:t>可选办法七（适合综合评分法四，技术标与经济标同时开启）</w:t>
      </w:r>
      <w:bookmarkEnd w:id="14"/>
    </w:p>
    <w:p>
      <w:pPr>
        <w:snapToGrid w:val="0"/>
        <w:spacing w:line="360" w:lineRule="auto"/>
        <w:ind w:firstLine="480" w:firstLineChars="200"/>
        <w:rPr>
          <w:color w:val="auto"/>
          <w:sz w:val="24"/>
          <w:szCs w:val="24"/>
          <w:highlight w:val="none"/>
        </w:rPr>
      </w:pPr>
      <w:r>
        <w:rPr>
          <w:rFonts w:hint="eastAsia"/>
          <w:color w:val="auto"/>
          <w:sz w:val="24"/>
          <w:szCs w:val="24"/>
          <w:highlight w:val="none"/>
        </w:rPr>
        <w:t>40．开标和评标程序</w:t>
      </w:r>
    </w:p>
    <w:p>
      <w:pPr>
        <w:snapToGrid w:val="0"/>
        <w:spacing w:line="360" w:lineRule="auto"/>
        <w:ind w:firstLine="480" w:firstLineChars="200"/>
        <w:rPr>
          <w:color w:val="auto"/>
          <w:sz w:val="24"/>
          <w:szCs w:val="24"/>
          <w:highlight w:val="none"/>
        </w:rPr>
      </w:pPr>
      <w:r>
        <w:rPr>
          <w:rFonts w:hint="eastAsia"/>
          <w:color w:val="auto"/>
          <w:sz w:val="24"/>
          <w:szCs w:val="24"/>
          <w:highlight w:val="none"/>
        </w:rPr>
        <w:t>40.1技术标（含资格审查文件）与经济标投标文件同时公开开标；</w:t>
      </w:r>
    </w:p>
    <w:p>
      <w:pPr>
        <w:snapToGrid w:val="0"/>
        <w:spacing w:line="360" w:lineRule="auto"/>
        <w:ind w:firstLine="480" w:firstLineChars="200"/>
        <w:rPr>
          <w:color w:val="auto"/>
          <w:sz w:val="24"/>
          <w:szCs w:val="24"/>
          <w:highlight w:val="none"/>
        </w:rPr>
      </w:pPr>
      <w:r>
        <w:rPr>
          <w:rFonts w:hint="eastAsia"/>
          <w:color w:val="auto"/>
          <w:sz w:val="24"/>
          <w:szCs w:val="24"/>
          <w:highlight w:val="none"/>
        </w:rPr>
        <w:t>40.2由评标委员会对所有已公开开标的投标人进行资格审查；</w:t>
      </w:r>
    </w:p>
    <w:p>
      <w:pPr>
        <w:snapToGrid w:val="0"/>
        <w:spacing w:line="360" w:lineRule="auto"/>
        <w:ind w:firstLine="480" w:firstLineChars="200"/>
        <w:rPr>
          <w:color w:val="auto"/>
          <w:sz w:val="24"/>
          <w:szCs w:val="24"/>
          <w:highlight w:val="none"/>
        </w:rPr>
      </w:pPr>
      <w:r>
        <w:rPr>
          <w:rFonts w:hint="eastAsia"/>
          <w:color w:val="auto"/>
          <w:sz w:val="24"/>
          <w:szCs w:val="24"/>
          <w:highlight w:val="none"/>
        </w:rPr>
        <w:t>40.3技术标投标文件有效性审查；</w:t>
      </w:r>
    </w:p>
    <w:p>
      <w:pPr>
        <w:snapToGrid w:val="0"/>
        <w:spacing w:line="360" w:lineRule="auto"/>
        <w:ind w:firstLine="480" w:firstLineChars="200"/>
        <w:rPr>
          <w:color w:val="auto"/>
          <w:sz w:val="24"/>
          <w:szCs w:val="24"/>
          <w:highlight w:val="none"/>
        </w:rPr>
      </w:pPr>
      <w:r>
        <w:rPr>
          <w:rFonts w:hint="eastAsia"/>
          <w:color w:val="auto"/>
          <w:sz w:val="24"/>
          <w:szCs w:val="24"/>
          <w:highlight w:val="none"/>
        </w:rPr>
        <w:t>40.4技术标详细审查评分；</w:t>
      </w:r>
    </w:p>
    <w:p>
      <w:pPr>
        <w:snapToGrid w:val="0"/>
        <w:spacing w:line="360" w:lineRule="auto"/>
        <w:ind w:firstLine="480" w:firstLineChars="200"/>
        <w:rPr>
          <w:color w:val="auto"/>
          <w:sz w:val="24"/>
          <w:szCs w:val="24"/>
          <w:highlight w:val="none"/>
        </w:rPr>
      </w:pPr>
      <w:r>
        <w:rPr>
          <w:rFonts w:hint="eastAsia"/>
          <w:color w:val="auto"/>
          <w:sz w:val="24"/>
          <w:szCs w:val="24"/>
          <w:highlight w:val="none"/>
        </w:rPr>
        <w:t>40.5经济标详细审查评分；</w:t>
      </w:r>
      <w:r>
        <w:rPr>
          <w:color w:val="auto"/>
          <w:sz w:val="24"/>
          <w:szCs w:val="24"/>
          <w:highlight w:val="none"/>
        </w:rPr>
        <w:t xml:space="preserve"> </w:t>
      </w:r>
    </w:p>
    <w:p>
      <w:pPr>
        <w:snapToGrid w:val="0"/>
        <w:spacing w:line="360" w:lineRule="auto"/>
        <w:ind w:firstLine="480" w:firstLineChars="200"/>
        <w:rPr>
          <w:color w:val="auto"/>
          <w:sz w:val="24"/>
          <w:szCs w:val="24"/>
          <w:highlight w:val="none"/>
        </w:rPr>
      </w:pPr>
      <w:r>
        <w:rPr>
          <w:rFonts w:hint="eastAsia"/>
          <w:color w:val="auto"/>
          <w:sz w:val="24"/>
          <w:szCs w:val="24"/>
          <w:highlight w:val="none"/>
        </w:rPr>
        <w:t>40.6评标委员会按照投标人总得分由高至低排序；</w:t>
      </w:r>
    </w:p>
    <w:p>
      <w:pPr>
        <w:snapToGrid w:val="0"/>
        <w:spacing w:line="360" w:lineRule="auto"/>
        <w:ind w:firstLine="480" w:firstLineChars="200"/>
        <w:rPr>
          <w:color w:val="auto"/>
          <w:sz w:val="24"/>
          <w:szCs w:val="24"/>
          <w:highlight w:val="none"/>
        </w:rPr>
      </w:pPr>
      <w:r>
        <w:rPr>
          <w:rFonts w:hint="eastAsia"/>
          <w:color w:val="auto"/>
          <w:sz w:val="24"/>
          <w:szCs w:val="24"/>
          <w:highlight w:val="none"/>
        </w:rPr>
        <w:t>40.7经济标投标文件有效性审查；</w:t>
      </w:r>
    </w:p>
    <w:p>
      <w:pPr>
        <w:snapToGrid w:val="0"/>
        <w:spacing w:line="360" w:lineRule="auto"/>
        <w:ind w:firstLine="480" w:firstLineChars="200"/>
        <w:rPr>
          <w:color w:val="auto"/>
          <w:szCs w:val="21"/>
          <w:highlight w:val="none"/>
        </w:rPr>
      </w:pPr>
      <w:r>
        <w:rPr>
          <w:rFonts w:hint="eastAsia"/>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color w:val="auto"/>
          <w:sz w:val="24"/>
          <w:szCs w:val="24"/>
          <w:highlight w:val="none"/>
        </w:rPr>
      </w:pPr>
      <w:r>
        <w:rPr>
          <w:rFonts w:hint="eastAsia"/>
          <w:color w:val="auto"/>
          <w:sz w:val="24"/>
          <w:szCs w:val="24"/>
          <w:highlight w:val="none"/>
        </w:rPr>
        <w:t>41．开标细则</w:t>
      </w:r>
    </w:p>
    <w:p>
      <w:pPr>
        <w:snapToGrid w:val="0"/>
        <w:spacing w:line="360" w:lineRule="auto"/>
        <w:ind w:firstLine="480" w:firstLineChars="200"/>
        <w:rPr>
          <w:color w:val="auto"/>
          <w:sz w:val="24"/>
          <w:szCs w:val="24"/>
          <w:highlight w:val="none"/>
        </w:rPr>
      </w:pPr>
      <w:r>
        <w:rPr>
          <w:rFonts w:hint="eastAsia"/>
          <w:color w:val="auto"/>
          <w:sz w:val="24"/>
          <w:szCs w:val="24"/>
          <w:highlight w:val="none"/>
        </w:rPr>
        <w:t>41.1开标由招标人主持；</w:t>
      </w:r>
    </w:p>
    <w:p>
      <w:pPr>
        <w:snapToGrid w:val="0"/>
        <w:spacing w:line="360" w:lineRule="auto"/>
        <w:ind w:firstLine="480" w:firstLineChars="200"/>
        <w:rPr>
          <w:color w:val="auto"/>
          <w:sz w:val="24"/>
          <w:szCs w:val="24"/>
          <w:highlight w:val="none"/>
        </w:rPr>
      </w:pPr>
      <w:r>
        <w:rPr>
          <w:rFonts w:hint="eastAsia"/>
          <w:color w:val="auto"/>
          <w:sz w:val="24"/>
          <w:szCs w:val="24"/>
          <w:highlight w:val="none"/>
        </w:rPr>
        <w:t>41.2 细则</w:t>
      </w:r>
    </w:p>
    <w:p>
      <w:pPr>
        <w:snapToGrid w:val="0"/>
        <w:spacing w:line="360" w:lineRule="auto"/>
        <w:ind w:firstLine="480" w:firstLineChars="200"/>
        <w:rPr>
          <w:color w:val="auto"/>
          <w:sz w:val="24"/>
          <w:szCs w:val="24"/>
          <w:highlight w:val="none"/>
        </w:rPr>
      </w:pPr>
      <w:r>
        <w:rPr>
          <w:rFonts w:hint="eastAsia"/>
          <w:color w:val="auto"/>
          <w:sz w:val="24"/>
          <w:szCs w:val="24"/>
          <w:highlight w:val="none"/>
        </w:rPr>
        <w:t>41.2.1投标截止期前，各投标人递交投标文件（包括技术标投标文件、经济标投标文件）至</w:t>
      </w:r>
      <w:r>
        <w:rPr>
          <w:rFonts w:hint="eastAsia"/>
          <w:color w:val="auto"/>
          <w:sz w:val="24"/>
          <w:szCs w:val="24"/>
          <w:highlight w:val="none"/>
          <w:u w:val="single"/>
        </w:rPr>
        <w:t xml:space="preserve">        </w:t>
      </w:r>
      <w:r>
        <w:rPr>
          <w:rFonts w:hint="eastAsia"/>
          <w:color w:val="auto"/>
          <w:sz w:val="24"/>
          <w:szCs w:val="24"/>
          <w:highlight w:val="none"/>
        </w:rPr>
        <w:t xml:space="preserve">交易平台。有关投标文件提交的事项详见第一章投标须知。 </w:t>
      </w:r>
    </w:p>
    <w:p>
      <w:pPr>
        <w:snapToGrid w:val="0"/>
        <w:spacing w:line="360" w:lineRule="auto"/>
        <w:ind w:firstLine="480" w:firstLineChars="200"/>
        <w:rPr>
          <w:color w:val="auto"/>
          <w:sz w:val="24"/>
          <w:szCs w:val="24"/>
          <w:highlight w:val="none"/>
        </w:rPr>
      </w:pPr>
      <w:r>
        <w:rPr>
          <w:rFonts w:hint="eastAsia"/>
          <w:color w:val="auto"/>
          <w:sz w:val="24"/>
          <w:szCs w:val="24"/>
          <w:highlight w:val="none"/>
        </w:rPr>
        <w:t>41.2.2开标前，首先由招标人随机抽取确定该工程计算评标参考价的等分点值X。</w:t>
      </w:r>
    </w:p>
    <w:p>
      <w:pPr>
        <w:snapToGrid w:val="0"/>
        <w:spacing w:line="360" w:lineRule="auto"/>
        <w:ind w:firstLine="480" w:firstLineChars="200"/>
        <w:rPr>
          <w:color w:val="auto"/>
          <w:sz w:val="24"/>
          <w:szCs w:val="24"/>
          <w:highlight w:val="none"/>
        </w:rPr>
      </w:pPr>
      <w:r>
        <w:rPr>
          <w:rFonts w:hint="eastAsia"/>
          <w:color w:val="auto"/>
          <w:sz w:val="24"/>
          <w:szCs w:val="24"/>
          <w:highlight w:val="none"/>
        </w:rPr>
        <w:t>41.2.3开标时，投标人代表有权参加现场开标或</w:t>
      </w:r>
      <w:r>
        <w:rPr>
          <w:rFonts w:hint="eastAsia"/>
          <w:b/>
          <w:bCs/>
          <w:color w:val="auto"/>
          <w:sz w:val="24"/>
          <w:szCs w:val="24"/>
          <w:highlight w:val="none"/>
        </w:rPr>
        <w:t>在线开标</w:t>
      </w:r>
      <w:r>
        <w:rPr>
          <w:rFonts w:hint="eastAsia"/>
          <w:color w:val="auto"/>
          <w:sz w:val="24"/>
          <w:szCs w:val="24"/>
          <w:highlight w:val="none"/>
        </w:rPr>
        <w:t>，也可以自主决定不参加开标，若投标人代表对开标过程有异议的，</w:t>
      </w:r>
      <w:r>
        <w:rPr>
          <w:rFonts w:hint="eastAsia"/>
          <w:b/>
          <w:bCs/>
          <w:color w:val="auto"/>
          <w:sz w:val="24"/>
          <w:szCs w:val="24"/>
          <w:highlight w:val="none"/>
        </w:rPr>
        <w:t>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color w:val="auto"/>
          <w:sz w:val="24"/>
          <w:szCs w:val="24"/>
          <w:highlight w:val="none"/>
        </w:rPr>
        <w:t>。</w:t>
      </w:r>
    </w:p>
    <w:p>
      <w:pPr>
        <w:snapToGrid w:val="0"/>
        <w:spacing w:line="360" w:lineRule="auto"/>
        <w:ind w:firstLine="480" w:firstLineChars="200"/>
        <w:rPr>
          <w:color w:val="auto"/>
          <w:sz w:val="24"/>
          <w:szCs w:val="24"/>
          <w:highlight w:val="none"/>
        </w:rPr>
      </w:pPr>
      <w:r>
        <w:rPr>
          <w:rFonts w:hint="eastAsia"/>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color w:val="auto"/>
          <w:sz w:val="24"/>
          <w:szCs w:val="24"/>
          <w:highlight w:val="none"/>
        </w:rPr>
      </w:pPr>
      <w:r>
        <w:rPr>
          <w:rFonts w:hint="eastAsia"/>
          <w:color w:val="auto"/>
          <w:sz w:val="24"/>
          <w:szCs w:val="24"/>
          <w:highlight w:val="none"/>
        </w:rPr>
        <w:t>41.2.4.1开标时，公布：a、投标人名称；b、</w:t>
      </w:r>
      <w:r>
        <w:rPr>
          <w:rFonts w:hint="eastAsia"/>
          <w:color w:val="auto"/>
          <w:sz w:val="24"/>
          <w:highlight w:val="none"/>
        </w:rPr>
        <w:t>投标文件</w:t>
      </w:r>
      <w:r>
        <w:rPr>
          <w:rFonts w:hint="eastAsia"/>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color w:val="auto"/>
          <w:sz w:val="24"/>
          <w:szCs w:val="24"/>
          <w:highlight w:val="none"/>
        </w:rPr>
      </w:pPr>
      <w:r>
        <w:rPr>
          <w:rFonts w:hint="eastAsia"/>
          <w:color w:val="auto"/>
          <w:sz w:val="24"/>
          <w:szCs w:val="24"/>
          <w:highlight w:val="none"/>
        </w:rPr>
        <w:t>41.3招标人对开标过程进行记录，并存档备查，投标人在技术标开标记录上签字。</w:t>
      </w:r>
    </w:p>
    <w:p>
      <w:pPr>
        <w:snapToGrid w:val="0"/>
        <w:spacing w:line="360" w:lineRule="auto"/>
        <w:ind w:firstLine="480" w:firstLineChars="200"/>
        <w:rPr>
          <w:color w:val="auto"/>
          <w:sz w:val="24"/>
          <w:szCs w:val="24"/>
          <w:highlight w:val="none"/>
        </w:rPr>
      </w:pPr>
      <w:r>
        <w:rPr>
          <w:rFonts w:hint="eastAsia"/>
          <w:color w:val="auto"/>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napToGrid w:val="0"/>
        <w:spacing w:line="360" w:lineRule="auto"/>
        <w:ind w:firstLine="480" w:firstLineChars="200"/>
        <w:rPr>
          <w:color w:val="auto"/>
          <w:sz w:val="24"/>
          <w:szCs w:val="24"/>
          <w:highlight w:val="none"/>
        </w:rPr>
      </w:pPr>
      <w:r>
        <w:rPr>
          <w:rFonts w:hint="eastAsia"/>
          <w:color w:val="auto"/>
          <w:sz w:val="24"/>
          <w:szCs w:val="24"/>
          <w:highlight w:val="none"/>
        </w:rPr>
        <w:t>方式一：评标委员会为综合评标委员会，负责资格审查及评标工作。</w:t>
      </w:r>
    </w:p>
    <w:p>
      <w:pPr>
        <w:pStyle w:val="5"/>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pPr>
        <w:pStyle w:val="5"/>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45.1若通过技术标有效性审查的投标人中所有投标报价均大于等于最高投标限价，则本项目招标失败，由招标人依法重新招标。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 xml:space="preserve"> </w:t>
      </w:r>
    </w:p>
    <w:p>
      <w:pPr>
        <w:widowControl/>
        <w:spacing w:line="360" w:lineRule="auto"/>
        <w:ind w:firstLine="482" w:firstLineChars="200"/>
        <w:rPr>
          <w:b/>
          <w:bCs/>
          <w:color w:val="auto"/>
          <w:kern w:val="0"/>
          <w:sz w:val="24"/>
          <w:szCs w:val="24"/>
          <w:highlight w:val="none"/>
        </w:rPr>
      </w:pPr>
      <w:r>
        <w:rPr>
          <w:rFonts w:hint="eastAsia" w:cs="仿宋"/>
          <w:b/>
          <w:bCs/>
          <w:color w:val="auto"/>
          <w:kern w:val="0"/>
          <w:sz w:val="24"/>
          <w:szCs w:val="24"/>
          <w:highlight w:val="none"/>
        </w:rPr>
        <w:t>方法：区间抽取法</w:t>
      </w:r>
    </w:p>
    <w:p>
      <w:pPr>
        <w:widowControl/>
        <w:spacing w:line="360" w:lineRule="auto"/>
        <w:ind w:firstLine="480" w:firstLineChars="200"/>
        <w:rPr>
          <w:color w:val="auto"/>
          <w:kern w:val="0"/>
          <w:sz w:val="24"/>
          <w:szCs w:val="24"/>
          <w:highlight w:val="none"/>
        </w:rPr>
      </w:pPr>
      <w:r>
        <w:rPr>
          <w:rFonts w:hint="eastAsia"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pacing w:line="360" w:lineRule="auto"/>
        <w:ind w:firstLine="480" w:firstLineChars="200"/>
        <w:rPr>
          <w:color w:val="auto"/>
          <w:kern w:val="0"/>
          <w:sz w:val="24"/>
          <w:szCs w:val="24"/>
          <w:highlight w:val="none"/>
          <w:vertAlign w:val="subscript"/>
        </w:rPr>
      </w:pPr>
      <w:r>
        <w:rPr>
          <w:rFonts w:hint="eastAsia" w:cs="仿宋"/>
          <w:color w:val="auto"/>
          <w:kern w:val="0"/>
          <w:sz w:val="24"/>
          <w:szCs w:val="24"/>
          <w:highlight w:val="none"/>
        </w:rPr>
        <w:t>评标参考价</w:t>
      </w:r>
      <w:r>
        <w:rPr>
          <w:rFonts w:cs="仿宋"/>
          <w:color w:val="auto"/>
          <w:kern w:val="0"/>
          <w:sz w:val="24"/>
          <w:szCs w:val="24"/>
          <w:highlight w:val="none"/>
        </w:rPr>
        <w:t>=</w:t>
      </w:r>
      <w:r>
        <w:rPr>
          <w:rFonts w:hint="eastAsia" w:cs="仿宋"/>
          <w:color w:val="auto"/>
          <w:kern w:val="0"/>
          <w:sz w:val="24"/>
          <w:szCs w:val="24"/>
          <w:highlight w:val="none"/>
        </w:rPr>
        <w:t>（</w:t>
      </w:r>
      <w:r>
        <w:rPr>
          <w:rFonts w:cs="仿宋"/>
          <w:color w:val="auto"/>
          <w:kern w:val="0"/>
          <w:sz w:val="24"/>
          <w:szCs w:val="24"/>
          <w:highlight w:val="none"/>
        </w:rPr>
        <w:t>Q</w:t>
      </w:r>
      <w:r>
        <w:rPr>
          <w:rFonts w:hint="eastAsia" w:cs="仿宋"/>
          <w:color w:val="auto"/>
          <w:kern w:val="0"/>
          <w:sz w:val="24"/>
          <w:szCs w:val="24"/>
          <w:highlight w:val="none"/>
          <w:vertAlign w:val="subscript"/>
        </w:rPr>
        <w:t>高</w:t>
      </w:r>
      <w:r>
        <w:rPr>
          <w:rFonts w:cs="仿宋"/>
          <w:color w:val="auto"/>
          <w:kern w:val="0"/>
          <w:sz w:val="24"/>
          <w:szCs w:val="24"/>
          <w:highlight w:val="none"/>
        </w:rPr>
        <w:t>-Q</w:t>
      </w:r>
      <w:r>
        <w:rPr>
          <w:rFonts w:hint="eastAsia" w:cs="仿宋"/>
          <w:color w:val="auto"/>
          <w:kern w:val="0"/>
          <w:sz w:val="24"/>
          <w:szCs w:val="24"/>
          <w:highlight w:val="none"/>
          <w:vertAlign w:val="subscript"/>
        </w:rPr>
        <w:t>低</w:t>
      </w:r>
      <w:r>
        <w:rPr>
          <w:rFonts w:hint="eastAsia" w:cs="仿宋"/>
          <w:color w:val="auto"/>
          <w:kern w:val="0"/>
          <w:sz w:val="24"/>
          <w:szCs w:val="24"/>
          <w:highlight w:val="none"/>
        </w:rPr>
        <w:t>）</w:t>
      </w:r>
      <w:r>
        <w:rPr>
          <w:rFonts w:cs="仿宋"/>
          <w:color w:val="auto"/>
          <w:kern w:val="0"/>
          <w:sz w:val="24"/>
          <w:szCs w:val="24"/>
          <w:highlight w:val="none"/>
        </w:rPr>
        <w:t>/100*</w:t>
      </w:r>
      <w:r>
        <w:rPr>
          <w:rFonts w:hint="eastAsia" w:cs="仿宋"/>
          <w:color w:val="auto"/>
          <w:kern w:val="0"/>
          <w:sz w:val="24"/>
          <w:szCs w:val="24"/>
          <w:highlight w:val="none"/>
        </w:rPr>
        <w:t>Ｘ</w:t>
      </w:r>
      <w:r>
        <w:rPr>
          <w:rFonts w:cs="仿宋"/>
          <w:color w:val="auto"/>
          <w:kern w:val="0"/>
          <w:sz w:val="24"/>
          <w:szCs w:val="24"/>
          <w:highlight w:val="none"/>
        </w:rPr>
        <w:t>+Q</w:t>
      </w:r>
      <w:r>
        <w:rPr>
          <w:rFonts w:hint="eastAsia" w:cs="仿宋"/>
          <w:color w:val="auto"/>
          <w:kern w:val="0"/>
          <w:sz w:val="24"/>
          <w:szCs w:val="24"/>
          <w:highlight w:val="none"/>
          <w:vertAlign w:val="subscript"/>
        </w:rPr>
        <w:t>低</w:t>
      </w:r>
    </w:p>
    <w:p>
      <w:pPr>
        <w:widowControl/>
        <w:spacing w:line="360" w:lineRule="auto"/>
        <w:ind w:firstLine="480" w:firstLineChars="200"/>
        <w:rPr>
          <w:color w:val="auto"/>
          <w:sz w:val="24"/>
          <w:szCs w:val="24"/>
          <w:highlight w:val="none"/>
        </w:rPr>
      </w:pPr>
      <w:r>
        <w:rPr>
          <w:rFonts w:cs="仿宋"/>
          <w:color w:val="auto"/>
          <w:sz w:val="24"/>
          <w:szCs w:val="24"/>
          <w:highlight w:val="none"/>
        </w:rPr>
        <w:t>Q</w:t>
      </w:r>
      <w:r>
        <w:rPr>
          <w:rFonts w:hint="eastAsia" w:cs="仿宋"/>
          <w:color w:val="auto"/>
          <w:sz w:val="24"/>
          <w:szCs w:val="24"/>
          <w:highlight w:val="none"/>
          <w:vertAlign w:val="subscript"/>
        </w:rPr>
        <w:t>低</w:t>
      </w:r>
      <w:r>
        <w:rPr>
          <w:rFonts w:hint="eastAsia"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cs="仿宋"/>
          <w:color w:val="auto"/>
          <w:sz w:val="24"/>
          <w:szCs w:val="24"/>
          <w:highlight w:val="none"/>
        </w:rPr>
      </w:pPr>
      <w:r>
        <w:rPr>
          <w:rFonts w:cs="仿宋"/>
          <w:color w:val="auto"/>
          <w:kern w:val="0"/>
          <w:sz w:val="24"/>
          <w:szCs w:val="24"/>
          <w:highlight w:val="none"/>
        </w:rPr>
        <w:t>Q</w:t>
      </w:r>
      <w:r>
        <w:rPr>
          <w:rFonts w:hint="eastAsia" w:cs="仿宋"/>
          <w:color w:val="auto"/>
          <w:kern w:val="0"/>
          <w:sz w:val="24"/>
          <w:szCs w:val="24"/>
          <w:highlight w:val="none"/>
          <w:vertAlign w:val="subscript"/>
        </w:rPr>
        <w:t>高</w:t>
      </w:r>
      <w:r>
        <w:rPr>
          <w:rFonts w:hint="eastAsia" w:cs="仿宋"/>
          <w:color w:val="auto"/>
          <w:sz w:val="24"/>
          <w:szCs w:val="24"/>
          <w:highlight w:val="none"/>
        </w:rPr>
        <w:t>：为最高投标限价</w:t>
      </w:r>
    </w:p>
    <w:p>
      <w:pPr>
        <w:spacing w:line="360" w:lineRule="auto"/>
        <w:ind w:firstLine="480" w:firstLineChars="200"/>
        <w:rPr>
          <w:color w:val="auto"/>
          <w:sz w:val="24"/>
          <w:szCs w:val="24"/>
          <w:highlight w:val="none"/>
        </w:rPr>
      </w:pPr>
      <w:r>
        <w:rPr>
          <w:rFonts w:cs="仿宋"/>
          <w:color w:val="auto"/>
          <w:sz w:val="24"/>
          <w:szCs w:val="24"/>
          <w:highlight w:val="none"/>
        </w:rPr>
        <w:t>X:</w:t>
      </w:r>
      <w:r>
        <w:rPr>
          <w:rFonts w:hint="eastAsia" w:cs="仿宋"/>
          <w:color w:val="auto"/>
          <w:sz w:val="24"/>
          <w:szCs w:val="24"/>
          <w:highlight w:val="none"/>
        </w:rPr>
        <w:t>为等分点值，在开标前从</w:t>
      </w:r>
      <w:r>
        <w:rPr>
          <w:rFonts w:cs="仿宋"/>
          <w:color w:val="auto"/>
          <w:sz w:val="24"/>
          <w:szCs w:val="24"/>
          <w:highlight w:val="none"/>
        </w:rPr>
        <w:t>[0,100]</w:t>
      </w:r>
      <w:r>
        <w:rPr>
          <w:rFonts w:hint="eastAsia" w:cs="仿宋"/>
          <w:color w:val="auto"/>
          <w:sz w:val="24"/>
          <w:szCs w:val="24"/>
          <w:highlight w:val="none"/>
        </w:rPr>
        <w:t>整数中随机抽取</w:t>
      </w:r>
    </w:p>
    <w:p>
      <w:pPr>
        <w:spacing w:line="360" w:lineRule="auto"/>
        <w:ind w:firstLine="480" w:firstLineChars="200"/>
        <w:rPr>
          <w:color w:val="auto"/>
          <w:sz w:val="24"/>
          <w:szCs w:val="24"/>
          <w:highlight w:val="none"/>
        </w:rPr>
      </w:pPr>
      <w:r>
        <w:rPr>
          <w:rFonts w:hint="eastAsia" w:cs="宋体"/>
          <w:color w:val="auto"/>
          <w:kern w:val="0"/>
          <w:sz w:val="24"/>
          <w:szCs w:val="24"/>
          <w:highlight w:val="none"/>
        </w:rPr>
        <w:t>45.</w:t>
      </w:r>
      <w:r>
        <w:rPr>
          <w:rFonts w:hint="eastAsia" w:cs="宋体"/>
          <w:color w:val="auto"/>
          <w:kern w:val="0"/>
          <w:sz w:val="24"/>
          <w:szCs w:val="24"/>
          <w:highlight w:val="none"/>
          <w:lang w:val="en-US" w:eastAsia="zh-CN"/>
        </w:rPr>
        <w:t>2</w:t>
      </w:r>
      <w:r>
        <w:rPr>
          <w:rFonts w:hint="eastAsia"/>
          <w:color w:val="auto"/>
          <w:sz w:val="24"/>
          <w:szCs w:val="24"/>
          <w:highlight w:val="none"/>
        </w:rPr>
        <w:t>当标价等于评标参考价时得</w:t>
      </w:r>
      <w:r>
        <w:rPr>
          <w:color w:val="auto"/>
          <w:sz w:val="24"/>
          <w:szCs w:val="24"/>
          <w:highlight w:val="none"/>
        </w:rPr>
        <w:t>100</w:t>
      </w:r>
      <w:r>
        <w:rPr>
          <w:rFonts w:hint="eastAsia"/>
          <w:color w:val="auto"/>
          <w:sz w:val="24"/>
          <w:szCs w:val="24"/>
          <w:highlight w:val="none"/>
        </w:rPr>
        <w:t>分，标价每高于评标参考价</w:t>
      </w:r>
      <w:r>
        <w:rPr>
          <w:color w:val="auto"/>
          <w:sz w:val="24"/>
          <w:szCs w:val="24"/>
          <w:highlight w:val="none"/>
        </w:rPr>
        <w:t>1%</w:t>
      </w:r>
      <w:r>
        <w:rPr>
          <w:rFonts w:hint="eastAsia"/>
          <w:color w:val="auto"/>
          <w:sz w:val="24"/>
          <w:szCs w:val="24"/>
          <w:highlight w:val="none"/>
        </w:rPr>
        <w:t>，扣</w:t>
      </w: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分，每低于评标参考价</w:t>
      </w:r>
      <w:r>
        <w:rPr>
          <w:color w:val="auto"/>
          <w:sz w:val="24"/>
          <w:szCs w:val="24"/>
          <w:highlight w:val="none"/>
        </w:rPr>
        <w:t>1%</w:t>
      </w:r>
      <w:r>
        <w:rPr>
          <w:rFonts w:hint="eastAsia"/>
          <w:color w:val="auto"/>
          <w:sz w:val="24"/>
          <w:szCs w:val="24"/>
          <w:highlight w:val="none"/>
        </w:rPr>
        <w:t>，扣</w:t>
      </w:r>
      <w:r>
        <w:rPr>
          <w:rFonts w:hint="eastAsia"/>
          <w:color w:val="auto"/>
          <w:sz w:val="24"/>
          <w:szCs w:val="24"/>
          <w:highlight w:val="none"/>
          <w:lang w:val="en-US" w:eastAsia="zh-CN"/>
        </w:rPr>
        <w:t>1</w:t>
      </w:r>
      <w:r>
        <w:rPr>
          <w:rFonts w:hint="eastAsia"/>
          <w:color w:val="auto"/>
          <w:sz w:val="24"/>
          <w:szCs w:val="24"/>
          <w:highlight w:val="none"/>
        </w:rPr>
        <w:t>分，扣至</w:t>
      </w:r>
      <w:r>
        <w:rPr>
          <w:color w:val="auto"/>
          <w:sz w:val="24"/>
          <w:szCs w:val="24"/>
          <w:highlight w:val="none"/>
        </w:rPr>
        <w:t>0</w:t>
      </w:r>
      <w:r>
        <w:rPr>
          <w:rFonts w:hint="eastAsia"/>
          <w:color w:val="auto"/>
          <w:sz w:val="24"/>
          <w:szCs w:val="24"/>
          <w:highlight w:val="none"/>
        </w:rPr>
        <w:t>分为止，得出经济分，精确到小数点后两位。</w:t>
      </w:r>
    </w:p>
    <w:p>
      <w:pPr>
        <w:pStyle w:val="5"/>
        <w:tabs>
          <w:tab w:val="left" w:pos="7380"/>
        </w:tabs>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w:t>
      </w:r>
      <w:r>
        <w:rPr>
          <w:rFonts w:hint="eastAsia" w:ascii="宋体" w:hAnsi="宋体"/>
          <w:color w:val="auto"/>
          <w:sz w:val="24"/>
          <w:szCs w:val="24"/>
          <w:highlight w:val="none"/>
          <w:lang w:val="en-US" w:eastAsia="zh-CN"/>
        </w:rPr>
        <w:t>1</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pPr>
        <w:pStyle w:val="5"/>
        <w:tabs>
          <w:tab w:val="left" w:pos="7380"/>
        </w:tabs>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46.经济标的有效性审查</w:t>
      </w:r>
    </w:p>
    <w:p>
      <w:pPr>
        <w:spacing w:line="360" w:lineRule="auto"/>
        <w:ind w:firstLine="480" w:firstLineChars="200"/>
        <w:rPr>
          <w:color w:val="auto"/>
          <w:sz w:val="24"/>
          <w:szCs w:val="24"/>
          <w:highlight w:val="none"/>
        </w:rPr>
      </w:pPr>
      <w:r>
        <w:rPr>
          <w:rFonts w:hint="eastAsia"/>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color w:val="auto"/>
          <w:sz w:val="24"/>
          <w:szCs w:val="24"/>
          <w:highlight w:val="none"/>
        </w:rPr>
      </w:pPr>
      <w:r>
        <w:rPr>
          <w:rFonts w:hint="eastAsia"/>
          <w:color w:val="auto"/>
          <w:sz w:val="24"/>
          <w:szCs w:val="24"/>
          <w:highlight w:val="none"/>
        </w:rPr>
        <w:t xml:space="preserve"> </w:t>
      </w:r>
      <w:r>
        <w:rPr>
          <w:color w:val="auto"/>
          <w:sz w:val="24"/>
          <w:szCs w:val="24"/>
          <w:highlight w:val="none"/>
        </w:rPr>
        <w:t>4</w:t>
      </w:r>
      <w:r>
        <w:rPr>
          <w:rFonts w:hint="eastAsia"/>
          <w:color w:val="auto"/>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6.2.1如果数字表示的金额和用文字表示的金额不一致时，应以文字表示的金额为准；</w:t>
      </w:r>
    </w:p>
    <w:p>
      <w:pPr>
        <w:spacing w:line="360" w:lineRule="auto"/>
        <w:ind w:firstLine="480" w:firstLineChars="200"/>
        <w:rPr>
          <w:color w:val="auto"/>
          <w:sz w:val="24"/>
          <w:szCs w:val="24"/>
          <w:highlight w:val="none"/>
        </w:rPr>
      </w:pPr>
      <w:r>
        <w:rPr>
          <w:rFonts w:hint="eastAsia"/>
          <w:color w:val="auto"/>
          <w:sz w:val="24"/>
          <w:szCs w:val="24"/>
          <w:highlight w:val="none"/>
        </w:rPr>
        <w:t xml:space="preserve"> </w:t>
      </w:r>
      <w:r>
        <w:rPr>
          <w:color w:val="auto"/>
          <w:sz w:val="24"/>
          <w:szCs w:val="24"/>
          <w:highlight w:val="none"/>
        </w:rPr>
        <w:t>4</w:t>
      </w:r>
      <w:r>
        <w:rPr>
          <w:rFonts w:hint="eastAsia"/>
          <w:color w:val="auto"/>
          <w:sz w:val="24"/>
          <w:szCs w:val="24"/>
          <w:highlight w:val="none"/>
        </w:rPr>
        <w:t>6.2.2经算术复核的投标人报价与其投标报价不一致时，按就低不就高原则确定其最终报价；</w:t>
      </w:r>
    </w:p>
    <w:p>
      <w:pPr>
        <w:spacing w:line="360" w:lineRule="auto"/>
        <w:ind w:firstLine="480" w:firstLineChars="200"/>
        <w:rPr>
          <w:color w:val="auto"/>
          <w:sz w:val="24"/>
          <w:szCs w:val="24"/>
          <w:highlight w:val="none"/>
        </w:rPr>
      </w:pPr>
      <w:r>
        <w:rPr>
          <w:rFonts w:hint="eastAsia"/>
          <w:color w:val="auto"/>
          <w:sz w:val="24"/>
          <w:szCs w:val="24"/>
          <w:highlight w:val="none"/>
        </w:rPr>
        <w:t xml:space="preserve"> </w:t>
      </w:r>
      <w:r>
        <w:rPr>
          <w:color w:val="auto"/>
          <w:sz w:val="24"/>
          <w:szCs w:val="24"/>
          <w:highlight w:val="none"/>
        </w:rPr>
        <w:t>4</w:t>
      </w:r>
      <w:r>
        <w:rPr>
          <w:rFonts w:hint="eastAsia"/>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color w:val="auto"/>
          <w:sz w:val="24"/>
          <w:szCs w:val="24"/>
          <w:highlight w:val="none"/>
        </w:rPr>
      </w:pPr>
      <w:r>
        <w:rPr>
          <w:rFonts w:hint="eastAsia"/>
          <w:color w:val="auto"/>
          <w:sz w:val="24"/>
          <w:szCs w:val="24"/>
          <w:highlight w:val="none"/>
        </w:rPr>
        <w:t xml:space="preserve"> </w:t>
      </w:r>
      <w:r>
        <w:rPr>
          <w:color w:val="auto"/>
          <w:sz w:val="24"/>
          <w:szCs w:val="24"/>
          <w:highlight w:val="none"/>
        </w:rPr>
        <w:t>4</w:t>
      </w:r>
      <w:r>
        <w:rPr>
          <w:rFonts w:hint="eastAsia"/>
          <w:color w:val="auto"/>
          <w:sz w:val="24"/>
          <w:szCs w:val="24"/>
          <w:highlight w:val="none"/>
        </w:rPr>
        <w:t>6.2.</w:t>
      </w:r>
      <w:r>
        <w:rPr>
          <w:color w:val="auto"/>
          <w:sz w:val="24"/>
          <w:szCs w:val="24"/>
          <w:highlight w:val="none"/>
        </w:rPr>
        <w:t>4</w:t>
      </w:r>
      <w:r>
        <w:rPr>
          <w:rFonts w:hint="eastAsia"/>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color w:val="auto"/>
          <w:sz w:val="24"/>
          <w:szCs w:val="24"/>
          <w:highlight w:val="none"/>
        </w:rPr>
      </w:pPr>
      <w:r>
        <w:rPr>
          <w:rFonts w:hint="eastAsia"/>
          <w:color w:val="auto"/>
          <w:sz w:val="24"/>
          <w:szCs w:val="24"/>
          <w:highlight w:val="none"/>
        </w:rPr>
        <w:t xml:space="preserve"> </w:t>
      </w:r>
      <w:r>
        <w:rPr>
          <w:color w:val="auto"/>
          <w:sz w:val="24"/>
          <w:szCs w:val="24"/>
          <w:highlight w:val="none"/>
        </w:rPr>
        <w:t>4</w:t>
      </w:r>
      <w:r>
        <w:rPr>
          <w:rFonts w:hint="eastAsia"/>
          <w:color w:val="auto"/>
          <w:sz w:val="24"/>
          <w:szCs w:val="24"/>
          <w:highlight w:val="none"/>
        </w:rPr>
        <w:t>6.2.</w:t>
      </w:r>
      <w:r>
        <w:rPr>
          <w:color w:val="auto"/>
          <w:sz w:val="24"/>
          <w:szCs w:val="24"/>
          <w:highlight w:val="none"/>
        </w:rPr>
        <w:t>5</w:t>
      </w:r>
      <w:r>
        <w:rPr>
          <w:rFonts w:hint="eastAsia"/>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6.2.</w:t>
      </w:r>
      <w:r>
        <w:rPr>
          <w:color w:val="auto"/>
          <w:sz w:val="24"/>
          <w:szCs w:val="24"/>
          <w:highlight w:val="none"/>
        </w:rPr>
        <w:t>6</w:t>
      </w:r>
      <w:r>
        <w:rPr>
          <w:rFonts w:hint="eastAsia"/>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6.2.</w:t>
      </w:r>
      <w:r>
        <w:rPr>
          <w:color w:val="auto"/>
          <w:sz w:val="24"/>
          <w:szCs w:val="24"/>
          <w:highlight w:val="none"/>
        </w:rPr>
        <w:t>7</w:t>
      </w:r>
      <w:r>
        <w:rPr>
          <w:rFonts w:hint="eastAsia"/>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6.2.</w:t>
      </w:r>
      <w:r>
        <w:rPr>
          <w:color w:val="auto"/>
          <w:sz w:val="24"/>
          <w:szCs w:val="24"/>
          <w:highlight w:val="none"/>
        </w:rPr>
        <w:t>8</w:t>
      </w:r>
      <w:r>
        <w:rPr>
          <w:rFonts w:hint="eastAsia"/>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8.评标委员会应在通过投标文件经济标有效性审查的投标人中，按步骤45.4确定的投标人第二阶段排序，推荐前</w:t>
      </w:r>
      <w:r>
        <w:rPr>
          <w:color w:val="auto"/>
          <w:sz w:val="24"/>
          <w:szCs w:val="24"/>
          <w:highlight w:val="none"/>
        </w:rPr>
        <w:t>3</w:t>
      </w:r>
      <w:r>
        <w:rPr>
          <w:rFonts w:hint="eastAsia"/>
          <w:color w:val="auto"/>
          <w:sz w:val="24"/>
          <w:szCs w:val="24"/>
          <w:highlight w:val="none"/>
        </w:rPr>
        <w:t>名依次为第一中标候选人至第三中标候选人</w:t>
      </w:r>
      <w:r>
        <w:rPr>
          <w:color w:val="auto"/>
          <w:sz w:val="24"/>
          <w:szCs w:val="24"/>
          <w:highlight w:val="none"/>
        </w:rPr>
        <w:t>,</w:t>
      </w:r>
      <w:r>
        <w:rPr>
          <w:rFonts w:hint="eastAsia"/>
          <w:color w:val="auto"/>
          <w:sz w:val="24"/>
          <w:szCs w:val="24"/>
          <w:highlight w:val="none"/>
        </w:rPr>
        <w:t>并编制评标报告。</w:t>
      </w:r>
    </w:p>
    <w:p>
      <w:pPr>
        <w:spacing w:line="360" w:lineRule="auto"/>
        <w:ind w:firstLine="480" w:firstLineChars="200"/>
        <w:rPr>
          <w:rFonts w:cs="宋体"/>
          <w:color w:val="auto"/>
          <w:sz w:val="24"/>
          <w:szCs w:val="24"/>
          <w:highlight w:val="none"/>
        </w:rPr>
      </w:pPr>
      <w:r>
        <w:rPr>
          <w:color w:val="auto"/>
          <w:sz w:val="24"/>
          <w:szCs w:val="24"/>
          <w:highlight w:val="none"/>
        </w:rPr>
        <w:t>4</w:t>
      </w:r>
      <w:r>
        <w:rPr>
          <w:rFonts w:hint="eastAsia"/>
          <w:color w:val="auto"/>
          <w:sz w:val="24"/>
          <w:szCs w:val="24"/>
          <w:highlight w:val="none"/>
        </w:rPr>
        <w:t>9.若通过经济标有效性审查的投标人不足三家，应当依法重新招标。（当</w:t>
      </w:r>
      <w:r>
        <w:rPr>
          <w:color w:val="auto"/>
          <w:sz w:val="24"/>
          <w:szCs w:val="24"/>
          <w:highlight w:val="none"/>
        </w:rPr>
        <w:t>N</w:t>
      </w:r>
      <w:r>
        <w:rPr>
          <w:rFonts w:hint="eastAsia"/>
          <w:color w:val="auto"/>
          <w:sz w:val="24"/>
          <w:szCs w:val="24"/>
          <w:highlight w:val="none"/>
        </w:rPr>
        <w:t>个标段同时招标且不允许兼中时，若有效投标人不足</w:t>
      </w:r>
      <w:r>
        <w:rPr>
          <w:color w:val="auto"/>
          <w:sz w:val="24"/>
          <w:szCs w:val="24"/>
          <w:highlight w:val="none"/>
        </w:rPr>
        <w:t>N+2</w:t>
      </w:r>
      <w:r>
        <w:rPr>
          <w:rFonts w:hint="eastAsia"/>
          <w:color w:val="auto"/>
          <w:sz w:val="24"/>
          <w:szCs w:val="24"/>
          <w:highlight w:val="none"/>
        </w:rPr>
        <w:t>家，应当依法重新招标）。</w:t>
      </w:r>
    </w:p>
    <w:p>
      <w:pPr>
        <w:widowControl/>
        <w:snapToGrid w:val="0"/>
        <w:spacing w:line="360" w:lineRule="auto"/>
        <w:ind w:right="102"/>
        <w:jc w:val="left"/>
        <w:rPr>
          <w:color w:val="auto"/>
          <w:sz w:val="24"/>
          <w:szCs w:val="24"/>
          <w:highlight w:val="none"/>
        </w:rPr>
      </w:pPr>
    </w:p>
    <w:p>
      <w:pPr>
        <w:widowControl/>
        <w:snapToGrid w:val="0"/>
        <w:spacing w:line="360" w:lineRule="auto"/>
        <w:ind w:right="102"/>
        <w:jc w:val="left"/>
        <w:rPr>
          <w:color w:val="auto"/>
          <w:sz w:val="24"/>
          <w:szCs w:val="24"/>
          <w:highlight w:val="none"/>
        </w:rPr>
        <w:sectPr>
          <w:footerReference r:id="rId10" w:type="first"/>
          <w:footerReference r:id="rId9" w:type="default"/>
          <w:pgSz w:w="12240" w:h="15840"/>
          <w:pgMar w:top="1440" w:right="1800" w:bottom="1440" w:left="1800" w:header="720" w:footer="720" w:gutter="0"/>
          <w:cols w:space="720" w:num="1"/>
        </w:sectPr>
      </w:pPr>
    </w:p>
    <w:p>
      <w:pPr>
        <w:widowControl/>
        <w:snapToGrid w:val="0"/>
        <w:spacing w:line="360" w:lineRule="auto"/>
        <w:ind w:right="102"/>
        <w:jc w:val="left"/>
        <w:rPr>
          <w:color w:val="auto"/>
          <w:szCs w:val="21"/>
          <w:highlight w:val="none"/>
        </w:rPr>
      </w:pPr>
      <w:r>
        <w:rPr>
          <w:rFonts w:hint="eastAsia"/>
          <w:color w:val="auto"/>
          <w:szCs w:val="21"/>
          <w:highlight w:val="none"/>
        </w:rPr>
        <w:t>附表一</w:t>
      </w:r>
    </w:p>
    <w:p>
      <w:pPr>
        <w:jc w:val="center"/>
        <w:rPr>
          <w:b/>
          <w:color w:val="auto"/>
          <w:sz w:val="36"/>
          <w:szCs w:val="36"/>
          <w:highlight w:val="none"/>
        </w:rPr>
      </w:pPr>
      <w:r>
        <w:rPr>
          <w:rFonts w:hint="eastAsia"/>
          <w:b/>
          <w:color w:val="auto"/>
          <w:sz w:val="36"/>
          <w:szCs w:val="36"/>
          <w:highlight w:val="none"/>
        </w:rPr>
        <w:t>资格审查表</w:t>
      </w:r>
    </w:p>
    <w:p>
      <w:pPr>
        <w:rPr>
          <w:color w:val="auto"/>
          <w:sz w:val="24"/>
          <w:szCs w:val="24"/>
          <w:highlight w:val="none"/>
        </w:rPr>
      </w:pPr>
      <w:r>
        <w:rPr>
          <w:rFonts w:hint="eastAsia"/>
          <w:color w:val="auto"/>
          <w:szCs w:val="21"/>
          <w:highlight w:val="none"/>
        </w:rPr>
        <w:t>工程名称：</w:t>
      </w:r>
    </w:p>
    <w:tbl>
      <w:tblPr>
        <w:tblStyle w:val="20"/>
        <w:tblW w:w="15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6214"/>
        <w:gridCol w:w="7113"/>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cs="宋体"/>
                <w:b/>
                <w:color w:val="auto"/>
                <w:szCs w:val="21"/>
                <w:highlight w:val="none"/>
              </w:rPr>
            </w:pPr>
            <w:r>
              <w:rPr>
                <w:rFonts w:hint="eastAsia" w:cs="宋体"/>
                <w:b/>
                <w:color w:val="auto"/>
                <w:szCs w:val="21"/>
                <w:highlight w:val="none"/>
              </w:rPr>
              <w:t>序号</w:t>
            </w:r>
          </w:p>
        </w:tc>
        <w:tc>
          <w:tcPr>
            <w:tcW w:w="6214" w:type="dxa"/>
            <w:tcBorders>
              <w:top w:val="single" w:color="auto" w:sz="4" w:space="0"/>
              <w:left w:val="single" w:color="auto" w:sz="4" w:space="0"/>
              <w:bottom w:val="single" w:color="auto" w:sz="4" w:space="0"/>
              <w:right w:val="single" w:color="auto" w:sz="4" w:space="0"/>
            </w:tcBorders>
            <w:vAlign w:val="center"/>
          </w:tcPr>
          <w:p>
            <w:pPr>
              <w:jc w:val="center"/>
              <w:rPr>
                <w:rFonts w:cs="宋体"/>
                <w:b/>
                <w:color w:val="auto"/>
                <w:szCs w:val="21"/>
                <w:highlight w:val="none"/>
              </w:rPr>
            </w:pPr>
            <w:r>
              <w:rPr>
                <w:rFonts w:hint="eastAsia" w:cs="宋体"/>
                <w:b/>
                <w:color w:val="auto"/>
                <w:szCs w:val="21"/>
                <w:highlight w:val="none"/>
              </w:rPr>
              <w:t>审查项目</w:t>
            </w:r>
          </w:p>
        </w:tc>
        <w:tc>
          <w:tcPr>
            <w:tcW w:w="7113" w:type="dxa"/>
            <w:tcBorders>
              <w:top w:val="single" w:color="auto" w:sz="4" w:space="0"/>
              <w:left w:val="single" w:color="auto" w:sz="4" w:space="0"/>
              <w:bottom w:val="single" w:color="auto" w:sz="4" w:space="0"/>
              <w:right w:val="single" w:color="auto" w:sz="4" w:space="0"/>
            </w:tcBorders>
            <w:vAlign w:val="center"/>
          </w:tcPr>
          <w:p>
            <w:pPr>
              <w:jc w:val="center"/>
              <w:rPr>
                <w:rFonts w:cs="宋体"/>
                <w:b/>
                <w:color w:val="auto"/>
                <w:szCs w:val="21"/>
                <w:highlight w:val="none"/>
              </w:rPr>
            </w:pPr>
            <w:r>
              <w:rPr>
                <w:rFonts w:hint="eastAsia" w:cs="宋体"/>
                <w:b/>
                <w:color w:val="auto"/>
                <w:szCs w:val="21"/>
                <w:highlight w:val="none"/>
              </w:rPr>
              <w:t>须审查的资料</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cs="宋体"/>
                <w:b/>
                <w:color w:val="auto"/>
                <w:szCs w:val="21"/>
                <w:highlight w:val="none"/>
              </w:rPr>
            </w:pPr>
            <w:r>
              <w:rPr>
                <w:rFonts w:hint="eastAsia"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w:t>
            </w:r>
          </w:p>
        </w:tc>
        <w:tc>
          <w:tcPr>
            <w:tcW w:w="6214"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投标人参加投标的意思表达清楚，投标人代表被授权有效</w:t>
            </w:r>
          </w:p>
        </w:tc>
        <w:tc>
          <w:tcPr>
            <w:tcW w:w="7113"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投标人声明、法定代表人证明书；委托投标的还应提供法人授权委托证明书</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2</w:t>
            </w:r>
          </w:p>
        </w:tc>
        <w:tc>
          <w:tcPr>
            <w:tcW w:w="6214"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投标人具有独立法人资格，按国家法律经营</w:t>
            </w:r>
          </w:p>
        </w:tc>
        <w:tc>
          <w:tcPr>
            <w:tcW w:w="7113"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营业执照扫描件或电子证照</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3</w:t>
            </w:r>
          </w:p>
        </w:tc>
        <w:tc>
          <w:tcPr>
            <w:tcW w:w="6214"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投标人持有建设行政主管部门颁发的有效期内的企业资质证书及安全生产许可证；投标人资质符合公告要求</w:t>
            </w:r>
          </w:p>
        </w:tc>
        <w:tc>
          <w:tcPr>
            <w:tcW w:w="7113"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u w:val="single"/>
              </w:rPr>
            </w:pPr>
            <w:r>
              <w:rPr>
                <w:rFonts w:hint="eastAsia" w:cs="宋体"/>
                <w:color w:val="auto"/>
                <w:szCs w:val="21"/>
                <w:highlight w:val="none"/>
                <w:u w:val="single"/>
              </w:rPr>
              <w:t>资质证书扫描件或电子证照、安全生产许可证扫描件或电子证照</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4</w:t>
            </w:r>
          </w:p>
        </w:tc>
        <w:tc>
          <w:tcPr>
            <w:tcW w:w="6214"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投标人拟担任本工程项目负责人符合公告要求</w:t>
            </w:r>
          </w:p>
        </w:tc>
        <w:tc>
          <w:tcPr>
            <w:tcW w:w="7113" w:type="dxa"/>
            <w:tcBorders>
              <w:top w:val="single" w:color="auto" w:sz="4" w:space="0"/>
              <w:left w:val="single" w:color="auto" w:sz="4" w:space="0"/>
              <w:bottom w:val="single" w:color="auto" w:sz="4" w:space="0"/>
              <w:right w:val="single" w:color="auto" w:sz="4" w:space="0"/>
            </w:tcBorders>
            <w:vAlign w:val="center"/>
          </w:tcPr>
          <w:p>
            <w:pPr>
              <w:pStyle w:val="13"/>
              <w:rPr>
                <w:rFonts w:cs="宋体"/>
                <w:color w:val="auto"/>
                <w:sz w:val="21"/>
                <w:szCs w:val="21"/>
                <w:highlight w:val="none"/>
                <w:u w:val="single"/>
              </w:rPr>
            </w:pPr>
            <w:r>
              <w:rPr>
                <w:rFonts w:hint="eastAsia" w:cs="宋体"/>
                <w:color w:val="auto"/>
                <w:sz w:val="21"/>
                <w:szCs w:val="21"/>
                <w:highlight w:val="none"/>
                <w:u w:val="single"/>
              </w:rPr>
              <w:t>有效期内的建造师注册证书扫描件或电子证书（注：打印建造师电子证书后，在个人签名处手写本人签名再扫描提交。）</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5</w:t>
            </w:r>
          </w:p>
        </w:tc>
        <w:tc>
          <w:tcPr>
            <w:tcW w:w="6214"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持有项目负责人安全培训考核合格证（B类）或建筑施工企业项目负责人安全生产考核合格证</w:t>
            </w:r>
          </w:p>
        </w:tc>
        <w:tc>
          <w:tcPr>
            <w:tcW w:w="7113"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项目负责人安全生产考核合格证（B类）或建筑施工企业项目负责人安全生产考核合格证证书扫描件或电子证书</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6</w:t>
            </w:r>
          </w:p>
        </w:tc>
        <w:tc>
          <w:tcPr>
            <w:tcW w:w="6214"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投标人拟担任本工程技术负责人符合公告要求</w:t>
            </w:r>
          </w:p>
        </w:tc>
        <w:tc>
          <w:tcPr>
            <w:tcW w:w="7113"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bCs/>
                <w:color w:val="auto"/>
                <w:szCs w:val="21"/>
                <w:highlight w:val="none"/>
                <w:u w:val="single"/>
              </w:rPr>
              <w:t>拟委派技术负责人的职称证书扫描件</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7</w:t>
            </w:r>
          </w:p>
        </w:tc>
        <w:tc>
          <w:tcPr>
            <w:tcW w:w="6214"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专职安全员须具有在有效期内的安全生产考核合格证（C类）或建筑施工企业专职安全生产管理人员安全生产考核合格证（C3）</w:t>
            </w:r>
          </w:p>
        </w:tc>
        <w:tc>
          <w:tcPr>
            <w:tcW w:w="7113"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专职安全员的安全生产考核合格证（C类）或建筑施工企业专职安全生产管理人员安全生产考核合格证证书扫描件或电子证书</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8</w:t>
            </w:r>
          </w:p>
        </w:tc>
        <w:tc>
          <w:tcPr>
            <w:tcW w:w="621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投标人提供的投标人声明符合公告要求</w:t>
            </w:r>
          </w:p>
        </w:tc>
        <w:tc>
          <w:tcPr>
            <w:tcW w:w="711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投标人声明</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9</w:t>
            </w:r>
          </w:p>
        </w:tc>
        <w:tc>
          <w:tcPr>
            <w:tcW w:w="6214"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投标人声明中签字的项目负责人和技术负责人与本项目拟派的项目负责人和技术负责人一致</w:t>
            </w:r>
          </w:p>
        </w:tc>
        <w:tc>
          <w:tcPr>
            <w:tcW w:w="7113"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网上投标时选择拟投标的项目负责人、资格审查文件中拟委派的技术负责人及投标人声明</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10</w:t>
            </w:r>
          </w:p>
        </w:tc>
        <w:tc>
          <w:tcPr>
            <w:tcW w:w="6214"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szCs w:val="21"/>
                <w:highlight w:val="none"/>
              </w:rPr>
            </w:pPr>
            <w:r>
              <w:rPr>
                <w:rFonts w:hint="eastAsia"/>
                <w:color w:val="auto"/>
                <w:szCs w:val="21"/>
                <w:highlight w:val="none"/>
              </w:rPr>
              <w:t>关于联合体投标：本项目不接受联合体投标。</w:t>
            </w:r>
          </w:p>
        </w:tc>
        <w:tc>
          <w:tcPr>
            <w:tcW w:w="7113"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szCs w:val="21"/>
                <w:highlight w:val="none"/>
              </w:rPr>
            </w:pPr>
            <w:r>
              <w:rPr>
                <w:rFonts w:hint="eastAsia"/>
                <w:color w:val="auto"/>
                <w:szCs w:val="21"/>
                <w:highlight w:val="none"/>
              </w:rPr>
              <w:t>/</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1</w:t>
            </w:r>
          </w:p>
        </w:tc>
        <w:tc>
          <w:tcPr>
            <w:tcW w:w="6214" w:type="dxa"/>
            <w:tcBorders>
              <w:top w:val="single" w:color="auto" w:sz="4" w:space="0"/>
              <w:left w:val="single" w:color="auto" w:sz="4" w:space="0"/>
              <w:bottom w:val="single" w:color="auto" w:sz="4" w:space="0"/>
              <w:right w:val="single" w:color="auto" w:sz="4" w:space="0"/>
            </w:tcBorders>
            <w:vAlign w:val="center"/>
          </w:tcPr>
          <w:p>
            <w:pPr>
              <w:wordWrap w:val="0"/>
              <w:rPr>
                <w:rFonts w:cs="宋体"/>
                <w:color w:val="auto"/>
                <w:szCs w:val="21"/>
                <w:highlight w:val="none"/>
              </w:rPr>
            </w:pPr>
            <w:r>
              <w:rPr>
                <w:rFonts w:hint="eastAsia" w:cs="宋体"/>
                <w:color w:val="auto"/>
                <w:szCs w:val="21"/>
                <w:highlight w:val="none"/>
              </w:rPr>
              <w:t>资格审查前，投标人须在广州交易集团有限公司（广州公共资源交易中心）建立企业信用档案及拟担任本工程项目负责人、专职安全员须是本企业信用档案中的在册人员。</w:t>
            </w:r>
          </w:p>
        </w:tc>
        <w:tc>
          <w:tcPr>
            <w:tcW w:w="7113" w:type="dxa"/>
            <w:tcBorders>
              <w:top w:val="single" w:color="auto" w:sz="4" w:space="0"/>
              <w:left w:val="single" w:color="auto" w:sz="4" w:space="0"/>
              <w:bottom w:val="single" w:color="auto" w:sz="4" w:space="0"/>
              <w:right w:val="single" w:color="auto" w:sz="4" w:space="0"/>
            </w:tcBorders>
            <w:vAlign w:val="center"/>
          </w:tcPr>
          <w:p>
            <w:pPr>
              <w:rPr>
                <w:rFonts w:hAnsi="Courier New"/>
                <w:color w:val="auto"/>
                <w:kern w:val="0"/>
                <w:szCs w:val="21"/>
                <w:highlight w:val="none"/>
              </w:rPr>
            </w:pPr>
            <w:r>
              <w:rPr>
                <w:rFonts w:hint="eastAsia" w:cs="宋体"/>
                <w:color w:val="auto"/>
                <w:sz w:val="24"/>
                <w:szCs w:val="24"/>
                <w:highlight w:val="none"/>
                <w:lang w:val="en-US" w:eastAsia="zh-CN"/>
              </w:rPr>
              <w:t>/</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2</w:t>
            </w:r>
          </w:p>
        </w:tc>
        <w:tc>
          <w:tcPr>
            <w:tcW w:w="6214" w:type="dxa"/>
            <w:tcBorders>
              <w:top w:val="single" w:color="auto" w:sz="4" w:space="0"/>
              <w:left w:val="single" w:color="auto" w:sz="4" w:space="0"/>
              <w:bottom w:val="single" w:color="auto" w:sz="4" w:space="0"/>
              <w:right w:val="single" w:color="auto" w:sz="4" w:space="0"/>
            </w:tcBorders>
            <w:vAlign w:val="center"/>
          </w:tcPr>
          <w:p>
            <w:pPr>
              <w:rPr>
                <w:rFonts w:cs="宋体"/>
                <w:color w:val="auto"/>
                <w:szCs w:val="21"/>
                <w:highlight w:val="none"/>
              </w:rPr>
            </w:pPr>
            <w:r>
              <w:rPr>
                <w:rFonts w:hint="eastAsia" w:cs="宋体"/>
                <w:color w:val="auto"/>
                <w:szCs w:val="21"/>
                <w:highlight w:val="none"/>
              </w:rPr>
              <w:t>投标人未出现以下情形：与其它投标人的单位负责人为同一人或者存在控股、管理关系的（按投标人提供的《投标人声明》第八条内容进行评审）。</w:t>
            </w:r>
          </w:p>
        </w:tc>
        <w:tc>
          <w:tcPr>
            <w:tcW w:w="711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投标人声明</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3</w:t>
            </w:r>
          </w:p>
        </w:tc>
        <w:tc>
          <w:tcPr>
            <w:tcW w:w="6214"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szCs w:val="21"/>
                <w:highlight w:val="none"/>
              </w:rPr>
            </w:pPr>
            <w:r>
              <w:rPr>
                <w:rFonts w:hint="eastAsia" w:cs="宋体"/>
                <w:color w:val="auto"/>
                <w:szCs w:val="21"/>
                <w:highlight w:val="none"/>
                <w:u w:val="single"/>
              </w:rPr>
              <w:t>投标人</w:t>
            </w:r>
            <w:r>
              <w:rPr>
                <w:rFonts w:hint="eastAsia"/>
                <w:color w:val="auto"/>
                <w:szCs w:val="21"/>
                <w:highlight w:val="none"/>
                <w:u w:val="single"/>
              </w:rPr>
              <w:t>未被列入拖欠农</w:t>
            </w:r>
            <w:r>
              <w:rPr>
                <w:color w:val="auto"/>
                <w:highlight w:val="none"/>
              </w:rPr>
              <w:drawing>
                <wp:inline distT="0" distB="0" distL="114300" distR="114300">
                  <wp:extent cx="288290" cy="133985"/>
                  <wp:effectExtent l="0" t="0" r="16510" b="1841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28"/>
                          <a:stretch>
                            <a:fillRect/>
                          </a:stretch>
                        </pic:blipFill>
                        <pic:spPr>
                          <a:xfrm>
                            <a:off x="0" y="0"/>
                            <a:ext cx="288290" cy="133985"/>
                          </a:xfrm>
                          <a:prstGeom prst="rect">
                            <a:avLst/>
                          </a:prstGeom>
                          <a:noFill/>
                          <a:ln>
                            <a:noFill/>
                          </a:ln>
                        </pic:spPr>
                      </pic:pic>
                    </a:graphicData>
                  </a:graphic>
                </wp:inline>
              </w:drawing>
            </w:r>
            <w:r>
              <w:rPr>
                <w:rFonts w:hint="eastAsia"/>
                <w:color w:val="auto"/>
                <w:szCs w:val="21"/>
                <w:highlight w:val="none"/>
                <w:u w:val="single"/>
              </w:rPr>
              <w:t>工资失信联合惩戒对象名单</w:t>
            </w:r>
          </w:p>
        </w:tc>
        <w:tc>
          <w:tcPr>
            <w:tcW w:w="7113"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cs="宋体"/>
                <w:color w:val="auto"/>
                <w:szCs w:val="21"/>
                <w:highlight w:val="none"/>
                <w:lang w:eastAsia="zh-CN"/>
              </w:rPr>
            </w:pPr>
            <w:r>
              <w:rPr>
                <w:rFonts w:hint="eastAsia" w:cs="宋体"/>
                <w:color w:val="auto"/>
                <w:szCs w:val="21"/>
                <w:highlight w:val="none"/>
                <w:u w:val="single"/>
              </w:rPr>
              <w:t>未被列入拖欠农</w:t>
            </w:r>
            <w:r>
              <w:rPr>
                <w:color w:val="auto"/>
                <w:highlight w:val="none"/>
              </w:rPr>
              <w:drawing>
                <wp:inline distT="0" distB="0" distL="114300" distR="114300">
                  <wp:extent cx="288290" cy="133985"/>
                  <wp:effectExtent l="0" t="0" r="16510" b="1841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28"/>
                          <a:stretch>
                            <a:fillRect/>
                          </a:stretch>
                        </pic:blipFill>
                        <pic:spPr>
                          <a:xfrm>
                            <a:off x="0" y="0"/>
                            <a:ext cx="288290" cy="133985"/>
                          </a:xfrm>
                          <a:prstGeom prst="rect">
                            <a:avLst/>
                          </a:prstGeom>
                          <a:noFill/>
                          <a:ln>
                            <a:noFill/>
                          </a:ln>
                        </pic:spPr>
                      </pic:pic>
                    </a:graphicData>
                  </a:graphic>
                </wp:inline>
              </w:drawing>
            </w:r>
            <w:r>
              <w:rPr>
                <w:rFonts w:hint="eastAsia" w:cs="宋体"/>
                <w:color w:val="auto"/>
                <w:szCs w:val="21"/>
                <w:highlight w:val="none"/>
                <w:u w:val="single"/>
              </w:rPr>
              <w:t>工资失信联合惩戒对象名单。（投标人无需提交资料，资格审查时，根据交易中心系统比对结果为准）</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p>
        </w:tc>
      </w:tr>
    </w:tbl>
    <w:p>
      <w:pPr>
        <w:ind w:firstLine="420" w:firstLineChars="200"/>
        <w:rPr>
          <w:color w:val="auto"/>
          <w:szCs w:val="21"/>
          <w:highlight w:val="none"/>
        </w:rPr>
      </w:pPr>
      <w:r>
        <w:rPr>
          <w:rFonts w:hint="eastAsia"/>
          <w:color w:val="auto"/>
          <w:szCs w:val="21"/>
          <w:highlight w:val="none"/>
        </w:rPr>
        <w:t xml:space="preserve">注：1、每一项目符合的打“○”，不符合的打“×”； </w:t>
      </w:r>
    </w:p>
    <w:p>
      <w:pPr>
        <w:ind w:firstLine="420" w:firstLineChars="200"/>
        <w:rPr>
          <w:color w:val="auto"/>
          <w:szCs w:val="21"/>
          <w:highlight w:val="none"/>
        </w:rPr>
      </w:pPr>
      <w:r>
        <w:rPr>
          <w:rFonts w:hint="eastAsia"/>
          <w:color w:val="auto"/>
          <w:szCs w:val="21"/>
          <w:highlight w:val="none"/>
        </w:rPr>
        <w:t>2、若评委意见不一致时，则按少数服从多数的原则，作出评审结论。汇总后，出现一个“×”的结论为“不通过”。</w:t>
      </w:r>
    </w:p>
    <w:p>
      <w:pPr>
        <w:ind w:firstLine="420" w:firstLineChars="200"/>
        <w:rPr>
          <w:color w:val="auto"/>
          <w:szCs w:val="21"/>
          <w:highlight w:val="none"/>
        </w:rPr>
      </w:pPr>
      <w:r>
        <w:rPr>
          <w:rFonts w:hint="eastAsia"/>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ind w:firstLine="420" w:firstLineChars="200"/>
        <w:rPr>
          <w:color w:val="auto"/>
          <w:highlight w:val="none"/>
        </w:rPr>
        <w:sectPr>
          <w:pgSz w:w="15840" w:h="12240" w:orient="landscape"/>
          <w:pgMar w:top="1803" w:right="1440" w:bottom="1803" w:left="1440" w:header="720" w:footer="720" w:gutter="0"/>
          <w:cols w:space="720" w:num="1"/>
        </w:sectPr>
      </w:pPr>
    </w:p>
    <w:p>
      <w:pPr>
        <w:rPr>
          <w:color w:val="auto"/>
          <w:szCs w:val="21"/>
          <w:highlight w:val="none"/>
        </w:rPr>
      </w:pPr>
      <w:r>
        <w:rPr>
          <w:rFonts w:hint="eastAsia"/>
          <w:color w:val="auto"/>
          <w:szCs w:val="21"/>
          <w:highlight w:val="none"/>
        </w:rPr>
        <w:t>附表二</w:t>
      </w:r>
    </w:p>
    <w:p>
      <w:pPr>
        <w:jc w:val="center"/>
        <w:rPr>
          <w:b/>
          <w:color w:val="auto"/>
          <w:sz w:val="36"/>
          <w:szCs w:val="36"/>
          <w:highlight w:val="none"/>
        </w:rPr>
      </w:pP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9811"/>
        <w:gridCol w:w="962"/>
        <w:gridCol w:w="96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 w:type="pct"/>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序号</w:t>
            </w:r>
          </w:p>
        </w:tc>
        <w:tc>
          <w:tcPr>
            <w:tcW w:w="3723" w:type="pct"/>
            <w:tcBorders>
              <w:top w:val="single" w:color="auto" w:sz="4" w:space="0"/>
              <w:left w:val="single" w:color="auto" w:sz="4" w:space="0"/>
              <w:bottom w:val="single" w:color="auto" w:sz="4" w:space="0"/>
              <w:right w:val="single" w:color="auto" w:sz="4" w:space="0"/>
              <w:tl2br w:val="single" w:color="auto" w:sz="4" w:space="0"/>
            </w:tcBorders>
          </w:tcPr>
          <w:p>
            <w:pPr>
              <w:adjustRightInd w:val="0"/>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投标人</w:t>
            </w:r>
          </w:p>
          <w:p>
            <w:pPr>
              <w:adjustRightInd w:val="0"/>
              <w:rPr>
                <w:color w:val="auto"/>
                <w:szCs w:val="21"/>
                <w:highlight w:val="none"/>
              </w:rPr>
            </w:pPr>
          </w:p>
          <w:p>
            <w:pPr>
              <w:adjustRightInd w:val="0"/>
              <w:rPr>
                <w:color w:val="auto"/>
                <w:szCs w:val="21"/>
                <w:highlight w:val="none"/>
              </w:rPr>
            </w:pPr>
            <w:r>
              <w:rPr>
                <w:rFonts w:hint="eastAsia"/>
                <w:color w:val="auto"/>
                <w:szCs w:val="21"/>
                <w:highlight w:val="none"/>
              </w:rPr>
              <w:t>评审内容</w:t>
            </w: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 w:type="pct"/>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1</w:t>
            </w:r>
          </w:p>
        </w:tc>
        <w:tc>
          <w:tcPr>
            <w:tcW w:w="3723" w:type="pct"/>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s="宋体"/>
                <w:color w:val="auto"/>
                <w:szCs w:val="21"/>
                <w:highlight w:val="none"/>
                <w:u w:val="single"/>
              </w:rPr>
              <w:t>《广州建设工程施工招标投标书》中的投标总工期</w:t>
            </w:r>
            <w:r>
              <w:rPr>
                <w:rFonts w:hint="eastAsia"/>
                <w:color w:val="auto"/>
                <w:szCs w:val="21"/>
                <w:highlight w:val="none"/>
              </w:rPr>
              <w:t>不能满足完成投标项目工期的；</w:t>
            </w: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 w:type="pct"/>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2</w:t>
            </w:r>
          </w:p>
        </w:tc>
        <w:tc>
          <w:tcPr>
            <w:tcW w:w="3723" w:type="pct"/>
            <w:tcBorders>
              <w:top w:val="single" w:color="auto" w:sz="4" w:space="0"/>
              <w:left w:val="single" w:color="auto" w:sz="4" w:space="0"/>
              <w:bottom w:val="single" w:color="auto" w:sz="4" w:space="0"/>
              <w:right w:val="single" w:color="auto" w:sz="4" w:space="0"/>
            </w:tcBorders>
            <w:vAlign w:val="center"/>
          </w:tcPr>
          <w:p>
            <w:pPr>
              <w:adjustRightInd w:val="0"/>
              <w:rPr>
                <w:rFonts w:cs="宋体"/>
                <w:color w:val="auto"/>
                <w:szCs w:val="21"/>
                <w:highlight w:val="none"/>
                <w:u w:val="single"/>
              </w:rPr>
            </w:pPr>
            <w:r>
              <w:rPr>
                <w:rFonts w:hint="eastAsia" w:cs="宋体"/>
                <w:color w:val="auto"/>
                <w:szCs w:val="21"/>
                <w:highlight w:val="none"/>
                <w:u w:val="single"/>
              </w:rPr>
              <w:t>《广州建设工程施工招标投标书》中的工程质量标准不符合招标文件要求的；</w:t>
            </w: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180" w:type="pct"/>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3</w:t>
            </w:r>
          </w:p>
        </w:tc>
        <w:tc>
          <w:tcPr>
            <w:tcW w:w="3723" w:type="pct"/>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投标文件中没有有效的法定代表人证明书，或由委托代理人</w:t>
            </w:r>
            <w:r>
              <w:rPr>
                <w:rFonts w:hint="eastAsia"/>
                <w:color w:val="auto"/>
                <w:szCs w:val="21"/>
                <w:highlight w:val="none"/>
                <w:u w:val="single"/>
              </w:rPr>
              <w:t>签署或盖章</w:t>
            </w:r>
            <w:r>
              <w:rPr>
                <w:rFonts w:hint="eastAsia"/>
                <w:color w:val="auto"/>
                <w:szCs w:val="21"/>
                <w:highlight w:val="none"/>
              </w:rPr>
              <w:t>的投标文件中没有法定代表人授权书；</w:t>
            </w: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80" w:type="pct"/>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4</w:t>
            </w:r>
          </w:p>
        </w:tc>
        <w:tc>
          <w:tcPr>
            <w:tcW w:w="3723" w:type="pct"/>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s="宋体"/>
                <w:color w:val="auto"/>
                <w:szCs w:val="21"/>
                <w:highlight w:val="none"/>
              </w:rPr>
              <w:t>投标文件未按规定的格式填写</w:t>
            </w:r>
            <w:r>
              <w:rPr>
                <w:rFonts w:hint="eastAsia" w:cs="宋体"/>
                <w:color w:val="auto"/>
                <w:szCs w:val="21"/>
                <w:highlight w:val="none"/>
                <w:u w:val="single"/>
              </w:rPr>
              <w:t>（指招标文件第四章提供格式一、格式二、格式三）</w:t>
            </w:r>
            <w:r>
              <w:rPr>
                <w:rFonts w:hint="eastAsia" w:cs="宋体"/>
                <w:color w:val="auto"/>
                <w:szCs w:val="21"/>
                <w:highlight w:val="none"/>
              </w:rPr>
              <w:t>，或主要内容（指投标文件组成内容）不全，或关键字迹模糊、无法辨认的；</w:t>
            </w: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 w:type="pct"/>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5</w:t>
            </w:r>
          </w:p>
        </w:tc>
        <w:tc>
          <w:tcPr>
            <w:tcW w:w="3723" w:type="pct"/>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投标人之间存在《广东省实施&lt;中华人民共和国招标投标法&gt;》第十六条所禁止的情形的；</w:t>
            </w: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 w:type="pct"/>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6</w:t>
            </w:r>
          </w:p>
        </w:tc>
        <w:tc>
          <w:tcPr>
            <w:tcW w:w="3723" w:type="pct"/>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无《参与编制技术标投标文件人员名单》的</w:t>
            </w: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 w:type="pct"/>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7</w:t>
            </w:r>
          </w:p>
        </w:tc>
        <w:tc>
          <w:tcPr>
            <w:tcW w:w="3723" w:type="pct"/>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投标人与本项目其他投标人加密打包投标文件电脑机器特征码一致的(以交易平台评标系统的检索信息为准)</w:t>
            </w: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365" w:type="pct"/>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bl>
    <w:p>
      <w:pPr>
        <w:rPr>
          <w:color w:val="auto"/>
          <w:szCs w:val="21"/>
          <w:highlight w:val="none"/>
        </w:rPr>
      </w:pPr>
      <w:r>
        <w:rPr>
          <w:rFonts w:hint="eastAsia"/>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color w:val="auto"/>
          <w:szCs w:val="21"/>
          <w:highlight w:val="none"/>
        </w:rPr>
      </w:pPr>
      <w:r>
        <w:rPr>
          <w:rFonts w:hint="eastAsia"/>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color w:val="auto"/>
          <w:szCs w:val="21"/>
          <w:highlight w:val="none"/>
        </w:rPr>
      </w:pPr>
      <w:r>
        <w:rPr>
          <w:rFonts w:hint="eastAsia"/>
          <w:color w:val="auto"/>
          <w:szCs w:val="21"/>
          <w:highlight w:val="none"/>
        </w:rPr>
        <w:t>3.凡出现以上任何一项情形，结论均为无效，否则就为有效。</w:t>
      </w:r>
    </w:p>
    <w:p>
      <w:pPr>
        <w:rPr>
          <w:color w:val="auto"/>
          <w:szCs w:val="21"/>
          <w:highlight w:val="none"/>
        </w:rPr>
      </w:pPr>
      <w:r>
        <w:rPr>
          <w:rFonts w:hint="eastAsia"/>
          <w:color w:val="auto"/>
          <w:szCs w:val="21"/>
          <w:highlight w:val="none"/>
        </w:rPr>
        <w:t>4.如对本表中某种情形的评审意见不一致时，以评标委员会过半数成员的意见作为评标委员会对该情形的认定结论。</w:t>
      </w:r>
    </w:p>
    <w:p>
      <w:pPr>
        <w:ind w:firstLine="420" w:firstLineChars="200"/>
        <w:rPr>
          <w:color w:val="auto"/>
          <w:szCs w:val="21"/>
          <w:highlight w:val="none"/>
        </w:rPr>
      </w:pPr>
      <w:r>
        <w:rPr>
          <w:rFonts w:hint="eastAsia"/>
          <w:color w:val="auto"/>
          <w:szCs w:val="21"/>
          <w:highlight w:val="none"/>
        </w:rPr>
        <w:t>评委签名：</w:t>
      </w:r>
    </w:p>
    <w:p>
      <w:pPr>
        <w:rPr>
          <w:color w:val="auto"/>
          <w:szCs w:val="21"/>
          <w:highlight w:val="none"/>
        </w:rPr>
      </w:pPr>
      <w:r>
        <w:rPr>
          <w:color w:val="auto"/>
          <w:highlight w:val="none"/>
        </w:rPr>
        <w:br w:type="page"/>
      </w:r>
      <w:r>
        <w:rPr>
          <w:rFonts w:hint="eastAsia"/>
          <w:color w:val="auto"/>
          <w:szCs w:val="21"/>
          <w:highlight w:val="none"/>
        </w:rPr>
        <w:t>附表三</w:t>
      </w:r>
    </w:p>
    <w:p>
      <w:pPr>
        <w:jc w:val="center"/>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0557"/>
        <w:gridCol w:w="688"/>
        <w:gridCol w:w="688"/>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09"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序号</w:t>
            </w:r>
          </w:p>
        </w:tc>
        <w:tc>
          <w:tcPr>
            <w:tcW w:w="4007" w:type="pct"/>
            <w:tcBorders>
              <w:top w:val="single" w:color="auto" w:sz="4" w:space="0"/>
              <w:left w:val="single" w:color="auto" w:sz="4" w:space="0"/>
              <w:bottom w:val="single" w:color="auto" w:sz="4" w:space="0"/>
              <w:right w:val="single" w:color="auto" w:sz="4" w:space="0"/>
              <w:tl2br w:val="single" w:color="auto" w:sz="4" w:space="0"/>
            </w:tcBorders>
          </w:tcPr>
          <w:p>
            <w:pPr>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投标人</w:t>
            </w:r>
          </w:p>
          <w:p>
            <w:pPr>
              <w:rPr>
                <w:color w:val="auto"/>
                <w:szCs w:val="21"/>
                <w:highlight w:val="none"/>
              </w:rPr>
            </w:pPr>
            <w:r>
              <w:rPr>
                <w:rFonts w:hint="eastAsia"/>
                <w:color w:val="auto"/>
                <w:szCs w:val="21"/>
                <w:highlight w:val="none"/>
              </w:rPr>
              <w:t>评审内容</w:t>
            </w: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9"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1</w:t>
            </w:r>
          </w:p>
        </w:tc>
        <w:tc>
          <w:tcPr>
            <w:tcW w:w="40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hint="eastAsia" w:cs="宋体"/>
                <w:color w:val="auto"/>
                <w:szCs w:val="22"/>
                <w:highlight w:val="none"/>
                <w:u w:val="single"/>
              </w:rPr>
            </w:pPr>
            <w:r>
              <w:rPr>
                <w:rFonts w:hint="eastAsia" w:ascii="宋体" w:hAnsi="宋体" w:cs="宋体"/>
                <w:color w:val="auto"/>
                <w:sz w:val="21"/>
                <w:szCs w:val="22"/>
                <w:highlight w:val="none"/>
                <w:u w:val="single"/>
              </w:rPr>
              <w:t>对同一标段出现两个或以上的投标报价，且没有申明哪个有效；</w:t>
            </w: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9"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2</w:t>
            </w:r>
          </w:p>
        </w:tc>
        <w:tc>
          <w:tcPr>
            <w:tcW w:w="40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hint="eastAsia" w:cs="宋体"/>
                <w:color w:val="auto"/>
                <w:szCs w:val="22"/>
                <w:highlight w:val="none"/>
                <w:u w:val="single"/>
              </w:rPr>
            </w:pPr>
            <w:r>
              <w:rPr>
                <w:rFonts w:hint="eastAsia" w:ascii="宋体" w:hAnsi="宋体" w:cs="宋体"/>
                <w:color w:val="auto"/>
                <w:sz w:val="21"/>
                <w:szCs w:val="22"/>
                <w:highlight w:val="none"/>
                <w:u w:val="single"/>
              </w:rPr>
              <w:t>投标报价高于本标段最高投标限价，或投标报价中任一项投标综合单价高于招标控制价中相应的综合单价控制价的；</w:t>
            </w: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3</w:t>
            </w:r>
          </w:p>
        </w:tc>
        <w:tc>
          <w:tcPr>
            <w:tcW w:w="40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color w:val="auto"/>
                <w:szCs w:val="21"/>
                <w:highlight w:val="none"/>
              </w:rPr>
            </w:pPr>
            <w:r>
              <w:rPr>
                <w:rFonts w:hint="eastAsia" w:cs="宋体"/>
                <w:color w:val="auto"/>
                <w:highlight w:val="none"/>
                <w:u w:val="single"/>
              </w:rPr>
              <w:t>投标报价低于成本警戒价的（投标人的报价明显低于其他投标报价或者在设有标底时明显低于标底，使得其投标报价可能低于其个别成本，又不能合理说明或者不能提供相关证明材料的，由评标委员会认定该投标人以低于成本报价竞标的）；</w:t>
            </w: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9"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4</w:t>
            </w:r>
          </w:p>
        </w:tc>
        <w:tc>
          <w:tcPr>
            <w:tcW w:w="400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投标文件未按规定的格式填写</w:t>
            </w:r>
            <w:r>
              <w:rPr>
                <w:rFonts w:hint="eastAsia" w:cs="宋体"/>
                <w:color w:val="auto"/>
                <w:szCs w:val="21"/>
                <w:highlight w:val="none"/>
                <w:u w:val="single"/>
              </w:rPr>
              <w:t>（指招标文件第四章提供格式四、格式五、格式六）</w:t>
            </w:r>
            <w:r>
              <w:rPr>
                <w:rFonts w:hint="eastAsia" w:cs="宋体"/>
                <w:color w:val="auto"/>
                <w:szCs w:val="21"/>
                <w:highlight w:val="none"/>
              </w:rPr>
              <w:t>，或主要内容不全，或关键字迹模糊、无法辨认的；</w:t>
            </w: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9"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400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投标人之间存在《广东省实施&lt;中华人民共和国招标投标法&gt;》第十六条所禁止的情形的；</w:t>
            </w: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9"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6</w:t>
            </w:r>
          </w:p>
        </w:tc>
        <w:tc>
          <w:tcPr>
            <w:tcW w:w="400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无《参与编制经济标投标文件人员名单》的；</w:t>
            </w: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9"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7</w:t>
            </w:r>
          </w:p>
        </w:tc>
        <w:tc>
          <w:tcPr>
            <w:tcW w:w="400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无《对投标文件编制的承诺》</w:t>
            </w: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8</w:t>
            </w:r>
          </w:p>
        </w:tc>
        <w:tc>
          <w:tcPr>
            <w:tcW w:w="4007" w:type="pct"/>
            <w:tcBorders>
              <w:top w:val="single" w:color="auto" w:sz="4" w:space="0"/>
              <w:left w:val="single" w:color="auto" w:sz="4" w:space="0"/>
              <w:bottom w:val="single" w:color="auto" w:sz="4" w:space="0"/>
              <w:right w:val="single" w:color="auto" w:sz="4" w:space="0"/>
            </w:tcBorders>
            <w:vAlign w:val="center"/>
          </w:tcPr>
          <w:p>
            <w:pPr>
              <w:snapToGrid w:val="0"/>
              <w:rPr>
                <w:color w:val="auto"/>
                <w:szCs w:val="21"/>
                <w:highlight w:val="none"/>
              </w:rPr>
            </w:pPr>
            <w:r>
              <w:rPr>
                <w:rFonts w:hint="eastAsia"/>
                <w:color w:val="auto"/>
                <w:szCs w:val="21"/>
                <w:highlight w:val="none"/>
              </w:rPr>
              <w:t>投标人与本项目其他投标人的投标文件工程量清单编制机器硬件信息一致的（以交易平台评标系统的检索信息为准）</w:t>
            </w: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261" w:type="pct"/>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bl>
    <w:p>
      <w:pPr>
        <w:ind w:firstLine="458"/>
        <w:rPr>
          <w:color w:val="auto"/>
          <w:szCs w:val="21"/>
          <w:highlight w:val="none"/>
        </w:rPr>
      </w:pPr>
      <w:r>
        <w:rPr>
          <w:rFonts w:hint="eastAsia"/>
          <w:color w:val="auto"/>
          <w:szCs w:val="21"/>
          <w:highlight w:val="none"/>
        </w:rPr>
        <w:t>注：</w:t>
      </w:r>
      <w:r>
        <w:rPr>
          <w:color w:val="auto"/>
          <w:szCs w:val="21"/>
          <w:highlight w:val="none"/>
        </w:rPr>
        <w:t>1.本表使用GZZB2018-3招标文件范本，与范本内容不同之处均以下划线标明。</w:t>
      </w:r>
    </w:p>
    <w:p>
      <w:pPr>
        <w:ind w:firstLine="458"/>
        <w:rPr>
          <w:color w:val="auto"/>
          <w:szCs w:val="21"/>
          <w:highlight w:val="none"/>
        </w:rPr>
      </w:pPr>
      <w:r>
        <w:rPr>
          <w:color w:val="auto"/>
          <w:szCs w:val="21"/>
          <w:highlight w:val="none"/>
        </w:rPr>
        <w:t>2.凡出现以上任何一项情形，结论均为无效，否则就为有效。</w:t>
      </w:r>
    </w:p>
    <w:p>
      <w:pPr>
        <w:ind w:firstLine="458"/>
        <w:rPr>
          <w:color w:val="auto"/>
          <w:szCs w:val="21"/>
          <w:highlight w:val="none"/>
        </w:rPr>
      </w:pPr>
      <w:r>
        <w:rPr>
          <w:color w:val="auto"/>
          <w:szCs w:val="21"/>
          <w:highlight w:val="none"/>
        </w:rPr>
        <w:t>3.如对本表中某种情形的评审意见不一致时，以评标委员会过半数成员的意见作为评标委员会对该情形的认定结论。</w:t>
      </w:r>
    </w:p>
    <w:p>
      <w:pPr>
        <w:ind w:firstLine="458"/>
        <w:rPr>
          <w:color w:val="auto"/>
          <w:szCs w:val="21"/>
          <w:highlight w:val="none"/>
        </w:rPr>
      </w:pPr>
      <w:r>
        <w:rPr>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5"/>
        <w:ind w:firstLine="458"/>
        <w:rPr>
          <w:rFonts w:ascii="宋体" w:hAnsi="宋体"/>
          <w:color w:val="auto"/>
          <w:szCs w:val="21"/>
          <w:highlight w:val="none"/>
        </w:rPr>
        <w:sectPr>
          <w:pgSz w:w="15840" w:h="12240" w:orient="landscape"/>
          <w:pgMar w:top="1803" w:right="1440" w:bottom="1803" w:left="1440" w:header="720" w:footer="720" w:gutter="0"/>
          <w:cols w:space="720" w:num="1"/>
        </w:sectPr>
      </w:pPr>
      <w:r>
        <w:rPr>
          <w:rFonts w:hint="eastAsia" w:ascii="宋体" w:hAnsi="宋体"/>
          <w:color w:val="auto"/>
          <w:szCs w:val="21"/>
          <w:highlight w:val="none"/>
        </w:rPr>
        <w:t>评委签名：</w:t>
      </w:r>
    </w:p>
    <w:p>
      <w:pPr>
        <w:pStyle w:val="5"/>
        <w:jc w:val="left"/>
        <w:rPr>
          <w:color w:val="auto"/>
          <w:highlight w:val="none"/>
        </w:rPr>
      </w:pPr>
      <w:r>
        <w:rPr>
          <w:rFonts w:hint="eastAsia"/>
          <w:color w:val="auto"/>
          <w:szCs w:val="21"/>
          <w:highlight w:val="none"/>
        </w:rPr>
        <w:t>附表四</w:t>
      </w:r>
    </w:p>
    <w:p>
      <w:pPr>
        <w:pStyle w:val="5"/>
        <w:jc w:val="center"/>
        <w:rPr>
          <w:color w:val="auto"/>
          <w:highlight w:val="none"/>
        </w:rPr>
      </w:pPr>
      <w:r>
        <w:rPr>
          <w:rFonts w:hint="eastAsia" w:ascii="宋体" w:hAnsi="宋体" w:cs="宋体"/>
          <w:b/>
          <w:color w:val="auto"/>
          <w:sz w:val="36"/>
          <w:szCs w:val="36"/>
          <w:highlight w:val="none"/>
        </w:rPr>
        <w:t>技术标详细审查评分表</w:t>
      </w:r>
    </w:p>
    <w:p>
      <w:pPr>
        <w:rPr>
          <w:rFonts w:cs="宋体"/>
          <w:color w:val="auto"/>
          <w:szCs w:val="21"/>
          <w:highlight w:val="none"/>
        </w:rPr>
      </w:pPr>
      <w:r>
        <w:rPr>
          <w:rFonts w:hint="eastAsia" w:cs="宋体"/>
          <w:color w:val="auto"/>
          <w:szCs w:val="21"/>
          <w:highlight w:val="none"/>
        </w:rPr>
        <w:t xml:space="preserve">工程名称：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79"/>
        <w:gridCol w:w="581"/>
        <w:gridCol w:w="1396"/>
        <w:gridCol w:w="7279"/>
        <w:gridCol w:w="709"/>
        <w:gridCol w:w="709"/>
        <w:gridCol w:w="628"/>
        <w:gridCol w:w="720"/>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项目</w:t>
            </w:r>
          </w:p>
        </w:tc>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基础分</w:t>
            </w:r>
          </w:p>
        </w:tc>
        <w:tc>
          <w:tcPr>
            <w:tcW w:w="13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分项内容</w:t>
            </w:r>
          </w:p>
        </w:tc>
        <w:tc>
          <w:tcPr>
            <w:tcW w:w="727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要　　　　求</w:t>
            </w:r>
          </w:p>
        </w:tc>
        <w:tc>
          <w:tcPr>
            <w:tcW w:w="276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投标人名称</w:t>
            </w:r>
          </w:p>
        </w:tc>
        <w:tc>
          <w:tcPr>
            <w:tcW w:w="58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总计</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单项</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72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080"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olor w:val="auto"/>
                <w:sz w:val="18"/>
                <w:szCs w:val="18"/>
                <w:highlight w:val="none"/>
              </w:rPr>
            </w:pPr>
            <w:r>
              <w:rPr>
                <w:rFonts w:hint="eastAsia" w:ascii="宋体" w:hAnsi="宋体" w:eastAsia="宋体" w:cs="等线"/>
                <w:color w:val="auto"/>
                <w:sz w:val="18"/>
                <w:highlight w:val="none"/>
              </w:rPr>
              <w:t>技术标</w:t>
            </w:r>
          </w:p>
        </w:tc>
        <w:tc>
          <w:tcPr>
            <w:tcW w:w="579" w:type="dxa"/>
            <w:vMerge w:val="restart"/>
            <w:tcBorders>
              <w:top w:val="single" w:color="auto" w:sz="4" w:space="0"/>
              <w:left w:val="single" w:color="auto" w:sz="4" w:space="0"/>
              <w:right w:val="single" w:color="auto" w:sz="4" w:space="0"/>
            </w:tcBorders>
            <w:noWrap w:val="0"/>
            <w:vAlign w:val="center"/>
          </w:tcPr>
          <w:p>
            <w:pPr>
              <w:snapToGrid w:val="0"/>
              <w:ind w:left="-63" w:leftChars="-30" w:right="-76" w:rightChars="-36"/>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32</w:t>
            </w:r>
          </w:p>
          <w:p>
            <w:pPr>
              <w:pStyle w:val="2"/>
              <w:tabs>
                <w:tab w:val="right" w:leader="dot" w:pos="9060"/>
              </w:tabs>
              <w:outlineLvl w:val="1"/>
              <w:rPr>
                <w:rFonts w:hint="eastAsia" w:ascii="Times New Roman" w:hAnsi="Times New Roman"/>
                <w:color w:val="auto"/>
                <w:highlight w:val="none"/>
              </w:rPr>
            </w:pPr>
          </w:p>
          <w:p>
            <w:pPr>
              <w:pStyle w:val="2"/>
              <w:tabs>
                <w:tab w:val="right" w:leader="dot" w:pos="9060"/>
              </w:tabs>
              <w:outlineLvl w:val="1"/>
              <w:rPr>
                <w:rFonts w:hint="eastAsia" w:ascii="Times New Roman" w:hAnsi="Times New Roman"/>
                <w:color w:val="auto"/>
                <w:highlight w:val="none"/>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3</w:t>
            </w:r>
          </w:p>
        </w:tc>
        <w:tc>
          <w:tcPr>
            <w:tcW w:w="1396" w:type="dxa"/>
            <w:tcBorders>
              <w:left w:val="single" w:color="auto" w:sz="4" w:space="0"/>
              <w:right w:val="single" w:color="auto" w:sz="4" w:space="0"/>
            </w:tcBorders>
            <w:noWrap w:val="0"/>
            <w:vAlign w:val="center"/>
          </w:tcPr>
          <w:p>
            <w:pPr>
              <w:rPr>
                <w:rFonts w:hint="eastAsia" w:ascii="宋体" w:hAnsi="宋体"/>
                <w:color w:val="auto"/>
                <w:sz w:val="18"/>
                <w:szCs w:val="18"/>
                <w:highlight w:val="none"/>
              </w:rPr>
            </w:pPr>
            <w:r>
              <w:rPr>
                <w:rFonts w:hint="eastAsia" w:ascii="宋体" w:hAnsi="宋体"/>
                <w:color w:val="auto"/>
                <w:sz w:val="18"/>
                <w:szCs w:val="18"/>
                <w:highlight w:val="none"/>
              </w:rPr>
              <w:t>项目管理方案</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优：项目管理流程具体详细，人员配备完备、符合招标项目要求，针对项目管理人员的服务能力、管理能力和专业技术制定了具体的培训方案，具有有效的服务质量管理措施和服务质量保障措施，得</w:t>
            </w:r>
            <w:r>
              <w:rPr>
                <w:rFonts w:hint="eastAsia" w:ascii="宋体" w:hAnsi="宋体" w:eastAsia="宋体"/>
                <w:color w:val="auto"/>
                <w:sz w:val="18"/>
                <w:szCs w:val="18"/>
                <w:highlight w:val="none"/>
              </w:rPr>
              <w:t>3</w:t>
            </w:r>
            <w:r>
              <w:rPr>
                <w:rFonts w:hint="eastAsia" w:ascii="宋体" w:hAnsi="宋体"/>
                <w:color w:val="auto"/>
                <w:sz w:val="18"/>
                <w:szCs w:val="18"/>
                <w:highlight w:val="none"/>
              </w:rPr>
              <w:t>.0分；</w:t>
            </w:r>
          </w:p>
          <w:p>
            <w:pPr>
              <w:tabs>
                <w:tab w:val="left" w:pos="0"/>
              </w:tabs>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良：项目管理流程较具体详细，人员配备能满足招标项目要求，针对项目管理人员的服务能力、管理能力和专业技术制定了较为具体的培训方案，具有有效的服务质量管理措施和服务质量保障措施，得</w:t>
            </w:r>
            <w:r>
              <w:rPr>
                <w:rFonts w:hint="eastAsia" w:ascii="宋体" w:hAnsi="宋体" w:eastAsia="宋体"/>
                <w:color w:val="auto"/>
                <w:sz w:val="18"/>
                <w:szCs w:val="18"/>
                <w:highlight w:val="none"/>
              </w:rPr>
              <w:t>1.5</w:t>
            </w:r>
            <w:r>
              <w:rPr>
                <w:rFonts w:hint="eastAsia" w:ascii="宋体" w:hAnsi="宋体"/>
                <w:color w:val="auto"/>
                <w:sz w:val="18"/>
                <w:szCs w:val="18"/>
                <w:highlight w:val="none"/>
              </w:rPr>
              <w:t>分；</w:t>
            </w:r>
          </w:p>
          <w:p>
            <w:pPr>
              <w:tabs>
                <w:tab w:val="left" w:pos="0"/>
              </w:tabs>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中：具有项目管理流程，人员配备基本能满足招标项目要求，有针对项目管理人员的培训方案，具有服务质量管理措施和服务质量保障措施，得0.</w:t>
            </w:r>
            <w:r>
              <w:rPr>
                <w:rFonts w:hint="eastAsia" w:ascii="宋体" w:hAnsi="宋体" w:eastAsia="宋体"/>
                <w:color w:val="auto"/>
                <w:sz w:val="18"/>
                <w:szCs w:val="18"/>
                <w:highlight w:val="none"/>
              </w:rPr>
              <w:t>5</w:t>
            </w:r>
            <w:r>
              <w:rPr>
                <w:rFonts w:hint="eastAsia" w:ascii="宋体" w:hAnsi="宋体"/>
                <w:color w:val="auto"/>
                <w:sz w:val="18"/>
                <w:szCs w:val="18"/>
                <w:highlight w:val="none"/>
              </w:rPr>
              <w:t>分；</w:t>
            </w:r>
          </w:p>
          <w:p>
            <w:pPr>
              <w:tabs>
                <w:tab w:val="left" w:pos="0"/>
              </w:tabs>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差：项目管理流程、人员的培训方案、服务质量管理措施和服务质量保障措施不具体、不详细，或者无，得0分。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80" w:type="dxa"/>
            <w:vMerge w:val="continue"/>
            <w:tcBorders>
              <w:left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79" w:type="dxa"/>
            <w:vMerge w:val="continue"/>
            <w:tcBorders>
              <w:left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3</w:t>
            </w:r>
          </w:p>
        </w:tc>
        <w:tc>
          <w:tcPr>
            <w:tcW w:w="1396" w:type="dxa"/>
            <w:tcBorders>
              <w:left w:val="single" w:color="auto" w:sz="4" w:space="0"/>
              <w:right w:val="single" w:color="auto" w:sz="4" w:space="0"/>
            </w:tcBorders>
            <w:noWrap w:val="0"/>
            <w:vAlign w:val="center"/>
          </w:tcPr>
          <w:p>
            <w:pPr>
              <w:rPr>
                <w:rFonts w:hint="eastAsia" w:ascii="宋体" w:hAnsi="宋体"/>
                <w:color w:val="auto"/>
                <w:sz w:val="18"/>
                <w:szCs w:val="18"/>
                <w:highlight w:val="none"/>
              </w:rPr>
            </w:pPr>
            <w:r>
              <w:rPr>
                <w:rFonts w:hint="eastAsia" w:ascii="宋体" w:hAnsi="宋体"/>
                <w:color w:val="auto"/>
                <w:sz w:val="18"/>
                <w:szCs w:val="18"/>
                <w:highlight w:val="none"/>
              </w:rPr>
              <w:t>日常巡查方案</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优：日常巡查方案具有针对性、条理清晰，对日常巡查有具体详细可行的措施，得</w:t>
            </w:r>
            <w:r>
              <w:rPr>
                <w:rFonts w:hint="eastAsia" w:ascii="宋体" w:hAnsi="宋体" w:eastAsia="宋体"/>
                <w:color w:val="auto"/>
                <w:sz w:val="18"/>
                <w:szCs w:val="18"/>
                <w:highlight w:val="none"/>
              </w:rPr>
              <w:t>3</w:t>
            </w:r>
            <w:r>
              <w:rPr>
                <w:rFonts w:hint="eastAsia" w:ascii="宋体" w:hAnsi="宋体"/>
                <w:color w:val="auto"/>
                <w:sz w:val="18"/>
                <w:szCs w:val="18"/>
                <w:highlight w:val="none"/>
              </w:rPr>
              <w:t>.0分；</w:t>
            </w:r>
          </w:p>
          <w:p>
            <w:pPr>
              <w:tabs>
                <w:tab w:val="left" w:pos="0"/>
              </w:tabs>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良：日常巡查方案针对性一般、条理较清晰，对日常巡查有具体详细可行的措施，得</w:t>
            </w:r>
            <w:r>
              <w:rPr>
                <w:rFonts w:hint="eastAsia" w:ascii="宋体" w:hAnsi="宋体" w:eastAsia="宋体"/>
                <w:color w:val="auto"/>
                <w:sz w:val="18"/>
                <w:szCs w:val="18"/>
                <w:highlight w:val="none"/>
              </w:rPr>
              <w:t>1.5</w:t>
            </w:r>
            <w:r>
              <w:rPr>
                <w:rFonts w:hint="eastAsia" w:ascii="宋体" w:hAnsi="宋体"/>
                <w:color w:val="auto"/>
                <w:sz w:val="18"/>
                <w:szCs w:val="18"/>
                <w:highlight w:val="none"/>
              </w:rPr>
              <w:t>分；</w:t>
            </w:r>
          </w:p>
          <w:p>
            <w:pPr>
              <w:tabs>
                <w:tab w:val="left" w:pos="0"/>
              </w:tabs>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中：日常巡查方案针对性不强、条理一般，对日常巡查有具体措施，得0.</w:t>
            </w:r>
            <w:r>
              <w:rPr>
                <w:rFonts w:hint="eastAsia" w:ascii="宋体" w:hAnsi="宋体" w:eastAsia="宋体"/>
                <w:color w:val="auto"/>
                <w:sz w:val="18"/>
                <w:szCs w:val="18"/>
                <w:highlight w:val="none"/>
              </w:rPr>
              <w:t>5</w:t>
            </w:r>
            <w:r>
              <w:rPr>
                <w:rFonts w:hint="eastAsia" w:ascii="宋体" w:hAnsi="宋体"/>
                <w:color w:val="auto"/>
                <w:sz w:val="18"/>
                <w:szCs w:val="18"/>
                <w:highlight w:val="none"/>
              </w:rPr>
              <w:t>分；</w:t>
            </w:r>
          </w:p>
          <w:p>
            <w:pPr>
              <w:tabs>
                <w:tab w:val="left" w:pos="0"/>
              </w:tabs>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差：日常巡查方案较差，得0分。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0" w:type="dxa"/>
            <w:vMerge w:val="continue"/>
            <w:tcBorders>
              <w:left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79" w:type="dxa"/>
            <w:vMerge w:val="continue"/>
            <w:tcBorders>
              <w:left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3</w:t>
            </w:r>
          </w:p>
        </w:tc>
        <w:tc>
          <w:tcPr>
            <w:tcW w:w="1396" w:type="dxa"/>
            <w:tcBorders>
              <w:left w:val="single" w:color="auto" w:sz="4" w:space="0"/>
              <w:bottom w:val="single" w:color="auto" w:sz="4" w:space="0"/>
              <w:right w:val="single" w:color="auto" w:sz="4" w:space="0"/>
            </w:tcBorders>
            <w:noWrap w:val="0"/>
            <w:vAlign w:val="center"/>
          </w:tcPr>
          <w:p>
            <w:pPr>
              <w:snapToGrid w:val="0"/>
              <w:rPr>
                <w:rFonts w:hint="eastAsia" w:ascii="宋体" w:hAnsi="宋体"/>
                <w:color w:val="auto"/>
                <w:sz w:val="18"/>
                <w:szCs w:val="18"/>
                <w:highlight w:val="none"/>
              </w:rPr>
            </w:pPr>
            <w:r>
              <w:rPr>
                <w:rFonts w:hint="eastAsia" w:ascii="宋体" w:hAnsi="宋体"/>
                <w:color w:val="auto"/>
                <w:sz w:val="18"/>
                <w:szCs w:val="18"/>
                <w:highlight w:val="none"/>
              </w:rPr>
              <w:t>故障解决方案</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ascii="宋体" w:hAnsi="宋体" w:cs="宋体"/>
                <w:color w:val="auto"/>
                <w:sz w:val="18"/>
                <w:szCs w:val="18"/>
                <w:highlight w:val="none"/>
              </w:rPr>
            </w:pPr>
            <w:r>
              <w:rPr>
                <w:rFonts w:hint="eastAsia" w:ascii="宋体" w:hAnsi="宋体"/>
                <w:color w:val="auto"/>
                <w:sz w:val="18"/>
                <w:szCs w:val="18"/>
                <w:highlight w:val="none"/>
              </w:rPr>
              <w:t>优：</w:t>
            </w:r>
            <w:r>
              <w:rPr>
                <w:rFonts w:hint="eastAsia" w:ascii="宋体" w:hAnsi="宋体" w:cs="宋体"/>
                <w:color w:val="auto"/>
                <w:sz w:val="18"/>
                <w:szCs w:val="18"/>
                <w:highlight w:val="none"/>
              </w:rPr>
              <w:t>人员配备和车辆机具完全满足招标项目的要求，故障响应迅速，有具体明确的响应时间、到场时间和完成时间，解决故障的效果保障措施具体、可行，得</w:t>
            </w:r>
            <w:r>
              <w:rPr>
                <w:rFonts w:hint="eastAsia" w:ascii="宋体" w:hAnsi="宋体" w:eastAsia="宋体" w:cs="宋体"/>
                <w:color w:val="auto"/>
                <w:sz w:val="18"/>
                <w:szCs w:val="18"/>
                <w:highlight w:val="none"/>
              </w:rPr>
              <w:t>3</w:t>
            </w:r>
            <w:r>
              <w:rPr>
                <w:rFonts w:hint="eastAsia" w:ascii="宋体" w:hAnsi="宋体" w:cs="宋体"/>
                <w:color w:val="auto"/>
                <w:sz w:val="18"/>
                <w:szCs w:val="18"/>
                <w:highlight w:val="none"/>
              </w:rPr>
              <w:t>.0分；</w:t>
            </w:r>
          </w:p>
          <w:p>
            <w:pPr>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良：人员配备和车辆机具基本满足招标项目的要求，故障响应较迅速，有具体的响应时间、到场时间、完成时间，具有解决故障效果的有效保障措施，得</w:t>
            </w:r>
            <w:r>
              <w:rPr>
                <w:rFonts w:hint="eastAsia" w:ascii="宋体" w:hAnsi="宋体" w:eastAsia="宋体" w:cs="宋体"/>
                <w:color w:val="auto"/>
                <w:sz w:val="18"/>
                <w:szCs w:val="18"/>
                <w:highlight w:val="none"/>
              </w:rPr>
              <w:t>1.5</w:t>
            </w:r>
            <w:r>
              <w:rPr>
                <w:rFonts w:hint="eastAsia" w:ascii="宋体" w:hAnsi="宋体" w:cs="宋体"/>
                <w:color w:val="auto"/>
                <w:sz w:val="18"/>
                <w:szCs w:val="18"/>
                <w:highlight w:val="none"/>
              </w:rPr>
              <w:t>分；</w:t>
            </w:r>
          </w:p>
          <w:p>
            <w:pPr>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中：人员配备和车辆机具一般，故障响应速度一般，解决故障效果的保障措施一般，得0.</w:t>
            </w:r>
            <w:r>
              <w:rPr>
                <w:rFonts w:hint="eastAsia" w:ascii="宋体" w:hAnsi="宋体" w:eastAsia="宋体" w:cs="宋体"/>
                <w:color w:val="auto"/>
                <w:sz w:val="18"/>
                <w:szCs w:val="18"/>
                <w:highlight w:val="none"/>
              </w:rPr>
              <w:t>5</w:t>
            </w:r>
            <w:r>
              <w:rPr>
                <w:rFonts w:hint="eastAsia" w:ascii="宋体" w:hAnsi="宋体" w:cs="宋体"/>
                <w:color w:val="auto"/>
                <w:sz w:val="18"/>
                <w:szCs w:val="18"/>
                <w:highlight w:val="none"/>
              </w:rPr>
              <w:t>分；</w:t>
            </w: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差：故障响应、保障措施不具体，得0分。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80" w:type="dxa"/>
            <w:vMerge w:val="continue"/>
            <w:tcBorders>
              <w:left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79" w:type="dxa"/>
            <w:vMerge w:val="continue"/>
            <w:tcBorders>
              <w:left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3</w:t>
            </w:r>
          </w:p>
        </w:tc>
        <w:tc>
          <w:tcPr>
            <w:tcW w:w="1396" w:type="dxa"/>
            <w:tcBorders>
              <w:left w:val="single" w:color="auto" w:sz="4" w:space="0"/>
              <w:bottom w:val="single" w:color="auto" w:sz="4" w:space="0"/>
              <w:right w:val="single" w:color="auto" w:sz="4" w:space="0"/>
            </w:tcBorders>
            <w:noWrap w:val="0"/>
            <w:vAlign w:val="center"/>
          </w:tcPr>
          <w:p>
            <w:pPr>
              <w:snapToGrid w:val="0"/>
              <w:rPr>
                <w:rFonts w:hint="eastAsia" w:ascii="宋体" w:hAnsi="宋体"/>
                <w:color w:val="auto"/>
                <w:sz w:val="18"/>
                <w:szCs w:val="18"/>
                <w:highlight w:val="none"/>
              </w:rPr>
            </w:pPr>
            <w:r>
              <w:rPr>
                <w:rFonts w:hint="eastAsia" w:ascii="宋体" w:hAnsi="宋体"/>
                <w:color w:val="auto"/>
                <w:sz w:val="18"/>
                <w:szCs w:val="18"/>
                <w:highlight w:val="none"/>
              </w:rPr>
              <w:t>配置管理方案</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优：配置管理方法先进、合理可行，</w:t>
            </w:r>
            <w:r>
              <w:rPr>
                <w:rFonts w:ascii="宋体" w:hAnsi="宋体" w:cs="宋体"/>
                <w:color w:val="auto"/>
                <w:sz w:val="18"/>
                <w:szCs w:val="18"/>
                <w:highlight w:val="none"/>
              </w:rPr>
              <w:t>建立配置管理数据库和配置文档</w:t>
            </w:r>
            <w:r>
              <w:rPr>
                <w:rFonts w:hint="eastAsia" w:ascii="宋体" w:hAnsi="宋体" w:cs="宋体"/>
                <w:color w:val="auto"/>
                <w:sz w:val="18"/>
                <w:szCs w:val="18"/>
                <w:highlight w:val="none"/>
              </w:rPr>
              <w:t>，</w:t>
            </w:r>
            <w:r>
              <w:rPr>
                <w:rFonts w:ascii="宋体" w:hAnsi="宋体" w:cs="宋体"/>
                <w:color w:val="auto"/>
                <w:sz w:val="18"/>
                <w:szCs w:val="18"/>
                <w:highlight w:val="none"/>
              </w:rPr>
              <w:t>组织胜任的项目组专职负责维护工作</w:t>
            </w:r>
            <w:r>
              <w:rPr>
                <w:rFonts w:hint="eastAsia" w:ascii="宋体" w:hAnsi="宋体" w:cs="宋体"/>
                <w:color w:val="auto"/>
                <w:sz w:val="18"/>
                <w:szCs w:val="18"/>
                <w:highlight w:val="none"/>
              </w:rPr>
              <w:t>，按照要求组织人力按时值班，</w:t>
            </w:r>
            <w:r>
              <w:rPr>
                <w:rFonts w:ascii="宋体" w:hAnsi="宋体" w:cs="宋体"/>
                <w:color w:val="auto"/>
                <w:sz w:val="18"/>
                <w:szCs w:val="18"/>
                <w:highlight w:val="none"/>
              </w:rPr>
              <w:t>按要求派驻管理人员到办公场所开展维护管理工作</w:t>
            </w:r>
            <w:r>
              <w:rPr>
                <w:rFonts w:hint="eastAsia" w:ascii="宋体" w:hAnsi="宋体" w:cs="宋体"/>
                <w:color w:val="auto"/>
                <w:sz w:val="18"/>
                <w:szCs w:val="18"/>
                <w:highlight w:val="none"/>
              </w:rPr>
              <w:t>，有良好的备件库的领用登记办法。得</w:t>
            </w:r>
            <w:r>
              <w:rPr>
                <w:rFonts w:hint="eastAsia" w:ascii="宋体" w:hAnsi="宋体" w:eastAsia="宋体" w:cs="宋体"/>
                <w:color w:val="auto"/>
                <w:sz w:val="18"/>
                <w:szCs w:val="18"/>
                <w:highlight w:val="none"/>
              </w:rPr>
              <w:t>3</w:t>
            </w:r>
            <w:r>
              <w:rPr>
                <w:rFonts w:hint="eastAsia" w:ascii="宋体" w:hAnsi="宋体" w:cs="宋体"/>
                <w:color w:val="auto"/>
                <w:sz w:val="18"/>
                <w:szCs w:val="18"/>
                <w:highlight w:val="none"/>
              </w:rPr>
              <w:t>.0分；</w:t>
            </w:r>
          </w:p>
          <w:p>
            <w:pPr>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良：一般的备件库的领用登记办法，配置管理方案稍劣于以上，缺少以上一项或两项内容，得</w:t>
            </w:r>
            <w:r>
              <w:rPr>
                <w:rFonts w:hint="eastAsia" w:ascii="宋体" w:hAnsi="宋体" w:eastAsia="宋体" w:cs="宋体"/>
                <w:color w:val="auto"/>
                <w:sz w:val="18"/>
                <w:szCs w:val="18"/>
                <w:highlight w:val="none"/>
              </w:rPr>
              <w:t>1.5</w:t>
            </w:r>
            <w:r>
              <w:rPr>
                <w:rFonts w:hint="eastAsia" w:ascii="宋体" w:hAnsi="宋体" w:cs="宋体"/>
                <w:color w:val="auto"/>
                <w:sz w:val="18"/>
                <w:szCs w:val="18"/>
                <w:highlight w:val="none"/>
              </w:rPr>
              <w:t>分；</w:t>
            </w:r>
          </w:p>
          <w:p>
            <w:pPr>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中：配置管理方案基本可行，方案不够具体、不够详细，得0.</w:t>
            </w:r>
            <w:r>
              <w:rPr>
                <w:rFonts w:hint="eastAsia" w:ascii="宋体" w:hAnsi="宋体" w:eastAsia="宋体" w:cs="宋体"/>
                <w:color w:val="auto"/>
                <w:sz w:val="18"/>
                <w:szCs w:val="18"/>
                <w:highlight w:val="none"/>
              </w:rPr>
              <w:t>5</w:t>
            </w:r>
            <w:r>
              <w:rPr>
                <w:rFonts w:hint="eastAsia" w:ascii="宋体" w:hAnsi="宋体" w:cs="宋体"/>
                <w:color w:val="auto"/>
                <w:sz w:val="18"/>
                <w:szCs w:val="18"/>
                <w:highlight w:val="none"/>
              </w:rPr>
              <w:t>分；</w:t>
            </w: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差：缺少备件库的领用登记办法，配置管理方案不可行，不具针对性，得0分。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80" w:type="dxa"/>
            <w:vMerge w:val="continue"/>
            <w:tcBorders>
              <w:left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79" w:type="dxa"/>
            <w:vMerge w:val="continue"/>
            <w:tcBorders>
              <w:left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81"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3</w:t>
            </w:r>
          </w:p>
        </w:tc>
        <w:tc>
          <w:tcPr>
            <w:tcW w:w="1396" w:type="dxa"/>
            <w:tcBorders>
              <w:left w:val="single" w:color="auto" w:sz="4" w:space="0"/>
              <w:right w:val="single" w:color="auto" w:sz="4" w:space="0"/>
            </w:tcBorders>
            <w:noWrap w:val="0"/>
            <w:vAlign w:val="center"/>
          </w:tcPr>
          <w:p>
            <w:pPr>
              <w:snapToGrid w:val="0"/>
              <w:rPr>
                <w:rFonts w:hint="eastAsia" w:ascii="宋体" w:hAnsi="宋体"/>
                <w:color w:val="auto"/>
                <w:sz w:val="18"/>
                <w:szCs w:val="18"/>
                <w:highlight w:val="none"/>
              </w:rPr>
            </w:pPr>
            <w:r>
              <w:rPr>
                <w:rFonts w:hint="eastAsia" w:ascii="宋体" w:hAnsi="宋体"/>
                <w:color w:val="auto"/>
                <w:sz w:val="18"/>
                <w:szCs w:val="18"/>
                <w:highlight w:val="none"/>
              </w:rPr>
              <w:t>专项维护方案</w:t>
            </w:r>
          </w:p>
        </w:tc>
        <w:tc>
          <w:tcPr>
            <w:tcW w:w="7279" w:type="dxa"/>
            <w:tcBorders>
              <w:top w:val="single" w:color="auto" w:sz="4" w:space="0"/>
              <w:left w:val="single" w:color="auto" w:sz="4" w:space="0"/>
              <w:right w:val="single" w:color="auto" w:sz="4" w:space="0"/>
            </w:tcBorders>
            <w:noWrap w:val="0"/>
            <w:vAlign w:val="center"/>
          </w:tcPr>
          <w:p>
            <w:pPr>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优：专项维护方案完整、合理、可行，针对性强，具有详细的工作流程、人员配备、对突发事件具有有效的应急服务方案，得</w:t>
            </w:r>
            <w:r>
              <w:rPr>
                <w:rFonts w:hint="eastAsia" w:ascii="宋体" w:hAnsi="宋体" w:eastAsia="宋体" w:cs="宋体"/>
                <w:color w:val="auto"/>
                <w:sz w:val="18"/>
                <w:szCs w:val="18"/>
                <w:highlight w:val="none"/>
              </w:rPr>
              <w:t>3</w:t>
            </w:r>
            <w:r>
              <w:rPr>
                <w:rFonts w:hint="eastAsia" w:ascii="宋体" w:hAnsi="宋体" w:cs="宋体"/>
                <w:color w:val="auto"/>
                <w:sz w:val="18"/>
                <w:szCs w:val="18"/>
                <w:highlight w:val="none"/>
              </w:rPr>
              <w:t>.0分；</w:t>
            </w:r>
          </w:p>
          <w:p>
            <w:pPr>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良：专项维护方案较完整、合理、可行，具有较详细的工作流程、人员配备、对突发事件具有应急服务方案，得</w:t>
            </w:r>
            <w:r>
              <w:rPr>
                <w:rFonts w:hint="eastAsia" w:ascii="宋体" w:hAnsi="宋体" w:eastAsia="宋体" w:cs="宋体"/>
                <w:color w:val="auto"/>
                <w:sz w:val="18"/>
                <w:szCs w:val="18"/>
                <w:highlight w:val="none"/>
              </w:rPr>
              <w:t>1.5</w:t>
            </w:r>
            <w:r>
              <w:rPr>
                <w:rFonts w:hint="eastAsia" w:ascii="宋体" w:hAnsi="宋体" w:cs="宋体"/>
                <w:color w:val="auto"/>
                <w:sz w:val="18"/>
                <w:szCs w:val="18"/>
                <w:highlight w:val="none"/>
              </w:rPr>
              <w:t>分；</w:t>
            </w:r>
          </w:p>
          <w:p>
            <w:pPr>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中：专项维护方案一般，对工作流程、人员配备、突发事件具有应急服务方案不够具体，得0.</w:t>
            </w:r>
            <w:r>
              <w:rPr>
                <w:rFonts w:hint="eastAsia" w:ascii="宋体" w:hAnsi="宋体" w:eastAsia="宋体" w:cs="宋体"/>
                <w:color w:val="auto"/>
                <w:sz w:val="18"/>
                <w:szCs w:val="18"/>
                <w:highlight w:val="none"/>
              </w:rPr>
              <w:t>5</w:t>
            </w:r>
            <w:r>
              <w:rPr>
                <w:rFonts w:hint="eastAsia" w:ascii="宋体" w:hAnsi="宋体" w:cs="宋体"/>
                <w:color w:val="auto"/>
                <w:sz w:val="18"/>
                <w:szCs w:val="18"/>
                <w:highlight w:val="none"/>
              </w:rPr>
              <w:t>分；</w:t>
            </w: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差：专项维护方案较差，针对性不强，无应急服务方案，得0分。</w:t>
            </w:r>
          </w:p>
        </w:tc>
        <w:tc>
          <w:tcPr>
            <w:tcW w:w="709" w:type="dxa"/>
            <w:tcBorders>
              <w:top w:val="single" w:color="auto" w:sz="4" w:space="0"/>
              <w:left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709" w:type="dxa"/>
            <w:tcBorders>
              <w:top w:val="single" w:color="auto" w:sz="4" w:space="0"/>
              <w:left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628"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0"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7"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80" w:type="dxa"/>
            <w:vMerge w:val="continue"/>
            <w:tcBorders>
              <w:left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79" w:type="dxa"/>
            <w:vMerge w:val="continue"/>
            <w:tcBorders>
              <w:left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81"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5</w:t>
            </w:r>
          </w:p>
        </w:tc>
        <w:tc>
          <w:tcPr>
            <w:tcW w:w="1396" w:type="dxa"/>
            <w:tcBorders>
              <w:left w:val="single" w:color="auto" w:sz="4" w:space="0"/>
              <w:right w:val="single" w:color="auto" w:sz="4" w:space="0"/>
            </w:tcBorders>
            <w:noWrap w:val="0"/>
            <w:vAlign w:val="center"/>
          </w:tcPr>
          <w:p>
            <w:pPr>
              <w:snapToGrid w:val="0"/>
              <w:rPr>
                <w:rFonts w:hint="eastAsia" w:ascii="宋体" w:hAnsi="宋体"/>
                <w:color w:val="auto"/>
                <w:sz w:val="18"/>
                <w:szCs w:val="18"/>
                <w:highlight w:val="none"/>
              </w:rPr>
            </w:pPr>
            <w:r>
              <w:rPr>
                <w:rFonts w:hint="eastAsia" w:hAnsi="宋体"/>
                <w:color w:val="auto"/>
                <w:sz w:val="18"/>
                <w:szCs w:val="18"/>
                <w:highlight w:val="none"/>
              </w:rPr>
              <w:t>投入</w:t>
            </w:r>
            <w:r>
              <w:rPr>
                <w:rFonts w:hAnsi="宋体"/>
                <w:color w:val="auto"/>
                <w:sz w:val="18"/>
                <w:szCs w:val="18"/>
                <w:highlight w:val="none"/>
              </w:rPr>
              <w:t>项目主要技术人员</w:t>
            </w:r>
          </w:p>
        </w:tc>
        <w:tc>
          <w:tcPr>
            <w:tcW w:w="7279" w:type="dxa"/>
            <w:tcBorders>
              <w:top w:val="single" w:color="auto" w:sz="4" w:space="0"/>
              <w:left w:val="single" w:color="auto" w:sz="4" w:space="0"/>
              <w:right w:val="single" w:color="auto" w:sz="4" w:space="0"/>
            </w:tcBorders>
            <w:noWrap w:val="0"/>
            <w:vAlign w:val="center"/>
          </w:tcPr>
          <w:p>
            <w:pPr>
              <w:spacing w:line="320" w:lineRule="exact"/>
              <w:ind w:firstLine="360" w:firstLineChars="200"/>
              <w:jc w:val="left"/>
              <w:rPr>
                <w:rFonts w:hint="eastAsia" w:ascii="宋体" w:hAnsi="宋体" w:eastAsia="宋体"/>
                <w:color w:val="auto"/>
                <w:sz w:val="18"/>
                <w:highlight w:val="none"/>
              </w:rPr>
            </w:pPr>
            <w:r>
              <w:rPr>
                <w:rFonts w:hint="eastAsia" w:ascii="宋体" w:hAnsi="宋体" w:eastAsia="宋体"/>
                <w:color w:val="auto"/>
                <w:sz w:val="18"/>
                <w:highlight w:val="none"/>
              </w:rPr>
              <w:t>投标人拟投入的技术人员方案：管理人员数量满足工程实施的要求，且能够满足工程实施过程中对进度、质量等方面的控制、调整工作的需要：</w:t>
            </w:r>
            <w:r>
              <w:rPr>
                <w:rFonts w:ascii="宋体" w:hAnsi="宋体" w:eastAsia="宋体"/>
                <w:color w:val="auto"/>
                <w:sz w:val="18"/>
                <w:highlight w:val="none"/>
              </w:rPr>
              <w:t>人员配备满足</w:t>
            </w:r>
            <w:r>
              <w:rPr>
                <w:rFonts w:hint="eastAsia" w:ascii="宋体" w:hAnsi="宋体" w:eastAsia="宋体"/>
                <w:color w:val="auto"/>
                <w:sz w:val="18"/>
                <w:highlight w:val="none"/>
              </w:rPr>
              <w:t>《设施维护</w:t>
            </w:r>
            <w:r>
              <w:rPr>
                <w:rFonts w:ascii="宋体" w:hAnsi="宋体" w:eastAsia="宋体"/>
                <w:color w:val="auto"/>
                <w:sz w:val="18"/>
                <w:highlight w:val="none"/>
              </w:rPr>
              <w:t>项目人员基本配备要求</w:t>
            </w:r>
            <w:r>
              <w:rPr>
                <w:rFonts w:hint="eastAsia" w:ascii="宋体" w:hAnsi="宋体" w:eastAsia="宋体"/>
                <w:color w:val="auto"/>
                <w:sz w:val="18"/>
                <w:highlight w:val="none"/>
              </w:rPr>
              <w:t>表》中</w:t>
            </w:r>
            <w:r>
              <w:rPr>
                <w:rFonts w:ascii="宋体" w:hAnsi="宋体" w:eastAsia="宋体"/>
                <w:color w:val="auto"/>
                <w:sz w:val="18"/>
                <w:highlight w:val="none"/>
              </w:rPr>
              <w:t>的得基础分</w:t>
            </w:r>
            <w:r>
              <w:rPr>
                <w:rFonts w:hint="eastAsia" w:ascii="宋体" w:hAnsi="宋体" w:eastAsia="宋体"/>
                <w:color w:val="auto"/>
                <w:sz w:val="18"/>
                <w:highlight w:val="none"/>
              </w:rPr>
              <w:t>3.0</w:t>
            </w:r>
            <w:r>
              <w:rPr>
                <w:rFonts w:ascii="宋体" w:hAnsi="宋体" w:eastAsia="宋体"/>
                <w:color w:val="auto"/>
                <w:sz w:val="18"/>
                <w:highlight w:val="none"/>
              </w:rPr>
              <w:t>分，不满足最低配置要求的本项不得分。</w:t>
            </w:r>
          </w:p>
          <w:p>
            <w:pPr>
              <w:spacing w:line="320" w:lineRule="exact"/>
              <w:ind w:firstLine="360" w:firstLineChars="200"/>
              <w:jc w:val="left"/>
              <w:rPr>
                <w:rFonts w:hint="eastAsia" w:ascii="宋体" w:hAnsi="宋体" w:eastAsia="宋体"/>
                <w:color w:val="auto"/>
                <w:sz w:val="18"/>
                <w:highlight w:val="none"/>
              </w:rPr>
            </w:pPr>
            <w:r>
              <w:rPr>
                <w:rFonts w:hint="eastAsia" w:ascii="宋体" w:hAnsi="宋体" w:eastAsia="宋体"/>
                <w:color w:val="auto"/>
                <w:sz w:val="18"/>
                <w:highlight w:val="none"/>
              </w:rPr>
              <w:t>在此基础上：投入人员中再配备有市政工程或交通工程专业高级或以上工程师技术职称的或配备有注册一级建造师或一级注册造价工程师的加1.0分；投入人员中再配备有效的高空作业操作证书的每个加0.5分，最高得1.0分。</w:t>
            </w:r>
            <w:r>
              <w:rPr>
                <w:rFonts w:hint="eastAsia"/>
                <w:color w:val="auto"/>
                <w:sz w:val="18"/>
                <w:highlight w:val="none"/>
                <w:lang w:val="en-US" w:eastAsia="zh-CN"/>
              </w:rPr>
              <w:t>一人同时具备多项证书，只计一次，</w:t>
            </w:r>
            <w:r>
              <w:rPr>
                <w:rFonts w:hint="eastAsia" w:ascii="宋体" w:hAnsi="宋体" w:eastAsia="宋体"/>
                <w:color w:val="auto"/>
                <w:sz w:val="18"/>
                <w:highlight w:val="none"/>
              </w:rPr>
              <w:t>以上新增人员与《维护项目人员基本配备要求表》中的人员都不可兼任，专业以职称证所注为准；</w:t>
            </w:r>
          </w:p>
          <w:p>
            <w:pPr>
              <w:spacing w:line="320" w:lineRule="exact"/>
              <w:ind w:firstLine="360" w:firstLineChars="200"/>
              <w:jc w:val="left"/>
              <w:rPr>
                <w:rFonts w:hAnsi="宋体" w:eastAsia="宋体"/>
                <w:color w:val="auto"/>
                <w:sz w:val="18"/>
                <w:szCs w:val="18"/>
                <w:highlight w:val="none"/>
              </w:rPr>
            </w:pPr>
            <w:r>
              <w:rPr>
                <w:rFonts w:hint="eastAsia" w:ascii="宋体" w:hAnsi="宋体" w:eastAsia="宋体"/>
                <w:color w:val="auto"/>
                <w:sz w:val="18"/>
                <w:highlight w:val="none"/>
              </w:rPr>
              <w:t>本项</w:t>
            </w:r>
            <w:r>
              <w:rPr>
                <w:rFonts w:ascii="宋体" w:hAnsi="宋体" w:eastAsia="宋体"/>
                <w:color w:val="auto"/>
                <w:sz w:val="18"/>
                <w:highlight w:val="none"/>
              </w:rPr>
              <w:t>最高得</w:t>
            </w:r>
            <w:r>
              <w:rPr>
                <w:rFonts w:hint="eastAsia" w:ascii="宋体" w:hAnsi="宋体" w:eastAsia="宋体"/>
                <w:color w:val="auto"/>
                <w:sz w:val="18"/>
                <w:highlight w:val="none"/>
              </w:rPr>
              <w:t>5.0</w:t>
            </w:r>
            <w:r>
              <w:rPr>
                <w:rFonts w:ascii="宋体" w:hAnsi="宋体" w:eastAsia="宋体"/>
                <w:color w:val="auto"/>
                <w:sz w:val="18"/>
                <w:highlight w:val="none"/>
              </w:rPr>
              <w:t>分。</w:t>
            </w:r>
          </w:p>
        </w:tc>
        <w:tc>
          <w:tcPr>
            <w:tcW w:w="709" w:type="dxa"/>
            <w:tcBorders>
              <w:top w:val="single" w:color="auto" w:sz="4" w:space="0"/>
              <w:left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709" w:type="dxa"/>
            <w:tcBorders>
              <w:top w:val="single" w:color="auto" w:sz="4" w:space="0"/>
              <w:left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628"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0"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7"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continue"/>
            <w:tcBorders>
              <w:left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79" w:type="dxa"/>
            <w:vMerge w:val="continue"/>
            <w:tcBorders>
              <w:left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81"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6</w:t>
            </w:r>
          </w:p>
        </w:tc>
        <w:tc>
          <w:tcPr>
            <w:tcW w:w="1396" w:type="dxa"/>
            <w:tcBorders>
              <w:left w:val="single" w:color="auto" w:sz="4" w:space="0"/>
              <w:right w:val="single" w:color="auto" w:sz="4" w:space="0"/>
            </w:tcBorders>
            <w:noWrap w:val="0"/>
            <w:vAlign w:val="center"/>
          </w:tcPr>
          <w:p>
            <w:pPr>
              <w:snapToGrid w:val="0"/>
              <w:rPr>
                <w:rFonts w:hint="eastAsia" w:hAnsi="宋体"/>
                <w:color w:val="auto"/>
                <w:sz w:val="18"/>
                <w:szCs w:val="18"/>
                <w:highlight w:val="none"/>
              </w:rPr>
            </w:pPr>
            <w:r>
              <w:rPr>
                <w:rFonts w:hint="eastAsia" w:ascii="宋体" w:hAnsi="宋体"/>
                <w:color w:val="auto"/>
                <w:sz w:val="18"/>
                <w:szCs w:val="18"/>
                <w:highlight w:val="none"/>
              </w:rPr>
              <w:t>维护车辆和工具配置方案</w:t>
            </w:r>
          </w:p>
        </w:tc>
        <w:tc>
          <w:tcPr>
            <w:tcW w:w="7279" w:type="dxa"/>
            <w:tcBorders>
              <w:top w:val="single" w:color="auto" w:sz="4" w:space="0"/>
              <w:left w:val="single" w:color="auto" w:sz="4" w:space="0"/>
              <w:right w:val="single" w:color="auto" w:sz="4" w:space="0"/>
            </w:tcBorders>
            <w:noWrap w:val="0"/>
            <w:vAlign w:val="center"/>
          </w:tcPr>
          <w:p>
            <w:pPr>
              <w:spacing w:line="320" w:lineRule="exact"/>
              <w:ind w:firstLine="360" w:firstLineChars="200"/>
              <w:jc w:val="left"/>
              <w:rPr>
                <w:rFonts w:hint="eastAsia" w:ascii="宋体" w:hAnsi="宋体" w:eastAsia="宋体"/>
                <w:color w:val="auto"/>
                <w:sz w:val="18"/>
                <w:highlight w:val="none"/>
              </w:rPr>
            </w:pPr>
            <w:r>
              <w:rPr>
                <w:rFonts w:hint="eastAsia" w:ascii="宋体" w:hAnsi="宋体" w:eastAsia="宋体"/>
                <w:color w:val="auto"/>
                <w:sz w:val="18"/>
                <w:highlight w:val="none"/>
              </w:rPr>
              <w:t>维护车辆和工具配置方案：</w:t>
            </w:r>
            <w:r>
              <w:rPr>
                <w:rFonts w:ascii="宋体" w:hAnsi="宋体" w:eastAsia="宋体"/>
                <w:color w:val="auto"/>
                <w:sz w:val="18"/>
                <w:highlight w:val="none"/>
              </w:rPr>
              <w:t>有</w:t>
            </w:r>
            <w:r>
              <w:rPr>
                <w:rFonts w:hint="eastAsia" w:ascii="宋体" w:hAnsi="宋体" w:eastAsia="宋体"/>
                <w:color w:val="auto"/>
                <w:sz w:val="18"/>
                <w:highlight w:val="none"/>
              </w:rPr>
              <w:t>提供</w:t>
            </w:r>
            <w:r>
              <w:rPr>
                <w:rFonts w:ascii="宋体" w:hAnsi="宋体" w:eastAsia="宋体"/>
                <w:color w:val="auto"/>
                <w:sz w:val="18"/>
                <w:highlight w:val="none"/>
              </w:rPr>
              <w:t>招标人免责声明。拟投入本项目的维护设备</w:t>
            </w:r>
            <w:r>
              <w:rPr>
                <w:rFonts w:hint="eastAsia" w:ascii="宋体" w:hAnsi="宋体" w:eastAsia="宋体"/>
                <w:color w:val="auto"/>
                <w:sz w:val="18"/>
                <w:highlight w:val="none"/>
              </w:rPr>
              <w:t>满足使用需求，其中</w:t>
            </w:r>
            <w:r>
              <w:rPr>
                <w:rFonts w:ascii="宋体" w:hAnsi="宋体" w:eastAsia="宋体"/>
                <w:color w:val="auto"/>
                <w:sz w:val="18"/>
                <w:highlight w:val="none"/>
              </w:rPr>
              <w:t>包括但不限于</w:t>
            </w:r>
            <w:r>
              <w:rPr>
                <w:rFonts w:hint="eastAsia" w:ascii="宋体" w:hAnsi="宋体" w:eastAsia="宋体"/>
                <w:color w:val="auto"/>
                <w:sz w:val="18"/>
                <w:highlight w:val="none"/>
              </w:rPr>
              <w:t>：</w:t>
            </w:r>
          </w:p>
          <w:p>
            <w:pPr>
              <w:spacing w:line="320" w:lineRule="exact"/>
              <w:ind w:firstLine="360" w:firstLineChars="200"/>
              <w:jc w:val="left"/>
              <w:rPr>
                <w:rFonts w:hint="eastAsia" w:ascii="宋体" w:hAnsi="宋体" w:eastAsia="宋体"/>
                <w:color w:val="auto"/>
                <w:sz w:val="18"/>
                <w:highlight w:val="none"/>
              </w:rPr>
            </w:pPr>
            <w:r>
              <w:rPr>
                <w:rFonts w:hint="eastAsia" w:ascii="宋体" w:hAnsi="宋体" w:eastAsia="宋体"/>
                <w:color w:val="auto"/>
                <w:sz w:val="18"/>
                <w:highlight w:val="none"/>
                <w:lang w:eastAsia="zh-CN"/>
              </w:rPr>
              <w:t>车辆要求：</w:t>
            </w:r>
            <w:r>
              <w:rPr>
                <w:rFonts w:hint="eastAsia" w:ascii="宋体" w:hAnsi="宋体" w:eastAsia="宋体"/>
                <w:color w:val="auto"/>
                <w:sz w:val="18"/>
                <w:highlight w:val="none"/>
              </w:rPr>
              <w:t>吊车（或随车吊）1辆或以上、升降车1辆或以上、日常巡查专用车辆</w:t>
            </w:r>
            <w:r>
              <w:rPr>
                <w:rFonts w:hint="eastAsia" w:ascii="宋体" w:hAnsi="宋体" w:eastAsia="宋体"/>
                <w:color w:val="auto"/>
                <w:sz w:val="18"/>
                <w:highlight w:val="none"/>
                <w:lang w:eastAsia="zh-CN"/>
              </w:rPr>
              <w:t>【</w:t>
            </w:r>
            <w:r>
              <w:rPr>
                <w:rFonts w:hint="eastAsia" w:ascii="宋体" w:hAnsi="宋体" w:eastAsia="宋体"/>
                <w:color w:val="auto"/>
                <w:sz w:val="18"/>
                <w:highlight w:val="none"/>
              </w:rPr>
              <w:t>巡查专用车辆为厢式或普通货车（核定载质量为3</w:t>
            </w:r>
            <w:r>
              <w:rPr>
                <w:rFonts w:hint="eastAsia" w:ascii="宋体" w:hAnsi="宋体" w:eastAsia="宋体"/>
                <w:color w:val="auto"/>
                <w:sz w:val="18"/>
                <w:highlight w:val="none"/>
                <w:lang w:val="en-US" w:eastAsia="zh-CN"/>
              </w:rPr>
              <w:t>t</w:t>
            </w:r>
            <w:r>
              <w:rPr>
                <w:rFonts w:hint="eastAsia" w:ascii="宋体" w:hAnsi="宋体" w:eastAsia="宋体"/>
                <w:color w:val="auto"/>
                <w:sz w:val="18"/>
                <w:highlight w:val="none"/>
                <w:lang w:eastAsia="zh-CN"/>
              </w:rPr>
              <w:t>或以下货车</w:t>
            </w:r>
            <w:r>
              <w:rPr>
                <w:rFonts w:hint="eastAsia" w:ascii="宋体" w:hAnsi="宋体" w:eastAsia="宋体"/>
                <w:color w:val="auto"/>
                <w:sz w:val="18"/>
                <w:highlight w:val="none"/>
              </w:rPr>
              <w:t>）</w:t>
            </w:r>
            <w:r>
              <w:rPr>
                <w:rFonts w:hint="eastAsia" w:ascii="宋体" w:hAnsi="宋体" w:eastAsia="宋体"/>
                <w:color w:val="auto"/>
                <w:sz w:val="18"/>
                <w:highlight w:val="none"/>
                <w:lang w:eastAsia="zh-CN"/>
              </w:rPr>
              <w:t>】</w:t>
            </w:r>
            <w:r>
              <w:rPr>
                <w:rFonts w:hint="eastAsia" w:ascii="宋体" w:hAnsi="宋体" w:eastAsia="宋体"/>
                <w:color w:val="auto"/>
                <w:sz w:val="18"/>
                <w:highlight w:val="none"/>
              </w:rPr>
              <w:t>2辆或以上、 故障抢修工程车（核定载质量</w:t>
            </w:r>
            <w:r>
              <w:rPr>
                <w:rFonts w:hint="eastAsia" w:ascii="宋体" w:hAnsi="宋体" w:eastAsia="宋体"/>
                <w:color w:val="auto"/>
                <w:sz w:val="18"/>
                <w:highlight w:val="none"/>
                <w:lang w:eastAsia="zh-CN"/>
              </w:rPr>
              <w:t>为</w:t>
            </w:r>
            <w:r>
              <w:rPr>
                <w:rFonts w:hint="eastAsia" w:ascii="宋体" w:hAnsi="宋体" w:eastAsia="宋体"/>
                <w:color w:val="auto"/>
                <w:sz w:val="18"/>
                <w:highlight w:val="none"/>
              </w:rPr>
              <w:t>3t或以上货车）3辆或以上、应急保障工程车（核定载质量</w:t>
            </w:r>
            <w:r>
              <w:rPr>
                <w:rFonts w:hint="eastAsia" w:ascii="宋体" w:hAnsi="宋体" w:eastAsia="宋体"/>
                <w:color w:val="auto"/>
                <w:sz w:val="18"/>
                <w:highlight w:val="none"/>
                <w:lang w:val="en-US" w:eastAsia="zh-CN"/>
              </w:rPr>
              <w:t>为</w:t>
            </w:r>
            <w:r>
              <w:rPr>
                <w:rFonts w:hint="eastAsia" w:ascii="宋体" w:hAnsi="宋体" w:eastAsia="宋体"/>
                <w:color w:val="auto"/>
                <w:sz w:val="18"/>
                <w:highlight w:val="none"/>
              </w:rPr>
              <w:t>3t</w:t>
            </w:r>
            <w:r>
              <w:rPr>
                <w:rFonts w:hint="eastAsia" w:ascii="宋体" w:hAnsi="宋体" w:eastAsia="宋体"/>
                <w:color w:val="auto"/>
                <w:sz w:val="18"/>
                <w:highlight w:val="none"/>
                <w:lang w:eastAsia="zh-CN"/>
              </w:rPr>
              <w:t>或</w:t>
            </w:r>
            <w:r>
              <w:rPr>
                <w:rFonts w:hint="eastAsia" w:ascii="宋体" w:hAnsi="宋体" w:eastAsia="宋体"/>
                <w:color w:val="auto"/>
                <w:sz w:val="18"/>
                <w:highlight w:val="none"/>
              </w:rPr>
              <w:t>以上5t以下货车）2辆或以上、应急保障工程车（核定载质量</w:t>
            </w:r>
            <w:r>
              <w:rPr>
                <w:rFonts w:hint="eastAsia" w:ascii="宋体" w:hAnsi="宋体" w:eastAsia="宋体"/>
                <w:color w:val="auto"/>
                <w:sz w:val="18"/>
                <w:highlight w:val="none"/>
                <w:lang w:val="en-US" w:eastAsia="zh-CN"/>
              </w:rPr>
              <w:t>为</w:t>
            </w:r>
            <w:r>
              <w:rPr>
                <w:rFonts w:hint="eastAsia" w:ascii="宋体" w:hAnsi="宋体" w:eastAsia="宋体"/>
                <w:color w:val="auto"/>
                <w:sz w:val="18"/>
                <w:highlight w:val="none"/>
              </w:rPr>
              <w:t>5t</w:t>
            </w:r>
            <w:r>
              <w:rPr>
                <w:rFonts w:hint="eastAsia" w:ascii="宋体" w:hAnsi="宋体" w:eastAsia="宋体"/>
                <w:color w:val="auto"/>
                <w:sz w:val="18"/>
                <w:highlight w:val="none"/>
                <w:lang w:eastAsia="zh-CN"/>
              </w:rPr>
              <w:t>或</w:t>
            </w:r>
            <w:r>
              <w:rPr>
                <w:rFonts w:hint="eastAsia" w:ascii="宋体" w:hAnsi="宋体" w:eastAsia="宋体"/>
                <w:color w:val="auto"/>
                <w:sz w:val="18"/>
                <w:highlight w:val="none"/>
              </w:rPr>
              <w:t>以上8t以下货车）2辆或以上、应急保障工程车（核定载质量</w:t>
            </w:r>
            <w:r>
              <w:rPr>
                <w:rFonts w:hint="eastAsia" w:ascii="宋体" w:hAnsi="宋体" w:eastAsia="宋体"/>
                <w:color w:val="auto"/>
                <w:sz w:val="18"/>
                <w:highlight w:val="none"/>
                <w:lang w:val="en-US" w:eastAsia="zh-CN"/>
              </w:rPr>
              <w:t>为</w:t>
            </w:r>
            <w:r>
              <w:rPr>
                <w:rFonts w:hint="eastAsia" w:ascii="宋体" w:hAnsi="宋体" w:eastAsia="宋体"/>
                <w:color w:val="auto"/>
                <w:sz w:val="18"/>
                <w:highlight w:val="none"/>
              </w:rPr>
              <w:t>8t或以上货车）1辆或以上</w:t>
            </w:r>
            <w:r>
              <w:rPr>
                <w:rFonts w:hint="eastAsia" w:ascii="宋体" w:hAnsi="宋体" w:eastAsia="宋体"/>
                <w:color w:val="auto"/>
                <w:sz w:val="18"/>
                <w:highlight w:val="none"/>
                <w:lang w:eastAsia="zh-CN"/>
              </w:rPr>
              <w:t>。</w:t>
            </w:r>
          </w:p>
          <w:p>
            <w:pPr>
              <w:spacing w:line="320" w:lineRule="exact"/>
              <w:ind w:firstLine="360" w:firstLineChars="200"/>
              <w:jc w:val="left"/>
              <w:rPr>
                <w:rFonts w:ascii="宋体" w:hAnsi="宋体" w:eastAsia="宋体"/>
                <w:color w:val="auto"/>
                <w:sz w:val="18"/>
                <w:highlight w:val="none"/>
              </w:rPr>
            </w:pPr>
            <w:r>
              <w:rPr>
                <w:rFonts w:hint="eastAsia" w:ascii="宋体" w:hAnsi="宋体" w:eastAsia="宋体"/>
                <w:color w:val="auto"/>
                <w:sz w:val="18"/>
                <w:highlight w:val="none"/>
                <w:lang w:eastAsia="zh-CN"/>
              </w:rPr>
              <w:t>设备要求：</w:t>
            </w:r>
            <w:r>
              <w:rPr>
                <w:rFonts w:hint="eastAsia" w:ascii="宋体" w:hAnsi="宋体" w:eastAsia="宋体"/>
                <w:color w:val="auto"/>
                <w:sz w:val="18"/>
                <w:highlight w:val="none"/>
              </w:rPr>
              <w:t>切割机1台或以上、剪板机1台或以上、铆钉机1台或以上、贴膜机1台或以上、丝印机1台或以上、电脑刻字机1台或以上、标志逆反射系数测量仪（手持式）2台或以上、色彩色差仪1台或以上、风炮2台或以上、发电机3台或以上、双组份标线划线机2台或以上、热熔划线机3台或以上、标线清除机3台或以上、高压水除线机（自带废料吸附功能）1台或以上、标线逆反射系数测量仪2台或以上</w:t>
            </w:r>
            <w:r>
              <w:rPr>
                <w:rFonts w:hint="eastAsia" w:ascii="宋体" w:hAnsi="宋体" w:eastAsia="宋体"/>
                <w:color w:val="auto"/>
                <w:sz w:val="18"/>
                <w:highlight w:val="none"/>
                <w:lang w:eastAsia="zh-CN"/>
              </w:rPr>
              <w:t>，无人机</w:t>
            </w:r>
            <w:r>
              <w:rPr>
                <w:rFonts w:hint="eastAsia" w:ascii="宋体" w:hAnsi="宋体" w:eastAsia="宋体"/>
                <w:color w:val="auto"/>
                <w:sz w:val="18"/>
                <w:highlight w:val="none"/>
                <w:lang w:val="en-US" w:eastAsia="zh-CN"/>
              </w:rPr>
              <w:t>1</w:t>
            </w:r>
            <w:r>
              <w:rPr>
                <w:rFonts w:hint="eastAsia" w:ascii="宋体" w:hAnsi="宋体" w:eastAsia="宋体"/>
                <w:color w:val="auto"/>
                <w:sz w:val="18"/>
                <w:highlight w:val="none"/>
                <w:lang w:eastAsia="zh-CN"/>
              </w:rPr>
              <w:t>台或以上</w:t>
            </w:r>
            <w:r>
              <w:rPr>
                <w:rFonts w:hint="eastAsia" w:ascii="宋体" w:hAnsi="宋体" w:eastAsia="宋体"/>
                <w:color w:val="auto"/>
                <w:sz w:val="18"/>
                <w:highlight w:val="none"/>
              </w:rPr>
              <w:t>。</w:t>
            </w:r>
          </w:p>
          <w:p>
            <w:pPr>
              <w:spacing w:line="320" w:lineRule="exact"/>
              <w:ind w:firstLine="360" w:firstLineChars="200"/>
              <w:jc w:val="left"/>
              <w:rPr>
                <w:rFonts w:hint="eastAsia" w:ascii="宋体" w:hAnsi="宋体" w:eastAsia="宋体"/>
                <w:color w:val="auto"/>
                <w:sz w:val="18"/>
                <w:highlight w:val="none"/>
              </w:rPr>
            </w:pPr>
            <w:r>
              <w:rPr>
                <w:rFonts w:hint="eastAsia" w:ascii="宋体" w:hAnsi="宋体" w:eastAsia="宋体"/>
                <w:color w:val="auto"/>
                <w:sz w:val="18"/>
                <w:highlight w:val="none"/>
              </w:rPr>
              <w:t>优：</w:t>
            </w:r>
            <w:r>
              <w:rPr>
                <w:rFonts w:ascii="宋体" w:hAnsi="宋体" w:eastAsia="宋体"/>
                <w:color w:val="auto"/>
                <w:sz w:val="18"/>
                <w:highlight w:val="none"/>
              </w:rPr>
              <w:t>有</w:t>
            </w:r>
            <w:r>
              <w:rPr>
                <w:rFonts w:hint="eastAsia" w:ascii="宋体" w:hAnsi="宋体" w:eastAsia="宋体"/>
                <w:color w:val="auto"/>
                <w:sz w:val="18"/>
                <w:highlight w:val="none"/>
              </w:rPr>
              <w:t>提供</w:t>
            </w:r>
            <w:r>
              <w:rPr>
                <w:rFonts w:ascii="宋体" w:hAnsi="宋体" w:eastAsia="宋体"/>
                <w:color w:val="auto"/>
                <w:sz w:val="18"/>
                <w:highlight w:val="none"/>
              </w:rPr>
              <w:t>招标人免责声明</w:t>
            </w:r>
            <w:r>
              <w:rPr>
                <w:rFonts w:hint="eastAsia" w:ascii="宋体" w:hAnsi="宋体" w:eastAsia="宋体"/>
                <w:color w:val="auto"/>
                <w:sz w:val="18"/>
                <w:highlight w:val="none"/>
              </w:rPr>
              <w:t>，维护</w:t>
            </w:r>
            <w:r>
              <w:rPr>
                <w:rFonts w:ascii="宋体" w:hAnsi="宋体" w:eastAsia="宋体"/>
                <w:color w:val="auto"/>
                <w:sz w:val="18"/>
                <w:highlight w:val="none"/>
              </w:rPr>
              <w:t>设备先进，</w:t>
            </w:r>
            <w:r>
              <w:rPr>
                <w:rFonts w:hint="eastAsia" w:ascii="宋体" w:hAnsi="宋体" w:eastAsia="宋体"/>
                <w:color w:val="auto"/>
                <w:sz w:val="18"/>
                <w:highlight w:val="none"/>
              </w:rPr>
              <w:t>数量</w:t>
            </w:r>
            <w:r>
              <w:rPr>
                <w:rFonts w:ascii="宋体" w:hAnsi="宋体" w:eastAsia="宋体"/>
                <w:color w:val="auto"/>
                <w:sz w:val="18"/>
                <w:highlight w:val="none"/>
              </w:rPr>
              <w:t>完全满足</w:t>
            </w:r>
            <w:r>
              <w:rPr>
                <w:rFonts w:hint="eastAsia" w:ascii="宋体" w:hAnsi="宋体" w:eastAsia="宋体"/>
                <w:color w:val="auto"/>
                <w:sz w:val="18"/>
                <w:highlight w:val="none"/>
              </w:rPr>
              <w:t>上述方案</w:t>
            </w:r>
            <w:r>
              <w:rPr>
                <w:rFonts w:ascii="宋体" w:hAnsi="宋体" w:eastAsia="宋体"/>
                <w:color w:val="auto"/>
                <w:sz w:val="18"/>
                <w:highlight w:val="none"/>
              </w:rPr>
              <w:t>要求</w:t>
            </w:r>
            <w:r>
              <w:rPr>
                <w:rFonts w:hint="eastAsia" w:ascii="宋体" w:hAnsi="宋体" w:eastAsia="宋体"/>
                <w:color w:val="auto"/>
                <w:sz w:val="18"/>
                <w:highlight w:val="none"/>
              </w:rPr>
              <w:t>，</w:t>
            </w:r>
            <w:r>
              <w:rPr>
                <w:rFonts w:ascii="宋体" w:hAnsi="宋体" w:eastAsia="宋体"/>
                <w:color w:val="auto"/>
                <w:sz w:val="18"/>
                <w:highlight w:val="none"/>
              </w:rPr>
              <w:t>得</w:t>
            </w:r>
            <w:r>
              <w:rPr>
                <w:rFonts w:hint="eastAsia" w:ascii="宋体" w:hAnsi="宋体" w:eastAsia="宋体"/>
                <w:color w:val="auto"/>
                <w:sz w:val="18"/>
                <w:highlight w:val="none"/>
              </w:rPr>
              <w:t>6</w:t>
            </w:r>
            <w:r>
              <w:rPr>
                <w:rFonts w:ascii="宋体" w:hAnsi="宋体" w:eastAsia="宋体"/>
                <w:color w:val="auto"/>
                <w:sz w:val="18"/>
                <w:highlight w:val="none"/>
              </w:rPr>
              <w:t>分</w:t>
            </w:r>
            <w:r>
              <w:rPr>
                <w:rFonts w:hint="eastAsia" w:ascii="宋体" w:hAnsi="宋体" w:eastAsia="宋体"/>
                <w:color w:val="auto"/>
                <w:sz w:val="18"/>
                <w:highlight w:val="none"/>
              </w:rPr>
              <w:t>。</w:t>
            </w:r>
          </w:p>
          <w:p>
            <w:pPr>
              <w:spacing w:line="320" w:lineRule="exact"/>
              <w:ind w:firstLine="360" w:firstLineChars="200"/>
              <w:jc w:val="left"/>
              <w:rPr>
                <w:rFonts w:ascii="宋体" w:hAnsi="宋体" w:eastAsia="宋体"/>
                <w:color w:val="auto"/>
                <w:sz w:val="18"/>
                <w:highlight w:val="none"/>
              </w:rPr>
            </w:pPr>
            <w:r>
              <w:rPr>
                <w:rFonts w:hint="eastAsia" w:ascii="宋体" w:hAnsi="宋体" w:eastAsia="宋体"/>
                <w:color w:val="auto"/>
                <w:sz w:val="18"/>
                <w:highlight w:val="none"/>
              </w:rPr>
              <w:t>良：</w:t>
            </w:r>
            <w:r>
              <w:rPr>
                <w:rFonts w:ascii="宋体" w:hAnsi="宋体" w:eastAsia="宋体"/>
                <w:color w:val="auto"/>
                <w:sz w:val="18"/>
                <w:highlight w:val="none"/>
              </w:rPr>
              <w:t>有</w:t>
            </w:r>
            <w:r>
              <w:rPr>
                <w:rFonts w:hint="eastAsia" w:ascii="宋体" w:hAnsi="宋体" w:eastAsia="宋体"/>
                <w:color w:val="auto"/>
                <w:sz w:val="18"/>
                <w:highlight w:val="none"/>
              </w:rPr>
              <w:t>提供</w:t>
            </w:r>
            <w:r>
              <w:rPr>
                <w:rFonts w:ascii="宋体" w:hAnsi="宋体" w:eastAsia="宋体"/>
                <w:color w:val="auto"/>
                <w:sz w:val="18"/>
                <w:highlight w:val="none"/>
              </w:rPr>
              <w:t>招标人免责声明</w:t>
            </w:r>
            <w:r>
              <w:rPr>
                <w:rFonts w:hint="eastAsia" w:ascii="宋体" w:hAnsi="宋体" w:eastAsia="宋体"/>
                <w:color w:val="auto"/>
                <w:sz w:val="18"/>
                <w:highlight w:val="none"/>
              </w:rPr>
              <w:t>，维护</w:t>
            </w:r>
            <w:r>
              <w:rPr>
                <w:rFonts w:ascii="宋体" w:hAnsi="宋体" w:eastAsia="宋体"/>
                <w:color w:val="auto"/>
                <w:sz w:val="18"/>
                <w:highlight w:val="none"/>
              </w:rPr>
              <w:t>设备先进，</w:t>
            </w:r>
            <w:r>
              <w:rPr>
                <w:rFonts w:hint="eastAsia" w:ascii="宋体" w:hAnsi="宋体" w:eastAsia="宋体"/>
                <w:color w:val="auto"/>
                <w:sz w:val="18"/>
                <w:highlight w:val="none"/>
              </w:rPr>
              <w:t>数量80%以上</w:t>
            </w:r>
            <w:r>
              <w:rPr>
                <w:rFonts w:ascii="宋体" w:hAnsi="宋体" w:eastAsia="宋体"/>
                <w:color w:val="auto"/>
                <w:sz w:val="18"/>
                <w:highlight w:val="none"/>
              </w:rPr>
              <w:t>满足</w:t>
            </w:r>
            <w:r>
              <w:rPr>
                <w:rFonts w:hint="eastAsia" w:ascii="宋体" w:hAnsi="宋体" w:eastAsia="宋体"/>
                <w:color w:val="auto"/>
                <w:sz w:val="18"/>
                <w:highlight w:val="none"/>
              </w:rPr>
              <w:t>上述方案</w:t>
            </w:r>
            <w:r>
              <w:rPr>
                <w:rFonts w:ascii="宋体" w:hAnsi="宋体" w:eastAsia="宋体"/>
                <w:color w:val="auto"/>
                <w:sz w:val="18"/>
                <w:highlight w:val="none"/>
              </w:rPr>
              <w:t>要求，得</w:t>
            </w:r>
            <w:r>
              <w:rPr>
                <w:rFonts w:hint="eastAsia" w:ascii="宋体" w:hAnsi="宋体" w:eastAsia="宋体"/>
                <w:color w:val="auto"/>
                <w:sz w:val="18"/>
                <w:highlight w:val="none"/>
              </w:rPr>
              <w:t>3</w:t>
            </w:r>
            <w:r>
              <w:rPr>
                <w:rFonts w:ascii="宋体" w:hAnsi="宋体" w:eastAsia="宋体"/>
                <w:color w:val="auto"/>
                <w:sz w:val="18"/>
                <w:highlight w:val="none"/>
              </w:rPr>
              <w:t>分</w:t>
            </w:r>
          </w:p>
          <w:p>
            <w:pPr>
              <w:spacing w:line="320" w:lineRule="exact"/>
              <w:ind w:firstLine="360" w:firstLineChars="200"/>
              <w:jc w:val="left"/>
              <w:rPr>
                <w:rFonts w:ascii="宋体" w:hAnsi="宋体" w:eastAsia="宋体"/>
                <w:color w:val="auto"/>
                <w:sz w:val="18"/>
                <w:highlight w:val="none"/>
              </w:rPr>
            </w:pPr>
            <w:r>
              <w:rPr>
                <w:rFonts w:hint="eastAsia" w:ascii="宋体" w:hAnsi="宋体" w:eastAsia="宋体"/>
                <w:color w:val="auto"/>
                <w:sz w:val="18"/>
                <w:highlight w:val="none"/>
              </w:rPr>
              <w:t>中：</w:t>
            </w:r>
            <w:r>
              <w:rPr>
                <w:rFonts w:ascii="宋体" w:hAnsi="宋体" w:eastAsia="宋体"/>
                <w:color w:val="auto"/>
                <w:sz w:val="18"/>
                <w:highlight w:val="none"/>
              </w:rPr>
              <w:t>有</w:t>
            </w:r>
            <w:r>
              <w:rPr>
                <w:rFonts w:hint="eastAsia" w:ascii="宋体" w:hAnsi="宋体" w:eastAsia="宋体"/>
                <w:color w:val="auto"/>
                <w:sz w:val="18"/>
                <w:highlight w:val="none"/>
              </w:rPr>
              <w:t>提供</w:t>
            </w:r>
            <w:r>
              <w:rPr>
                <w:rFonts w:ascii="宋体" w:hAnsi="宋体" w:eastAsia="宋体"/>
                <w:color w:val="auto"/>
                <w:sz w:val="18"/>
                <w:highlight w:val="none"/>
              </w:rPr>
              <w:t>招标人免责声明</w:t>
            </w:r>
            <w:r>
              <w:rPr>
                <w:rFonts w:hint="eastAsia" w:ascii="宋体" w:hAnsi="宋体" w:eastAsia="宋体"/>
                <w:color w:val="auto"/>
                <w:sz w:val="18"/>
                <w:highlight w:val="none"/>
              </w:rPr>
              <w:t>，维护</w:t>
            </w:r>
            <w:r>
              <w:rPr>
                <w:rFonts w:ascii="宋体" w:hAnsi="宋体" w:eastAsia="宋体"/>
                <w:color w:val="auto"/>
                <w:sz w:val="18"/>
                <w:highlight w:val="none"/>
              </w:rPr>
              <w:t>设备先进，</w:t>
            </w:r>
            <w:r>
              <w:rPr>
                <w:rFonts w:hint="eastAsia" w:ascii="宋体" w:hAnsi="宋体" w:eastAsia="宋体"/>
                <w:color w:val="auto"/>
                <w:sz w:val="18"/>
                <w:highlight w:val="none"/>
              </w:rPr>
              <w:t>数量60%以上</w:t>
            </w:r>
            <w:r>
              <w:rPr>
                <w:rFonts w:ascii="宋体" w:hAnsi="宋体" w:eastAsia="宋体"/>
                <w:color w:val="auto"/>
                <w:sz w:val="18"/>
                <w:highlight w:val="none"/>
              </w:rPr>
              <w:t>满足</w:t>
            </w:r>
            <w:r>
              <w:rPr>
                <w:rFonts w:hint="eastAsia" w:ascii="宋体" w:hAnsi="宋体" w:eastAsia="宋体"/>
                <w:color w:val="auto"/>
                <w:sz w:val="18"/>
                <w:highlight w:val="none"/>
              </w:rPr>
              <w:t>上述方案</w:t>
            </w:r>
            <w:r>
              <w:rPr>
                <w:rFonts w:ascii="宋体" w:hAnsi="宋体" w:eastAsia="宋体"/>
                <w:color w:val="auto"/>
                <w:sz w:val="18"/>
                <w:highlight w:val="none"/>
              </w:rPr>
              <w:t>要求</w:t>
            </w:r>
            <w:r>
              <w:rPr>
                <w:rFonts w:hint="eastAsia" w:ascii="宋体" w:hAnsi="宋体" w:eastAsia="宋体"/>
                <w:color w:val="auto"/>
                <w:sz w:val="18"/>
                <w:highlight w:val="none"/>
              </w:rPr>
              <w:t>，</w:t>
            </w:r>
            <w:r>
              <w:rPr>
                <w:rFonts w:ascii="宋体" w:hAnsi="宋体" w:eastAsia="宋体"/>
                <w:color w:val="auto"/>
                <w:sz w:val="18"/>
                <w:highlight w:val="none"/>
              </w:rPr>
              <w:t>得</w:t>
            </w:r>
            <w:r>
              <w:rPr>
                <w:rFonts w:hint="eastAsia" w:ascii="宋体" w:hAnsi="宋体" w:eastAsia="宋体"/>
                <w:color w:val="auto"/>
                <w:sz w:val="18"/>
                <w:highlight w:val="none"/>
              </w:rPr>
              <w:t>1</w:t>
            </w:r>
            <w:r>
              <w:rPr>
                <w:rFonts w:ascii="宋体" w:hAnsi="宋体" w:eastAsia="宋体"/>
                <w:color w:val="auto"/>
                <w:sz w:val="18"/>
                <w:highlight w:val="none"/>
              </w:rPr>
              <w:t>分</w:t>
            </w:r>
          </w:p>
          <w:p>
            <w:pPr>
              <w:spacing w:line="320" w:lineRule="exact"/>
              <w:ind w:firstLine="360" w:firstLineChars="200"/>
              <w:jc w:val="left"/>
              <w:rPr>
                <w:rFonts w:hint="eastAsia" w:ascii="宋体" w:hAnsi="宋体" w:eastAsia="宋体"/>
                <w:color w:val="auto"/>
                <w:sz w:val="18"/>
                <w:highlight w:val="none"/>
              </w:rPr>
            </w:pPr>
            <w:r>
              <w:rPr>
                <w:rFonts w:hint="eastAsia" w:ascii="宋体" w:hAnsi="宋体" w:eastAsia="宋体"/>
                <w:color w:val="auto"/>
                <w:sz w:val="18"/>
                <w:highlight w:val="none"/>
              </w:rPr>
              <w:t>差：不满足上述要求或没</w:t>
            </w:r>
            <w:r>
              <w:rPr>
                <w:rFonts w:ascii="宋体" w:hAnsi="宋体" w:eastAsia="宋体"/>
                <w:color w:val="auto"/>
                <w:sz w:val="18"/>
                <w:highlight w:val="none"/>
              </w:rPr>
              <w:t>有</w:t>
            </w:r>
            <w:r>
              <w:rPr>
                <w:rFonts w:hint="eastAsia" w:ascii="宋体" w:hAnsi="宋体" w:eastAsia="宋体"/>
                <w:color w:val="auto"/>
                <w:sz w:val="18"/>
                <w:highlight w:val="none"/>
              </w:rPr>
              <w:t>提供</w:t>
            </w:r>
            <w:r>
              <w:rPr>
                <w:rFonts w:ascii="宋体" w:hAnsi="宋体" w:eastAsia="宋体"/>
                <w:color w:val="auto"/>
                <w:sz w:val="18"/>
                <w:highlight w:val="none"/>
              </w:rPr>
              <w:t>招标人免责声明</w:t>
            </w:r>
            <w:r>
              <w:rPr>
                <w:rFonts w:hint="eastAsia" w:ascii="宋体" w:hAnsi="宋体" w:eastAsia="宋体"/>
                <w:color w:val="auto"/>
                <w:sz w:val="18"/>
                <w:highlight w:val="none"/>
              </w:rPr>
              <w:t>的得</w:t>
            </w:r>
            <w:r>
              <w:rPr>
                <w:rFonts w:ascii="宋体" w:hAnsi="宋体" w:eastAsia="宋体"/>
                <w:color w:val="auto"/>
                <w:sz w:val="18"/>
                <w:highlight w:val="none"/>
              </w:rPr>
              <w:t>0</w:t>
            </w:r>
            <w:r>
              <w:rPr>
                <w:rFonts w:hint="eastAsia" w:ascii="宋体" w:hAnsi="宋体" w:eastAsia="宋体"/>
                <w:color w:val="auto"/>
                <w:sz w:val="18"/>
                <w:highlight w:val="none"/>
              </w:rPr>
              <w:t>分。</w:t>
            </w:r>
          </w:p>
          <w:p>
            <w:pPr>
              <w:spacing w:line="320" w:lineRule="exact"/>
              <w:ind w:firstLine="360" w:firstLineChars="200"/>
              <w:jc w:val="left"/>
              <w:rPr>
                <w:rFonts w:hint="eastAsia" w:eastAsia="宋体"/>
                <w:color w:val="auto"/>
                <w:highlight w:val="none"/>
              </w:rPr>
            </w:pPr>
            <w:r>
              <w:rPr>
                <w:rFonts w:hint="eastAsia" w:ascii="宋体" w:hAnsi="宋体" w:eastAsia="宋体"/>
                <w:color w:val="auto"/>
                <w:sz w:val="18"/>
                <w:highlight w:val="none"/>
              </w:rPr>
              <w:t>注：</w:t>
            </w:r>
            <w:r>
              <w:rPr>
                <w:rFonts w:ascii="宋体" w:hAnsi="宋体" w:eastAsia="宋体"/>
                <w:color w:val="auto"/>
                <w:sz w:val="18"/>
                <w:highlight w:val="none"/>
              </w:rPr>
              <w:t>提供的车辆证件、保险资料必须合法、齐全</w:t>
            </w:r>
            <w:r>
              <w:rPr>
                <w:rFonts w:hint="eastAsia" w:ascii="宋体" w:hAnsi="宋体" w:eastAsia="宋体"/>
                <w:color w:val="auto"/>
                <w:sz w:val="18"/>
                <w:highlight w:val="none"/>
              </w:rPr>
              <w:t>且车况良好</w:t>
            </w:r>
            <w:r>
              <w:rPr>
                <w:rFonts w:ascii="宋体" w:hAnsi="宋体" w:eastAsia="宋体"/>
                <w:color w:val="auto"/>
                <w:sz w:val="18"/>
                <w:highlight w:val="none"/>
              </w:rPr>
              <w:t>。维护设备中自有车辆需提供有效的车辆行驶证、设备需提供购买发票等</w:t>
            </w:r>
            <w:r>
              <w:rPr>
                <w:rFonts w:hint="eastAsia" w:ascii="宋体" w:hAnsi="宋体" w:eastAsia="宋体"/>
                <w:color w:val="auto"/>
                <w:sz w:val="18"/>
                <w:highlight w:val="none"/>
                <w:lang w:eastAsia="zh-CN"/>
              </w:rPr>
              <w:t>扫描件</w:t>
            </w:r>
            <w:r>
              <w:rPr>
                <w:rFonts w:ascii="宋体" w:hAnsi="宋体" w:eastAsia="宋体"/>
                <w:color w:val="auto"/>
                <w:sz w:val="18"/>
                <w:highlight w:val="none"/>
              </w:rPr>
              <w:t>，如</w:t>
            </w:r>
            <w:r>
              <w:rPr>
                <w:rFonts w:hint="eastAsia" w:ascii="宋体" w:hAnsi="宋体" w:eastAsia="宋体"/>
                <w:color w:val="auto"/>
                <w:sz w:val="18"/>
                <w:highlight w:val="none"/>
                <w:lang w:val="en-US" w:eastAsia="zh-CN"/>
              </w:rPr>
              <w:t>全部</w:t>
            </w:r>
            <w:r>
              <w:rPr>
                <w:rFonts w:ascii="宋体" w:hAnsi="宋体" w:eastAsia="宋体"/>
                <w:color w:val="auto"/>
                <w:sz w:val="18"/>
                <w:highlight w:val="none"/>
              </w:rPr>
              <w:t>通过租赁</w:t>
            </w:r>
            <w:r>
              <w:rPr>
                <w:rFonts w:hint="eastAsia" w:ascii="宋体" w:hAnsi="宋体" w:eastAsia="宋体"/>
                <w:color w:val="auto"/>
                <w:sz w:val="18"/>
                <w:highlight w:val="none"/>
                <w:lang w:eastAsia="zh-CN"/>
              </w:rPr>
              <w:t>或部分租赁</w:t>
            </w:r>
            <w:r>
              <w:rPr>
                <w:rFonts w:ascii="宋体" w:hAnsi="宋体" w:eastAsia="宋体"/>
                <w:color w:val="auto"/>
                <w:sz w:val="18"/>
                <w:highlight w:val="none"/>
              </w:rPr>
              <w:t>的方式满足要求的，</w:t>
            </w:r>
            <w:r>
              <w:rPr>
                <w:rFonts w:hint="eastAsia" w:ascii="宋体" w:hAnsi="宋体" w:eastAsia="宋体"/>
                <w:color w:val="auto"/>
                <w:sz w:val="18"/>
                <w:highlight w:val="none"/>
              </w:rPr>
              <w:t>须提供相关书面承诺</w:t>
            </w:r>
            <w:r>
              <w:rPr>
                <w:rFonts w:ascii="宋体" w:hAnsi="宋体" w:eastAsia="宋体"/>
                <w:color w:val="auto"/>
                <w:sz w:val="18"/>
                <w:highlight w:val="none"/>
              </w:rPr>
              <w:t>（</w:t>
            </w:r>
            <w:r>
              <w:rPr>
                <w:rFonts w:hint="eastAsia" w:ascii="宋体" w:hAnsi="宋体" w:eastAsia="宋体"/>
                <w:color w:val="auto"/>
                <w:sz w:val="18"/>
                <w:highlight w:val="none"/>
              </w:rPr>
              <w:t>承诺内容需包括但不仅限于：租赁的车辆、设备的型号和数量，租赁的车辆、设备等租赁合同的租赁期限应在</w:t>
            </w:r>
            <w:r>
              <w:rPr>
                <w:rFonts w:ascii="宋体" w:hAnsi="宋体" w:eastAsia="宋体" w:cs="宋体"/>
                <w:color w:val="auto"/>
                <w:sz w:val="18"/>
                <w:szCs w:val="18"/>
                <w:highlight w:val="none"/>
              </w:rPr>
              <w:t>本项目服务合同起始日期</w:t>
            </w:r>
            <w:r>
              <w:rPr>
                <w:rFonts w:hint="eastAsia" w:ascii="宋体" w:hAnsi="宋体" w:eastAsia="宋体" w:cs="宋体"/>
                <w:color w:val="auto"/>
                <w:sz w:val="18"/>
                <w:szCs w:val="18"/>
                <w:highlight w:val="none"/>
              </w:rPr>
              <w:t>前</w:t>
            </w:r>
            <w:r>
              <w:rPr>
                <w:rFonts w:hint="eastAsia" w:ascii="宋体" w:hAnsi="宋体" w:eastAsia="宋体"/>
                <w:color w:val="auto"/>
                <w:sz w:val="18"/>
                <w:highlight w:val="none"/>
              </w:rPr>
              <w:t>，且须覆盖本项目服务周期，并在</w:t>
            </w:r>
            <w:r>
              <w:rPr>
                <w:rFonts w:ascii="宋体" w:hAnsi="宋体" w:eastAsia="宋体" w:cs="宋体"/>
                <w:color w:val="auto"/>
                <w:sz w:val="18"/>
                <w:szCs w:val="18"/>
                <w:highlight w:val="none"/>
              </w:rPr>
              <w:t>本项目服务合同起始日期</w:t>
            </w:r>
            <w:r>
              <w:rPr>
                <w:rFonts w:hint="eastAsia" w:ascii="宋体" w:hAnsi="宋体" w:eastAsia="宋体" w:cs="宋体"/>
                <w:color w:val="auto"/>
                <w:sz w:val="18"/>
                <w:szCs w:val="18"/>
                <w:highlight w:val="none"/>
              </w:rPr>
              <w:t>前</w:t>
            </w:r>
            <w:r>
              <w:rPr>
                <w:rFonts w:hint="eastAsia" w:ascii="宋体" w:hAnsi="宋体" w:eastAsia="宋体"/>
                <w:color w:val="auto"/>
                <w:sz w:val="18"/>
                <w:highlight w:val="none"/>
              </w:rPr>
              <w:t>向招标人提交合法有效的租赁合同原件</w:t>
            </w:r>
            <w:r>
              <w:rPr>
                <w:rFonts w:ascii="宋体" w:hAnsi="宋体" w:eastAsia="宋体"/>
                <w:color w:val="auto"/>
                <w:sz w:val="18"/>
                <w:highlight w:val="none"/>
              </w:rPr>
              <w:t>）</w:t>
            </w:r>
            <w:r>
              <w:rPr>
                <w:rFonts w:hint="eastAsia" w:ascii="宋体" w:hAnsi="宋体" w:eastAsia="宋体"/>
                <w:color w:val="auto"/>
                <w:sz w:val="18"/>
                <w:highlight w:val="none"/>
              </w:rPr>
              <w:t>。</w:t>
            </w:r>
            <w:r>
              <w:rPr>
                <w:rFonts w:hint="eastAsia" w:ascii="宋体" w:hAnsi="宋体" w:eastAsia="宋体"/>
                <w:color w:val="auto"/>
                <w:sz w:val="18"/>
                <w:highlight w:val="none"/>
                <w:lang w:eastAsia="zh-CN"/>
              </w:rPr>
              <w:t>自有</w:t>
            </w:r>
            <w:r>
              <w:rPr>
                <w:rFonts w:ascii="宋体" w:hAnsi="宋体" w:eastAsia="宋体"/>
                <w:color w:val="auto"/>
                <w:sz w:val="18"/>
                <w:highlight w:val="none"/>
              </w:rPr>
              <w:t>车辆</w:t>
            </w:r>
            <w:r>
              <w:rPr>
                <w:rFonts w:hint="eastAsia" w:ascii="宋体" w:hAnsi="宋体" w:eastAsia="宋体"/>
                <w:color w:val="auto"/>
                <w:sz w:val="18"/>
                <w:highlight w:val="none"/>
                <w:lang w:eastAsia="zh-CN"/>
              </w:rPr>
              <w:t>、</w:t>
            </w:r>
            <w:bookmarkStart w:id="176" w:name="_GoBack"/>
            <w:r>
              <w:rPr>
                <w:rFonts w:hint="eastAsia" w:ascii="宋体" w:hAnsi="宋体" w:eastAsia="宋体"/>
                <w:color w:val="auto"/>
                <w:sz w:val="18"/>
                <w:highlight w:val="none"/>
                <w:lang w:eastAsia="zh-CN"/>
              </w:rPr>
              <w:t>设备</w:t>
            </w:r>
            <w:r>
              <w:rPr>
                <w:rFonts w:hint="eastAsia" w:ascii="宋体" w:hAnsi="宋体" w:eastAsia="宋体"/>
                <w:color w:val="auto"/>
                <w:sz w:val="18"/>
                <w:highlight w:val="none"/>
                <w:lang w:val="en-US" w:eastAsia="zh-CN"/>
              </w:rPr>
              <w:t>的核定载质量</w:t>
            </w:r>
            <w:bookmarkEnd w:id="176"/>
            <w:r>
              <w:rPr>
                <w:rFonts w:ascii="宋体" w:hAnsi="宋体" w:eastAsia="宋体"/>
                <w:color w:val="auto"/>
                <w:sz w:val="18"/>
                <w:highlight w:val="none"/>
              </w:rPr>
              <w:t>等指标信息以车辆行驶证</w:t>
            </w:r>
            <w:r>
              <w:rPr>
                <w:rFonts w:hint="eastAsia" w:ascii="宋体" w:hAnsi="宋体" w:eastAsia="宋体"/>
                <w:color w:val="auto"/>
                <w:sz w:val="18"/>
                <w:highlight w:val="none"/>
                <w:lang w:eastAsia="zh-CN"/>
              </w:rPr>
              <w:t>或设备发票</w:t>
            </w:r>
            <w:r>
              <w:rPr>
                <w:rFonts w:ascii="宋体" w:hAnsi="宋体" w:eastAsia="宋体"/>
                <w:color w:val="auto"/>
                <w:sz w:val="18"/>
                <w:highlight w:val="none"/>
              </w:rPr>
              <w:t>上登记的信息为准。证件</w:t>
            </w:r>
            <w:r>
              <w:rPr>
                <w:rFonts w:hint="eastAsia" w:ascii="宋体" w:hAnsi="宋体" w:eastAsia="宋体"/>
                <w:color w:val="auto"/>
                <w:sz w:val="18"/>
                <w:highlight w:val="none"/>
                <w:lang w:val="en-US" w:eastAsia="zh-CN"/>
              </w:rPr>
              <w:t>或承诺</w:t>
            </w:r>
            <w:r>
              <w:rPr>
                <w:rFonts w:ascii="宋体" w:hAnsi="宋体" w:eastAsia="宋体"/>
                <w:color w:val="auto"/>
                <w:sz w:val="18"/>
                <w:highlight w:val="none"/>
              </w:rPr>
              <w:t>不齐全的不得分。</w:t>
            </w:r>
            <w:r>
              <w:rPr>
                <w:rFonts w:hint="eastAsia" w:ascii="宋体" w:hAnsi="宋体" w:eastAsia="宋体"/>
                <w:color w:val="auto"/>
                <w:sz w:val="18"/>
                <w:highlight w:val="none"/>
              </w:rPr>
              <w:t>投标人应考虑项目服务区域内机动车限行政策，保证在限行的区域和时段内有可供使用的满足要求的作业车辆。合同实施阶段，承包人必须按其投标文件响应来配备所有车辆，所有车辆均须为货运车辆或专项作业车辆，并必须按国家相关规定喷涂黄色。</w:t>
            </w:r>
            <w:r>
              <w:rPr>
                <w:rFonts w:hint="eastAsia" w:ascii="宋体" w:hAnsi="宋体" w:eastAsia="宋体"/>
                <w:color w:val="auto"/>
                <w:sz w:val="18"/>
                <w:highlight w:val="none"/>
                <w:lang w:val="en-US" w:eastAsia="zh-CN"/>
              </w:rPr>
              <w:t>如提供书面承诺的，承诺格式自拟。</w:t>
            </w:r>
            <w:r>
              <w:rPr>
                <w:rFonts w:hint="eastAsia" w:hAnsi="宋体"/>
                <w:color w:val="auto"/>
                <w:sz w:val="18"/>
                <w:highlight w:val="none"/>
              </w:rPr>
              <w:t>证明材料</w:t>
            </w:r>
            <w:r>
              <w:rPr>
                <w:rFonts w:hint="eastAsia" w:hAnsi="宋体" w:eastAsia="宋体"/>
                <w:color w:val="auto"/>
                <w:sz w:val="18"/>
                <w:highlight w:val="none"/>
                <w:lang w:eastAsia="zh-CN"/>
              </w:rPr>
              <w:t>扫描件</w:t>
            </w:r>
            <w:r>
              <w:rPr>
                <w:rFonts w:hint="eastAsia" w:hAnsi="宋体"/>
                <w:color w:val="auto"/>
                <w:sz w:val="18"/>
                <w:highlight w:val="none"/>
              </w:rPr>
              <w:t>加盖投标人公章</w:t>
            </w:r>
            <w:r>
              <w:rPr>
                <w:rFonts w:hint="eastAsia" w:ascii="宋体" w:hAnsi="宋体" w:eastAsia="宋体"/>
                <w:color w:val="auto"/>
                <w:sz w:val="18"/>
                <w:highlight w:val="none"/>
              </w:rPr>
              <w:t>，资料不齐全不得分。</w:t>
            </w:r>
          </w:p>
        </w:tc>
        <w:tc>
          <w:tcPr>
            <w:tcW w:w="709" w:type="dxa"/>
            <w:tcBorders>
              <w:top w:val="single" w:color="auto" w:sz="4" w:space="0"/>
              <w:left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709" w:type="dxa"/>
            <w:tcBorders>
              <w:top w:val="single" w:color="auto" w:sz="4" w:space="0"/>
              <w:left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628"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0"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7"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80" w:type="dxa"/>
            <w:vMerge w:val="continue"/>
            <w:tcBorders>
              <w:left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79" w:type="dxa"/>
            <w:vMerge w:val="continue"/>
            <w:tcBorders>
              <w:left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581"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6</w:t>
            </w:r>
          </w:p>
        </w:tc>
        <w:tc>
          <w:tcPr>
            <w:tcW w:w="1396" w:type="dxa"/>
            <w:tcBorders>
              <w:left w:val="single" w:color="auto" w:sz="4" w:space="0"/>
              <w:right w:val="single" w:color="auto" w:sz="4" w:space="0"/>
            </w:tcBorders>
            <w:noWrap w:val="0"/>
            <w:vAlign w:val="center"/>
          </w:tcPr>
          <w:p>
            <w:pPr>
              <w:snapToGrid w:val="0"/>
              <w:rPr>
                <w:rFonts w:ascii="宋体" w:hAnsi="宋体"/>
                <w:color w:val="auto"/>
                <w:sz w:val="18"/>
                <w:szCs w:val="18"/>
                <w:highlight w:val="none"/>
              </w:rPr>
            </w:pPr>
            <w:r>
              <w:rPr>
                <w:rFonts w:hint="eastAsia" w:hAnsi="宋体"/>
                <w:color w:val="auto"/>
                <w:sz w:val="18"/>
                <w:szCs w:val="18"/>
                <w:highlight w:val="none"/>
              </w:rPr>
              <w:t>工作场所和仓库设置方案</w:t>
            </w:r>
          </w:p>
        </w:tc>
        <w:tc>
          <w:tcPr>
            <w:tcW w:w="7279" w:type="dxa"/>
            <w:tcBorders>
              <w:top w:val="single" w:color="auto" w:sz="4" w:space="0"/>
              <w:left w:val="single" w:color="auto" w:sz="4" w:space="0"/>
              <w:right w:val="single" w:color="auto" w:sz="4" w:space="0"/>
            </w:tcBorders>
            <w:noWrap w:val="0"/>
            <w:vAlign w:val="center"/>
          </w:tcPr>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工作场所和仓库的设置方案包括：如何合理确定零配件和备件种类、数量，仓库设置的地理位置、面积大小、结构类型等，明确仓库管理人员及职责分工，有管理流程和相关表单，有零配件的采购策略。</w:t>
            </w: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优：方案科学可行，详细切实有效，能完全满足本项目各类交通警保卫、抢险救灾等保障任务的应急调度要求，且全部满足并超过招标项目需求的，得6.0分;</w:t>
            </w: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良：方案科学可行，详细切实有效，能满足本项目各类交通警保卫、抢险救灾等保障任务的应急调度要求,且全部满足招标项目需求的，得3.0分;</w:t>
            </w: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中：方案科学可行，切实有效，能基本满足本项目各类交通警保卫、抢险救灾等保障任务的应急调度要求,且基本满足招标项目需求的，得1.5分;</w:t>
            </w: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差：不满足上述要求的得0分。</w:t>
            </w: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注：1、本项目要求中标人自接收到相关应急抢修、抢险救灾任务时起，日间须于 1小时内、夜间须于2小时内按要求配置工人车辆及各类设施到达指定任务现场。投标人须充分考虑自身工作场所、仓库与本项目建设(工作)地点的距离、沿线交通路况等要素以满足上述应急抢修、抢险救灾等工作的时效要求。</w:t>
            </w:r>
          </w:p>
          <w:p>
            <w:pPr>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2、需提供办公场所以及仓库房产证，或经房管部门备案的购房合同且己竣工验收并交付使用,或租期在合同服务周期期满3个月后到期的合法有效租赁合同及出租人房产或地产使用证明材料，或相关书面承诺（承诺内容需包括但不仅限于：明确所在地、面积、所拥有方式以及在本项目服务合同起始日期前落实)。如提供书面承诺的，承诺格式自拟。证明材料加盖投标人公章，资料不齐全不得分。</w:t>
            </w:r>
          </w:p>
        </w:tc>
        <w:tc>
          <w:tcPr>
            <w:tcW w:w="709" w:type="dxa"/>
            <w:tcBorders>
              <w:top w:val="single" w:color="auto" w:sz="4" w:space="0"/>
              <w:left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709" w:type="dxa"/>
            <w:tcBorders>
              <w:top w:val="single" w:color="auto" w:sz="4" w:space="0"/>
              <w:left w:val="single" w:color="auto" w:sz="4" w:space="0"/>
              <w:right w:val="single" w:color="auto" w:sz="4" w:space="0"/>
            </w:tcBorders>
            <w:noWrap w:val="0"/>
            <w:vAlign w:val="center"/>
          </w:tcPr>
          <w:p>
            <w:pPr>
              <w:snapToGrid w:val="0"/>
              <w:rPr>
                <w:rFonts w:ascii="宋体" w:hAnsi="宋体"/>
                <w:color w:val="auto"/>
                <w:sz w:val="18"/>
                <w:szCs w:val="18"/>
                <w:highlight w:val="none"/>
              </w:rPr>
            </w:pPr>
          </w:p>
        </w:tc>
        <w:tc>
          <w:tcPr>
            <w:tcW w:w="628"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0"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7"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80" w:type="dxa"/>
            <w:vMerge w:val="restart"/>
            <w:tcBorders>
              <w:top w:val="single" w:color="auto" w:sz="4" w:space="0"/>
              <w:left w:val="single" w:color="auto" w:sz="4" w:space="0"/>
              <w:right w:val="single" w:color="auto" w:sz="4" w:space="0"/>
            </w:tcBorders>
            <w:noWrap w:val="0"/>
            <w:vAlign w:val="center"/>
          </w:tcPr>
          <w:p>
            <w:pPr>
              <w:snapToGrid w:val="0"/>
              <w:rPr>
                <w:rFonts w:ascii="宋体" w:hAnsi="宋体"/>
                <w:color w:val="auto"/>
                <w:sz w:val="18"/>
                <w:szCs w:val="18"/>
                <w:highlight w:val="none"/>
              </w:rPr>
            </w:pPr>
            <w:r>
              <w:rPr>
                <w:rFonts w:hint="eastAsia" w:hAnsi="新宋体" w:eastAsia="新宋体"/>
                <w:color w:val="auto"/>
                <w:sz w:val="18"/>
                <w:szCs w:val="18"/>
                <w:highlight w:val="none"/>
              </w:rPr>
              <w:t>企业资信部分</w:t>
            </w:r>
          </w:p>
        </w:tc>
        <w:tc>
          <w:tcPr>
            <w:tcW w:w="579" w:type="dxa"/>
            <w:vMerge w:val="restart"/>
            <w:tcBorders>
              <w:top w:val="single" w:color="auto" w:sz="4" w:space="0"/>
              <w:left w:val="single" w:color="auto" w:sz="4" w:space="0"/>
              <w:right w:val="single" w:color="auto" w:sz="4" w:space="0"/>
            </w:tcBorders>
            <w:noWrap w:val="0"/>
            <w:vAlign w:val="center"/>
          </w:tcPr>
          <w:p>
            <w:pPr>
              <w:snapToGrid w:val="0"/>
              <w:ind w:firstLine="90" w:firstLineChars="50"/>
              <w:rPr>
                <w:rFonts w:ascii="宋体" w:hAnsi="宋体" w:eastAsia="宋体"/>
                <w:color w:val="auto"/>
                <w:sz w:val="18"/>
                <w:szCs w:val="18"/>
                <w:highlight w:val="none"/>
              </w:rPr>
            </w:pPr>
            <w:r>
              <w:rPr>
                <w:rFonts w:hint="eastAsia" w:ascii="宋体" w:hAnsi="宋体" w:eastAsia="宋体"/>
                <w:color w:val="auto"/>
                <w:sz w:val="18"/>
                <w:szCs w:val="18"/>
                <w:highlight w:val="none"/>
              </w:rPr>
              <w:t>8</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4</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color w:val="auto"/>
                <w:sz w:val="18"/>
                <w:szCs w:val="18"/>
                <w:highlight w:val="none"/>
              </w:rPr>
            </w:pPr>
            <w:r>
              <w:rPr>
                <w:rFonts w:hint="eastAsia" w:hAnsi="新宋体" w:eastAsia="新宋体"/>
                <w:color w:val="auto"/>
                <w:sz w:val="18"/>
                <w:szCs w:val="18"/>
                <w:highlight w:val="none"/>
              </w:rPr>
              <w:t>企业业绩</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tabs>
                <w:tab w:val="left" w:pos="-40"/>
                <w:tab w:val="left" w:pos="0"/>
              </w:tabs>
              <w:spacing w:line="320" w:lineRule="exact"/>
              <w:ind w:firstLine="360" w:firstLineChars="200"/>
              <w:rPr>
                <w:rFonts w:hint="eastAsia" w:hAnsi="宋体"/>
                <w:color w:val="auto"/>
                <w:sz w:val="18"/>
                <w:highlight w:val="none"/>
              </w:rPr>
            </w:pPr>
            <w:r>
              <w:rPr>
                <w:rFonts w:hint="eastAsia" w:hAnsi="宋体" w:eastAsia="宋体"/>
                <w:color w:val="auto"/>
                <w:sz w:val="18"/>
                <w:highlight w:val="none"/>
              </w:rPr>
              <w:t>投标人自</w:t>
            </w:r>
            <w:r>
              <w:rPr>
                <w:rFonts w:hint="eastAsia" w:hAnsi="宋体"/>
                <w:color w:val="auto"/>
                <w:sz w:val="18"/>
                <w:highlight w:val="none"/>
              </w:rPr>
              <w:t>202</w:t>
            </w:r>
            <w:r>
              <w:rPr>
                <w:rFonts w:hint="eastAsia"/>
                <w:color w:val="auto"/>
                <w:sz w:val="18"/>
                <w:highlight w:val="none"/>
                <w:lang w:val="en-US" w:eastAsia="zh-CN"/>
              </w:rPr>
              <w:t>2</w:t>
            </w:r>
            <w:r>
              <w:rPr>
                <w:rFonts w:hint="eastAsia" w:hAnsi="宋体"/>
                <w:color w:val="auto"/>
                <w:sz w:val="18"/>
                <w:highlight w:val="none"/>
              </w:rPr>
              <w:t>年1月1日至今</w:t>
            </w:r>
            <w:r>
              <w:rPr>
                <w:rFonts w:hint="eastAsia" w:hAnsi="宋体"/>
                <w:color w:val="auto"/>
                <w:sz w:val="18"/>
                <w:highlight w:val="none"/>
                <w:lang w:eastAsia="zh-CN"/>
              </w:rPr>
              <w:t>承接过</w:t>
            </w:r>
            <w:r>
              <w:rPr>
                <w:rFonts w:hint="eastAsia"/>
                <w:color w:val="auto"/>
                <w:sz w:val="18"/>
                <w:highlight w:val="none"/>
                <w:lang w:eastAsia="zh-CN"/>
              </w:rPr>
              <w:t>道路交通安全设施工程</w:t>
            </w:r>
            <w:r>
              <w:rPr>
                <w:rFonts w:hint="eastAsia" w:ascii="宋体" w:hAnsi="宋体" w:eastAsia="宋体" w:cs="宋体"/>
                <w:color w:val="auto"/>
                <w:sz w:val="18"/>
                <w:highlight w:val="none"/>
              </w:rPr>
              <w:t>项</w:t>
            </w:r>
            <w:r>
              <w:rPr>
                <w:rFonts w:hint="eastAsia" w:hAnsi="宋体"/>
                <w:color w:val="auto"/>
                <w:sz w:val="18"/>
                <w:highlight w:val="none"/>
              </w:rPr>
              <w:t>目业绩：</w:t>
            </w:r>
          </w:p>
          <w:p>
            <w:pPr>
              <w:tabs>
                <w:tab w:val="left" w:pos="-40"/>
                <w:tab w:val="left" w:pos="0"/>
              </w:tabs>
              <w:spacing w:line="320" w:lineRule="exact"/>
              <w:ind w:firstLine="360" w:firstLineChars="200"/>
              <w:jc w:val="left"/>
              <w:rPr>
                <w:rFonts w:hint="eastAsia" w:hAnsi="宋体"/>
                <w:color w:val="auto"/>
                <w:sz w:val="18"/>
                <w:highlight w:val="none"/>
              </w:rPr>
            </w:pPr>
            <w:r>
              <w:rPr>
                <w:rFonts w:hint="eastAsia" w:hAnsi="宋体"/>
                <w:color w:val="auto"/>
                <w:sz w:val="18"/>
                <w:highlight w:val="none"/>
              </w:rPr>
              <w:t>1.单项合同金额在1</w:t>
            </w:r>
            <w:r>
              <w:rPr>
                <w:rFonts w:hint="eastAsia" w:hAnsi="宋体" w:eastAsia="宋体"/>
                <w:color w:val="auto"/>
                <w:sz w:val="18"/>
                <w:highlight w:val="none"/>
                <w:lang w:eastAsia="zh-CN"/>
              </w:rPr>
              <w:t>3</w:t>
            </w:r>
            <w:r>
              <w:rPr>
                <w:rFonts w:hint="eastAsia" w:hAnsi="宋体"/>
                <w:color w:val="auto"/>
                <w:sz w:val="18"/>
                <w:highlight w:val="none"/>
              </w:rPr>
              <w:t>00万元或以上业绩的，得4分；</w:t>
            </w:r>
          </w:p>
          <w:p>
            <w:pPr>
              <w:tabs>
                <w:tab w:val="left" w:pos="-40"/>
                <w:tab w:val="left" w:pos="0"/>
              </w:tabs>
              <w:spacing w:line="320" w:lineRule="exact"/>
              <w:ind w:firstLine="360" w:firstLineChars="200"/>
              <w:jc w:val="left"/>
              <w:rPr>
                <w:rFonts w:hint="eastAsia" w:hAnsi="宋体"/>
                <w:color w:val="auto"/>
                <w:sz w:val="18"/>
                <w:highlight w:val="none"/>
              </w:rPr>
            </w:pPr>
            <w:r>
              <w:rPr>
                <w:rFonts w:hint="eastAsia" w:hAnsi="宋体"/>
                <w:color w:val="auto"/>
                <w:sz w:val="18"/>
                <w:highlight w:val="none"/>
              </w:rPr>
              <w:t>2.单项合同金额在</w:t>
            </w:r>
            <w:r>
              <w:rPr>
                <w:rFonts w:hint="eastAsia" w:hAnsi="宋体" w:eastAsia="宋体"/>
                <w:color w:val="auto"/>
                <w:sz w:val="18"/>
                <w:highlight w:val="none"/>
              </w:rPr>
              <w:t>10</w:t>
            </w:r>
            <w:r>
              <w:rPr>
                <w:rFonts w:hint="eastAsia" w:hAnsi="宋体"/>
                <w:color w:val="auto"/>
                <w:sz w:val="18"/>
                <w:highlight w:val="none"/>
              </w:rPr>
              <w:t>00万元～1</w:t>
            </w:r>
            <w:r>
              <w:rPr>
                <w:rFonts w:hint="eastAsia" w:hAnsi="宋体" w:eastAsia="宋体"/>
                <w:color w:val="auto"/>
                <w:sz w:val="18"/>
                <w:highlight w:val="none"/>
                <w:lang w:eastAsia="zh-CN"/>
              </w:rPr>
              <w:t>3</w:t>
            </w:r>
            <w:r>
              <w:rPr>
                <w:rFonts w:hint="eastAsia" w:hAnsi="宋体"/>
                <w:color w:val="auto"/>
                <w:sz w:val="18"/>
                <w:highlight w:val="none"/>
              </w:rPr>
              <w:t>00万元(含</w:t>
            </w:r>
            <w:r>
              <w:rPr>
                <w:rFonts w:hAnsi="宋体"/>
                <w:color w:val="auto"/>
                <w:sz w:val="18"/>
                <w:highlight w:val="none"/>
              </w:rPr>
              <w:t>10</w:t>
            </w:r>
            <w:r>
              <w:rPr>
                <w:rFonts w:hint="eastAsia" w:hAnsi="宋体"/>
                <w:color w:val="auto"/>
                <w:sz w:val="18"/>
                <w:highlight w:val="none"/>
              </w:rPr>
              <w:t>00万元，不含1</w:t>
            </w:r>
            <w:r>
              <w:rPr>
                <w:rFonts w:hint="eastAsia" w:hAnsi="宋体" w:eastAsia="宋体"/>
                <w:color w:val="auto"/>
                <w:sz w:val="18"/>
                <w:highlight w:val="none"/>
                <w:lang w:eastAsia="zh-CN"/>
              </w:rPr>
              <w:t>3</w:t>
            </w:r>
            <w:r>
              <w:rPr>
                <w:rFonts w:hint="eastAsia" w:hAnsi="宋体"/>
                <w:color w:val="auto"/>
                <w:sz w:val="18"/>
                <w:highlight w:val="none"/>
              </w:rPr>
              <w:t>00万元)的，得2分；</w:t>
            </w:r>
          </w:p>
          <w:p>
            <w:pPr>
              <w:tabs>
                <w:tab w:val="left" w:pos="-40"/>
                <w:tab w:val="left" w:pos="0"/>
              </w:tabs>
              <w:spacing w:line="320" w:lineRule="exact"/>
              <w:ind w:firstLine="360" w:firstLineChars="200"/>
              <w:jc w:val="left"/>
              <w:rPr>
                <w:rFonts w:hint="eastAsia" w:hAnsi="宋体"/>
                <w:color w:val="auto"/>
                <w:sz w:val="18"/>
                <w:highlight w:val="none"/>
              </w:rPr>
            </w:pPr>
            <w:r>
              <w:rPr>
                <w:rFonts w:hint="eastAsia" w:hAnsi="宋体"/>
                <w:color w:val="auto"/>
                <w:sz w:val="18"/>
                <w:highlight w:val="none"/>
              </w:rPr>
              <w:t>3.单项合同金额在</w:t>
            </w:r>
            <w:r>
              <w:rPr>
                <w:rFonts w:hint="eastAsia" w:hAnsi="宋体" w:eastAsia="宋体"/>
                <w:color w:val="auto"/>
                <w:sz w:val="18"/>
                <w:highlight w:val="none"/>
              </w:rPr>
              <w:t>5</w:t>
            </w:r>
            <w:r>
              <w:rPr>
                <w:rFonts w:hint="eastAsia" w:hAnsi="宋体"/>
                <w:color w:val="auto"/>
                <w:sz w:val="18"/>
                <w:highlight w:val="none"/>
              </w:rPr>
              <w:t>00万元～</w:t>
            </w:r>
            <w:r>
              <w:rPr>
                <w:rFonts w:hint="eastAsia" w:hAnsi="宋体" w:eastAsia="宋体"/>
                <w:color w:val="auto"/>
                <w:sz w:val="18"/>
                <w:highlight w:val="none"/>
              </w:rPr>
              <w:t>10</w:t>
            </w:r>
            <w:r>
              <w:rPr>
                <w:rFonts w:hint="eastAsia" w:hAnsi="宋体"/>
                <w:color w:val="auto"/>
                <w:sz w:val="18"/>
                <w:highlight w:val="none"/>
              </w:rPr>
              <w:t>00万元(含</w:t>
            </w:r>
            <w:r>
              <w:rPr>
                <w:rFonts w:hint="eastAsia" w:hAnsi="宋体" w:eastAsia="宋体"/>
                <w:color w:val="auto"/>
                <w:sz w:val="18"/>
                <w:highlight w:val="none"/>
              </w:rPr>
              <w:t>5</w:t>
            </w:r>
            <w:r>
              <w:rPr>
                <w:rFonts w:hint="eastAsia" w:hAnsi="宋体"/>
                <w:color w:val="auto"/>
                <w:sz w:val="18"/>
                <w:highlight w:val="none"/>
              </w:rPr>
              <w:t>00万元，不含</w:t>
            </w:r>
            <w:r>
              <w:rPr>
                <w:rFonts w:hint="eastAsia" w:hAnsi="宋体" w:eastAsia="宋体"/>
                <w:color w:val="auto"/>
                <w:sz w:val="18"/>
                <w:highlight w:val="none"/>
              </w:rPr>
              <w:t>10</w:t>
            </w:r>
            <w:r>
              <w:rPr>
                <w:rFonts w:hint="eastAsia" w:hAnsi="宋体"/>
                <w:color w:val="auto"/>
                <w:sz w:val="18"/>
                <w:highlight w:val="none"/>
              </w:rPr>
              <w:t>00万元)的，得1分；</w:t>
            </w:r>
          </w:p>
          <w:p>
            <w:pPr>
              <w:tabs>
                <w:tab w:val="left" w:pos="-40"/>
                <w:tab w:val="left" w:pos="0"/>
              </w:tabs>
              <w:spacing w:line="320" w:lineRule="exact"/>
              <w:ind w:firstLine="360" w:firstLineChars="200"/>
              <w:jc w:val="left"/>
              <w:rPr>
                <w:rFonts w:hint="eastAsia" w:hAnsi="宋体"/>
                <w:color w:val="auto"/>
                <w:sz w:val="18"/>
                <w:highlight w:val="none"/>
              </w:rPr>
            </w:pPr>
            <w:r>
              <w:rPr>
                <w:rFonts w:hint="eastAsia" w:hAnsi="宋体"/>
                <w:color w:val="auto"/>
                <w:sz w:val="18"/>
                <w:highlight w:val="none"/>
              </w:rPr>
              <w:t>其他的不得分，本项最多得4分。</w:t>
            </w:r>
          </w:p>
          <w:p>
            <w:pPr>
              <w:tabs>
                <w:tab w:val="left" w:pos="-40"/>
                <w:tab w:val="left" w:pos="0"/>
              </w:tabs>
              <w:spacing w:line="320" w:lineRule="exact"/>
              <w:ind w:firstLine="360" w:firstLineChars="200"/>
              <w:jc w:val="left"/>
              <w:rPr>
                <w:rFonts w:hint="eastAsia" w:hAnsi="宋体"/>
                <w:color w:val="auto"/>
                <w:sz w:val="18"/>
                <w:highlight w:val="none"/>
              </w:rPr>
            </w:pPr>
            <w:r>
              <w:rPr>
                <w:rFonts w:hint="eastAsia" w:hAnsi="宋体"/>
                <w:color w:val="auto"/>
                <w:sz w:val="18"/>
                <w:highlight w:val="none"/>
              </w:rPr>
              <w:t>注：1.同一个项目按最高级别合同金额计算，不累计得分；</w:t>
            </w:r>
          </w:p>
          <w:p>
            <w:pPr>
              <w:tabs>
                <w:tab w:val="left" w:pos="-40"/>
                <w:tab w:val="left" w:pos="0"/>
              </w:tabs>
              <w:spacing w:line="320" w:lineRule="exact"/>
              <w:ind w:firstLine="360" w:firstLineChars="200"/>
              <w:rPr>
                <w:rFonts w:ascii="宋体" w:hAnsi="宋体"/>
                <w:color w:val="auto"/>
                <w:sz w:val="18"/>
                <w:szCs w:val="18"/>
                <w:highlight w:val="none"/>
              </w:rPr>
            </w:pPr>
            <w:r>
              <w:rPr>
                <w:rFonts w:hint="eastAsia" w:hAnsi="宋体"/>
                <w:color w:val="auto"/>
                <w:sz w:val="18"/>
                <w:highlight w:val="none"/>
              </w:rPr>
              <w:t>2.</w:t>
            </w:r>
            <w:r>
              <w:rPr>
                <w:rFonts w:hint="eastAsia"/>
                <w:color w:val="auto"/>
                <w:sz w:val="18"/>
                <w:highlight w:val="none"/>
              </w:rPr>
              <w:t>业绩需提供中标通知书或免招标的相关证明、施工合同等证明材料，时间以合同签订时间为准，中标通知书应由县级以上公共资源交易中心或建设工程交易中心出具。或提供相关材料证明项目在县级以上公共资源交易中心或建设工程交易中心或政府采购中心进行交易的。证明材料扫描件并加盖投标人公章，资料不齐全的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trPr>
        <w:tc>
          <w:tcPr>
            <w:tcW w:w="1080" w:type="dxa"/>
            <w:vMerge w:val="continue"/>
            <w:tcBorders>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79" w:type="dxa"/>
            <w:vMerge w:val="continue"/>
            <w:tcBorders>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等线"/>
                <w:color w:val="auto"/>
                <w:sz w:val="18"/>
                <w:szCs w:val="18"/>
                <w:highlight w:val="none"/>
              </w:rPr>
            </w:pPr>
            <w:r>
              <w:rPr>
                <w:rFonts w:hint="eastAsia" w:ascii="宋体" w:hAnsi="宋体" w:eastAsia="等线"/>
                <w:color w:val="auto"/>
                <w:sz w:val="18"/>
                <w:szCs w:val="18"/>
                <w:highlight w:val="none"/>
              </w:rPr>
              <w:t>2.4</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eastAsia" w:hAnsi="新宋体" w:eastAsia="新宋体"/>
                <w:color w:val="auto"/>
                <w:sz w:val="18"/>
                <w:szCs w:val="18"/>
                <w:highlight w:val="none"/>
              </w:rPr>
            </w:pPr>
            <w:r>
              <w:rPr>
                <w:rFonts w:hint="eastAsia" w:hAnsi="新宋体" w:eastAsia="新宋体"/>
                <w:color w:val="auto"/>
                <w:sz w:val="18"/>
                <w:szCs w:val="18"/>
                <w:highlight w:val="none"/>
              </w:rPr>
              <w:t>企业研发能力</w:t>
            </w:r>
          </w:p>
        </w:tc>
        <w:tc>
          <w:tcPr>
            <w:tcW w:w="7279"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0" w:firstLineChars="0"/>
              <w:jc w:val="left"/>
              <w:rPr>
                <w:rFonts w:hint="eastAsia" w:hAnsi="宋体"/>
                <w:color w:val="auto"/>
                <w:sz w:val="18"/>
                <w:highlight w:val="none"/>
              </w:rPr>
            </w:pPr>
            <w:r>
              <w:rPr>
                <w:rFonts w:hAnsi="宋体"/>
                <w:color w:val="auto"/>
                <w:sz w:val="18"/>
                <w:highlight w:val="none"/>
              </w:rPr>
              <w:t xml:space="preserve">    </w:t>
            </w:r>
            <w:r>
              <w:rPr>
                <w:rFonts w:hint="eastAsia" w:hAnsi="宋体"/>
                <w:color w:val="auto"/>
                <w:sz w:val="18"/>
                <w:highlight w:val="none"/>
              </w:rPr>
              <w:t>.投标人有获得有效的国家知识产权局颁发的交通</w:t>
            </w:r>
            <w:r>
              <w:rPr>
                <w:rFonts w:hint="eastAsia" w:ascii="宋体" w:hAnsi="宋体" w:eastAsia="宋体" w:cs="宋体"/>
                <w:color w:val="auto"/>
                <w:sz w:val="18"/>
                <w:highlight w:val="none"/>
              </w:rPr>
              <w:t>设施</w:t>
            </w:r>
            <w:r>
              <w:rPr>
                <w:rFonts w:hint="eastAsia" w:hAnsi="宋体" w:eastAsia="宋体"/>
                <w:color w:val="auto"/>
                <w:sz w:val="18"/>
                <w:highlight w:val="none"/>
              </w:rPr>
              <w:t>类</w:t>
            </w:r>
            <w:r>
              <w:rPr>
                <w:rFonts w:hint="eastAsia" w:hAnsi="宋体"/>
                <w:color w:val="auto"/>
                <w:sz w:val="18"/>
                <w:highlight w:val="none"/>
              </w:rPr>
              <w:t>专利证书的，每一个得</w:t>
            </w:r>
            <w:r>
              <w:rPr>
                <w:rFonts w:hint="eastAsia" w:hAnsi="宋体" w:eastAsia="宋体"/>
                <w:color w:val="auto"/>
                <w:sz w:val="18"/>
                <w:highlight w:val="none"/>
              </w:rPr>
              <w:t>1.</w:t>
            </w:r>
            <w:r>
              <w:rPr>
                <w:rFonts w:hAnsi="宋体" w:eastAsia="宋体"/>
                <w:color w:val="auto"/>
                <w:sz w:val="18"/>
                <w:highlight w:val="none"/>
              </w:rPr>
              <w:t>2</w:t>
            </w:r>
            <w:r>
              <w:rPr>
                <w:rFonts w:hint="eastAsia" w:hAnsi="宋体"/>
                <w:color w:val="auto"/>
                <w:sz w:val="18"/>
                <w:highlight w:val="none"/>
              </w:rPr>
              <w:t>分，最高得</w:t>
            </w:r>
            <w:r>
              <w:rPr>
                <w:rFonts w:hint="eastAsia" w:hAnsi="宋体" w:eastAsia="宋体"/>
                <w:color w:val="auto"/>
                <w:sz w:val="18"/>
                <w:highlight w:val="none"/>
              </w:rPr>
              <w:t>2</w:t>
            </w:r>
            <w:r>
              <w:rPr>
                <w:rFonts w:hAnsi="宋体" w:eastAsia="宋体"/>
                <w:color w:val="auto"/>
                <w:sz w:val="18"/>
                <w:highlight w:val="none"/>
              </w:rPr>
              <w:t>.4</w:t>
            </w:r>
            <w:r>
              <w:rPr>
                <w:rFonts w:hint="eastAsia" w:hAnsi="宋体"/>
                <w:color w:val="auto"/>
                <w:sz w:val="18"/>
                <w:highlight w:val="none"/>
              </w:rPr>
              <w:t>分。专利权状态不得为转移、质押、无效、终止状态。</w:t>
            </w:r>
            <w:r>
              <w:rPr>
                <w:rFonts w:hint="eastAsia" w:hAnsi="宋体" w:eastAsia="宋体"/>
                <w:color w:val="auto"/>
                <w:sz w:val="18"/>
                <w:highlight w:val="none"/>
              </w:rPr>
              <w:t>需</w:t>
            </w:r>
            <w:r>
              <w:rPr>
                <w:rFonts w:hint="eastAsia" w:hAnsi="宋体"/>
                <w:color w:val="auto"/>
                <w:sz w:val="18"/>
                <w:highlight w:val="none"/>
              </w:rPr>
              <w:t>提供国家知识产权局网站查询页面</w:t>
            </w:r>
            <w:r>
              <w:rPr>
                <w:rFonts w:hint="eastAsia" w:hAnsi="宋体" w:eastAsia="宋体"/>
                <w:color w:val="auto"/>
                <w:sz w:val="18"/>
                <w:highlight w:val="none"/>
              </w:rPr>
              <w:t>和证书</w:t>
            </w:r>
            <w:r>
              <w:rPr>
                <w:rFonts w:hint="eastAsia" w:hAnsi="宋体" w:eastAsia="宋体"/>
                <w:color w:val="auto"/>
                <w:sz w:val="18"/>
                <w:highlight w:val="none"/>
                <w:lang w:eastAsia="zh-CN"/>
              </w:rPr>
              <w:t>扫描件</w:t>
            </w:r>
            <w:r>
              <w:rPr>
                <w:rFonts w:hint="eastAsia"/>
                <w:color w:val="auto"/>
                <w:sz w:val="18"/>
                <w:highlight w:val="none"/>
                <w:lang w:eastAsia="zh-CN"/>
              </w:rPr>
              <w:t>、按证书期限缴纳的专利年费发票扫描件</w:t>
            </w:r>
            <w:r>
              <w:rPr>
                <w:rFonts w:hint="eastAsia" w:hAnsi="宋体"/>
                <w:color w:val="auto"/>
                <w:sz w:val="18"/>
                <w:highlight w:val="none"/>
              </w:rPr>
              <w:t>。</w:t>
            </w:r>
          </w:p>
          <w:p>
            <w:pPr>
              <w:spacing w:line="320" w:lineRule="exact"/>
              <w:ind w:firstLine="360" w:firstLineChars="200"/>
              <w:jc w:val="left"/>
              <w:rPr>
                <w:color w:val="auto"/>
                <w:sz w:val="18"/>
                <w:szCs w:val="18"/>
                <w:highlight w:val="none"/>
              </w:rPr>
            </w:pPr>
            <w:r>
              <w:rPr>
                <w:rFonts w:hint="eastAsia" w:hAnsi="宋体"/>
                <w:color w:val="auto"/>
                <w:sz w:val="18"/>
                <w:highlight w:val="none"/>
              </w:rPr>
              <w:t>注：证明材料</w:t>
            </w:r>
            <w:r>
              <w:rPr>
                <w:rFonts w:hint="eastAsia" w:hAnsi="宋体"/>
                <w:color w:val="auto"/>
                <w:sz w:val="18"/>
                <w:highlight w:val="none"/>
                <w:lang w:eastAsia="zh-CN"/>
              </w:rPr>
              <w:t>扫描件</w:t>
            </w:r>
            <w:r>
              <w:rPr>
                <w:rFonts w:hint="eastAsia" w:hAnsi="宋体"/>
                <w:color w:val="auto"/>
                <w:sz w:val="18"/>
                <w:highlight w:val="none"/>
              </w:rPr>
              <w:t>并加盖投标人公章，资料不齐全的不得分。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80" w:type="dxa"/>
            <w:vMerge w:val="continue"/>
            <w:tcBorders>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79" w:type="dxa"/>
            <w:vMerge w:val="continue"/>
            <w:tcBorders>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1" w:type="dxa"/>
            <w:vMerge w:val="restart"/>
            <w:tcBorders>
              <w:top w:val="single" w:color="auto" w:sz="4" w:space="0"/>
              <w:left w:val="single" w:color="auto" w:sz="4" w:space="0"/>
              <w:right w:val="single" w:color="auto" w:sz="4" w:space="0"/>
            </w:tcBorders>
            <w:noWrap w:val="0"/>
            <w:vAlign w:val="center"/>
          </w:tcPr>
          <w:p>
            <w:pPr>
              <w:snapToGrid w:val="0"/>
              <w:rPr>
                <w:rFonts w:ascii="宋体" w:hAnsi="宋体" w:eastAsia="等线"/>
                <w:color w:val="auto"/>
                <w:sz w:val="18"/>
                <w:szCs w:val="18"/>
                <w:highlight w:val="none"/>
              </w:rPr>
            </w:pPr>
            <w:r>
              <w:rPr>
                <w:rFonts w:hint="eastAsia" w:ascii="宋体" w:hAnsi="宋体" w:eastAsia="等线"/>
                <w:color w:val="auto"/>
                <w:sz w:val="18"/>
                <w:szCs w:val="18"/>
                <w:highlight w:val="none"/>
              </w:rPr>
              <w:t>1.6</w:t>
            </w:r>
          </w:p>
        </w:tc>
        <w:tc>
          <w:tcPr>
            <w:tcW w:w="1396" w:type="dxa"/>
            <w:vMerge w:val="restart"/>
            <w:tcBorders>
              <w:top w:val="single" w:color="auto" w:sz="4" w:space="0"/>
              <w:left w:val="single" w:color="auto" w:sz="4" w:space="0"/>
              <w:right w:val="single" w:color="auto" w:sz="4" w:space="0"/>
            </w:tcBorders>
            <w:noWrap w:val="0"/>
            <w:vAlign w:val="center"/>
          </w:tcPr>
          <w:p>
            <w:pPr>
              <w:snapToGrid w:val="0"/>
              <w:spacing w:line="240" w:lineRule="atLeast"/>
              <w:rPr>
                <w:rFonts w:hint="eastAsia" w:hAnsi="新宋体" w:eastAsia="新宋体"/>
                <w:color w:val="auto"/>
                <w:sz w:val="18"/>
                <w:szCs w:val="18"/>
                <w:highlight w:val="none"/>
              </w:rPr>
            </w:pPr>
            <w:r>
              <w:rPr>
                <w:rFonts w:hint="eastAsia" w:hAnsi="新宋体" w:eastAsia="新宋体"/>
                <w:color w:val="auto"/>
                <w:sz w:val="18"/>
                <w:szCs w:val="18"/>
                <w:highlight w:val="none"/>
              </w:rPr>
              <w:t>企业信誉</w:t>
            </w:r>
          </w:p>
        </w:tc>
        <w:tc>
          <w:tcPr>
            <w:tcW w:w="7279" w:type="dxa"/>
            <w:vMerge w:val="restart"/>
            <w:tcBorders>
              <w:top w:val="single" w:color="auto" w:sz="4" w:space="0"/>
              <w:left w:val="single" w:color="auto" w:sz="4" w:space="0"/>
              <w:right w:val="single" w:color="auto" w:sz="4" w:space="0"/>
            </w:tcBorders>
            <w:noWrap w:val="0"/>
            <w:vAlign w:val="center"/>
          </w:tcPr>
          <w:p>
            <w:pPr>
              <w:spacing w:line="320" w:lineRule="exact"/>
              <w:ind w:firstLine="360" w:firstLineChars="200"/>
              <w:jc w:val="left"/>
              <w:rPr>
                <w:rFonts w:hAnsi="宋体" w:eastAsia="宋体"/>
                <w:color w:val="auto"/>
                <w:sz w:val="18"/>
                <w:highlight w:val="none"/>
              </w:rPr>
            </w:pPr>
            <w:r>
              <w:rPr>
                <w:rFonts w:hint="eastAsia" w:hAnsi="宋体" w:eastAsia="宋体"/>
                <w:color w:val="auto"/>
                <w:sz w:val="18"/>
                <w:highlight w:val="none"/>
              </w:rPr>
              <w:t>1</w:t>
            </w:r>
            <w:r>
              <w:rPr>
                <w:rFonts w:hint="eastAsia" w:hAnsi="宋体"/>
                <w:color w:val="auto"/>
                <w:sz w:val="18"/>
                <w:highlight w:val="none"/>
              </w:rPr>
              <w:t>.投标人</w:t>
            </w:r>
            <w:r>
              <w:rPr>
                <w:rFonts w:hint="eastAsia" w:hAnsi="宋体" w:eastAsia="宋体"/>
                <w:color w:val="auto"/>
                <w:sz w:val="18"/>
                <w:highlight w:val="none"/>
              </w:rPr>
              <w:t>被评定为</w:t>
            </w:r>
            <w:r>
              <w:rPr>
                <w:rFonts w:hint="eastAsia"/>
                <w:color w:val="auto"/>
                <w:sz w:val="18"/>
                <w:highlight w:val="none"/>
                <w:lang w:eastAsia="zh-CN"/>
              </w:rPr>
              <w:t>“</w:t>
            </w:r>
            <w:r>
              <w:rPr>
                <w:rFonts w:hint="eastAsia" w:hAnsi="宋体"/>
                <w:color w:val="auto"/>
                <w:sz w:val="18"/>
                <w:highlight w:val="none"/>
              </w:rPr>
              <w:t>纳税信用A级</w:t>
            </w:r>
            <w:r>
              <w:rPr>
                <w:color w:val="auto"/>
                <w:highlight w:val="none"/>
              </w:rPr>
              <w:drawing>
                <wp:inline distT="0" distB="0" distL="114300" distR="114300">
                  <wp:extent cx="323850" cy="118110"/>
                  <wp:effectExtent l="0" t="0" r="0" b="1524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9"/>
                          <a:stretch>
                            <a:fillRect/>
                          </a:stretch>
                        </pic:blipFill>
                        <pic:spPr>
                          <a:xfrm>
                            <a:off x="0" y="0"/>
                            <a:ext cx="323850" cy="118110"/>
                          </a:xfrm>
                          <a:prstGeom prst="rect">
                            <a:avLst/>
                          </a:prstGeom>
                          <a:noFill/>
                          <a:ln>
                            <a:noFill/>
                          </a:ln>
                        </pic:spPr>
                      </pic:pic>
                    </a:graphicData>
                  </a:graphic>
                </wp:inline>
              </w:drawing>
            </w:r>
            <w:r>
              <w:rPr>
                <w:rFonts w:hint="eastAsia"/>
                <w:color w:val="auto"/>
                <w:sz w:val="18"/>
                <w:highlight w:val="none"/>
                <w:lang w:eastAsia="zh-CN"/>
              </w:rPr>
              <w:t>”称号</w:t>
            </w:r>
            <w:r>
              <w:rPr>
                <w:rFonts w:hint="eastAsia" w:hAnsi="宋体" w:eastAsia="宋体"/>
                <w:color w:val="auto"/>
                <w:sz w:val="18"/>
                <w:highlight w:val="none"/>
              </w:rPr>
              <w:t>：</w:t>
            </w:r>
            <w:r>
              <w:rPr>
                <w:rFonts w:hint="eastAsia" w:hAnsi="宋体"/>
                <w:color w:val="auto"/>
                <w:sz w:val="18"/>
                <w:highlight w:val="none"/>
              </w:rPr>
              <w:t>连续三年（须包含202</w:t>
            </w:r>
            <w:r>
              <w:rPr>
                <w:rFonts w:hint="eastAsia"/>
                <w:color w:val="auto"/>
                <w:sz w:val="18"/>
                <w:highlight w:val="none"/>
                <w:lang w:val="en-US" w:eastAsia="zh-CN"/>
              </w:rPr>
              <w:t>3</w:t>
            </w:r>
            <w:r>
              <w:rPr>
                <w:rFonts w:hint="eastAsia" w:hAnsi="宋体"/>
                <w:color w:val="auto"/>
                <w:sz w:val="18"/>
                <w:highlight w:val="none"/>
              </w:rPr>
              <w:t>年度）或以上</w:t>
            </w:r>
            <w:r>
              <w:rPr>
                <w:rFonts w:hint="eastAsia" w:hAnsi="宋体" w:eastAsia="宋体"/>
                <w:color w:val="auto"/>
                <w:sz w:val="18"/>
                <w:highlight w:val="none"/>
              </w:rPr>
              <w:t>的</w:t>
            </w:r>
            <w:r>
              <w:rPr>
                <w:rFonts w:hint="eastAsia" w:hAnsi="宋体"/>
                <w:color w:val="auto"/>
                <w:sz w:val="18"/>
                <w:highlight w:val="none"/>
              </w:rPr>
              <w:t>得</w:t>
            </w:r>
            <w:r>
              <w:rPr>
                <w:rFonts w:hint="eastAsia" w:hAnsi="宋体" w:eastAsia="宋体"/>
                <w:color w:val="auto"/>
                <w:sz w:val="18"/>
                <w:highlight w:val="none"/>
              </w:rPr>
              <w:t>0.4</w:t>
            </w:r>
            <w:r>
              <w:rPr>
                <w:rFonts w:hint="eastAsia" w:hAnsi="宋体"/>
                <w:color w:val="auto"/>
                <w:sz w:val="18"/>
                <w:highlight w:val="none"/>
              </w:rPr>
              <w:t>分</w:t>
            </w:r>
            <w:r>
              <w:rPr>
                <w:rFonts w:hint="eastAsia" w:hAnsi="宋体" w:eastAsia="宋体"/>
                <w:color w:val="auto"/>
                <w:sz w:val="18"/>
                <w:highlight w:val="none"/>
              </w:rPr>
              <w:t>、</w:t>
            </w:r>
            <w:r>
              <w:rPr>
                <w:rFonts w:hint="eastAsia" w:hAnsi="宋体"/>
                <w:color w:val="auto"/>
                <w:sz w:val="18"/>
                <w:highlight w:val="none"/>
              </w:rPr>
              <w:t>连续二年（须包含202</w:t>
            </w:r>
            <w:r>
              <w:rPr>
                <w:rFonts w:hint="eastAsia"/>
                <w:color w:val="auto"/>
                <w:sz w:val="18"/>
                <w:highlight w:val="none"/>
                <w:lang w:val="en-US" w:eastAsia="zh-CN"/>
              </w:rPr>
              <w:t>3</w:t>
            </w:r>
            <w:r>
              <w:rPr>
                <w:rFonts w:hint="eastAsia" w:hAnsi="宋体"/>
                <w:color w:val="auto"/>
                <w:sz w:val="18"/>
                <w:highlight w:val="none"/>
              </w:rPr>
              <w:t>年度）</w:t>
            </w:r>
            <w:r>
              <w:rPr>
                <w:rFonts w:hint="eastAsia" w:hAnsi="宋体" w:eastAsia="宋体"/>
                <w:color w:val="auto"/>
                <w:sz w:val="18"/>
                <w:highlight w:val="none"/>
              </w:rPr>
              <w:t>的</w:t>
            </w:r>
            <w:r>
              <w:rPr>
                <w:rFonts w:hint="eastAsia" w:hAnsi="宋体"/>
                <w:color w:val="auto"/>
                <w:sz w:val="18"/>
                <w:highlight w:val="none"/>
              </w:rPr>
              <w:t>得0.</w:t>
            </w:r>
            <w:r>
              <w:rPr>
                <w:rFonts w:hint="eastAsia" w:hAnsi="宋体" w:eastAsia="宋体"/>
                <w:color w:val="auto"/>
                <w:sz w:val="18"/>
                <w:highlight w:val="none"/>
              </w:rPr>
              <w:t>2</w:t>
            </w:r>
            <w:r>
              <w:rPr>
                <w:rFonts w:hint="eastAsia" w:hAnsi="宋体"/>
                <w:color w:val="auto"/>
                <w:sz w:val="18"/>
                <w:highlight w:val="none"/>
              </w:rPr>
              <w:t>分</w:t>
            </w:r>
            <w:r>
              <w:rPr>
                <w:rFonts w:hint="eastAsia" w:hAnsi="宋体" w:eastAsia="宋体"/>
                <w:color w:val="auto"/>
                <w:sz w:val="18"/>
                <w:highlight w:val="none"/>
              </w:rPr>
              <w:t>、</w:t>
            </w:r>
            <w:r>
              <w:rPr>
                <w:rFonts w:hint="eastAsia" w:hAnsi="宋体"/>
                <w:color w:val="auto"/>
                <w:sz w:val="18"/>
                <w:highlight w:val="none"/>
              </w:rPr>
              <w:t>近一年（202</w:t>
            </w:r>
            <w:r>
              <w:rPr>
                <w:rFonts w:hint="eastAsia"/>
                <w:color w:val="auto"/>
                <w:sz w:val="18"/>
                <w:highlight w:val="none"/>
                <w:lang w:val="en-US" w:eastAsia="zh-CN"/>
              </w:rPr>
              <w:t>3</w:t>
            </w:r>
            <w:r>
              <w:rPr>
                <w:rFonts w:hint="eastAsia" w:hAnsi="宋体"/>
                <w:color w:val="auto"/>
                <w:sz w:val="18"/>
                <w:highlight w:val="none"/>
              </w:rPr>
              <w:t>年度）</w:t>
            </w:r>
            <w:r>
              <w:rPr>
                <w:rFonts w:hint="eastAsia" w:hAnsi="宋体" w:eastAsia="宋体"/>
                <w:color w:val="auto"/>
                <w:sz w:val="18"/>
                <w:highlight w:val="none"/>
              </w:rPr>
              <w:t>的</w:t>
            </w:r>
            <w:r>
              <w:rPr>
                <w:rFonts w:hint="eastAsia" w:hAnsi="宋体"/>
                <w:color w:val="auto"/>
                <w:sz w:val="18"/>
                <w:highlight w:val="none"/>
              </w:rPr>
              <w:t>得0.</w:t>
            </w:r>
            <w:r>
              <w:rPr>
                <w:rFonts w:hint="eastAsia" w:hAnsi="宋体" w:eastAsia="宋体"/>
                <w:color w:val="auto"/>
                <w:sz w:val="18"/>
                <w:highlight w:val="none"/>
              </w:rPr>
              <w:t>1</w:t>
            </w:r>
            <w:r>
              <w:rPr>
                <w:rFonts w:hint="eastAsia" w:hAnsi="宋体"/>
                <w:color w:val="auto"/>
                <w:sz w:val="18"/>
                <w:highlight w:val="none"/>
              </w:rPr>
              <w:t>分，其他情况不得分。</w:t>
            </w:r>
            <w:r>
              <w:rPr>
                <w:rFonts w:hint="eastAsia" w:ascii="宋体" w:hAnsi="宋体" w:eastAsia="宋体"/>
                <w:color w:val="auto"/>
                <w:sz w:val="18"/>
                <w:highlight w:val="none"/>
              </w:rPr>
              <w:t>提供</w:t>
            </w:r>
            <w:r>
              <w:rPr>
                <w:rFonts w:hint="eastAsia"/>
                <w:color w:val="auto"/>
                <w:sz w:val="18"/>
                <w:highlight w:val="none"/>
                <w:lang w:eastAsia="zh-CN"/>
              </w:rPr>
              <w:t>税务部门颁发的“纳税信用</w:t>
            </w:r>
            <w:r>
              <w:rPr>
                <w:rFonts w:hint="eastAsia"/>
                <w:color w:val="auto"/>
                <w:sz w:val="18"/>
                <w:highlight w:val="none"/>
                <w:lang w:val="en-US" w:eastAsia="zh-CN"/>
              </w:rPr>
              <w:t>A级</w:t>
            </w:r>
            <w:r>
              <w:rPr>
                <w:color w:val="auto"/>
                <w:highlight w:val="none"/>
              </w:rPr>
              <w:drawing>
                <wp:inline distT="0" distB="0" distL="114300" distR="114300">
                  <wp:extent cx="323850" cy="118110"/>
                  <wp:effectExtent l="0" t="0" r="0" b="1524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9"/>
                          <a:stretch>
                            <a:fillRect/>
                          </a:stretch>
                        </pic:blipFill>
                        <pic:spPr>
                          <a:xfrm>
                            <a:off x="0" y="0"/>
                            <a:ext cx="323850" cy="118110"/>
                          </a:xfrm>
                          <a:prstGeom prst="rect">
                            <a:avLst/>
                          </a:prstGeom>
                          <a:noFill/>
                          <a:ln>
                            <a:noFill/>
                          </a:ln>
                        </pic:spPr>
                      </pic:pic>
                    </a:graphicData>
                  </a:graphic>
                </wp:inline>
              </w:drawing>
            </w:r>
            <w:r>
              <w:rPr>
                <w:rFonts w:hint="eastAsia"/>
                <w:color w:val="auto"/>
                <w:sz w:val="18"/>
                <w:highlight w:val="none"/>
                <w:lang w:eastAsia="zh-CN"/>
              </w:rPr>
              <w:t>”电子证书或省级（或以上）税务局网站纳税信用信息查询结果的网页截图并加盖投标人公章，时间以证书上注明的公示评价（评定）年度为准</w:t>
            </w:r>
            <w:r>
              <w:rPr>
                <w:rFonts w:hint="eastAsia" w:hAnsi="宋体" w:eastAsia="宋体"/>
                <w:color w:val="auto"/>
                <w:sz w:val="18"/>
                <w:highlight w:val="none"/>
              </w:rPr>
              <w:t>。</w:t>
            </w:r>
          </w:p>
          <w:p>
            <w:pPr>
              <w:ind w:firstLine="360" w:firstLineChars="200"/>
              <w:rPr>
                <w:rFonts w:hint="eastAsia" w:hAnsi="宋体"/>
                <w:color w:val="auto"/>
                <w:sz w:val="18"/>
                <w:highlight w:val="none"/>
              </w:rPr>
            </w:pPr>
            <w:r>
              <w:rPr>
                <w:rFonts w:hint="eastAsia" w:hAnsi="宋体" w:eastAsia="宋体"/>
                <w:color w:val="auto"/>
                <w:sz w:val="18"/>
                <w:highlight w:val="none"/>
              </w:rPr>
              <w:t>2.投标人有通过有效的：质量管理体系认证（GB/T19001-2016/ISO9001:2015）、环境管理体系认证（GB/T24001-2016/ISO14001:2015）、职业健康安全管理体系认证（GB/T45001-2020/ISO45001:2018）、知识产权管理体系认证（GB/T 29490-2013</w:t>
            </w:r>
            <w:r>
              <w:rPr>
                <w:rFonts w:hint="eastAsia"/>
                <w:color w:val="auto"/>
                <w:sz w:val="18"/>
                <w:highlight w:val="none"/>
                <w:lang w:eastAsia="zh-CN"/>
              </w:rPr>
              <w:t>或GB/T 29490-2023</w:t>
            </w:r>
            <w:r>
              <w:rPr>
                <w:rFonts w:hint="eastAsia" w:hAnsi="宋体" w:eastAsia="宋体"/>
                <w:color w:val="auto"/>
                <w:sz w:val="18"/>
                <w:highlight w:val="none"/>
              </w:rPr>
              <w:t>），且该体系认证适用（覆盖）范围应包括有：市政公用工程（或公路交通工程）</w:t>
            </w:r>
            <w:r>
              <w:rPr>
                <w:rFonts w:hint="eastAsia"/>
                <w:color w:val="auto"/>
                <w:sz w:val="18"/>
                <w:highlight w:val="none"/>
                <w:lang w:val="en-US" w:eastAsia="zh-CN"/>
              </w:rPr>
              <w:t>类</w:t>
            </w:r>
            <w:r>
              <w:rPr>
                <w:rFonts w:hint="eastAsia" w:hAnsi="宋体" w:eastAsia="宋体"/>
                <w:color w:val="auto"/>
                <w:sz w:val="18"/>
                <w:highlight w:val="none"/>
              </w:rPr>
              <w:t>的认证，具有一项得0.3分，最高得1.2分。</w:t>
            </w:r>
            <w:r>
              <w:rPr>
                <w:rFonts w:hint="eastAsia"/>
                <w:color w:val="auto"/>
                <w:sz w:val="18"/>
                <w:highlight w:val="none"/>
              </w:rPr>
              <w:t>提供认证证书扫描件，并须同时提供在全国认证认可信息公共服务平台（http://cx.cnca.cn/）对体系证书的信息查询截图作为评审依据，已失效或撤销或暂停的不得分。</w:t>
            </w:r>
          </w:p>
          <w:p>
            <w:pPr>
              <w:spacing w:line="320" w:lineRule="exact"/>
              <w:ind w:firstLine="360" w:firstLineChars="200"/>
              <w:jc w:val="left"/>
              <w:rPr>
                <w:rFonts w:hint="eastAsia"/>
                <w:color w:val="auto"/>
                <w:sz w:val="18"/>
                <w:szCs w:val="18"/>
                <w:highlight w:val="none"/>
              </w:rPr>
            </w:pPr>
            <w:r>
              <w:rPr>
                <w:rFonts w:hint="eastAsia" w:hAnsi="宋体"/>
                <w:color w:val="auto"/>
                <w:sz w:val="18"/>
                <w:highlight w:val="none"/>
              </w:rPr>
              <w:t>注：证明材料</w:t>
            </w:r>
            <w:r>
              <w:rPr>
                <w:rFonts w:hint="eastAsia" w:hAnsi="宋体"/>
                <w:color w:val="auto"/>
                <w:sz w:val="18"/>
                <w:highlight w:val="none"/>
                <w:lang w:eastAsia="zh-CN"/>
              </w:rPr>
              <w:t>扫描件</w:t>
            </w:r>
            <w:r>
              <w:rPr>
                <w:rFonts w:hint="eastAsia" w:hAnsi="宋体"/>
                <w:color w:val="auto"/>
                <w:sz w:val="18"/>
                <w:highlight w:val="none"/>
              </w:rPr>
              <w:t>并加盖投标人公章，资料不齐全的不得分。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80" w:type="dxa"/>
            <w:vMerge w:val="continue"/>
            <w:tcBorders>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79" w:type="dxa"/>
            <w:vMerge w:val="continue"/>
            <w:tcBorders>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1" w:type="dxa"/>
            <w:vMerge w:val="continue"/>
            <w:tcBorders>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1396" w:type="dxa"/>
            <w:vMerge w:val="continue"/>
            <w:tcBorders>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79" w:type="dxa"/>
            <w:vMerge w:val="continue"/>
            <w:tcBorders>
              <w:left w:val="single" w:color="auto" w:sz="4" w:space="0"/>
              <w:bottom w:val="single" w:color="auto" w:sz="4" w:space="0"/>
              <w:right w:val="single" w:color="auto" w:sz="4" w:space="0"/>
            </w:tcBorders>
            <w:noWrap w:val="0"/>
            <w:vAlign w:val="center"/>
          </w:tcPr>
          <w:p>
            <w:pPr>
              <w:snapToGrid w:val="0"/>
              <w:spacing w:line="320" w:lineRule="exact"/>
              <w:rPr>
                <w:rFonts w:ascii="宋体" w:hAnsi="宋体"/>
                <w:color w:val="auto"/>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59" w:type="dxa"/>
            <w:gridSpan w:val="2"/>
            <w:tcBorders>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581" w:type="dxa"/>
            <w:tcBorders>
              <w:top w:val="single" w:color="auto" w:sz="4" w:space="0"/>
              <w:left w:val="single" w:color="auto" w:sz="4" w:space="0"/>
              <w:right w:val="single" w:color="auto" w:sz="4" w:space="0"/>
            </w:tcBorders>
            <w:noWrap w:val="0"/>
            <w:vAlign w:val="center"/>
          </w:tcPr>
          <w:p>
            <w:pPr>
              <w:snapToGrid w:val="0"/>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40</w:t>
            </w:r>
          </w:p>
        </w:tc>
        <w:tc>
          <w:tcPr>
            <w:tcW w:w="1396" w:type="dxa"/>
            <w:tcBorders>
              <w:top w:val="single" w:color="auto" w:sz="4" w:space="0"/>
              <w:left w:val="single" w:color="auto" w:sz="4" w:space="0"/>
              <w:right w:val="single" w:color="auto" w:sz="4" w:space="0"/>
            </w:tcBorders>
            <w:noWrap w:val="0"/>
            <w:vAlign w:val="center"/>
          </w:tcPr>
          <w:p>
            <w:pPr>
              <w:snapToGrid w:val="0"/>
              <w:jc w:val="center"/>
              <w:rPr>
                <w:rFonts w:hAnsi="宋体"/>
                <w:color w:val="auto"/>
                <w:sz w:val="18"/>
                <w:szCs w:val="18"/>
                <w:highlight w:val="none"/>
              </w:rPr>
            </w:pPr>
          </w:p>
        </w:tc>
        <w:tc>
          <w:tcPr>
            <w:tcW w:w="7279" w:type="dxa"/>
            <w:tcBorders>
              <w:top w:val="single" w:color="auto" w:sz="4" w:space="0"/>
              <w:left w:val="single" w:color="auto" w:sz="4" w:space="0"/>
              <w:right w:val="single" w:color="auto" w:sz="4" w:space="0"/>
            </w:tcBorders>
            <w:noWrap w:val="0"/>
            <w:vAlign w:val="center"/>
          </w:tcPr>
          <w:p>
            <w:pPr>
              <w:rPr>
                <w:rFonts w:ascii="宋体" w:hAnsi="宋体" w:cs="宋体"/>
                <w:color w:val="auto"/>
                <w:sz w:val="18"/>
                <w:szCs w:val="18"/>
                <w:highlight w:val="none"/>
              </w:rPr>
            </w:pPr>
          </w:p>
        </w:tc>
        <w:tc>
          <w:tcPr>
            <w:tcW w:w="709"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09"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628"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720" w:type="dxa"/>
            <w:tcBorders>
              <w:top w:val="single" w:color="auto" w:sz="4" w:space="0"/>
              <w:left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18"/>
                <w:szCs w:val="18"/>
                <w:highlight w:val="none"/>
              </w:rPr>
            </w:pPr>
          </w:p>
        </w:tc>
      </w:tr>
    </w:tbl>
    <w:p>
      <w:pPr>
        <w:rPr>
          <w:color w:val="auto"/>
          <w:highlight w:val="none"/>
        </w:rPr>
      </w:pPr>
    </w:p>
    <w:p>
      <w:pPr>
        <w:widowControl/>
        <w:shd w:val="clear" w:color="auto" w:fill="FFFFFF"/>
        <w:ind w:left="210"/>
        <w:jc w:val="left"/>
        <w:rPr>
          <w:rFonts w:cs="微软雅黑"/>
          <w:color w:val="auto"/>
          <w:sz w:val="24"/>
          <w:szCs w:val="24"/>
          <w:highlight w:val="none"/>
        </w:rPr>
      </w:pPr>
      <w:r>
        <w:rPr>
          <w:rFonts w:hint="eastAsia" w:cs="微软雅黑"/>
          <w:color w:val="auto"/>
          <w:kern w:val="0"/>
          <w:sz w:val="24"/>
          <w:szCs w:val="24"/>
          <w:highlight w:val="none"/>
          <w:shd w:val="clear" w:color="auto" w:fill="FFFFFF"/>
        </w:rPr>
        <w:t>备注：</w:t>
      </w:r>
    </w:p>
    <w:p>
      <w:pPr>
        <w:pStyle w:val="5"/>
        <w:ind w:firstLine="0"/>
        <w:jc w:val="left"/>
        <w:rPr>
          <w:rFonts w:ascii="宋体" w:hAnsi="宋体" w:cs="宋体"/>
          <w:color w:val="auto"/>
          <w:sz w:val="21"/>
          <w:szCs w:val="21"/>
          <w:highlight w:val="none"/>
        </w:rPr>
      </w:pPr>
      <w:r>
        <w:rPr>
          <w:rFonts w:ascii="宋体" w:hAnsi="宋体" w:cs="宋体"/>
          <w:color w:val="auto"/>
          <w:sz w:val="21"/>
          <w:szCs w:val="21"/>
          <w:highlight w:val="none"/>
        </w:rPr>
        <w:t>所有评委分数汇总平均值为投标人的最终得分。分数出现小数点，保留小数点后二位小数，第三位小数四舍五入。</w:t>
      </w:r>
    </w:p>
    <w:p>
      <w:pPr>
        <w:pStyle w:val="5"/>
        <w:ind w:firstLine="0"/>
        <w:jc w:val="left"/>
        <w:rPr>
          <w:rFonts w:ascii="宋体" w:hAnsi="宋体" w:cs="宋体"/>
          <w:color w:val="auto"/>
          <w:szCs w:val="21"/>
          <w:highlight w:val="none"/>
        </w:rPr>
      </w:pPr>
    </w:p>
    <w:p>
      <w:pPr>
        <w:pStyle w:val="5"/>
        <w:jc w:val="left"/>
        <w:rPr>
          <w:rFonts w:cs="仿宋"/>
          <w:color w:val="auto"/>
          <w:sz w:val="28"/>
          <w:szCs w:val="28"/>
          <w:highlight w:val="none"/>
        </w:rPr>
        <w:sectPr>
          <w:headerReference r:id="rId12" w:type="first"/>
          <w:footerReference r:id="rId14" w:type="first"/>
          <w:headerReference r:id="rId11" w:type="default"/>
          <w:footerReference r:id="rId13" w:type="default"/>
          <w:pgSz w:w="15840" w:h="12240" w:orient="landscape"/>
          <w:pgMar w:top="1803" w:right="1440" w:bottom="1803" w:left="1440" w:header="720" w:footer="720" w:gutter="0"/>
          <w:cols w:space="720" w:num="1"/>
        </w:sectPr>
      </w:pPr>
      <w:r>
        <w:rPr>
          <w:rFonts w:hint="eastAsia" w:ascii="宋体" w:hAnsi="宋体" w:cs="宋体"/>
          <w:color w:val="auto"/>
          <w:szCs w:val="21"/>
          <w:highlight w:val="none"/>
        </w:rPr>
        <w:t>评委签名：                                                                             日期：</w:t>
      </w:r>
    </w:p>
    <w:p>
      <w:pPr>
        <w:widowControl/>
        <w:shd w:val="clear" w:color="auto" w:fill="FFFFFF"/>
        <w:rPr>
          <w:b/>
          <w:color w:val="auto"/>
          <w:szCs w:val="21"/>
          <w:highlight w:val="none"/>
        </w:rPr>
      </w:pPr>
      <w:r>
        <w:rPr>
          <w:rFonts w:hint="eastAsia"/>
          <w:b/>
          <w:color w:val="auto"/>
          <w:szCs w:val="21"/>
          <w:highlight w:val="none"/>
        </w:rPr>
        <w:t>附表：</w:t>
      </w:r>
      <w:r>
        <w:rPr>
          <w:b/>
          <w:color w:val="auto"/>
          <w:szCs w:val="21"/>
          <w:highlight w:val="none"/>
        </w:rPr>
        <w:t xml:space="preserve"> </w:t>
      </w:r>
    </w:p>
    <w:p>
      <w:pPr>
        <w:widowControl/>
        <w:ind w:firstLine="422" w:firstLineChars="200"/>
        <w:rPr>
          <w:rFonts w:cs="宋体"/>
          <w:b/>
          <w:color w:val="auto"/>
          <w:szCs w:val="21"/>
          <w:highlight w:val="none"/>
        </w:rPr>
      </w:pPr>
      <w:r>
        <w:rPr>
          <w:b/>
          <w:color w:val="auto"/>
          <w:szCs w:val="21"/>
          <w:highlight w:val="none"/>
        </w:rPr>
        <w:t xml:space="preserve">                                   </w:t>
      </w:r>
      <w:r>
        <w:rPr>
          <w:rFonts w:cs="宋体"/>
          <w:b/>
          <w:color w:val="auto"/>
          <w:szCs w:val="21"/>
          <w:highlight w:val="none"/>
        </w:rPr>
        <w:t xml:space="preserve">          </w:t>
      </w:r>
      <w:r>
        <w:rPr>
          <w:rFonts w:hint="eastAsia" w:cs="宋体"/>
          <w:b/>
          <w:color w:val="auto"/>
          <w:szCs w:val="21"/>
          <w:highlight w:val="none"/>
        </w:rPr>
        <w:t>《设施维护项目人员基本配备要求表》</w:t>
      </w:r>
    </w:p>
    <w:tbl>
      <w:tblPr>
        <w:tblStyle w:val="20"/>
        <w:tblW w:w="11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877"/>
        <w:gridCol w:w="4503"/>
        <w:gridCol w:w="3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98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专业类别</w:t>
            </w:r>
          </w:p>
        </w:tc>
        <w:tc>
          <w:tcPr>
            <w:tcW w:w="877"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数量</w:t>
            </w:r>
          </w:p>
        </w:tc>
        <w:tc>
          <w:tcPr>
            <w:tcW w:w="4503"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基本要求</w:t>
            </w:r>
          </w:p>
        </w:tc>
        <w:tc>
          <w:tcPr>
            <w:tcW w:w="3747"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1</w:t>
            </w:r>
          </w:p>
        </w:tc>
        <w:tc>
          <w:tcPr>
            <w:tcW w:w="19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877"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4503" w:type="dxa"/>
            <w:noWrap w:val="0"/>
            <w:vAlign w:val="center"/>
          </w:tcPr>
          <w:p>
            <w:pPr>
              <w:spacing w:line="360" w:lineRule="auto"/>
              <w:jc w:val="center"/>
              <w:rPr>
                <w:rFonts w:ascii="宋体" w:hAnsi="宋体" w:cs="宋体"/>
                <w:color w:val="auto"/>
                <w:kern w:val="0"/>
                <w:szCs w:val="21"/>
                <w:highlight w:val="none"/>
              </w:rPr>
            </w:pPr>
            <w:r>
              <w:rPr>
                <w:rFonts w:hint="eastAsia" w:ascii="宋体" w:hAnsi="宋体"/>
                <w:color w:val="auto"/>
                <w:szCs w:val="21"/>
                <w:highlight w:val="none"/>
              </w:rPr>
              <w:t>与招标公告第九条要求一致。</w:t>
            </w:r>
          </w:p>
        </w:tc>
        <w:tc>
          <w:tcPr>
            <w:tcW w:w="3747" w:type="dxa"/>
            <w:noWrap w:val="0"/>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2</w:t>
            </w:r>
          </w:p>
        </w:tc>
        <w:tc>
          <w:tcPr>
            <w:tcW w:w="19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项目工程师</w:t>
            </w:r>
          </w:p>
        </w:tc>
        <w:tc>
          <w:tcPr>
            <w:tcW w:w="877" w:type="dxa"/>
            <w:noWrap w:val="0"/>
            <w:vAlign w:val="center"/>
          </w:tcPr>
          <w:p>
            <w:pPr>
              <w:spacing w:line="360" w:lineRule="auto"/>
              <w:jc w:val="center"/>
              <w:rPr>
                <w:rFonts w:ascii="宋体" w:hAnsi="宋体" w:eastAsia="宋体"/>
                <w:color w:val="auto"/>
                <w:szCs w:val="21"/>
                <w:highlight w:val="none"/>
              </w:rPr>
            </w:pPr>
            <w:r>
              <w:rPr>
                <w:rFonts w:hint="eastAsia" w:ascii="宋体" w:hAnsi="宋体"/>
                <w:color w:val="auto"/>
                <w:szCs w:val="21"/>
                <w:highlight w:val="none"/>
              </w:rPr>
              <w:t>2</w:t>
            </w:r>
          </w:p>
        </w:tc>
        <w:tc>
          <w:tcPr>
            <w:tcW w:w="450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具备</w:t>
            </w:r>
            <w:r>
              <w:rPr>
                <w:rFonts w:hint="eastAsia" w:ascii="宋体" w:hAnsi="宋体" w:eastAsia="宋体"/>
                <w:color w:val="auto"/>
                <w:szCs w:val="21"/>
                <w:highlight w:val="none"/>
              </w:rPr>
              <w:t>市政工程或</w:t>
            </w:r>
            <w:r>
              <w:rPr>
                <w:rFonts w:hint="eastAsia" w:ascii="宋体" w:hAnsi="宋体"/>
                <w:color w:val="auto"/>
                <w:szCs w:val="21"/>
                <w:highlight w:val="none"/>
              </w:rPr>
              <w:t>交通工程专业中级或以上职称，且有</w:t>
            </w:r>
            <w:r>
              <w:rPr>
                <w:rFonts w:hint="eastAsia" w:ascii="宋体" w:hAnsi="宋体" w:eastAsia="宋体"/>
                <w:color w:val="auto"/>
                <w:szCs w:val="21"/>
                <w:highlight w:val="none"/>
              </w:rPr>
              <w:t>3</w:t>
            </w:r>
            <w:r>
              <w:rPr>
                <w:rFonts w:hint="eastAsia" w:ascii="宋体" w:hAnsi="宋体"/>
                <w:color w:val="auto"/>
                <w:szCs w:val="21"/>
                <w:highlight w:val="none"/>
              </w:rPr>
              <w:t>年或以上从事交通工程建设或维护的工作经验。</w:t>
            </w:r>
          </w:p>
        </w:tc>
        <w:tc>
          <w:tcPr>
            <w:tcW w:w="3747" w:type="dxa"/>
            <w:noWrap w:val="0"/>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3</w:t>
            </w:r>
          </w:p>
        </w:tc>
        <w:tc>
          <w:tcPr>
            <w:tcW w:w="19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总调度</w:t>
            </w:r>
          </w:p>
        </w:tc>
        <w:tc>
          <w:tcPr>
            <w:tcW w:w="877"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450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具有2年或以上从事交通工程建设或维护的</w:t>
            </w:r>
          </w:p>
          <w:p>
            <w:pPr>
              <w:spacing w:line="360" w:lineRule="auto"/>
              <w:jc w:val="center"/>
              <w:rPr>
                <w:rFonts w:ascii="宋体" w:hAnsi="宋体"/>
                <w:color w:val="auto"/>
                <w:szCs w:val="21"/>
                <w:highlight w:val="none"/>
              </w:rPr>
            </w:pPr>
            <w:r>
              <w:rPr>
                <w:rFonts w:hint="eastAsia" w:ascii="宋体" w:hAnsi="宋体"/>
                <w:color w:val="auto"/>
                <w:szCs w:val="21"/>
                <w:highlight w:val="none"/>
              </w:rPr>
              <w:t>工作经验。</w:t>
            </w:r>
          </w:p>
        </w:tc>
        <w:tc>
          <w:tcPr>
            <w:tcW w:w="3747" w:type="dxa"/>
            <w:noWrap w:val="0"/>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4</w:t>
            </w:r>
          </w:p>
        </w:tc>
        <w:tc>
          <w:tcPr>
            <w:tcW w:w="19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调度助理</w:t>
            </w:r>
          </w:p>
        </w:tc>
        <w:tc>
          <w:tcPr>
            <w:tcW w:w="877"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450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具有</w:t>
            </w:r>
            <w:r>
              <w:rPr>
                <w:rFonts w:hint="eastAsia" w:ascii="宋体" w:hAnsi="宋体" w:eastAsia="宋体"/>
                <w:color w:val="auto"/>
                <w:szCs w:val="21"/>
                <w:highlight w:val="none"/>
              </w:rPr>
              <w:t>2</w:t>
            </w:r>
            <w:r>
              <w:rPr>
                <w:rFonts w:hint="eastAsia" w:ascii="宋体" w:hAnsi="宋体"/>
                <w:color w:val="auto"/>
                <w:szCs w:val="21"/>
                <w:highlight w:val="none"/>
              </w:rPr>
              <w:t>年或以上从事交通工程建设或维护的</w:t>
            </w:r>
          </w:p>
          <w:p>
            <w:pPr>
              <w:spacing w:line="360" w:lineRule="auto"/>
              <w:jc w:val="center"/>
              <w:rPr>
                <w:rFonts w:ascii="宋体" w:hAnsi="宋体"/>
                <w:color w:val="auto"/>
                <w:szCs w:val="21"/>
                <w:highlight w:val="none"/>
              </w:rPr>
            </w:pPr>
            <w:r>
              <w:rPr>
                <w:rFonts w:hint="eastAsia" w:ascii="宋体" w:hAnsi="宋体"/>
                <w:color w:val="auto"/>
                <w:szCs w:val="21"/>
                <w:highlight w:val="none"/>
              </w:rPr>
              <w:t>工作经验。</w:t>
            </w:r>
          </w:p>
        </w:tc>
        <w:tc>
          <w:tcPr>
            <w:tcW w:w="3747" w:type="dxa"/>
            <w:noWrap w:val="0"/>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5</w:t>
            </w:r>
          </w:p>
        </w:tc>
        <w:tc>
          <w:tcPr>
            <w:tcW w:w="19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资料员</w:t>
            </w:r>
          </w:p>
        </w:tc>
        <w:tc>
          <w:tcPr>
            <w:tcW w:w="877"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450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具备相关</w:t>
            </w:r>
            <w:r>
              <w:rPr>
                <w:rFonts w:ascii="宋体" w:hAnsi="宋体"/>
                <w:color w:val="auto"/>
                <w:szCs w:val="21"/>
                <w:highlight w:val="none"/>
              </w:rPr>
              <w:t>岗位证书</w:t>
            </w:r>
            <w:r>
              <w:rPr>
                <w:rFonts w:hint="eastAsia" w:ascii="宋体" w:hAnsi="宋体"/>
                <w:color w:val="auto"/>
                <w:szCs w:val="21"/>
                <w:highlight w:val="none"/>
              </w:rPr>
              <w:t>，且有</w:t>
            </w:r>
            <w:r>
              <w:rPr>
                <w:rFonts w:hint="eastAsia" w:ascii="宋体" w:hAnsi="宋体" w:eastAsia="宋体"/>
                <w:color w:val="auto"/>
                <w:szCs w:val="21"/>
                <w:highlight w:val="none"/>
              </w:rPr>
              <w:t>1</w:t>
            </w:r>
            <w:r>
              <w:rPr>
                <w:rFonts w:hint="eastAsia" w:ascii="宋体" w:hAnsi="宋体"/>
                <w:color w:val="auto"/>
                <w:szCs w:val="21"/>
                <w:highlight w:val="none"/>
              </w:rPr>
              <w:t>年或以上从事相关工作经验。</w:t>
            </w:r>
          </w:p>
        </w:tc>
        <w:tc>
          <w:tcPr>
            <w:tcW w:w="3747" w:type="dxa"/>
            <w:noWrap w:val="0"/>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6</w:t>
            </w:r>
          </w:p>
        </w:tc>
        <w:tc>
          <w:tcPr>
            <w:tcW w:w="19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仓管员</w:t>
            </w:r>
          </w:p>
        </w:tc>
        <w:tc>
          <w:tcPr>
            <w:tcW w:w="877"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450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具有</w:t>
            </w:r>
            <w:r>
              <w:rPr>
                <w:rFonts w:hint="eastAsia" w:ascii="宋体" w:hAnsi="宋体" w:eastAsia="宋体"/>
                <w:color w:val="auto"/>
                <w:szCs w:val="21"/>
                <w:highlight w:val="none"/>
              </w:rPr>
              <w:t>1</w:t>
            </w:r>
            <w:r>
              <w:rPr>
                <w:rFonts w:hint="eastAsia" w:ascii="宋体" w:hAnsi="宋体"/>
                <w:color w:val="auto"/>
                <w:szCs w:val="21"/>
                <w:highlight w:val="none"/>
              </w:rPr>
              <w:t>年或以上从事相关工作经验。</w:t>
            </w:r>
          </w:p>
        </w:tc>
        <w:tc>
          <w:tcPr>
            <w:tcW w:w="3747" w:type="dxa"/>
            <w:noWrap w:val="0"/>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7</w:t>
            </w:r>
          </w:p>
        </w:tc>
        <w:tc>
          <w:tcPr>
            <w:tcW w:w="19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工艺技术人员</w:t>
            </w:r>
          </w:p>
        </w:tc>
        <w:tc>
          <w:tcPr>
            <w:tcW w:w="877" w:type="dxa"/>
            <w:noWrap w:val="0"/>
            <w:vAlign w:val="center"/>
          </w:tcPr>
          <w:p>
            <w:pPr>
              <w:spacing w:line="360" w:lineRule="auto"/>
              <w:jc w:val="center"/>
              <w:rPr>
                <w:rFonts w:ascii="宋体" w:hAnsi="宋体" w:eastAsia="宋体"/>
                <w:color w:val="auto"/>
                <w:szCs w:val="21"/>
                <w:highlight w:val="none"/>
              </w:rPr>
            </w:pPr>
            <w:r>
              <w:rPr>
                <w:rFonts w:hint="eastAsia" w:ascii="宋体" w:hAnsi="宋体"/>
                <w:color w:val="auto"/>
                <w:szCs w:val="21"/>
                <w:highlight w:val="none"/>
              </w:rPr>
              <w:t>2</w:t>
            </w:r>
          </w:p>
        </w:tc>
        <w:tc>
          <w:tcPr>
            <w:tcW w:w="450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具有</w:t>
            </w:r>
            <w:r>
              <w:rPr>
                <w:rFonts w:hint="eastAsia" w:ascii="宋体" w:hAnsi="宋体" w:eastAsia="宋体"/>
                <w:color w:val="auto"/>
                <w:szCs w:val="21"/>
                <w:highlight w:val="none"/>
              </w:rPr>
              <w:t>3</w:t>
            </w:r>
            <w:r>
              <w:rPr>
                <w:rFonts w:hint="eastAsia" w:ascii="宋体" w:hAnsi="宋体"/>
                <w:color w:val="auto"/>
                <w:szCs w:val="21"/>
                <w:highlight w:val="none"/>
              </w:rPr>
              <w:t>年或以上从事相关工作经验。</w:t>
            </w:r>
          </w:p>
        </w:tc>
        <w:tc>
          <w:tcPr>
            <w:tcW w:w="3747" w:type="dxa"/>
            <w:noWrap w:val="0"/>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8</w:t>
            </w:r>
          </w:p>
        </w:tc>
        <w:tc>
          <w:tcPr>
            <w:tcW w:w="19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专职质检员</w:t>
            </w:r>
          </w:p>
        </w:tc>
        <w:tc>
          <w:tcPr>
            <w:tcW w:w="877"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450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具备相关</w:t>
            </w:r>
            <w:r>
              <w:rPr>
                <w:rFonts w:ascii="宋体" w:hAnsi="宋体"/>
                <w:color w:val="auto"/>
                <w:szCs w:val="21"/>
                <w:highlight w:val="none"/>
              </w:rPr>
              <w:t>岗位证书</w:t>
            </w:r>
            <w:r>
              <w:rPr>
                <w:rFonts w:hint="eastAsia" w:ascii="宋体" w:hAnsi="宋体"/>
                <w:color w:val="auto"/>
                <w:szCs w:val="21"/>
                <w:highlight w:val="none"/>
              </w:rPr>
              <w:t>，且有</w:t>
            </w:r>
            <w:r>
              <w:rPr>
                <w:rFonts w:hint="eastAsia" w:ascii="宋体" w:hAnsi="宋体" w:eastAsia="宋体"/>
                <w:color w:val="auto"/>
                <w:szCs w:val="21"/>
                <w:highlight w:val="none"/>
              </w:rPr>
              <w:t>3</w:t>
            </w:r>
            <w:r>
              <w:rPr>
                <w:rFonts w:hint="eastAsia" w:ascii="宋体" w:hAnsi="宋体"/>
                <w:color w:val="auto"/>
                <w:szCs w:val="21"/>
                <w:highlight w:val="none"/>
              </w:rPr>
              <w:t>年或以上从事相关工作经验。</w:t>
            </w:r>
          </w:p>
        </w:tc>
        <w:tc>
          <w:tcPr>
            <w:tcW w:w="3747" w:type="dxa"/>
            <w:noWrap w:val="0"/>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9</w:t>
            </w:r>
          </w:p>
        </w:tc>
        <w:tc>
          <w:tcPr>
            <w:tcW w:w="19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专职安全员</w:t>
            </w:r>
          </w:p>
        </w:tc>
        <w:tc>
          <w:tcPr>
            <w:tcW w:w="877"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450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具备在有效期内的安全生产考核合格证书（C类）或建筑施工企业专职安全生产管理人员安全生产考核合格证书（C3），且有3年或以上从事相关工作经验。</w:t>
            </w:r>
          </w:p>
        </w:tc>
        <w:tc>
          <w:tcPr>
            <w:tcW w:w="3747" w:type="dxa"/>
            <w:noWrap w:val="0"/>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10</w:t>
            </w:r>
          </w:p>
        </w:tc>
        <w:tc>
          <w:tcPr>
            <w:tcW w:w="19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日常巡查、抢修班组人员</w:t>
            </w:r>
          </w:p>
        </w:tc>
        <w:tc>
          <w:tcPr>
            <w:tcW w:w="877" w:type="dxa"/>
            <w:noWrap w:val="0"/>
            <w:vAlign w:val="center"/>
          </w:tcPr>
          <w:p>
            <w:pPr>
              <w:spacing w:line="360" w:lineRule="auto"/>
              <w:jc w:val="center"/>
              <w:rPr>
                <w:rFonts w:ascii="宋体" w:hAnsi="宋体" w:eastAsia="宋体"/>
                <w:color w:val="auto"/>
                <w:szCs w:val="21"/>
                <w:highlight w:val="none"/>
              </w:rPr>
            </w:pPr>
            <w:r>
              <w:rPr>
                <w:rFonts w:hint="eastAsia"/>
                <w:color w:val="auto"/>
                <w:szCs w:val="21"/>
                <w:highlight w:val="none"/>
                <w:lang w:val="en-US" w:eastAsia="zh-CN"/>
              </w:rPr>
              <w:t>11</w:t>
            </w:r>
          </w:p>
        </w:tc>
        <w:tc>
          <w:tcPr>
            <w:tcW w:w="4503" w:type="dxa"/>
            <w:noWrap w:val="0"/>
            <w:vAlign w:val="center"/>
          </w:tcPr>
          <w:p>
            <w:pPr>
              <w:spacing w:line="360" w:lineRule="auto"/>
              <w:jc w:val="center"/>
              <w:rPr>
                <w:rFonts w:ascii="宋体" w:hAnsi="宋体"/>
                <w:color w:val="auto"/>
                <w:szCs w:val="21"/>
                <w:highlight w:val="none"/>
              </w:rPr>
            </w:pPr>
            <w:r>
              <w:rPr>
                <w:rFonts w:hint="eastAsia" w:ascii="仿宋_GB2312" w:hAnsi="仿宋_GB2312" w:eastAsia="仿宋_GB2312" w:cs="仿宋_GB2312"/>
                <w:color w:val="auto"/>
                <w:sz w:val="24"/>
                <w:szCs w:val="24"/>
                <w:highlight w:val="none"/>
              </w:rPr>
              <w:t>从事交通设施建设或维护工作2年或以上</w:t>
            </w:r>
            <w:r>
              <w:rPr>
                <w:rFonts w:hint="eastAsia" w:ascii="仿宋_GB2312" w:hAnsi="仿宋_GB2312" w:eastAsia="仿宋_GB2312" w:cs="仿宋_GB2312"/>
                <w:color w:val="auto"/>
                <w:sz w:val="24"/>
                <w:szCs w:val="24"/>
                <w:highlight w:val="none"/>
                <w:lang w:eastAsia="zh-CN"/>
              </w:rPr>
              <w:t>工作经验，能独立处理常见的设施故障</w:t>
            </w:r>
          </w:p>
        </w:tc>
        <w:tc>
          <w:tcPr>
            <w:tcW w:w="3747" w:type="dxa"/>
            <w:noWrap w:val="0"/>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ascii="宋体" w:hAnsi="宋体" w:eastAsia="宋体"/>
                <w:b/>
                <w:color w:val="auto"/>
                <w:szCs w:val="21"/>
                <w:highlight w:val="none"/>
              </w:rPr>
            </w:pPr>
            <w:r>
              <w:rPr>
                <w:rFonts w:hint="eastAsia" w:ascii="宋体" w:hAnsi="宋体"/>
                <w:b/>
                <w:color w:val="auto"/>
                <w:szCs w:val="21"/>
                <w:highlight w:val="none"/>
              </w:rPr>
              <w:t>11</w:t>
            </w:r>
          </w:p>
        </w:tc>
        <w:tc>
          <w:tcPr>
            <w:tcW w:w="1980" w:type="dxa"/>
            <w:noWrap w:val="0"/>
            <w:vAlign w:val="center"/>
          </w:tcPr>
          <w:p>
            <w:pPr>
              <w:spacing w:line="360" w:lineRule="auto"/>
              <w:jc w:val="center"/>
              <w:rPr>
                <w:rFonts w:ascii="宋体" w:hAnsi="宋体" w:eastAsia="宋体"/>
                <w:color w:val="auto"/>
                <w:szCs w:val="21"/>
                <w:highlight w:val="none"/>
              </w:rPr>
            </w:pPr>
            <w:r>
              <w:rPr>
                <w:rFonts w:hint="eastAsia" w:ascii="宋体" w:hAnsi="宋体"/>
                <w:color w:val="auto"/>
                <w:szCs w:val="21"/>
                <w:highlight w:val="none"/>
              </w:rPr>
              <w:t>现场施工技术工人</w:t>
            </w:r>
          </w:p>
        </w:tc>
        <w:tc>
          <w:tcPr>
            <w:tcW w:w="877" w:type="dxa"/>
            <w:noWrap w:val="0"/>
            <w:vAlign w:val="center"/>
          </w:tcPr>
          <w:p>
            <w:pPr>
              <w:spacing w:line="360" w:lineRule="auto"/>
              <w:jc w:val="center"/>
              <w:rPr>
                <w:rFonts w:ascii="宋体" w:hAnsi="宋体"/>
                <w:color w:val="auto"/>
                <w:szCs w:val="21"/>
                <w:highlight w:val="none"/>
              </w:rPr>
            </w:pPr>
            <w:r>
              <w:rPr>
                <w:rFonts w:hint="eastAsia"/>
                <w:color w:val="auto"/>
                <w:szCs w:val="21"/>
                <w:highlight w:val="none"/>
                <w:lang w:val="en-US" w:eastAsia="zh-CN"/>
              </w:rPr>
              <w:t>12</w:t>
            </w:r>
          </w:p>
        </w:tc>
        <w:tc>
          <w:tcPr>
            <w:tcW w:w="4503" w:type="dxa"/>
            <w:noWrap w:val="0"/>
            <w:vAlign w:val="center"/>
          </w:tcPr>
          <w:p>
            <w:pPr>
              <w:spacing w:line="360" w:lineRule="auto"/>
              <w:jc w:val="center"/>
              <w:rPr>
                <w:rFonts w:ascii="宋体" w:hAnsi="宋体"/>
                <w:color w:val="auto"/>
                <w:szCs w:val="21"/>
                <w:highlight w:val="none"/>
              </w:rPr>
            </w:pPr>
            <w:r>
              <w:rPr>
                <w:rFonts w:hint="eastAsia" w:ascii="仿宋_GB2312" w:hAnsi="仿宋_GB2312" w:eastAsia="仿宋_GB2312" w:cs="仿宋_GB2312"/>
                <w:color w:val="auto"/>
                <w:sz w:val="24"/>
                <w:szCs w:val="24"/>
                <w:highlight w:val="none"/>
              </w:rPr>
              <w:t>同类工作1年或以上</w:t>
            </w:r>
            <w:r>
              <w:rPr>
                <w:rFonts w:hint="eastAsia" w:ascii="仿宋_GB2312" w:hAnsi="仿宋_GB2312" w:eastAsia="仿宋_GB2312" w:cs="仿宋_GB2312"/>
                <w:color w:val="auto"/>
                <w:sz w:val="24"/>
                <w:szCs w:val="24"/>
                <w:highlight w:val="none"/>
                <w:lang w:eastAsia="zh-CN"/>
              </w:rPr>
              <w:t>经验</w:t>
            </w:r>
          </w:p>
        </w:tc>
        <w:tc>
          <w:tcPr>
            <w:tcW w:w="3747" w:type="dxa"/>
            <w:noWrap w:val="0"/>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ascii="宋体" w:hAnsi="宋体"/>
                <w:b/>
                <w:color w:val="auto"/>
                <w:szCs w:val="21"/>
                <w:highlight w:val="none"/>
              </w:rPr>
            </w:pPr>
          </w:p>
        </w:tc>
        <w:tc>
          <w:tcPr>
            <w:tcW w:w="19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合计</w:t>
            </w:r>
          </w:p>
        </w:tc>
        <w:tc>
          <w:tcPr>
            <w:tcW w:w="877" w:type="dxa"/>
            <w:noWrap w:val="0"/>
            <w:vAlign w:val="center"/>
          </w:tcPr>
          <w:p>
            <w:pPr>
              <w:spacing w:line="360" w:lineRule="auto"/>
              <w:jc w:val="center"/>
              <w:rPr>
                <w:rFonts w:hint="default" w:ascii="宋体" w:hAnsi="宋体" w:eastAsia="宋体"/>
                <w:color w:val="auto"/>
                <w:szCs w:val="21"/>
                <w:highlight w:val="none"/>
                <w:lang w:val="en-US" w:eastAsia="zh-CN"/>
              </w:rPr>
            </w:pPr>
            <w:r>
              <w:rPr>
                <w:rFonts w:hint="eastAsia"/>
                <w:color w:val="auto"/>
                <w:szCs w:val="21"/>
                <w:highlight w:val="none"/>
                <w:lang w:val="en-US" w:eastAsia="zh-CN"/>
              </w:rPr>
              <w:t>36</w:t>
            </w:r>
          </w:p>
        </w:tc>
        <w:tc>
          <w:tcPr>
            <w:tcW w:w="4503" w:type="dxa"/>
            <w:noWrap w:val="0"/>
            <w:vAlign w:val="center"/>
          </w:tcPr>
          <w:p>
            <w:pPr>
              <w:spacing w:line="360" w:lineRule="auto"/>
              <w:jc w:val="center"/>
              <w:rPr>
                <w:rFonts w:ascii="宋体" w:hAnsi="宋体"/>
                <w:b/>
                <w:color w:val="auto"/>
                <w:szCs w:val="21"/>
                <w:highlight w:val="none"/>
              </w:rPr>
            </w:pPr>
          </w:p>
        </w:tc>
        <w:tc>
          <w:tcPr>
            <w:tcW w:w="3747" w:type="dxa"/>
            <w:noWrap w:val="0"/>
            <w:vAlign w:val="center"/>
          </w:tcPr>
          <w:p>
            <w:pPr>
              <w:spacing w:line="360" w:lineRule="auto"/>
              <w:jc w:val="center"/>
              <w:rPr>
                <w:rFonts w:ascii="宋体" w:hAnsi="宋体"/>
                <w:b/>
                <w:color w:val="auto"/>
                <w:szCs w:val="21"/>
                <w:highlight w:val="none"/>
              </w:rPr>
            </w:pPr>
          </w:p>
        </w:tc>
      </w:tr>
    </w:tbl>
    <w:p>
      <w:pPr>
        <w:snapToGrid w:val="0"/>
        <w:spacing w:beforeLines="25"/>
        <w:ind w:firstLine="210" w:firstLineChars="100"/>
        <w:rPr>
          <w:rFonts w:hint="eastAsia" w:cs="宋体"/>
          <w:color w:val="auto"/>
          <w:kern w:val="0"/>
          <w:szCs w:val="20"/>
          <w:highlight w:val="none"/>
          <w:lang w:val="zh-CN"/>
        </w:rPr>
      </w:pPr>
    </w:p>
    <w:p>
      <w:pPr>
        <w:snapToGrid w:val="0"/>
        <w:spacing w:beforeLines="25"/>
        <w:ind w:firstLine="210" w:firstLineChars="100"/>
        <w:rPr>
          <w:rFonts w:ascii="Calibri" w:hAnsi="Calibri"/>
          <w:color w:val="auto"/>
          <w:highlight w:val="none"/>
        </w:rPr>
      </w:pPr>
      <w:r>
        <w:rPr>
          <w:rFonts w:hint="eastAsia" w:cs="宋体"/>
          <w:color w:val="auto"/>
          <w:kern w:val="0"/>
          <w:szCs w:val="20"/>
          <w:highlight w:val="none"/>
          <w:lang w:val="zh-CN"/>
        </w:rPr>
        <w:t>注：①所有人员岗位不能相互兼任。②所有人员须提供相关证明资料和202</w:t>
      </w:r>
      <w:r>
        <w:rPr>
          <w:rFonts w:hint="eastAsia" w:cs="宋体"/>
          <w:color w:val="auto"/>
          <w:kern w:val="0"/>
          <w:szCs w:val="20"/>
          <w:highlight w:val="none"/>
          <w:lang w:val="en-US" w:eastAsia="zh-CN"/>
        </w:rPr>
        <w:t>5</w:t>
      </w:r>
      <w:r>
        <w:rPr>
          <w:rFonts w:hint="eastAsia" w:cs="宋体"/>
          <w:color w:val="auto"/>
          <w:kern w:val="0"/>
          <w:szCs w:val="20"/>
          <w:highlight w:val="none"/>
          <w:lang w:val="zh-CN"/>
        </w:rPr>
        <w:t>年</w:t>
      </w:r>
      <w:r>
        <w:rPr>
          <w:rFonts w:hint="eastAsia" w:cs="宋体"/>
          <w:color w:val="auto"/>
          <w:kern w:val="0"/>
          <w:szCs w:val="20"/>
          <w:highlight w:val="none"/>
        </w:rPr>
        <w:t>1</w:t>
      </w:r>
      <w:r>
        <w:rPr>
          <w:rFonts w:hint="eastAsia" w:cs="宋体"/>
          <w:color w:val="auto"/>
          <w:kern w:val="0"/>
          <w:szCs w:val="20"/>
          <w:highlight w:val="none"/>
          <w:lang w:val="zh-CN"/>
        </w:rPr>
        <w:t>月在投标单位缴纳社保的证明材料扫描件并加盖投标人企业电子印章。未提供或所提供的证明资料不符合要求的，则该评分节点不予评审。③高级职称证书以县级以上人社部门核发为准，若不是人社部门核发的职称证书，投标人应同时提供县级以上人社部门委托核发机构开展职称评审工作的证明文件或其他可由该机构核发的政策文件依据，或在人社部门专业技术人才职称管理系统登记的信息记录网页及截图，否则，对该职称证书不予认可。④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hint="eastAsia" w:ascii="宋体" w:hAnsi="宋体" w:eastAsia="宋体" w:cs="宋体"/>
          <w:color w:val="auto"/>
          <w:kern w:val="0"/>
          <w:szCs w:val="20"/>
          <w:highlight w:val="none"/>
          <w:lang w:val="zh-CN"/>
        </w:rPr>
        <w:t>⑤</w:t>
      </w:r>
      <w:r>
        <w:rPr>
          <w:rFonts w:hint="eastAsia" w:cs="宋体"/>
          <w:color w:val="auto"/>
          <w:kern w:val="0"/>
          <w:szCs w:val="20"/>
          <w:highlight w:val="none"/>
          <w:lang w:val="zh-CN"/>
        </w:rPr>
        <w:t>相关工作经验要求提供证书的以证书取得时间起算，未要求证书的需提供公司声明并加盖公章。</w:t>
      </w:r>
    </w:p>
    <w:p>
      <w:pPr>
        <w:pStyle w:val="5"/>
        <w:jc w:val="left"/>
        <w:rPr>
          <w:color w:val="auto"/>
          <w:highlight w:val="none"/>
        </w:rPr>
      </w:pPr>
      <w:r>
        <w:rPr>
          <w:rFonts w:ascii="宋体" w:hAnsi="宋体" w:cs="宋体"/>
          <w:color w:val="auto"/>
          <w:szCs w:val="21"/>
          <w:highlight w:val="none"/>
        </w:rPr>
        <w:br w:type="page"/>
      </w:r>
    </w:p>
    <w:p>
      <w:pPr>
        <w:rPr>
          <w:color w:val="auto"/>
          <w:szCs w:val="21"/>
          <w:highlight w:val="none"/>
        </w:rPr>
      </w:pPr>
      <w:r>
        <w:rPr>
          <w:rFonts w:hint="eastAsia"/>
          <w:color w:val="auto"/>
          <w:szCs w:val="21"/>
          <w:highlight w:val="none"/>
        </w:rPr>
        <w:t>附表五</w:t>
      </w:r>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916"/>
        <w:gridCol w:w="12"/>
        <w:gridCol w:w="940"/>
        <w:gridCol w:w="941"/>
        <w:gridCol w:w="941"/>
        <w:gridCol w:w="941"/>
        <w:gridCol w:w="941"/>
        <w:gridCol w:w="941"/>
        <w:gridCol w:w="941"/>
        <w:gridCol w:w="941"/>
        <w:gridCol w:w="941"/>
        <w:gridCol w:w="941"/>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3"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投标人名称</w:t>
            </w:r>
          </w:p>
        </w:tc>
        <w:tc>
          <w:tcPr>
            <w:tcW w:w="353" w:type="pct"/>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3"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投标报价PT（元）</w:t>
            </w:r>
          </w:p>
        </w:tc>
        <w:tc>
          <w:tcPr>
            <w:tcW w:w="353" w:type="pct"/>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3"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报价权重</w:t>
            </w:r>
          </w:p>
        </w:tc>
        <w:tc>
          <w:tcPr>
            <w:tcW w:w="348"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61" w:type="pct"/>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3" w:type="pct"/>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计算评标参考价的下浮率（%）</w:t>
            </w:r>
          </w:p>
        </w:tc>
        <w:tc>
          <w:tcPr>
            <w:tcW w:w="4286" w:type="pct"/>
            <w:gridSpan w:val="13"/>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3"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评标参考价PC（元）</w:t>
            </w:r>
          </w:p>
        </w:tc>
        <w:tc>
          <w:tcPr>
            <w:tcW w:w="4286" w:type="pct"/>
            <w:gridSpan w:val="13"/>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713"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偏差（（PT-PC）/PC）（%）</w:t>
            </w:r>
          </w:p>
        </w:tc>
        <w:tc>
          <w:tcPr>
            <w:tcW w:w="353" w:type="pct"/>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3"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减分（A）</w:t>
            </w:r>
          </w:p>
        </w:tc>
        <w:tc>
          <w:tcPr>
            <w:tcW w:w="353" w:type="pct"/>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3"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得分(I=100-A)</w:t>
            </w:r>
          </w:p>
        </w:tc>
        <w:tc>
          <w:tcPr>
            <w:tcW w:w="353" w:type="pct"/>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3"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得分排名次序</w:t>
            </w:r>
          </w:p>
        </w:tc>
        <w:tc>
          <w:tcPr>
            <w:tcW w:w="353" w:type="pct"/>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bl>
    <w:p>
      <w:pPr>
        <w:rPr>
          <w:rFonts w:cs="宋体"/>
          <w:color w:val="auto"/>
          <w:kern w:val="0"/>
          <w:szCs w:val="21"/>
          <w:highlight w:val="none"/>
        </w:rPr>
      </w:pPr>
      <w:r>
        <w:rPr>
          <w:rFonts w:cs="宋体"/>
          <w:color w:val="auto"/>
          <w:kern w:val="0"/>
          <w:szCs w:val="21"/>
          <w:highlight w:val="none"/>
        </w:rPr>
        <w:tab/>
      </w:r>
    </w:p>
    <w:p>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pPr>
        <w:rPr>
          <w:color w:val="auto"/>
          <w:highlight w:val="none"/>
        </w:rPr>
      </w:pPr>
    </w:p>
    <w:p>
      <w:pPr>
        <w:rPr>
          <w:color w:val="auto"/>
          <w:highlight w:val="none"/>
        </w:rPr>
      </w:pPr>
      <w:r>
        <w:rPr>
          <w:color w:val="auto"/>
          <w:highlight w:val="none"/>
        </w:rPr>
        <w:br w:type="page"/>
      </w:r>
    </w:p>
    <w:p>
      <w:pPr>
        <w:jc w:val="center"/>
        <w:rPr>
          <w:b/>
          <w:color w:val="auto"/>
          <w:sz w:val="36"/>
          <w:szCs w:val="36"/>
          <w:highlight w:val="none"/>
        </w:rPr>
      </w:pPr>
      <w:r>
        <w:rPr>
          <w:rFonts w:hint="eastAsia"/>
          <w:b/>
          <w:color w:val="auto"/>
          <w:sz w:val="36"/>
          <w:szCs w:val="36"/>
          <w:highlight w:val="none"/>
        </w:rPr>
        <w:t>算术复核表</w:t>
      </w:r>
    </w:p>
    <w:p>
      <w:pPr>
        <w:rPr>
          <w:color w:val="auto"/>
          <w:szCs w:val="21"/>
          <w:highlight w:val="none"/>
        </w:rPr>
      </w:pPr>
      <w:r>
        <w:rPr>
          <w:rFonts w:hint="eastAsia"/>
          <w:color w:val="auto"/>
          <w:szCs w:val="21"/>
          <w:highlight w:val="none"/>
        </w:rPr>
        <w:t>工程名称：</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bl>
    <w:p>
      <w:pPr>
        <w:rPr>
          <w:color w:val="auto"/>
          <w:szCs w:val="21"/>
          <w:highlight w:val="none"/>
        </w:rPr>
      </w:pPr>
      <w:r>
        <w:rPr>
          <w:rFonts w:hint="eastAsia"/>
          <w:color w:val="auto"/>
          <w:szCs w:val="21"/>
          <w:highlight w:val="none"/>
        </w:rPr>
        <w:t>修正原则：按就低不就高原则，当修正后报价小于原报价，总价按修正后报价；当修正后报价大于原报价，总价按原报价，并在签订合同时载明在结算价中扣除修正报价与原报价的差额。</w:t>
      </w:r>
    </w:p>
    <w:p>
      <w:pPr>
        <w:rPr>
          <w:color w:val="auto"/>
          <w:szCs w:val="21"/>
          <w:highlight w:val="none"/>
        </w:rPr>
      </w:pPr>
      <w:r>
        <w:rPr>
          <w:rFonts w:hint="eastAsia"/>
          <w:color w:val="auto"/>
          <w:szCs w:val="21"/>
          <w:highlight w:val="none"/>
        </w:rPr>
        <w:t>评委签名：</w:t>
      </w:r>
    </w:p>
    <w:p>
      <w:pPr>
        <w:spacing w:line="360" w:lineRule="auto"/>
        <w:jc w:val="center"/>
        <w:rPr>
          <w:rFonts w:ascii="仿宋_GB2312" w:eastAsia="仿宋_GB2312"/>
          <w:color w:val="auto"/>
          <w:szCs w:val="21"/>
          <w:highlight w:val="none"/>
        </w:rPr>
        <w:sectPr>
          <w:headerReference r:id="rId17" w:type="first"/>
          <w:footerReference r:id="rId20" w:type="first"/>
          <w:headerReference r:id="rId15" w:type="default"/>
          <w:footerReference r:id="rId18" w:type="default"/>
          <w:headerReference r:id="rId16" w:type="even"/>
          <w:footerReference r:id="rId19" w:type="even"/>
          <w:pgSz w:w="15840" w:h="12240" w:orient="landscape"/>
          <w:pgMar w:top="1803" w:right="1440" w:bottom="1803" w:left="1440" w:header="720" w:footer="720" w:gutter="0"/>
          <w:cols w:space="720" w:num="1"/>
        </w:sectPr>
      </w:pPr>
    </w:p>
    <w:p>
      <w:pPr>
        <w:pStyle w:val="3"/>
        <w:jc w:val="center"/>
        <w:rPr>
          <w:rFonts w:hint="default"/>
          <w:color w:val="auto"/>
          <w:highlight w:val="none"/>
        </w:rPr>
      </w:pPr>
      <w:bookmarkStart w:id="15" w:name="_Toc20117"/>
      <w:r>
        <w:rPr>
          <w:color w:val="auto"/>
          <w:highlight w:val="none"/>
        </w:rPr>
        <w:t>第三章  合同条款</w:t>
      </w:r>
      <w:bookmarkEnd w:id="15"/>
    </w:p>
    <w:p>
      <w:pPr>
        <w:rPr>
          <w:color w:val="auto"/>
          <w:highlight w:val="none"/>
        </w:rPr>
      </w:pPr>
    </w:p>
    <w:p>
      <w:pPr>
        <w:topLinePunct/>
        <w:adjustRightInd w:val="0"/>
        <w:snapToGrid w:val="0"/>
        <w:spacing w:line="360" w:lineRule="auto"/>
        <w:rPr>
          <w:rFonts w:cs="宋体"/>
          <w:snapToGrid w:val="0"/>
          <w:color w:val="auto"/>
          <w:spacing w:val="4"/>
          <w:kern w:val="0"/>
          <w:sz w:val="24"/>
          <w:szCs w:val="24"/>
          <w:highlight w:val="none"/>
        </w:rPr>
      </w:pPr>
      <w:r>
        <w:rPr>
          <w:rFonts w:hint="eastAsia" w:cs="宋体"/>
          <w:snapToGrid w:val="0"/>
          <w:color w:val="auto"/>
          <w:spacing w:val="4"/>
          <w:kern w:val="0"/>
          <w:sz w:val="24"/>
          <w:szCs w:val="24"/>
          <w:highlight w:val="none"/>
        </w:rPr>
        <w:t>注：另册。</w:t>
      </w:r>
    </w:p>
    <w:p>
      <w:pPr>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13"/>
        <w:spacing w:line="360" w:lineRule="auto"/>
        <w:rPr>
          <w:color w:val="auto"/>
          <w:sz w:val="24"/>
          <w:szCs w:val="24"/>
          <w:highlight w:val="none"/>
        </w:rPr>
      </w:pPr>
    </w:p>
    <w:p>
      <w:pPr>
        <w:pStyle w:val="13"/>
        <w:spacing w:line="360" w:lineRule="auto"/>
        <w:rPr>
          <w:color w:val="auto"/>
          <w:sz w:val="24"/>
          <w:szCs w:val="24"/>
          <w:highlight w:val="none"/>
        </w:rPr>
      </w:pPr>
    </w:p>
    <w:p>
      <w:pPr>
        <w:pStyle w:val="3"/>
        <w:jc w:val="center"/>
        <w:rPr>
          <w:rFonts w:hint="default"/>
          <w:color w:val="auto"/>
          <w:highlight w:val="none"/>
        </w:rPr>
      </w:pPr>
      <w:r>
        <w:rPr>
          <w:color w:val="auto"/>
          <w:highlight w:val="none"/>
        </w:rPr>
        <w:br w:type="page"/>
      </w:r>
      <w:bookmarkStart w:id="16" w:name="_Toc14587"/>
      <w:r>
        <w:rPr>
          <w:color w:val="auto"/>
          <w:highlight w:val="none"/>
        </w:rPr>
        <w:t>第四章  投标文件格式</w:t>
      </w:r>
      <w:bookmarkEnd w:id="16"/>
    </w:p>
    <w:p>
      <w:pPr>
        <w:pStyle w:val="25"/>
        <w:spacing w:before="120" w:line="360" w:lineRule="auto"/>
        <w:outlineLvl w:val="0"/>
        <w:rPr>
          <w:rFonts w:eastAsia="宋体"/>
          <w:color w:val="auto"/>
          <w:highlight w:val="none"/>
        </w:rPr>
      </w:pPr>
      <w:bookmarkStart w:id="17" w:name="_Toc26040"/>
      <w:r>
        <w:rPr>
          <w:rFonts w:hint="eastAsia" w:eastAsia="宋体"/>
          <w:color w:val="auto"/>
          <w:highlight w:val="none"/>
        </w:rPr>
        <w:t>一、技术标投标文件格式</w:t>
      </w:r>
      <w:bookmarkEnd w:id="17"/>
    </w:p>
    <w:p>
      <w:pPr>
        <w:pStyle w:val="7"/>
        <w:rPr>
          <w:color w:val="auto"/>
          <w:highlight w:val="none"/>
        </w:rPr>
      </w:pPr>
      <w:bookmarkStart w:id="18" w:name="_Toc18088"/>
      <w:r>
        <w:rPr>
          <w:rFonts w:hint="eastAsia"/>
          <w:color w:val="auto"/>
          <w:highlight w:val="none"/>
        </w:rPr>
        <w:t>格式一：</w:t>
      </w:r>
      <w:bookmarkEnd w:id="18"/>
    </w:p>
    <w:p>
      <w:pPr>
        <w:autoSpaceDE w:val="0"/>
        <w:autoSpaceDN w:val="0"/>
        <w:adjustRightInd w:val="0"/>
        <w:ind w:left="-540" w:leftChars="-257" w:firstLine="1135" w:firstLineChars="257"/>
        <w:jc w:val="center"/>
        <w:rPr>
          <w:b/>
          <w:bCs/>
          <w:color w:val="auto"/>
          <w:sz w:val="52"/>
          <w:szCs w:val="52"/>
          <w:highlight w:val="none"/>
        </w:rPr>
      </w:pPr>
      <w:r>
        <w:rPr>
          <w:rFonts w:hint="eastAsia" w:cs="宋体"/>
          <w:b/>
          <w:bCs/>
          <w:color w:val="auto"/>
          <w:sz w:val="44"/>
          <w:szCs w:val="44"/>
          <w:highlight w:val="none"/>
          <w:lang w:val="zh-CN"/>
        </w:rPr>
        <w:t>广州建设工程施工招标投标书</w:t>
      </w:r>
    </w:p>
    <w:tbl>
      <w:tblPr>
        <w:tblStyle w:val="20"/>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工</w:t>
            </w:r>
            <w:r>
              <w:rPr>
                <w:rFonts w:cs="宋体"/>
                <w:b/>
                <w:color w:val="auto"/>
                <w:sz w:val="24"/>
                <w:szCs w:val="24"/>
                <w:highlight w:val="none"/>
                <w:lang w:val="zh-CN"/>
              </w:rPr>
              <w:t xml:space="preserve"> </w:t>
            </w:r>
            <w:r>
              <w:rPr>
                <w:rFonts w:hint="eastAsia" w:cs="宋体"/>
                <w:b/>
                <w:color w:val="auto"/>
                <w:sz w:val="24"/>
                <w:szCs w:val="24"/>
                <w:highlight w:val="none"/>
                <w:lang w:val="zh-CN"/>
              </w:rPr>
              <w:t>程</w:t>
            </w:r>
            <w:r>
              <w:rPr>
                <w:rFonts w:cs="宋体"/>
                <w:b/>
                <w:color w:val="auto"/>
                <w:sz w:val="24"/>
                <w:szCs w:val="24"/>
                <w:highlight w:val="none"/>
                <w:lang w:val="zh-CN"/>
              </w:rPr>
              <w:t xml:space="preserve"> </w:t>
            </w:r>
            <w:r>
              <w:rPr>
                <w:rFonts w:hint="eastAsia" w:cs="宋体"/>
                <w:b/>
                <w:color w:val="auto"/>
                <w:sz w:val="24"/>
                <w:szCs w:val="24"/>
                <w:highlight w:val="none"/>
                <w:lang w:val="zh-CN"/>
              </w:rPr>
              <w:t>名</w:t>
            </w:r>
            <w:r>
              <w:rPr>
                <w:rFonts w:cs="宋体"/>
                <w:b/>
                <w:color w:val="auto"/>
                <w:sz w:val="24"/>
                <w:szCs w:val="24"/>
                <w:highlight w:val="none"/>
                <w:lang w:val="zh-CN"/>
              </w:rPr>
              <w:t xml:space="preserve"> </w:t>
            </w:r>
            <w:r>
              <w:rPr>
                <w:rFonts w:hint="eastAsia"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其中：</w:t>
            </w:r>
            <w:r>
              <w:rPr>
                <w:rFonts w:hint="eastAsia" w:cs="宋体"/>
                <w:b/>
                <w:bCs/>
                <w:color w:val="auto"/>
                <w:sz w:val="24"/>
                <w:szCs w:val="24"/>
                <w:highlight w:val="none"/>
                <w:lang w:val="zh-CN"/>
              </w:rPr>
              <w:t>人工费</w:t>
            </w:r>
            <w:r>
              <w:rPr>
                <w:rFonts w:hint="eastAsia"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color w:val="auto"/>
                <w:sz w:val="24"/>
                <w:szCs w:val="24"/>
                <w:highlight w:val="none"/>
                <w:lang w:val="zh-CN"/>
              </w:rPr>
            </w:pPr>
            <w:r>
              <w:rPr>
                <w:rFonts w:hint="eastAsia" w:cs="宋体"/>
                <w:b/>
                <w:bCs/>
                <w:color w:val="auto"/>
                <w:sz w:val="24"/>
                <w:szCs w:val="24"/>
                <w:highlight w:val="none"/>
                <w:lang w:val="zh-CN"/>
              </w:rPr>
              <w:t>其中：</w:t>
            </w:r>
            <w:r>
              <w:rPr>
                <w:rFonts w:hint="eastAsia"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cs="宋体"/>
                <w:b/>
                <w:color w:val="auto"/>
                <w:sz w:val="24"/>
                <w:szCs w:val="24"/>
                <w:highlight w:val="none"/>
                <w:lang w:val="zh-CN"/>
              </w:rPr>
            </w:pPr>
            <w:r>
              <w:rPr>
                <w:rFonts w:hint="eastAsia" w:cs="宋体"/>
                <w:b/>
                <w:color w:val="auto"/>
                <w:sz w:val="24"/>
                <w:szCs w:val="24"/>
                <w:highlight w:val="none"/>
                <w:lang w:val="zh-CN"/>
              </w:rPr>
              <w:t>投</w:t>
            </w:r>
            <w:r>
              <w:rPr>
                <w:rFonts w:cs="宋体"/>
                <w:b/>
                <w:color w:val="auto"/>
                <w:sz w:val="24"/>
                <w:szCs w:val="24"/>
                <w:highlight w:val="none"/>
                <w:lang w:val="zh-CN"/>
              </w:rPr>
              <w:t xml:space="preserve"> </w:t>
            </w:r>
            <w:r>
              <w:rPr>
                <w:rFonts w:hint="eastAsia" w:cs="宋体"/>
                <w:b/>
                <w:color w:val="auto"/>
                <w:sz w:val="24"/>
                <w:szCs w:val="24"/>
                <w:highlight w:val="none"/>
                <w:lang w:val="zh-CN"/>
              </w:rPr>
              <w:t>标</w:t>
            </w:r>
            <w:r>
              <w:rPr>
                <w:rFonts w:cs="宋体"/>
                <w:b/>
                <w:color w:val="auto"/>
                <w:sz w:val="24"/>
                <w:szCs w:val="24"/>
                <w:highlight w:val="none"/>
                <w:lang w:val="zh-CN"/>
              </w:rPr>
              <w:t xml:space="preserve"> </w:t>
            </w:r>
            <w:r>
              <w:rPr>
                <w:rFonts w:hint="eastAsia" w:cs="宋体"/>
                <w:b/>
                <w:color w:val="auto"/>
                <w:sz w:val="24"/>
                <w:szCs w:val="24"/>
                <w:highlight w:val="none"/>
                <w:lang w:val="zh-CN"/>
              </w:rPr>
              <w:t>总工</w:t>
            </w:r>
            <w:r>
              <w:rPr>
                <w:rFonts w:cs="宋体"/>
                <w:b/>
                <w:color w:val="auto"/>
                <w:sz w:val="24"/>
                <w:szCs w:val="24"/>
                <w:highlight w:val="none"/>
                <w:lang w:val="zh-CN"/>
              </w:rPr>
              <w:t xml:space="preserve"> </w:t>
            </w:r>
            <w:r>
              <w:rPr>
                <w:rFonts w:hint="eastAsia" w:cs="宋体"/>
                <w:b/>
                <w:color w:val="auto"/>
                <w:sz w:val="24"/>
                <w:szCs w:val="24"/>
                <w:highlight w:val="none"/>
                <w:lang w:val="zh-CN"/>
              </w:rPr>
              <w:t>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b/>
                <w:color w:val="auto"/>
                <w:sz w:val="24"/>
                <w:szCs w:val="24"/>
                <w:highlight w:val="none"/>
              </w:rPr>
            </w:pPr>
            <w:r>
              <w:rPr>
                <w:rFonts w:hint="eastAsia"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72" w:firstLineChars="196"/>
              <w:jc w:val="center"/>
              <w:rPr>
                <w:rFonts w:cs="宋体"/>
                <w:b/>
                <w:bCs/>
                <w:color w:val="auto"/>
                <w:sz w:val="24"/>
                <w:szCs w:val="24"/>
                <w:highlight w:val="none"/>
                <w:lang w:val="zh-CN"/>
              </w:rPr>
            </w:pPr>
            <w:r>
              <w:rPr>
                <w:rFonts w:hint="eastAsia" w:cs="宋体"/>
                <w:b/>
                <w:color w:val="auto"/>
                <w:sz w:val="24"/>
                <w:szCs w:val="24"/>
                <w:highlight w:val="none"/>
                <w:lang w:val="zh-CN"/>
              </w:rPr>
              <w:t>保</w:t>
            </w:r>
            <w:r>
              <w:rPr>
                <w:rFonts w:cs="宋体"/>
                <w:b/>
                <w:color w:val="auto"/>
                <w:sz w:val="24"/>
                <w:szCs w:val="24"/>
                <w:highlight w:val="none"/>
                <w:lang w:val="zh-CN"/>
              </w:rPr>
              <w:t xml:space="preserve"> </w:t>
            </w:r>
            <w:r>
              <w:rPr>
                <w:rFonts w:hint="eastAsia" w:cs="宋体"/>
                <w:b/>
                <w:color w:val="auto"/>
                <w:sz w:val="24"/>
                <w:szCs w:val="24"/>
                <w:highlight w:val="none"/>
                <w:lang w:val="zh-CN"/>
              </w:rPr>
              <w:t>修</w:t>
            </w:r>
            <w:r>
              <w:rPr>
                <w:rFonts w:cs="宋体"/>
                <w:b/>
                <w:color w:val="auto"/>
                <w:sz w:val="24"/>
                <w:szCs w:val="24"/>
                <w:highlight w:val="none"/>
                <w:lang w:val="zh-CN"/>
              </w:rPr>
              <w:t xml:space="preserve"> </w:t>
            </w:r>
            <w:r>
              <w:rPr>
                <w:rFonts w:hint="eastAsia" w:cs="宋体"/>
                <w:b/>
                <w:color w:val="auto"/>
                <w:sz w:val="24"/>
                <w:szCs w:val="24"/>
                <w:highlight w:val="none"/>
                <w:lang w:val="zh-CN"/>
              </w:rPr>
              <w:t>期</w:t>
            </w:r>
            <w:r>
              <w:rPr>
                <w:rFonts w:cs="宋体"/>
                <w:b/>
                <w:color w:val="auto"/>
                <w:sz w:val="24"/>
                <w:szCs w:val="24"/>
                <w:highlight w:val="none"/>
                <w:lang w:val="zh-CN"/>
              </w:rPr>
              <w:t xml:space="preserve"> </w:t>
            </w:r>
            <w:r>
              <w:rPr>
                <w:rFonts w:hint="eastAsia" w:cs="宋体"/>
                <w:b/>
                <w:color w:val="auto"/>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b/>
                <w:bCs/>
                <w:color w:val="auto"/>
                <w:sz w:val="24"/>
                <w:szCs w:val="24"/>
                <w:highlight w:val="none"/>
                <w:lang w:val="zh-CN"/>
              </w:rPr>
            </w:pPr>
          </w:p>
        </w:tc>
      </w:tr>
    </w:tbl>
    <w:p>
      <w:pPr>
        <w:widowControl/>
        <w:jc w:val="left"/>
        <w:rPr>
          <w:color w:val="auto"/>
          <w:highlight w:val="none"/>
        </w:rPr>
      </w:pPr>
      <w:r>
        <w:rPr>
          <w:b/>
          <w:color w:val="auto"/>
          <w:highlight w:val="none"/>
        </w:rPr>
        <w:br w:type="page"/>
      </w:r>
    </w:p>
    <w:p>
      <w:pPr>
        <w:pStyle w:val="7"/>
        <w:rPr>
          <w:color w:val="auto"/>
          <w:highlight w:val="none"/>
        </w:rPr>
      </w:pPr>
      <w:bookmarkStart w:id="19" w:name="_Toc11669"/>
      <w:r>
        <w:rPr>
          <w:rFonts w:hint="eastAsia"/>
          <w:color w:val="auto"/>
          <w:highlight w:val="none"/>
        </w:rPr>
        <w:t>格式二：</w:t>
      </w:r>
      <w:bookmarkEnd w:id="19"/>
    </w:p>
    <w:p>
      <w:pPr>
        <w:jc w:val="center"/>
        <w:rPr>
          <w:b/>
          <w:color w:val="auto"/>
          <w:sz w:val="36"/>
          <w:szCs w:val="36"/>
          <w:highlight w:val="none"/>
        </w:rPr>
      </w:pPr>
      <w:r>
        <w:rPr>
          <w:rFonts w:hint="eastAsia"/>
          <w:b/>
          <w:color w:val="auto"/>
          <w:sz w:val="36"/>
          <w:szCs w:val="36"/>
          <w:highlight w:val="none"/>
        </w:rPr>
        <w:t>危险性较大的分部分项工程清单及超过一定规模的危险性较大的分部分项工程清单</w:t>
      </w:r>
    </w:p>
    <w:p>
      <w:pPr>
        <w:numPr>
          <w:ilvl w:val="0"/>
          <w:numId w:val="1"/>
        </w:numPr>
        <w:autoSpaceDE w:val="0"/>
        <w:autoSpaceDN w:val="0"/>
        <w:adjustRightInd w:val="0"/>
        <w:spacing w:line="360" w:lineRule="auto"/>
        <w:jc w:val="left"/>
        <w:rPr>
          <w:snapToGrid w:val="0"/>
          <w:color w:val="auto"/>
          <w:spacing w:val="4"/>
          <w:kern w:val="0"/>
          <w:sz w:val="24"/>
          <w:szCs w:val="24"/>
          <w:highlight w:val="none"/>
        </w:rPr>
      </w:pPr>
      <w:r>
        <w:rPr>
          <w:rFonts w:hint="eastAsia"/>
          <w:color w:val="auto"/>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numPr>
          <w:ilvl w:val="0"/>
          <w:numId w:val="1"/>
        </w:numPr>
        <w:autoSpaceDE w:val="0"/>
        <w:autoSpaceDN w:val="0"/>
        <w:adjustRightInd w:val="0"/>
        <w:spacing w:line="360" w:lineRule="auto"/>
        <w:jc w:val="left"/>
        <w:rPr>
          <w:color w:val="auto"/>
          <w:sz w:val="24"/>
          <w:szCs w:val="28"/>
          <w:highlight w:val="none"/>
        </w:rPr>
      </w:pPr>
      <w:r>
        <w:rPr>
          <w:rFonts w:hint="eastAsia"/>
          <w:color w:val="auto"/>
          <w:sz w:val="24"/>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color w:val="auto"/>
          <w:sz w:val="24"/>
          <w:szCs w:val="36"/>
          <w:highlight w:val="none"/>
        </w:rPr>
        <w:t>√”标识。</w:t>
      </w:r>
    </w:p>
    <w:p>
      <w:pPr>
        <w:numPr>
          <w:ilvl w:val="0"/>
          <w:numId w:val="2"/>
        </w:numPr>
        <w:autoSpaceDE w:val="0"/>
        <w:autoSpaceDN w:val="0"/>
        <w:adjustRightInd w:val="0"/>
        <w:spacing w:line="360" w:lineRule="auto"/>
        <w:jc w:val="left"/>
        <w:rPr>
          <w:color w:val="auto"/>
          <w:sz w:val="24"/>
          <w:szCs w:val="36"/>
          <w:highlight w:val="none"/>
        </w:rPr>
      </w:pPr>
      <w:r>
        <w:rPr>
          <w:rFonts w:hint="eastAsia"/>
          <w:color w:val="auto"/>
          <w:sz w:val="24"/>
          <w:szCs w:val="28"/>
          <w:highlight w:val="none"/>
        </w:rPr>
        <w:t>投标单位同意建设单位在清单中标识的该项请在对应项打“</w:t>
      </w:r>
      <w:r>
        <w:rPr>
          <w:rFonts w:hint="eastAsia"/>
          <w:color w:val="auto"/>
          <w:sz w:val="24"/>
          <w:szCs w:val="36"/>
          <w:highlight w:val="none"/>
        </w:rPr>
        <w:t>√”标识，并与投标文件中提供相应的安全管理措施。</w:t>
      </w:r>
    </w:p>
    <w:p>
      <w:pPr>
        <w:numPr>
          <w:ilvl w:val="0"/>
          <w:numId w:val="2"/>
        </w:numPr>
        <w:autoSpaceDE w:val="0"/>
        <w:autoSpaceDN w:val="0"/>
        <w:adjustRightInd w:val="0"/>
        <w:spacing w:line="360" w:lineRule="auto"/>
        <w:jc w:val="left"/>
        <w:rPr>
          <w:color w:val="auto"/>
          <w:sz w:val="24"/>
          <w:szCs w:val="36"/>
          <w:highlight w:val="none"/>
        </w:rPr>
      </w:pPr>
      <w:r>
        <w:rPr>
          <w:rFonts w:hint="eastAsia"/>
          <w:color w:val="auto"/>
          <w:sz w:val="24"/>
          <w:szCs w:val="28"/>
          <w:highlight w:val="none"/>
        </w:rPr>
        <w:t>投标单位对清单中认为需要补充的该项请在对应项打“</w:t>
      </w:r>
      <w:r>
        <w:rPr>
          <w:rFonts w:hint="eastAsia"/>
          <w:color w:val="auto"/>
          <w:sz w:val="24"/>
          <w:szCs w:val="36"/>
          <w:highlight w:val="none"/>
        </w:rPr>
        <w:t>√”标识，并与投标文件中提供相应的安全管理措施。</w:t>
      </w:r>
    </w:p>
    <w:p>
      <w:pPr>
        <w:numPr>
          <w:ilvl w:val="0"/>
          <w:numId w:val="2"/>
        </w:numPr>
        <w:autoSpaceDE w:val="0"/>
        <w:autoSpaceDN w:val="0"/>
        <w:adjustRightInd w:val="0"/>
        <w:spacing w:line="360" w:lineRule="auto"/>
        <w:jc w:val="left"/>
        <w:rPr>
          <w:color w:val="auto"/>
          <w:sz w:val="24"/>
          <w:szCs w:val="28"/>
          <w:highlight w:val="none"/>
        </w:rPr>
      </w:pPr>
      <w:r>
        <w:rPr>
          <w:rFonts w:hint="eastAsia"/>
          <w:color w:val="auto"/>
          <w:sz w:val="24"/>
          <w:szCs w:val="36"/>
          <w:highlight w:val="none"/>
        </w:rPr>
        <w:t>投标单位不同意建设单位</w:t>
      </w:r>
      <w:r>
        <w:rPr>
          <w:rFonts w:hint="eastAsia"/>
          <w:color w:val="auto"/>
          <w:sz w:val="24"/>
          <w:szCs w:val="28"/>
          <w:highlight w:val="none"/>
        </w:rPr>
        <w:t>在清单中标识的该项</w:t>
      </w:r>
      <w:r>
        <w:rPr>
          <w:rFonts w:hint="eastAsia"/>
          <w:color w:val="auto"/>
          <w:sz w:val="24"/>
          <w:szCs w:val="36"/>
          <w:highlight w:val="none"/>
        </w:rPr>
        <w:t>请在对应项打“×”标识，并在备注栏填上相关说明。</w:t>
      </w:r>
    </w:p>
    <w:p>
      <w:pPr>
        <w:numPr>
          <w:ilvl w:val="0"/>
          <w:numId w:val="1"/>
        </w:numPr>
        <w:autoSpaceDE w:val="0"/>
        <w:autoSpaceDN w:val="0"/>
        <w:adjustRightInd w:val="0"/>
        <w:spacing w:line="360" w:lineRule="auto"/>
        <w:jc w:val="left"/>
        <w:rPr>
          <w:color w:val="auto"/>
          <w:sz w:val="24"/>
          <w:szCs w:val="28"/>
          <w:highlight w:val="none"/>
        </w:rPr>
      </w:pPr>
      <w:r>
        <w:rPr>
          <w:rFonts w:hint="eastAsia"/>
          <w:color w:val="auto"/>
          <w:sz w:val="24"/>
          <w:szCs w:val="28"/>
          <w:highlight w:val="none"/>
        </w:rPr>
        <w:t>投标单位应当在投标时根据招标人提供的下述第5点清单，在投标文件中编制专项施工方案。</w:t>
      </w:r>
    </w:p>
    <w:p>
      <w:pPr>
        <w:numPr>
          <w:ilvl w:val="0"/>
          <w:numId w:val="1"/>
        </w:numPr>
        <w:autoSpaceDE w:val="0"/>
        <w:autoSpaceDN w:val="0"/>
        <w:adjustRightInd w:val="0"/>
        <w:spacing w:line="360" w:lineRule="auto"/>
        <w:jc w:val="left"/>
        <w:rPr>
          <w:color w:val="auto"/>
          <w:sz w:val="24"/>
          <w:szCs w:val="28"/>
          <w:highlight w:val="none"/>
        </w:rPr>
      </w:pPr>
      <w:r>
        <w:rPr>
          <w:rFonts w:hint="eastAsia"/>
          <w:color w:val="auto"/>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0"/>
          <w:numId w:val="1"/>
        </w:numPr>
        <w:autoSpaceDE w:val="0"/>
        <w:autoSpaceDN w:val="0"/>
        <w:adjustRightInd w:val="0"/>
        <w:spacing w:line="360" w:lineRule="auto"/>
        <w:jc w:val="left"/>
        <w:rPr>
          <w:color w:val="auto"/>
          <w:sz w:val="24"/>
          <w:szCs w:val="28"/>
          <w:highlight w:val="none"/>
        </w:rPr>
      </w:pPr>
      <w:r>
        <w:rPr>
          <w:rFonts w:hint="eastAsia"/>
          <w:color w:val="auto"/>
          <w:sz w:val="24"/>
          <w:szCs w:val="28"/>
          <w:highlight w:val="none"/>
        </w:rPr>
        <w:t>危险性较大的分部分项工程清单及超过一定规模的危险性较大的分部分项工程清单（参考版）：</w:t>
      </w:r>
    </w:p>
    <w:tbl>
      <w:tblPr>
        <w:tblStyle w:val="20"/>
        <w:tblW w:w="48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2"/>
        <w:gridCol w:w="1404"/>
        <w:gridCol w:w="1404"/>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b/>
                <w:color w:val="auto"/>
                <w:highlight w:val="none"/>
              </w:rPr>
              <w:t>一、危险性较大的分部分项工程清单</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建设单位</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投标单位</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一、基坑支护</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（一）开挖深度超过3m</w:t>
            </w:r>
            <w:r>
              <w:rPr>
                <w:rFonts w:hint="eastAsia"/>
                <w:color w:val="auto"/>
                <w:highlight w:val="none"/>
              </w:rPr>
              <w:t>（含</w:t>
            </w:r>
            <w:r>
              <w:rPr>
                <w:rFonts w:hint="eastAsia" w:ascii="Times New Roman" w:hAnsi="Times New Roman"/>
                <w:color w:val="auto"/>
                <w:highlight w:val="none"/>
              </w:rPr>
              <w:t>3m</w:t>
            </w:r>
            <w:r>
              <w:rPr>
                <w:rFonts w:hint="eastAsia"/>
                <w:color w:val="auto"/>
                <w:highlight w:val="none"/>
              </w:rPr>
              <w:t>）的基坑（槽）的土方开挖、支护、降水工程。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（二）开挖深度虽未超过3m</w:t>
            </w:r>
            <w:r>
              <w:rPr>
                <w:rFonts w:hint="eastAsia"/>
                <w:color w:val="auto"/>
                <w:highlight w:val="none"/>
              </w:rPr>
              <w:t>，但地质条件、周围环境和地下管线复杂，或影响毗邻建、构筑物安全的基坑（槽）的土方开挖、支护、降水工程。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二、模板工程及支撑体系</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（一）各类工具式模板工程：包括滑模、爬模、飞模、隧道模等工程。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（二）混凝土模板支撑工程：搭设高度5m</w:t>
            </w:r>
            <w:r>
              <w:rPr>
                <w:rFonts w:hint="eastAsia"/>
                <w:color w:val="auto"/>
                <w:highlight w:val="none"/>
              </w:rPr>
              <w:t>及以上，或搭设跨度</w:t>
            </w:r>
            <w:r>
              <w:rPr>
                <w:rFonts w:hint="eastAsia" w:ascii="Times New Roman" w:hAnsi="Times New Roman"/>
                <w:color w:val="auto"/>
                <w:highlight w:val="none"/>
              </w:rPr>
              <w:t>10m</w:t>
            </w:r>
            <w:r>
              <w:rPr>
                <w:rFonts w:hint="eastAsia"/>
                <w:color w:val="auto"/>
                <w:highlight w:val="none"/>
              </w:rPr>
              <w:t>及以上，或施工总荷载（荷载效应基本组合的设计值，以下简称设计值）</w:t>
            </w:r>
            <w:r>
              <w:rPr>
                <w:rFonts w:hint="eastAsia" w:ascii="Times New Roman" w:hAnsi="Times New Roman"/>
                <w:color w:val="auto"/>
                <w:highlight w:val="none"/>
              </w:rPr>
              <w:t>10kN/m2</w:t>
            </w:r>
            <w:r>
              <w:rPr>
                <w:rFonts w:hint="eastAsia"/>
                <w:color w:val="auto"/>
                <w:highlight w:val="none"/>
              </w:rPr>
              <w:t>及以上，或集中线荷载（设计值）</w:t>
            </w:r>
            <w:r>
              <w:rPr>
                <w:rFonts w:hint="eastAsia" w:ascii="Times New Roman" w:hAnsi="Times New Roman"/>
                <w:color w:val="auto"/>
                <w:highlight w:val="none"/>
              </w:rPr>
              <w:t>15kN/m</w:t>
            </w:r>
            <w:r>
              <w:rPr>
                <w:rFonts w:hint="eastAsia"/>
                <w:color w:val="auto"/>
                <w:highlight w:val="none"/>
              </w:rPr>
              <w:t>及以上，或高度大于支撑水平投影宽度且相对独立无联系构件的混凝土模板支撑工程。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宋体"/>
                <w:color w:val="auto"/>
                <w:highlight w:val="none"/>
              </w:rPr>
            </w:pPr>
            <w:r>
              <w:rPr>
                <w:rFonts w:hint="eastAsia" w:ascii="Times New Roman" w:hAnsi="Times New Roman"/>
                <w:color w:val="auto"/>
                <w:highlight w:val="none"/>
              </w:rPr>
              <w:t>（三）承重支撑体系：用于钢结构安装等满堂支撑体系。</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宋体"/>
                <w:color w:val="auto"/>
                <w:highlight w:val="none"/>
              </w:rPr>
            </w:pPr>
            <w:r>
              <w:rPr>
                <w:rFonts w:hint="eastAsia" w:ascii="Times New Roman" w:hAnsi="Times New Roman"/>
                <w:color w:val="auto"/>
                <w:highlight w:val="none"/>
              </w:rPr>
              <w:t>三、起重吊装及起重机械安装拆卸工程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宋体"/>
                <w:color w:val="auto"/>
                <w:highlight w:val="none"/>
              </w:rPr>
            </w:pPr>
            <w:r>
              <w:rPr>
                <w:rFonts w:hint="eastAsia" w:ascii="Times New Roman" w:hAnsi="Times New Roman"/>
                <w:color w:val="auto"/>
                <w:highlight w:val="none"/>
              </w:rPr>
              <w:t>（一）采用非常规起重设备、方法，且单件起吊重量在10kN</w:t>
            </w:r>
            <w:r>
              <w:rPr>
                <w:rFonts w:hint="eastAsia"/>
                <w:color w:val="auto"/>
                <w:highlight w:val="none"/>
              </w:rPr>
              <w:t>及以上的起重吊装工程。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（二）采用起重机械进行安装的工程。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s="宋体"/>
                <w:color w:val="auto"/>
                <w:highlight w:val="none"/>
              </w:rPr>
            </w:pPr>
            <w:r>
              <w:rPr>
                <w:rFonts w:hint="eastAsia" w:ascii="Times New Roman" w:hAnsi="Times New Roman"/>
                <w:color w:val="auto"/>
                <w:highlight w:val="none"/>
              </w:rPr>
              <w:t>（三）起重机械安装和拆卸工程。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四、脚手架工程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（一）搭设高度24m</w:t>
            </w:r>
            <w:r>
              <w:rPr>
                <w:rFonts w:hint="eastAsia"/>
                <w:color w:val="auto"/>
                <w:highlight w:val="none"/>
              </w:rPr>
              <w:t>及以上的落地式钢管脚手架工程（包括采光井、电梯井脚手架）。</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（二）附着式升降脚手架工程。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（三）悬挑式脚手架工程。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（四）高处作业吊篮。</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（五）卸料平台、操作平台工程。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（六）异型脚手架工程。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五、拆除工程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可能影响行人、交通、电力设施、通讯设施或其它建、构筑物安全的拆除工程。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六、暗挖工程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采用矿山法、盾构法、顶管法施工的隧道、洞室工程。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七、其它</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（一）建筑幕墙安装工程。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（二）钢结构、网架和索膜结构安装工程。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（三）人工挖孔桩工程。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（四）水下作业工程。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（五）装配式建筑混凝土预制构件安装工程。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（六）采用新技术、新工艺、新材料、新设备可能影响工程施工安全，尚无国家、行业及地方技术标准的分部分项工程。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宋体"/>
                <w:b/>
                <w:color w:val="auto"/>
                <w:highlight w:val="none"/>
              </w:rPr>
            </w:pPr>
            <w:r>
              <w:rPr>
                <w:rFonts w:hint="eastAsia" w:ascii="Times New Roman" w:hAnsi="Times New Roman"/>
                <w:b/>
                <w:bCs/>
                <w:color w:val="auto"/>
                <w:highlight w:val="none"/>
              </w:rPr>
              <w:t>二、超过一定规模的危险性较大的分部分项工程清单</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一、深基坑工程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ind w:firstLine="480"/>
              <w:jc w:val="left"/>
              <w:rPr>
                <w:rFonts w:ascii="Times New Roman" w:hAnsi="Times New Roman"/>
                <w:color w:val="auto"/>
                <w:highlight w:val="none"/>
              </w:rPr>
            </w:pPr>
            <w:r>
              <w:rPr>
                <w:rFonts w:hint="eastAsia" w:ascii="Times New Roman" w:hAnsi="Times New Roman"/>
                <w:color w:val="auto"/>
                <w:highlight w:val="none"/>
              </w:rPr>
              <w:t>开挖深度超过5m</w:t>
            </w:r>
            <w:r>
              <w:rPr>
                <w:rFonts w:hint="eastAsia"/>
                <w:color w:val="auto"/>
                <w:highlight w:val="none"/>
              </w:rPr>
              <w:t>（含</w:t>
            </w:r>
            <w:r>
              <w:rPr>
                <w:rFonts w:hint="eastAsia" w:ascii="Times New Roman" w:hAnsi="Times New Roman"/>
                <w:color w:val="auto"/>
                <w:highlight w:val="none"/>
              </w:rPr>
              <w:t>5m</w:t>
            </w:r>
            <w:r>
              <w:rPr>
                <w:rFonts w:hint="eastAsia"/>
                <w:color w:val="auto"/>
                <w:highlight w:val="none"/>
              </w:rPr>
              <w:t>）的基坑（槽）的土方开挖、支护、降水工程。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ind w:firstLine="48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ind w:firstLine="480"/>
              <w:jc w:val="left"/>
              <w:rPr>
                <w:rFonts w:ascii="Times New Roman" w:hAnsi="Times New Roman"/>
                <w:color w:val="auto"/>
                <w:highlight w:val="none"/>
              </w:rPr>
            </w:pPr>
            <w:r>
              <w:rPr>
                <w:rFonts w:hint="eastAsia" w:ascii="Times New Roman" w:hAnsi="Times New Roman"/>
                <w:color w:val="auto"/>
                <w:highlight w:val="none"/>
              </w:rPr>
              <w:t>二、模板工程及支撑体系</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ind w:firstLine="48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ind w:firstLine="480"/>
              <w:jc w:val="left"/>
              <w:rPr>
                <w:rFonts w:ascii="Times New Roman" w:hAnsi="Times New Roman"/>
                <w:color w:val="auto"/>
                <w:highlight w:val="none"/>
              </w:rPr>
            </w:pPr>
            <w:r>
              <w:rPr>
                <w:rFonts w:hint="eastAsia" w:ascii="Times New Roman" w:hAnsi="Times New Roman"/>
                <w:color w:val="auto"/>
                <w:highlight w:val="none"/>
              </w:rPr>
              <w:t>（一）各类工具式模板工程：包括滑模、爬模、飞模、隧道模等工程。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ind w:firstLine="48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ind w:firstLine="480"/>
              <w:jc w:val="left"/>
              <w:rPr>
                <w:rFonts w:ascii="Times New Roman" w:hAnsi="Times New Roman"/>
                <w:color w:val="auto"/>
                <w:highlight w:val="none"/>
              </w:rPr>
            </w:pPr>
            <w:r>
              <w:rPr>
                <w:rFonts w:hint="eastAsia" w:ascii="Times New Roman" w:hAnsi="Times New Roman"/>
                <w:color w:val="auto"/>
                <w:highlight w:val="none"/>
              </w:rPr>
              <w:t>（二）混凝土模板支撑工程：搭设高度8m</w:t>
            </w:r>
            <w:r>
              <w:rPr>
                <w:rFonts w:hint="eastAsia"/>
                <w:color w:val="auto"/>
                <w:highlight w:val="none"/>
              </w:rPr>
              <w:t>及以上，或搭设跨度</w:t>
            </w:r>
            <w:r>
              <w:rPr>
                <w:rFonts w:hint="eastAsia" w:ascii="Times New Roman" w:hAnsi="Times New Roman"/>
                <w:color w:val="auto"/>
                <w:highlight w:val="none"/>
              </w:rPr>
              <w:t>18m</w:t>
            </w:r>
            <w:r>
              <w:rPr>
                <w:rFonts w:hint="eastAsia"/>
                <w:color w:val="auto"/>
                <w:highlight w:val="none"/>
              </w:rPr>
              <w:t>及以上，或施工总荷载（设计值）</w:t>
            </w:r>
            <w:r>
              <w:rPr>
                <w:rFonts w:hint="eastAsia" w:ascii="Times New Roman" w:hAnsi="Times New Roman"/>
                <w:color w:val="auto"/>
                <w:highlight w:val="none"/>
              </w:rPr>
              <w:t>15kN/m2</w:t>
            </w:r>
            <w:r>
              <w:rPr>
                <w:rFonts w:hint="eastAsia"/>
                <w:color w:val="auto"/>
                <w:highlight w:val="none"/>
              </w:rPr>
              <w:t>及以上，或集中线荷载（设计值）</w:t>
            </w:r>
            <w:r>
              <w:rPr>
                <w:rFonts w:hint="eastAsia" w:ascii="Times New Roman" w:hAnsi="Times New Roman"/>
                <w:color w:val="auto"/>
                <w:highlight w:val="none"/>
              </w:rPr>
              <w:t>20kN/m</w:t>
            </w:r>
            <w:r>
              <w:rPr>
                <w:rFonts w:hint="eastAsia"/>
                <w:color w:val="auto"/>
                <w:highlight w:val="none"/>
              </w:rPr>
              <w:t>及以上。</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（三）承重支撑体系：用于钢结构安装等满堂支撑体系，承受单点集中荷载7kN</w:t>
            </w:r>
            <w:r>
              <w:rPr>
                <w:rFonts w:hint="eastAsia"/>
                <w:color w:val="auto"/>
                <w:highlight w:val="none"/>
              </w:rPr>
              <w:t>及以上。</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三、起重吊装及起重机械安装拆卸工程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（一）采用非常规起重设备、方法，且单件起吊重量在100kN</w:t>
            </w:r>
            <w:r>
              <w:rPr>
                <w:rFonts w:hint="eastAsia"/>
                <w:color w:val="auto"/>
                <w:highlight w:val="none"/>
              </w:rPr>
              <w:t>及以上的起重吊装工程。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（二）起重量300kN</w:t>
            </w:r>
            <w:r>
              <w:rPr>
                <w:rFonts w:hint="eastAsia"/>
                <w:color w:val="auto"/>
                <w:highlight w:val="none"/>
              </w:rPr>
              <w:t>及以上，或搭设总高度</w:t>
            </w:r>
            <w:r>
              <w:rPr>
                <w:rFonts w:hint="eastAsia" w:ascii="Times New Roman" w:hAnsi="Times New Roman"/>
                <w:color w:val="auto"/>
                <w:highlight w:val="none"/>
              </w:rPr>
              <w:t>200m</w:t>
            </w:r>
            <w:r>
              <w:rPr>
                <w:rFonts w:hint="eastAsia"/>
                <w:color w:val="auto"/>
                <w:highlight w:val="none"/>
              </w:rPr>
              <w:t>及以上，或搭设基础标高在</w:t>
            </w:r>
            <w:r>
              <w:rPr>
                <w:rFonts w:hint="eastAsia" w:ascii="Times New Roman" w:hAnsi="Times New Roman"/>
                <w:color w:val="auto"/>
                <w:highlight w:val="none"/>
              </w:rPr>
              <w:t>200m</w:t>
            </w:r>
            <w:r>
              <w:rPr>
                <w:rFonts w:hint="eastAsia"/>
                <w:color w:val="auto"/>
                <w:highlight w:val="none"/>
              </w:rPr>
              <w:t>及以上的起重机械安装和拆卸工程。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四、脚手架工程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（一）搭设高度50m</w:t>
            </w:r>
            <w:r>
              <w:rPr>
                <w:rFonts w:hint="eastAsia"/>
                <w:color w:val="auto"/>
                <w:highlight w:val="none"/>
              </w:rPr>
              <w:t>及以上的落地式钢管脚手架工程。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（二）提升高度在150m</w:t>
            </w:r>
            <w:r>
              <w:rPr>
                <w:rFonts w:hint="eastAsia"/>
                <w:color w:val="auto"/>
                <w:highlight w:val="none"/>
              </w:rPr>
              <w:t>及以上的附着式升降脚手架工程或附着式升降操作平台工程。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（三）分段架体搭设高度20m</w:t>
            </w:r>
            <w:r>
              <w:rPr>
                <w:rFonts w:hint="eastAsia"/>
                <w:color w:val="auto"/>
                <w:highlight w:val="none"/>
              </w:rPr>
              <w:t>及以上的悬挑式脚手架工程。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五、拆除工程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（一）码头、桥梁、高架、烟囱、水塔或拆除中容易引起有毒有害气（液）体或粉尘扩散、易燃易爆事故发生的特殊建、构筑物的拆除工程。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（二）文物保护建筑、优秀历史建筑或历史文化风貌区影响范围内的拆除工程。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六、暗挖工程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采用矿山法、盾构法、顶管法施工的隧道、洞室工程。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七、其它</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（一）施工高度50m</w:t>
            </w:r>
            <w:r>
              <w:rPr>
                <w:rFonts w:hint="eastAsia"/>
                <w:color w:val="auto"/>
                <w:highlight w:val="none"/>
              </w:rPr>
              <w:t>及以上的建筑幕墙安装工程。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（二）跨度36m</w:t>
            </w:r>
            <w:r>
              <w:rPr>
                <w:rFonts w:hint="eastAsia"/>
                <w:color w:val="auto"/>
                <w:highlight w:val="none"/>
              </w:rPr>
              <w:t>及以上的钢结构安装工程，或跨度</w:t>
            </w:r>
            <w:r>
              <w:rPr>
                <w:rFonts w:hint="eastAsia" w:ascii="Times New Roman" w:hAnsi="Times New Roman"/>
                <w:color w:val="auto"/>
                <w:highlight w:val="none"/>
              </w:rPr>
              <w:t>60m</w:t>
            </w:r>
            <w:r>
              <w:rPr>
                <w:rFonts w:hint="eastAsia"/>
                <w:color w:val="auto"/>
                <w:highlight w:val="none"/>
              </w:rPr>
              <w:t>及以上的网架和索膜结构安装工程。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（三）开挖深度16m</w:t>
            </w:r>
            <w:r>
              <w:rPr>
                <w:rFonts w:hint="eastAsia"/>
                <w:color w:val="auto"/>
                <w:highlight w:val="none"/>
              </w:rPr>
              <w:t>及以上的人工挖孔桩工程。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（四）水下作业工程。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（五）重量1000kN</w:t>
            </w:r>
            <w:r>
              <w:rPr>
                <w:rFonts w:hint="eastAsia"/>
                <w:color w:val="auto"/>
                <w:highlight w:val="none"/>
              </w:rPr>
              <w:t>及以上的大型结构整体顶升、平移、转体等施工工艺。</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auto"/>
                <w:highlight w:val="none"/>
              </w:rPr>
            </w:pPr>
            <w:r>
              <w:rPr>
                <w:rFonts w:hint="eastAsia" w:ascii="Times New Roman" w:hAnsi="Times New Roman"/>
                <w:color w:val="auto"/>
                <w:highlight w:val="none"/>
              </w:rPr>
              <w:t>（六）采用新技术、新工艺、新材料、新设备可能影响工程施工安全，尚无国家、行业及地方技术标准的分部分项工程。</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815"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highlight w:val="none"/>
              </w:rPr>
            </w:pPr>
          </w:p>
        </w:tc>
      </w:tr>
    </w:tbl>
    <w:p>
      <w:pPr>
        <w:topLinePunct/>
        <w:adjustRightInd w:val="0"/>
        <w:snapToGrid w:val="0"/>
        <w:spacing w:line="360" w:lineRule="auto"/>
        <w:ind w:firstLine="496" w:firstLineChars="200"/>
        <w:rPr>
          <w:color w:val="auto"/>
          <w:spacing w:val="4"/>
          <w:kern w:val="0"/>
          <w:sz w:val="24"/>
          <w:szCs w:val="24"/>
          <w:highlight w:val="none"/>
        </w:rPr>
      </w:pPr>
    </w:p>
    <w:p>
      <w:pPr>
        <w:topLinePunct/>
        <w:adjustRightInd w:val="0"/>
        <w:snapToGrid w:val="0"/>
        <w:spacing w:line="360" w:lineRule="auto"/>
        <w:ind w:firstLine="691" w:firstLineChars="279"/>
        <w:rPr>
          <w:rFonts w:cs="宋体"/>
          <w:snapToGrid w:val="0"/>
          <w:color w:val="auto"/>
          <w:spacing w:val="4"/>
          <w:kern w:val="0"/>
          <w:sz w:val="24"/>
          <w:szCs w:val="24"/>
          <w:highlight w:val="none"/>
        </w:rPr>
      </w:pPr>
      <w:r>
        <w:rPr>
          <w:rFonts w:hint="eastAsia" w:cs="宋体"/>
          <w:snapToGrid w:val="0"/>
          <w:color w:val="auto"/>
          <w:spacing w:val="4"/>
          <w:kern w:val="0"/>
          <w:sz w:val="24"/>
          <w:szCs w:val="24"/>
          <w:highlight w:val="none"/>
        </w:rPr>
        <w:t>投 标 人：    （盖章）</w:t>
      </w:r>
    </w:p>
    <w:p>
      <w:pPr>
        <w:topLinePunct/>
        <w:adjustRightInd w:val="0"/>
        <w:snapToGrid w:val="0"/>
        <w:spacing w:line="360" w:lineRule="auto"/>
        <w:ind w:firstLine="691" w:firstLineChars="279"/>
        <w:rPr>
          <w:rFonts w:cs="宋体"/>
          <w:snapToGrid w:val="0"/>
          <w:color w:val="auto"/>
          <w:spacing w:val="4"/>
          <w:kern w:val="0"/>
          <w:sz w:val="24"/>
          <w:szCs w:val="24"/>
          <w:highlight w:val="none"/>
        </w:rPr>
      </w:pPr>
      <w:r>
        <w:rPr>
          <w:rFonts w:hint="eastAsia" w:cs="宋体"/>
          <w:snapToGrid w:val="0"/>
          <w:color w:val="auto"/>
          <w:spacing w:val="4"/>
          <w:kern w:val="0"/>
          <w:sz w:val="24"/>
          <w:szCs w:val="24"/>
          <w:highlight w:val="none"/>
        </w:rPr>
        <w:t>法定代表人或授权代理人（签字或盖章）：</w:t>
      </w:r>
    </w:p>
    <w:p>
      <w:pPr>
        <w:autoSpaceDE w:val="0"/>
        <w:autoSpaceDN w:val="0"/>
        <w:adjustRightInd w:val="0"/>
        <w:spacing w:line="360" w:lineRule="auto"/>
        <w:ind w:firstLine="691" w:firstLineChars="279"/>
        <w:rPr>
          <w:color w:val="auto"/>
          <w:highlight w:val="none"/>
        </w:rPr>
      </w:pPr>
      <w:r>
        <w:rPr>
          <w:rFonts w:hint="eastAsia" w:cs="宋体"/>
          <w:snapToGrid w:val="0"/>
          <w:color w:val="auto"/>
          <w:spacing w:val="4"/>
          <w:kern w:val="0"/>
          <w:sz w:val="24"/>
          <w:szCs w:val="24"/>
          <w:highlight w:val="none"/>
        </w:rPr>
        <w:t>日    期：    年    月    日</w:t>
      </w:r>
    </w:p>
    <w:p>
      <w:pPr>
        <w:widowControl/>
        <w:jc w:val="left"/>
        <w:rPr>
          <w:color w:val="auto"/>
          <w:highlight w:val="none"/>
        </w:rPr>
      </w:pPr>
    </w:p>
    <w:p>
      <w:pPr>
        <w:pStyle w:val="7"/>
        <w:rPr>
          <w:color w:val="auto"/>
          <w:highlight w:val="none"/>
        </w:rPr>
      </w:pPr>
      <w:r>
        <w:rPr>
          <w:rFonts w:hint="eastAsia"/>
          <w:color w:val="auto"/>
          <w:highlight w:val="none"/>
        </w:rPr>
        <w:br w:type="page"/>
      </w:r>
      <w:bookmarkStart w:id="20" w:name="_Toc24068"/>
      <w:r>
        <w:rPr>
          <w:rFonts w:hint="eastAsia"/>
          <w:color w:val="auto"/>
          <w:highlight w:val="none"/>
        </w:rPr>
        <w:t>格式三：</w:t>
      </w:r>
      <w:bookmarkEnd w:id="20"/>
    </w:p>
    <w:p>
      <w:pPr>
        <w:jc w:val="center"/>
        <w:rPr>
          <w:b/>
          <w:color w:val="auto"/>
          <w:sz w:val="36"/>
          <w:szCs w:val="36"/>
          <w:highlight w:val="none"/>
        </w:rPr>
      </w:pPr>
      <w:r>
        <w:rPr>
          <w:rFonts w:hint="eastAsia"/>
          <w:b/>
          <w:color w:val="auto"/>
          <w:sz w:val="36"/>
          <w:szCs w:val="36"/>
          <w:highlight w:val="none"/>
        </w:rPr>
        <w:t>参与编制技术标投标文件人员名单</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427"/>
        <w:gridCol w:w="2444"/>
        <w:gridCol w:w="2343"/>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r>
              <w:rPr>
                <w:rFonts w:hint="eastAsia" w:cs="宋体"/>
                <w:color w:val="auto"/>
                <w:szCs w:val="21"/>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2"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r>
              <w:rPr>
                <w:rFonts w:hint="eastAsia" w:cs="宋体"/>
                <w:color w:val="auto"/>
                <w:szCs w:val="21"/>
                <w:highlight w:val="none"/>
              </w:rPr>
              <w:t>姓名</w:t>
            </w:r>
          </w:p>
        </w:tc>
        <w:tc>
          <w:tcPr>
            <w:tcW w:w="806"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r>
              <w:rPr>
                <w:rFonts w:hint="eastAsia" w:cs="宋体"/>
                <w:color w:val="auto"/>
                <w:szCs w:val="21"/>
                <w:highlight w:val="none"/>
              </w:rPr>
              <w:t>职务</w:t>
            </w:r>
          </w:p>
        </w:tc>
        <w:tc>
          <w:tcPr>
            <w:tcW w:w="1381"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r>
              <w:rPr>
                <w:rFonts w:hint="eastAsia" w:cs="宋体"/>
                <w:color w:val="auto"/>
                <w:szCs w:val="21"/>
                <w:highlight w:val="none"/>
              </w:rPr>
              <w:t>所承担工作</w:t>
            </w:r>
          </w:p>
        </w:tc>
        <w:tc>
          <w:tcPr>
            <w:tcW w:w="132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r>
              <w:rPr>
                <w:rFonts w:hint="eastAsia" w:cs="宋体"/>
                <w:color w:val="auto"/>
                <w:szCs w:val="21"/>
                <w:highlight w:val="none"/>
              </w:rPr>
              <w:t>身份证号码</w:t>
            </w:r>
          </w:p>
        </w:tc>
        <w:tc>
          <w:tcPr>
            <w:tcW w:w="7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r>
              <w:rPr>
                <w:rFonts w:hint="eastAsia"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2"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2"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2"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bl>
    <w:p>
      <w:pPr>
        <w:autoSpaceDE w:val="0"/>
        <w:autoSpaceDN w:val="0"/>
        <w:adjustRightInd w:val="0"/>
        <w:spacing w:line="360" w:lineRule="auto"/>
        <w:rPr>
          <w:rFonts w:cs="宋体"/>
          <w:bCs/>
          <w:color w:val="auto"/>
          <w:sz w:val="24"/>
          <w:szCs w:val="24"/>
          <w:highlight w:val="none"/>
        </w:rPr>
      </w:pPr>
      <w:r>
        <w:rPr>
          <w:rFonts w:hint="eastAsia" w:cs="宋体"/>
          <w:color w:val="auto"/>
          <w:sz w:val="24"/>
          <w:szCs w:val="24"/>
          <w:highlight w:val="none"/>
        </w:rPr>
        <w:t>注：参与编制技术标书所有人员名单应包括如编制技术投标方案、负责清样校对、负责打印及复印等所有人员在内的人员名单。</w:t>
      </w:r>
    </w:p>
    <w:p>
      <w:pPr>
        <w:rPr>
          <w:color w:val="auto"/>
          <w:highlight w:val="none"/>
        </w:rPr>
      </w:pPr>
    </w:p>
    <w:p>
      <w:pPr>
        <w:widowControl/>
        <w:jc w:val="left"/>
        <w:rPr>
          <w:color w:val="auto"/>
          <w:highlight w:val="none"/>
        </w:rPr>
      </w:pPr>
      <w:r>
        <w:rPr>
          <w:color w:val="auto"/>
          <w:highlight w:val="none"/>
        </w:rPr>
        <w:br w:type="page"/>
      </w:r>
    </w:p>
    <w:p>
      <w:pPr>
        <w:pStyle w:val="25"/>
        <w:spacing w:before="120" w:line="360" w:lineRule="auto"/>
        <w:outlineLvl w:val="0"/>
        <w:rPr>
          <w:rFonts w:eastAsia="宋体"/>
          <w:color w:val="auto"/>
          <w:highlight w:val="none"/>
        </w:rPr>
      </w:pPr>
      <w:bookmarkStart w:id="21" w:name="_Toc21956"/>
      <w:r>
        <w:rPr>
          <w:rFonts w:hint="eastAsia" w:eastAsia="宋体"/>
          <w:color w:val="auto"/>
          <w:highlight w:val="none"/>
        </w:rPr>
        <w:t>二、经济标投标文件格式</w:t>
      </w:r>
      <w:bookmarkEnd w:id="21"/>
    </w:p>
    <w:p>
      <w:pPr>
        <w:pStyle w:val="7"/>
        <w:rPr>
          <w:rFonts w:cs="宋体"/>
          <w:b/>
          <w:bCs/>
          <w:color w:val="auto"/>
          <w:sz w:val="44"/>
          <w:szCs w:val="44"/>
          <w:highlight w:val="none"/>
          <w:lang w:val="zh-CN"/>
        </w:rPr>
      </w:pPr>
      <w:bookmarkStart w:id="22" w:name="_Toc26958"/>
      <w:r>
        <w:rPr>
          <w:rFonts w:hint="eastAsia"/>
          <w:snapToGrid w:val="0"/>
          <w:color w:val="auto"/>
          <w:highlight w:val="none"/>
        </w:rPr>
        <w:t>格式四：</w:t>
      </w:r>
      <w:bookmarkEnd w:id="22"/>
    </w:p>
    <w:p>
      <w:pPr>
        <w:jc w:val="center"/>
        <w:rPr>
          <w:b/>
          <w:color w:val="auto"/>
          <w:sz w:val="36"/>
          <w:szCs w:val="36"/>
          <w:highlight w:val="none"/>
        </w:rPr>
      </w:pPr>
      <w:r>
        <w:rPr>
          <w:rFonts w:hint="eastAsia"/>
          <w:b/>
          <w:color w:val="auto"/>
          <w:sz w:val="36"/>
          <w:szCs w:val="36"/>
          <w:highlight w:val="none"/>
        </w:rPr>
        <w:t>广州建设工程施工招标投标书（经济标）</w:t>
      </w:r>
    </w:p>
    <w:tbl>
      <w:tblPr>
        <w:tblStyle w:val="20"/>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r>
              <w:rPr>
                <w:rFonts w:hint="eastAsia" w:cs="宋体"/>
                <w:color w:val="auto"/>
                <w:sz w:val="24"/>
                <w:szCs w:val="24"/>
                <w:highlight w:val="none"/>
                <w:lang w:val="zh-CN"/>
              </w:rPr>
              <w:t>工程名称</w:t>
            </w:r>
          </w:p>
        </w:tc>
        <w:tc>
          <w:tcPr>
            <w:tcW w:w="6045"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r>
              <w:rPr>
                <w:rFonts w:hint="eastAsia" w:cs="宋体"/>
                <w:color w:val="auto"/>
                <w:sz w:val="24"/>
                <w:szCs w:val="24"/>
                <w:highlight w:val="none"/>
                <w:lang w:val="zh-CN"/>
              </w:rPr>
              <w:t>投标总报价（元）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r>
              <w:rPr>
                <w:rFonts w:hint="eastAsia" w:cs="宋体"/>
                <w:color w:val="auto"/>
                <w:sz w:val="24"/>
                <w:szCs w:val="24"/>
                <w:highlight w:val="none"/>
                <w:lang w:val="zh-CN"/>
              </w:rPr>
              <w:t>其中：</w:t>
            </w:r>
            <w:r>
              <w:rPr>
                <w:rFonts w:hint="eastAsia" w:cs="宋体"/>
                <w:bCs/>
                <w:color w:val="auto"/>
                <w:sz w:val="24"/>
                <w:szCs w:val="24"/>
                <w:highlight w:val="none"/>
                <w:lang w:val="zh-CN"/>
              </w:rPr>
              <w:t>人工费</w:t>
            </w:r>
            <w:r>
              <w:rPr>
                <w:rFonts w:hint="eastAsia"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top w:val="single" w:color="auto" w:sz="4" w:space="0"/>
              <w:left w:val="single" w:color="auto" w:sz="4" w:space="0"/>
              <w:right w:val="single" w:color="auto" w:sz="4" w:space="0"/>
            </w:tcBorders>
            <w:vAlign w:val="center"/>
          </w:tcPr>
          <w:p>
            <w:pPr>
              <w:widowControl/>
              <w:jc w:val="left"/>
              <w:rPr>
                <w:rFonts w:cs="宋体"/>
                <w:b/>
                <w:color w:val="auto"/>
                <w:sz w:val="24"/>
                <w:szCs w:val="24"/>
                <w:highlight w:val="none"/>
                <w:lang w:val="zh-CN"/>
              </w:rPr>
            </w:pPr>
            <w:r>
              <w:rPr>
                <w:rFonts w:hint="eastAsia" w:cs="宋体"/>
                <w:bCs/>
                <w:color w:val="auto"/>
                <w:sz w:val="24"/>
                <w:szCs w:val="24"/>
                <w:highlight w:val="none"/>
                <w:lang w:val="zh-CN"/>
              </w:rPr>
              <w:t>其中：</w:t>
            </w:r>
            <w:r>
              <w:rPr>
                <w:rFonts w:hint="eastAsia" w:cs="宋体"/>
                <w:color w:val="auto"/>
                <w:sz w:val="24"/>
                <w:szCs w:val="24"/>
                <w:highlight w:val="none"/>
                <w:lang w:val="zh-CN"/>
              </w:rPr>
              <w:t>绿色施工安全防护措施费（元）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vAlign w:val="center"/>
          </w:tcPr>
          <w:p>
            <w:pPr>
              <w:widowControl/>
              <w:jc w:val="left"/>
              <w:rPr>
                <w:rFonts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left w:val="single" w:color="auto" w:sz="4" w:space="0"/>
              <w:right w:val="single" w:color="auto" w:sz="4" w:space="0"/>
            </w:tcBorders>
            <w:vAlign w:val="center"/>
          </w:tcPr>
          <w:p>
            <w:pPr>
              <w:widowControl/>
              <w:jc w:val="left"/>
              <w:rPr>
                <w:rFonts w:cs="宋体"/>
                <w:bCs/>
                <w:color w:val="auto"/>
                <w:sz w:val="24"/>
                <w:szCs w:val="24"/>
                <w:highlight w:val="none"/>
                <w:lang w:val="zh-CN"/>
              </w:rPr>
            </w:pPr>
            <w:r>
              <w:rPr>
                <w:rFonts w:hint="eastAsia" w:cs="宋体"/>
                <w:bCs/>
                <w:color w:val="auto"/>
                <w:sz w:val="24"/>
                <w:szCs w:val="24"/>
                <w:highlight w:val="none"/>
                <w:lang w:val="zh-CN"/>
              </w:rPr>
              <w:t>其中： 暂列金额</w:t>
            </w:r>
            <w:r>
              <w:rPr>
                <w:rFonts w:hint="eastAsia"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vAlign w:val="center"/>
          </w:tcPr>
          <w:p>
            <w:pPr>
              <w:widowControl/>
              <w:jc w:val="left"/>
              <w:rPr>
                <w:rFonts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tcBorders>
              <w:left w:val="single" w:color="auto" w:sz="4" w:space="0"/>
              <w:right w:val="single" w:color="auto" w:sz="4" w:space="0"/>
            </w:tcBorders>
            <w:vAlign w:val="center"/>
          </w:tcPr>
          <w:p>
            <w:pPr>
              <w:widowControl/>
              <w:autoSpaceDE w:val="0"/>
              <w:autoSpaceDN w:val="0"/>
              <w:adjustRightInd w:val="0"/>
              <w:jc w:val="center"/>
              <w:rPr>
                <w:rFonts w:cs="宋体"/>
                <w:bCs/>
                <w:color w:val="auto"/>
                <w:sz w:val="24"/>
                <w:szCs w:val="24"/>
                <w:highlight w:val="none"/>
                <w:lang w:val="zh-CN"/>
              </w:rPr>
            </w:pPr>
            <w:r>
              <w:rPr>
                <w:rFonts w:hint="eastAsia" w:cs="宋体"/>
                <w:b/>
                <w:color w:val="auto"/>
                <w:sz w:val="24"/>
                <w:szCs w:val="24"/>
                <w:highlight w:val="none"/>
                <w:lang w:val="zh-CN"/>
              </w:rPr>
              <w:t>投标总报价相对于最高投标限价的下浮率（</w:t>
            </w:r>
            <w:r>
              <w:rPr>
                <w:rFonts w:hint="eastAsia" w:cs="宋体"/>
                <w:b/>
                <w:color w:val="auto"/>
                <w:sz w:val="24"/>
                <w:szCs w:val="24"/>
                <w:highlight w:val="none"/>
                <w:lang w:val="en-US" w:eastAsia="zh-CN"/>
              </w:rPr>
              <w:t>%</w:t>
            </w:r>
            <w:r>
              <w:rPr>
                <w:rFonts w:hint="eastAsia" w:cs="宋体"/>
                <w:b/>
                <w:color w:val="auto"/>
                <w:sz w:val="24"/>
                <w:szCs w:val="24"/>
                <w:highlight w:val="none"/>
                <w:lang w:val="zh-CN"/>
              </w:rPr>
              <w:t>）</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color w:val="auto"/>
                <w:sz w:val="24"/>
                <w:szCs w:val="24"/>
                <w:highlight w:val="none"/>
              </w:rPr>
            </w:pPr>
          </w:p>
        </w:tc>
      </w:tr>
    </w:tbl>
    <w:p>
      <w:pPr>
        <w:autoSpaceDE w:val="0"/>
        <w:autoSpaceDN w:val="0"/>
        <w:adjustRightInd w:val="0"/>
        <w:jc w:val="left"/>
        <w:rPr>
          <w:rFonts w:cs="宋体"/>
          <w:b/>
          <w:color w:val="auto"/>
          <w:sz w:val="24"/>
          <w:szCs w:val="24"/>
          <w:highlight w:val="none"/>
          <w:lang w:val="zh-CN"/>
        </w:rPr>
      </w:pPr>
      <w:r>
        <w:rPr>
          <w:color w:val="auto"/>
          <w:highlight w:val="none"/>
        </w:rPr>
        <w:br w:type="page"/>
      </w:r>
    </w:p>
    <w:p>
      <w:pPr>
        <w:pStyle w:val="7"/>
        <w:rPr>
          <w:bCs/>
          <w:color w:val="auto"/>
          <w:highlight w:val="none"/>
        </w:rPr>
      </w:pPr>
      <w:bookmarkStart w:id="23" w:name="_Toc15489"/>
      <w:r>
        <w:rPr>
          <w:rFonts w:hint="eastAsia"/>
          <w:snapToGrid w:val="0"/>
          <w:color w:val="auto"/>
          <w:highlight w:val="none"/>
        </w:rPr>
        <w:t>格式五：</w:t>
      </w:r>
      <w:bookmarkEnd w:id="23"/>
    </w:p>
    <w:p>
      <w:pPr>
        <w:jc w:val="center"/>
        <w:rPr>
          <w:b/>
          <w:color w:val="auto"/>
          <w:sz w:val="36"/>
          <w:szCs w:val="36"/>
          <w:highlight w:val="none"/>
        </w:rPr>
      </w:pPr>
      <w:r>
        <w:rPr>
          <w:rFonts w:hint="eastAsia"/>
          <w:b/>
          <w:color w:val="auto"/>
          <w:sz w:val="36"/>
          <w:szCs w:val="36"/>
          <w:highlight w:val="none"/>
        </w:rPr>
        <w:t>参与编制经济标投标文件人员名单</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428"/>
        <w:gridCol w:w="2441"/>
        <w:gridCol w:w="23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4" w:type="pct"/>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姓名</w:t>
            </w:r>
          </w:p>
        </w:tc>
        <w:tc>
          <w:tcPr>
            <w:tcW w:w="807" w:type="pct"/>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职务</w:t>
            </w:r>
          </w:p>
        </w:tc>
        <w:tc>
          <w:tcPr>
            <w:tcW w:w="1379" w:type="pct"/>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所承担工作</w:t>
            </w:r>
          </w:p>
        </w:tc>
        <w:tc>
          <w:tcPr>
            <w:tcW w:w="1322" w:type="pct"/>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身份证号码</w:t>
            </w:r>
          </w:p>
        </w:tc>
        <w:tc>
          <w:tcPr>
            <w:tcW w:w="796" w:type="pct"/>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4" w:type="pct"/>
            <w:vAlign w:val="center"/>
          </w:tcPr>
          <w:p>
            <w:pPr>
              <w:tabs>
                <w:tab w:val="left" w:pos="720"/>
              </w:tabs>
              <w:snapToGrid w:val="0"/>
              <w:spacing w:line="360" w:lineRule="auto"/>
              <w:jc w:val="center"/>
              <w:rPr>
                <w:color w:val="auto"/>
                <w:sz w:val="24"/>
                <w:szCs w:val="24"/>
                <w:highlight w:val="none"/>
              </w:rPr>
            </w:pPr>
          </w:p>
        </w:tc>
        <w:tc>
          <w:tcPr>
            <w:tcW w:w="807" w:type="pct"/>
            <w:vAlign w:val="center"/>
          </w:tcPr>
          <w:p>
            <w:pPr>
              <w:tabs>
                <w:tab w:val="left" w:pos="720"/>
              </w:tabs>
              <w:snapToGrid w:val="0"/>
              <w:spacing w:line="360" w:lineRule="auto"/>
              <w:jc w:val="center"/>
              <w:rPr>
                <w:color w:val="auto"/>
                <w:sz w:val="24"/>
                <w:szCs w:val="24"/>
                <w:highlight w:val="none"/>
              </w:rPr>
            </w:pPr>
          </w:p>
        </w:tc>
        <w:tc>
          <w:tcPr>
            <w:tcW w:w="1379" w:type="pct"/>
            <w:vAlign w:val="center"/>
          </w:tcPr>
          <w:p>
            <w:pPr>
              <w:tabs>
                <w:tab w:val="left" w:pos="720"/>
              </w:tabs>
              <w:snapToGrid w:val="0"/>
              <w:spacing w:line="360" w:lineRule="auto"/>
              <w:jc w:val="center"/>
              <w:rPr>
                <w:color w:val="auto"/>
                <w:sz w:val="24"/>
                <w:szCs w:val="24"/>
                <w:highlight w:val="none"/>
              </w:rPr>
            </w:pPr>
          </w:p>
        </w:tc>
        <w:tc>
          <w:tcPr>
            <w:tcW w:w="1322" w:type="pct"/>
            <w:vAlign w:val="center"/>
          </w:tcPr>
          <w:p>
            <w:pPr>
              <w:tabs>
                <w:tab w:val="left" w:pos="720"/>
              </w:tabs>
              <w:snapToGrid w:val="0"/>
              <w:spacing w:line="360" w:lineRule="auto"/>
              <w:jc w:val="center"/>
              <w:rPr>
                <w:color w:val="auto"/>
                <w:sz w:val="24"/>
                <w:szCs w:val="24"/>
                <w:highlight w:val="none"/>
              </w:rPr>
            </w:pPr>
          </w:p>
        </w:tc>
        <w:tc>
          <w:tcPr>
            <w:tcW w:w="796" w:type="pct"/>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pPr>
              <w:tabs>
                <w:tab w:val="left" w:pos="720"/>
              </w:tabs>
              <w:snapToGrid w:val="0"/>
              <w:spacing w:line="360" w:lineRule="auto"/>
              <w:jc w:val="center"/>
              <w:rPr>
                <w:color w:val="auto"/>
                <w:sz w:val="24"/>
                <w:szCs w:val="24"/>
                <w:highlight w:val="none"/>
              </w:rPr>
            </w:pPr>
          </w:p>
        </w:tc>
        <w:tc>
          <w:tcPr>
            <w:tcW w:w="807" w:type="pct"/>
            <w:vAlign w:val="center"/>
          </w:tcPr>
          <w:p>
            <w:pPr>
              <w:tabs>
                <w:tab w:val="left" w:pos="720"/>
              </w:tabs>
              <w:snapToGrid w:val="0"/>
              <w:spacing w:line="360" w:lineRule="auto"/>
              <w:jc w:val="center"/>
              <w:rPr>
                <w:color w:val="auto"/>
                <w:sz w:val="24"/>
                <w:szCs w:val="24"/>
                <w:highlight w:val="none"/>
              </w:rPr>
            </w:pPr>
          </w:p>
        </w:tc>
        <w:tc>
          <w:tcPr>
            <w:tcW w:w="1379" w:type="pct"/>
            <w:vAlign w:val="center"/>
          </w:tcPr>
          <w:p>
            <w:pPr>
              <w:tabs>
                <w:tab w:val="left" w:pos="720"/>
              </w:tabs>
              <w:snapToGrid w:val="0"/>
              <w:spacing w:line="360" w:lineRule="auto"/>
              <w:jc w:val="center"/>
              <w:rPr>
                <w:color w:val="auto"/>
                <w:sz w:val="24"/>
                <w:szCs w:val="24"/>
                <w:highlight w:val="none"/>
              </w:rPr>
            </w:pPr>
          </w:p>
        </w:tc>
        <w:tc>
          <w:tcPr>
            <w:tcW w:w="1322" w:type="pct"/>
            <w:vAlign w:val="center"/>
          </w:tcPr>
          <w:p>
            <w:pPr>
              <w:tabs>
                <w:tab w:val="left" w:pos="720"/>
              </w:tabs>
              <w:snapToGrid w:val="0"/>
              <w:spacing w:line="360" w:lineRule="auto"/>
              <w:jc w:val="center"/>
              <w:rPr>
                <w:color w:val="auto"/>
                <w:sz w:val="24"/>
                <w:szCs w:val="24"/>
                <w:highlight w:val="none"/>
              </w:rPr>
            </w:pPr>
          </w:p>
        </w:tc>
        <w:tc>
          <w:tcPr>
            <w:tcW w:w="796" w:type="pct"/>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pPr>
              <w:tabs>
                <w:tab w:val="left" w:pos="720"/>
              </w:tabs>
              <w:snapToGrid w:val="0"/>
              <w:spacing w:line="360" w:lineRule="auto"/>
              <w:jc w:val="center"/>
              <w:rPr>
                <w:color w:val="auto"/>
                <w:sz w:val="24"/>
                <w:szCs w:val="24"/>
                <w:highlight w:val="none"/>
              </w:rPr>
            </w:pPr>
          </w:p>
        </w:tc>
        <w:tc>
          <w:tcPr>
            <w:tcW w:w="807" w:type="pct"/>
            <w:vAlign w:val="center"/>
          </w:tcPr>
          <w:p>
            <w:pPr>
              <w:tabs>
                <w:tab w:val="left" w:pos="720"/>
              </w:tabs>
              <w:snapToGrid w:val="0"/>
              <w:spacing w:line="360" w:lineRule="auto"/>
              <w:jc w:val="center"/>
              <w:rPr>
                <w:color w:val="auto"/>
                <w:sz w:val="24"/>
                <w:szCs w:val="24"/>
                <w:highlight w:val="none"/>
              </w:rPr>
            </w:pPr>
          </w:p>
        </w:tc>
        <w:tc>
          <w:tcPr>
            <w:tcW w:w="1379" w:type="pct"/>
            <w:vAlign w:val="center"/>
          </w:tcPr>
          <w:p>
            <w:pPr>
              <w:tabs>
                <w:tab w:val="left" w:pos="720"/>
              </w:tabs>
              <w:snapToGrid w:val="0"/>
              <w:spacing w:line="360" w:lineRule="auto"/>
              <w:jc w:val="center"/>
              <w:rPr>
                <w:color w:val="auto"/>
                <w:sz w:val="24"/>
                <w:szCs w:val="24"/>
                <w:highlight w:val="none"/>
              </w:rPr>
            </w:pPr>
          </w:p>
        </w:tc>
        <w:tc>
          <w:tcPr>
            <w:tcW w:w="1322" w:type="pct"/>
            <w:vAlign w:val="center"/>
          </w:tcPr>
          <w:p>
            <w:pPr>
              <w:tabs>
                <w:tab w:val="left" w:pos="720"/>
              </w:tabs>
              <w:snapToGrid w:val="0"/>
              <w:spacing w:line="360" w:lineRule="auto"/>
              <w:jc w:val="center"/>
              <w:rPr>
                <w:color w:val="auto"/>
                <w:sz w:val="24"/>
                <w:szCs w:val="24"/>
                <w:highlight w:val="none"/>
              </w:rPr>
            </w:pPr>
          </w:p>
        </w:tc>
        <w:tc>
          <w:tcPr>
            <w:tcW w:w="796" w:type="pct"/>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pPr>
              <w:tabs>
                <w:tab w:val="left" w:pos="720"/>
              </w:tabs>
              <w:snapToGrid w:val="0"/>
              <w:spacing w:line="360" w:lineRule="auto"/>
              <w:jc w:val="center"/>
              <w:rPr>
                <w:color w:val="auto"/>
                <w:sz w:val="24"/>
                <w:szCs w:val="24"/>
                <w:highlight w:val="none"/>
              </w:rPr>
            </w:pPr>
          </w:p>
        </w:tc>
        <w:tc>
          <w:tcPr>
            <w:tcW w:w="807" w:type="pct"/>
            <w:vAlign w:val="center"/>
          </w:tcPr>
          <w:p>
            <w:pPr>
              <w:tabs>
                <w:tab w:val="left" w:pos="720"/>
              </w:tabs>
              <w:snapToGrid w:val="0"/>
              <w:spacing w:line="360" w:lineRule="auto"/>
              <w:jc w:val="center"/>
              <w:rPr>
                <w:color w:val="auto"/>
                <w:sz w:val="24"/>
                <w:szCs w:val="24"/>
                <w:highlight w:val="none"/>
              </w:rPr>
            </w:pPr>
          </w:p>
        </w:tc>
        <w:tc>
          <w:tcPr>
            <w:tcW w:w="1379" w:type="pct"/>
            <w:vAlign w:val="center"/>
          </w:tcPr>
          <w:p>
            <w:pPr>
              <w:tabs>
                <w:tab w:val="left" w:pos="720"/>
              </w:tabs>
              <w:snapToGrid w:val="0"/>
              <w:spacing w:line="360" w:lineRule="auto"/>
              <w:jc w:val="center"/>
              <w:rPr>
                <w:color w:val="auto"/>
                <w:sz w:val="24"/>
                <w:szCs w:val="24"/>
                <w:highlight w:val="none"/>
              </w:rPr>
            </w:pPr>
          </w:p>
        </w:tc>
        <w:tc>
          <w:tcPr>
            <w:tcW w:w="1322" w:type="pct"/>
            <w:vAlign w:val="center"/>
          </w:tcPr>
          <w:p>
            <w:pPr>
              <w:tabs>
                <w:tab w:val="left" w:pos="720"/>
              </w:tabs>
              <w:snapToGrid w:val="0"/>
              <w:spacing w:line="360" w:lineRule="auto"/>
              <w:jc w:val="center"/>
              <w:rPr>
                <w:color w:val="auto"/>
                <w:sz w:val="24"/>
                <w:szCs w:val="24"/>
                <w:highlight w:val="none"/>
              </w:rPr>
            </w:pPr>
          </w:p>
        </w:tc>
        <w:tc>
          <w:tcPr>
            <w:tcW w:w="796" w:type="pct"/>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pPr>
              <w:tabs>
                <w:tab w:val="left" w:pos="720"/>
              </w:tabs>
              <w:snapToGrid w:val="0"/>
              <w:spacing w:line="360" w:lineRule="auto"/>
              <w:jc w:val="center"/>
              <w:rPr>
                <w:color w:val="auto"/>
                <w:sz w:val="24"/>
                <w:szCs w:val="24"/>
                <w:highlight w:val="none"/>
              </w:rPr>
            </w:pPr>
          </w:p>
        </w:tc>
        <w:tc>
          <w:tcPr>
            <w:tcW w:w="807" w:type="pct"/>
            <w:vAlign w:val="center"/>
          </w:tcPr>
          <w:p>
            <w:pPr>
              <w:tabs>
                <w:tab w:val="left" w:pos="720"/>
              </w:tabs>
              <w:snapToGrid w:val="0"/>
              <w:spacing w:line="360" w:lineRule="auto"/>
              <w:jc w:val="center"/>
              <w:rPr>
                <w:color w:val="auto"/>
                <w:sz w:val="24"/>
                <w:szCs w:val="24"/>
                <w:highlight w:val="none"/>
              </w:rPr>
            </w:pPr>
          </w:p>
        </w:tc>
        <w:tc>
          <w:tcPr>
            <w:tcW w:w="1379" w:type="pct"/>
            <w:vAlign w:val="center"/>
          </w:tcPr>
          <w:p>
            <w:pPr>
              <w:tabs>
                <w:tab w:val="left" w:pos="720"/>
              </w:tabs>
              <w:snapToGrid w:val="0"/>
              <w:spacing w:line="360" w:lineRule="auto"/>
              <w:jc w:val="center"/>
              <w:rPr>
                <w:color w:val="auto"/>
                <w:sz w:val="24"/>
                <w:szCs w:val="24"/>
                <w:highlight w:val="none"/>
              </w:rPr>
            </w:pPr>
          </w:p>
        </w:tc>
        <w:tc>
          <w:tcPr>
            <w:tcW w:w="1322" w:type="pct"/>
            <w:vAlign w:val="center"/>
          </w:tcPr>
          <w:p>
            <w:pPr>
              <w:tabs>
                <w:tab w:val="left" w:pos="720"/>
              </w:tabs>
              <w:snapToGrid w:val="0"/>
              <w:spacing w:line="360" w:lineRule="auto"/>
              <w:jc w:val="center"/>
              <w:rPr>
                <w:color w:val="auto"/>
                <w:sz w:val="24"/>
                <w:szCs w:val="24"/>
                <w:highlight w:val="none"/>
              </w:rPr>
            </w:pPr>
          </w:p>
        </w:tc>
        <w:tc>
          <w:tcPr>
            <w:tcW w:w="796" w:type="pct"/>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pPr>
              <w:tabs>
                <w:tab w:val="left" w:pos="720"/>
              </w:tabs>
              <w:snapToGrid w:val="0"/>
              <w:spacing w:line="360" w:lineRule="auto"/>
              <w:jc w:val="center"/>
              <w:rPr>
                <w:color w:val="auto"/>
                <w:sz w:val="24"/>
                <w:szCs w:val="24"/>
                <w:highlight w:val="none"/>
              </w:rPr>
            </w:pPr>
          </w:p>
        </w:tc>
        <w:tc>
          <w:tcPr>
            <w:tcW w:w="807" w:type="pct"/>
            <w:vAlign w:val="center"/>
          </w:tcPr>
          <w:p>
            <w:pPr>
              <w:tabs>
                <w:tab w:val="left" w:pos="720"/>
              </w:tabs>
              <w:snapToGrid w:val="0"/>
              <w:spacing w:line="360" w:lineRule="auto"/>
              <w:jc w:val="center"/>
              <w:rPr>
                <w:color w:val="auto"/>
                <w:sz w:val="24"/>
                <w:szCs w:val="24"/>
                <w:highlight w:val="none"/>
              </w:rPr>
            </w:pPr>
          </w:p>
        </w:tc>
        <w:tc>
          <w:tcPr>
            <w:tcW w:w="1379" w:type="pct"/>
            <w:vAlign w:val="center"/>
          </w:tcPr>
          <w:p>
            <w:pPr>
              <w:tabs>
                <w:tab w:val="left" w:pos="720"/>
              </w:tabs>
              <w:snapToGrid w:val="0"/>
              <w:spacing w:line="360" w:lineRule="auto"/>
              <w:jc w:val="center"/>
              <w:rPr>
                <w:color w:val="auto"/>
                <w:sz w:val="24"/>
                <w:szCs w:val="24"/>
                <w:highlight w:val="none"/>
              </w:rPr>
            </w:pPr>
          </w:p>
        </w:tc>
        <w:tc>
          <w:tcPr>
            <w:tcW w:w="1322" w:type="pct"/>
            <w:vAlign w:val="center"/>
          </w:tcPr>
          <w:p>
            <w:pPr>
              <w:tabs>
                <w:tab w:val="left" w:pos="720"/>
              </w:tabs>
              <w:snapToGrid w:val="0"/>
              <w:spacing w:line="360" w:lineRule="auto"/>
              <w:jc w:val="center"/>
              <w:rPr>
                <w:color w:val="auto"/>
                <w:sz w:val="24"/>
                <w:szCs w:val="24"/>
                <w:highlight w:val="none"/>
              </w:rPr>
            </w:pPr>
          </w:p>
        </w:tc>
        <w:tc>
          <w:tcPr>
            <w:tcW w:w="796" w:type="pct"/>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4" w:type="pct"/>
            <w:vAlign w:val="center"/>
          </w:tcPr>
          <w:p>
            <w:pPr>
              <w:tabs>
                <w:tab w:val="left" w:pos="720"/>
              </w:tabs>
              <w:snapToGrid w:val="0"/>
              <w:spacing w:line="360" w:lineRule="auto"/>
              <w:jc w:val="center"/>
              <w:rPr>
                <w:color w:val="auto"/>
                <w:sz w:val="24"/>
                <w:szCs w:val="24"/>
                <w:highlight w:val="none"/>
              </w:rPr>
            </w:pPr>
          </w:p>
        </w:tc>
        <w:tc>
          <w:tcPr>
            <w:tcW w:w="807" w:type="pct"/>
            <w:vAlign w:val="center"/>
          </w:tcPr>
          <w:p>
            <w:pPr>
              <w:tabs>
                <w:tab w:val="left" w:pos="720"/>
              </w:tabs>
              <w:snapToGrid w:val="0"/>
              <w:spacing w:line="360" w:lineRule="auto"/>
              <w:jc w:val="center"/>
              <w:rPr>
                <w:color w:val="auto"/>
                <w:sz w:val="24"/>
                <w:szCs w:val="24"/>
                <w:highlight w:val="none"/>
              </w:rPr>
            </w:pPr>
          </w:p>
        </w:tc>
        <w:tc>
          <w:tcPr>
            <w:tcW w:w="1379" w:type="pct"/>
            <w:vAlign w:val="center"/>
          </w:tcPr>
          <w:p>
            <w:pPr>
              <w:tabs>
                <w:tab w:val="left" w:pos="720"/>
              </w:tabs>
              <w:snapToGrid w:val="0"/>
              <w:spacing w:line="360" w:lineRule="auto"/>
              <w:jc w:val="center"/>
              <w:rPr>
                <w:color w:val="auto"/>
                <w:sz w:val="24"/>
                <w:szCs w:val="24"/>
                <w:highlight w:val="none"/>
              </w:rPr>
            </w:pPr>
          </w:p>
        </w:tc>
        <w:tc>
          <w:tcPr>
            <w:tcW w:w="1322" w:type="pct"/>
            <w:vAlign w:val="center"/>
          </w:tcPr>
          <w:p>
            <w:pPr>
              <w:tabs>
                <w:tab w:val="left" w:pos="720"/>
              </w:tabs>
              <w:snapToGrid w:val="0"/>
              <w:spacing w:line="360" w:lineRule="auto"/>
              <w:jc w:val="center"/>
              <w:rPr>
                <w:color w:val="auto"/>
                <w:sz w:val="24"/>
                <w:szCs w:val="24"/>
                <w:highlight w:val="none"/>
              </w:rPr>
            </w:pPr>
          </w:p>
        </w:tc>
        <w:tc>
          <w:tcPr>
            <w:tcW w:w="796" w:type="pct"/>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4" w:type="pct"/>
            <w:vAlign w:val="center"/>
          </w:tcPr>
          <w:p>
            <w:pPr>
              <w:tabs>
                <w:tab w:val="left" w:pos="720"/>
              </w:tabs>
              <w:snapToGrid w:val="0"/>
              <w:spacing w:line="360" w:lineRule="auto"/>
              <w:jc w:val="center"/>
              <w:rPr>
                <w:color w:val="auto"/>
                <w:sz w:val="24"/>
                <w:szCs w:val="24"/>
                <w:highlight w:val="none"/>
              </w:rPr>
            </w:pPr>
          </w:p>
        </w:tc>
        <w:tc>
          <w:tcPr>
            <w:tcW w:w="807" w:type="pct"/>
            <w:vAlign w:val="center"/>
          </w:tcPr>
          <w:p>
            <w:pPr>
              <w:tabs>
                <w:tab w:val="left" w:pos="720"/>
              </w:tabs>
              <w:snapToGrid w:val="0"/>
              <w:spacing w:line="360" w:lineRule="auto"/>
              <w:jc w:val="center"/>
              <w:rPr>
                <w:color w:val="auto"/>
                <w:sz w:val="24"/>
                <w:szCs w:val="24"/>
                <w:highlight w:val="none"/>
              </w:rPr>
            </w:pPr>
          </w:p>
        </w:tc>
        <w:tc>
          <w:tcPr>
            <w:tcW w:w="1379" w:type="pct"/>
            <w:vAlign w:val="center"/>
          </w:tcPr>
          <w:p>
            <w:pPr>
              <w:tabs>
                <w:tab w:val="left" w:pos="720"/>
              </w:tabs>
              <w:snapToGrid w:val="0"/>
              <w:spacing w:line="360" w:lineRule="auto"/>
              <w:jc w:val="center"/>
              <w:rPr>
                <w:color w:val="auto"/>
                <w:sz w:val="24"/>
                <w:szCs w:val="24"/>
                <w:highlight w:val="none"/>
              </w:rPr>
            </w:pPr>
          </w:p>
        </w:tc>
        <w:tc>
          <w:tcPr>
            <w:tcW w:w="1322" w:type="pct"/>
            <w:vAlign w:val="center"/>
          </w:tcPr>
          <w:p>
            <w:pPr>
              <w:tabs>
                <w:tab w:val="left" w:pos="720"/>
              </w:tabs>
              <w:snapToGrid w:val="0"/>
              <w:spacing w:line="360" w:lineRule="auto"/>
              <w:jc w:val="center"/>
              <w:rPr>
                <w:color w:val="auto"/>
                <w:sz w:val="24"/>
                <w:szCs w:val="24"/>
                <w:highlight w:val="none"/>
              </w:rPr>
            </w:pPr>
          </w:p>
        </w:tc>
        <w:tc>
          <w:tcPr>
            <w:tcW w:w="796" w:type="pct"/>
            <w:vAlign w:val="center"/>
          </w:tcPr>
          <w:p>
            <w:pPr>
              <w:tabs>
                <w:tab w:val="left" w:pos="720"/>
              </w:tabs>
              <w:snapToGrid w:val="0"/>
              <w:spacing w:line="360" w:lineRule="auto"/>
              <w:jc w:val="center"/>
              <w:rPr>
                <w:color w:val="auto"/>
                <w:sz w:val="24"/>
                <w:szCs w:val="24"/>
                <w:highlight w:val="none"/>
              </w:rPr>
            </w:pPr>
          </w:p>
        </w:tc>
      </w:tr>
    </w:tbl>
    <w:p>
      <w:pPr>
        <w:tabs>
          <w:tab w:val="left" w:pos="720"/>
        </w:tabs>
        <w:snapToGrid w:val="0"/>
        <w:spacing w:line="360" w:lineRule="auto"/>
        <w:rPr>
          <w:color w:val="auto"/>
          <w:sz w:val="24"/>
          <w:szCs w:val="24"/>
          <w:highlight w:val="none"/>
        </w:rPr>
      </w:pPr>
    </w:p>
    <w:p>
      <w:pPr>
        <w:rPr>
          <w:color w:val="auto"/>
          <w:highlight w:val="none"/>
        </w:rPr>
      </w:pPr>
      <w:r>
        <w:rPr>
          <w:rFonts w:hint="eastAsia"/>
          <w:color w:val="auto"/>
          <w:spacing w:val="4"/>
          <w:kern w:val="0"/>
          <w:sz w:val="24"/>
          <w:szCs w:val="24"/>
          <w:highlight w:val="none"/>
        </w:rPr>
        <w:t>注：参与编制经济标书所有人员名单应包括如编制各种专业工程量清单投标报价、负责清样校对、负责打印及复印等所有人员在内的人员名单。</w:t>
      </w:r>
    </w:p>
    <w:p>
      <w:pPr>
        <w:widowControl/>
        <w:jc w:val="left"/>
        <w:rPr>
          <w:rFonts w:cs="宋体"/>
          <w:b/>
          <w:color w:val="auto"/>
          <w:kern w:val="0"/>
          <w:sz w:val="24"/>
          <w:szCs w:val="24"/>
          <w:highlight w:val="none"/>
        </w:rPr>
      </w:pPr>
      <w:r>
        <w:rPr>
          <w:color w:val="auto"/>
          <w:highlight w:val="none"/>
        </w:rPr>
        <w:br w:type="page"/>
      </w:r>
    </w:p>
    <w:p>
      <w:pPr>
        <w:pStyle w:val="7"/>
        <w:rPr>
          <w:color w:val="auto"/>
          <w:highlight w:val="none"/>
        </w:rPr>
      </w:pPr>
      <w:bookmarkStart w:id="24" w:name="_Toc24290"/>
      <w:r>
        <w:rPr>
          <w:rFonts w:hint="eastAsia"/>
          <w:color w:val="auto"/>
          <w:highlight w:val="none"/>
        </w:rPr>
        <w:t>格式</w:t>
      </w:r>
      <w:r>
        <w:rPr>
          <w:rFonts w:hint="eastAsia"/>
          <w:snapToGrid w:val="0"/>
          <w:color w:val="auto"/>
          <w:highlight w:val="none"/>
        </w:rPr>
        <w:t>六</w:t>
      </w:r>
      <w:r>
        <w:rPr>
          <w:rFonts w:hint="eastAsia"/>
          <w:color w:val="auto"/>
          <w:kern w:val="2"/>
          <w:highlight w:val="none"/>
        </w:rPr>
        <w:t>：</w:t>
      </w:r>
      <w:bookmarkEnd w:id="24"/>
    </w:p>
    <w:p>
      <w:pPr>
        <w:pStyle w:val="5"/>
        <w:spacing w:after="0" w:line="360" w:lineRule="auto"/>
        <w:ind w:firstLine="0"/>
        <w:jc w:val="center"/>
        <w:rPr>
          <w:rFonts w:ascii="宋体" w:hAnsi="宋体" w:cs="宋体"/>
          <w:color w:val="auto"/>
          <w:sz w:val="36"/>
          <w:szCs w:val="36"/>
          <w:highlight w:val="none"/>
        </w:rPr>
      </w:pPr>
      <w:r>
        <w:rPr>
          <w:rFonts w:hint="eastAsia" w:ascii="宋体" w:hAnsi="宋体" w:cs="宋体"/>
          <w:b/>
          <w:color w:val="auto"/>
          <w:sz w:val="36"/>
          <w:szCs w:val="36"/>
          <w:highlight w:val="none"/>
        </w:rPr>
        <w:t>对投标文件编制的承诺</w:t>
      </w:r>
    </w:p>
    <w:p>
      <w:pPr>
        <w:pStyle w:val="5"/>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本公司授权</w:t>
      </w:r>
      <w:r>
        <w:rPr>
          <w:rFonts w:hint="eastAsia" w:ascii="宋体" w:hAnsi="宋体" w:cs="宋体"/>
          <w:color w:val="auto"/>
          <w:sz w:val="24"/>
          <w:szCs w:val="24"/>
          <w:highlight w:val="none"/>
          <w:u w:val="single"/>
        </w:rPr>
        <w:t xml:space="preserve">         （身份证号：               ）</w:t>
      </w:r>
      <w:r>
        <w:rPr>
          <w:rFonts w:hint="eastAsia" w:ascii="宋体" w:hAnsi="宋体" w:cs="宋体"/>
          <w:color w:val="auto"/>
          <w:sz w:val="24"/>
          <w:szCs w:val="24"/>
          <w:highlight w:val="none"/>
        </w:rPr>
        <w:t>负责对投标文件的编制及内容进行解释、说明，并承诺以下事项：</w:t>
      </w:r>
    </w:p>
    <w:p>
      <w:pPr>
        <w:pStyle w:val="5"/>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1.被授权人清楚投标文件编制的具体情况，包括工程量清单、以及投标文件的加密打包的理解；</w:t>
      </w:r>
    </w:p>
    <w:p>
      <w:pPr>
        <w:pStyle w:val="5"/>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2.在本项目开标至评标结束前，努力确保被授权人在项目评标所在地附近；</w:t>
      </w:r>
    </w:p>
    <w:p>
      <w:pPr>
        <w:pStyle w:val="5"/>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3.从评标委员会要求澄清起二小时内，被授权人应如实地书面澄清。</w:t>
      </w:r>
    </w:p>
    <w:p>
      <w:pPr>
        <w:pStyle w:val="5"/>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 xml:space="preserve">如由于未遵守上述承诺内容之一导致无法进行澄清的，我公司认可和接受评标委员会作出的评审结论。                                 </w:t>
      </w:r>
    </w:p>
    <w:p>
      <w:pPr>
        <w:pStyle w:val="5"/>
        <w:spacing w:after="0" w:line="360" w:lineRule="auto"/>
        <w:ind w:firstLine="480" w:firstLineChars="200"/>
        <w:rPr>
          <w:rFonts w:ascii="宋体" w:hAnsi="宋体" w:cs="宋体"/>
          <w:color w:val="auto"/>
          <w:sz w:val="24"/>
          <w:szCs w:val="24"/>
          <w:highlight w:val="none"/>
        </w:rPr>
      </w:pPr>
    </w:p>
    <w:p>
      <w:pPr>
        <w:pStyle w:val="5"/>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附件：《投标文件编制情况》</w:t>
      </w:r>
    </w:p>
    <w:p>
      <w:pPr>
        <w:spacing w:line="360" w:lineRule="auto"/>
        <w:ind w:right="90" w:firstLine="3240" w:firstLineChars="1350"/>
        <w:rPr>
          <w:rFonts w:cs="宋体"/>
          <w:color w:val="auto"/>
          <w:sz w:val="24"/>
          <w:szCs w:val="24"/>
          <w:highlight w:val="none"/>
        </w:rPr>
      </w:pPr>
      <w:r>
        <w:rPr>
          <w:rFonts w:cs="宋体"/>
          <w:color w:val="auto"/>
          <w:sz w:val="24"/>
          <w:szCs w:val="24"/>
          <w:highlight w:val="none"/>
        </w:rPr>
        <w:t xml:space="preserve">投标人名称：            </w:t>
      </w:r>
    </w:p>
    <w:p>
      <w:pPr>
        <w:spacing w:line="360" w:lineRule="auto"/>
        <w:ind w:right="90" w:firstLine="3240" w:firstLineChars="1350"/>
        <w:rPr>
          <w:rFonts w:cs="宋体"/>
          <w:color w:val="auto"/>
          <w:sz w:val="24"/>
          <w:szCs w:val="24"/>
          <w:highlight w:val="none"/>
        </w:rPr>
      </w:pPr>
      <w:r>
        <w:rPr>
          <w:rFonts w:cs="宋体"/>
          <w:color w:val="auto"/>
          <w:sz w:val="24"/>
          <w:szCs w:val="24"/>
          <w:highlight w:val="none"/>
        </w:rPr>
        <w:t xml:space="preserve">                日期：      年   月   日   </w:t>
      </w:r>
    </w:p>
    <w:p>
      <w:pPr>
        <w:pStyle w:val="5"/>
        <w:spacing w:after="0" w:line="360" w:lineRule="auto"/>
        <w:ind w:firstLine="0"/>
        <w:jc w:val="center"/>
        <w:rPr>
          <w:rFonts w:ascii="宋体" w:hAnsi="宋体" w:cs="宋体"/>
          <w:b/>
          <w:color w:val="auto"/>
          <w:sz w:val="36"/>
          <w:szCs w:val="36"/>
          <w:highlight w:val="none"/>
        </w:rPr>
      </w:pPr>
    </w:p>
    <w:p>
      <w:pPr>
        <w:pStyle w:val="5"/>
        <w:spacing w:after="0" w:line="360" w:lineRule="auto"/>
        <w:ind w:firstLine="0"/>
        <w:jc w:val="center"/>
        <w:rPr>
          <w:rFonts w:ascii="宋体" w:hAnsi="宋体" w:cs="宋体"/>
          <w:color w:val="auto"/>
          <w:sz w:val="36"/>
          <w:szCs w:val="36"/>
          <w:highlight w:val="none"/>
        </w:rPr>
      </w:pPr>
      <w:r>
        <w:rPr>
          <w:rFonts w:hint="eastAsia" w:ascii="宋体" w:hAnsi="宋体" w:cs="宋体"/>
          <w:b/>
          <w:color w:val="auto"/>
          <w:sz w:val="36"/>
          <w:szCs w:val="36"/>
          <w:highlight w:val="none"/>
        </w:rPr>
        <w:t>投标文件编制情况</w:t>
      </w:r>
    </w:p>
    <w:p>
      <w:pPr>
        <w:pStyle w:val="5"/>
        <w:spacing w:after="0"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1.投标文件报价编制方式: □自行编制的，编制的负责人：</w:t>
      </w:r>
      <w:r>
        <w:rPr>
          <w:rFonts w:hint="eastAsia" w:ascii="宋体" w:hAnsi="宋体" w:cs="宋体"/>
          <w:color w:val="auto"/>
          <w:sz w:val="24"/>
          <w:szCs w:val="24"/>
          <w:highlight w:val="none"/>
          <w:u w:val="single"/>
        </w:rPr>
        <w:t xml:space="preserve"> （盖造价工程师执业专用章或全国建设工程造价员章，执业单位应与投标人一致） </w:t>
      </w:r>
      <w:r>
        <w:rPr>
          <w:rFonts w:hint="eastAsia" w:ascii="宋体" w:hAnsi="宋体" w:cs="宋体"/>
          <w:color w:val="auto"/>
          <w:sz w:val="24"/>
          <w:szCs w:val="24"/>
          <w:highlight w:val="none"/>
        </w:rPr>
        <w:t>。□委托编制的，受委托单位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，编制的负责人：</w:t>
      </w:r>
      <w:r>
        <w:rPr>
          <w:rFonts w:hint="eastAsia" w:ascii="宋体" w:hAnsi="宋体" w:cs="宋体"/>
          <w:color w:val="auto"/>
          <w:sz w:val="24"/>
          <w:szCs w:val="24"/>
          <w:highlight w:val="none"/>
          <w:u w:val="single"/>
        </w:rPr>
        <w:t xml:space="preserve"> （盖造价工程师执业专用章或全国建设工程造价员章，执业单位应与受委托单位一致） </w:t>
      </w:r>
      <w:r>
        <w:rPr>
          <w:rFonts w:hint="eastAsia" w:ascii="宋体" w:hAnsi="宋体" w:cs="宋体"/>
          <w:color w:val="auto"/>
          <w:sz w:val="24"/>
          <w:szCs w:val="24"/>
          <w:highlight w:val="none"/>
        </w:rPr>
        <w:t>。</w:t>
      </w:r>
    </w:p>
    <w:p>
      <w:pPr>
        <w:pStyle w:val="5"/>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2.投标文件加密打包的电脑情况</w:t>
      </w:r>
    </w:p>
    <w:tbl>
      <w:tblPr>
        <w:tblStyle w:val="20"/>
        <w:tblW w:w="5000" w:type="pct"/>
        <w:tblInd w:w="0" w:type="dxa"/>
        <w:tblLayout w:type="autofit"/>
        <w:tblCellMar>
          <w:top w:w="0" w:type="dxa"/>
          <w:left w:w="108" w:type="dxa"/>
          <w:bottom w:w="0" w:type="dxa"/>
          <w:right w:w="108" w:type="dxa"/>
        </w:tblCellMar>
      </w:tblPr>
      <w:tblGrid>
        <w:gridCol w:w="8850"/>
      </w:tblGrid>
      <w:tr>
        <w:tblPrEx>
          <w:tblCellMar>
            <w:top w:w="0" w:type="dxa"/>
            <w:left w:w="108" w:type="dxa"/>
            <w:bottom w:w="0" w:type="dxa"/>
            <w:right w:w="108" w:type="dxa"/>
          </w:tblCellMar>
        </w:tblPrEx>
        <w:trPr>
          <w:trHeight w:val="2056" w:hRule="atLeast"/>
        </w:trPr>
        <w:tc>
          <w:tcPr>
            <w:tcW w:w="5000" w:type="pct"/>
          </w:tcPr>
          <w:p>
            <w:pPr>
              <w:pStyle w:val="5"/>
              <w:spacing w:after="0" w:line="360" w:lineRule="auto"/>
              <w:ind w:firstLine="0"/>
              <w:rPr>
                <w:rFonts w:ascii="宋体" w:hAnsi="宋体" w:cs="宋体"/>
                <w:color w:val="auto"/>
                <w:kern w:val="2"/>
                <w:sz w:val="24"/>
                <w:szCs w:val="24"/>
                <w:highlight w:val="none"/>
              </w:rPr>
            </w:pPr>
            <w:r>
              <w:rPr>
                <w:rFonts w:hint="eastAsia" w:ascii="宋体" w:hAnsi="宋体" w:cs="宋体"/>
                <w:color w:val="auto"/>
                <w:kern w:val="2"/>
                <w:sz w:val="24"/>
                <w:szCs w:val="24"/>
                <w:highlight w:val="none"/>
              </w:rPr>
              <w:t>投标文件加密打包的电脑  自有    □      外包    □   其他    □</w:t>
            </w:r>
          </w:p>
          <w:p>
            <w:pPr>
              <w:pStyle w:val="5"/>
              <w:spacing w:after="0" w:line="360" w:lineRule="auto"/>
              <w:ind w:firstLine="0"/>
              <w:rPr>
                <w:rFonts w:ascii="宋体" w:hAnsi="宋体" w:cs="宋体"/>
                <w:color w:val="auto"/>
                <w:kern w:val="2"/>
                <w:sz w:val="24"/>
                <w:szCs w:val="24"/>
                <w:highlight w:val="none"/>
              </w:rPr>
            </w:pPr>
            <w:r>
              <w:rPr>
                <w:rFonts w:hint="eastAsia" w:ascii="宋体" w:hAnsi="宋体" w:cs="宋体"/>
                <w:color w:val="auto"/>
                <w:kern w:val="2"/>
                <w:sz w:val="24"/>
                <w:szCs w:val="24"/>
                <w:highlight w:val="none"/>
              </w:rPr>
              <w:t>电脑类型</w:t>
            </w:r>
          </w:p>
          <w:p>
            <w:pPr>
              <w:pStyle w:val="5"/>
              <w:spacing w:after="0" w:line="360" w:lineRule="auto"/>
              <w:ind w:firstLine="0"/>
              <w:rPr>
                <w:rFonts w:ascii="宋体" w:hAnsi="宋体" w:cs="宋体"/>
                <w:color w:val="auto"/>
                <w:kern w:val="2"/>
                <w:sz w:val="24"/>
                <w:szCs w:val="24"/>
                <w:highlight w:val="none"/>
              </w:rPr>
            </w:pPr>
            <w:r>
              <w:rPr>
                <w:rFonts w:hint="eastAsia" w:ascii="宋体" w:hAnsi="宋体" w:cs="宋体"/>
                <w:color w:val="auto"/>
                <w:kern w:val="2"/>
                <w:sz w:val="24"/>
                <w:szCs w:val="24"/>
                <w:highlight w:val="none"/>
              </w:rPr>
              <w:t>电脑所属单位</w:t>
            </w:r>
          </w:p>
          <w:p>
            <w:pPr>
              <w:pStyle w:val="5"/>
              <w:spacing w:after="0" w:line="360" w:lineRule="auto"/>
              <w:ind w:firstLine="0"/>
              <w:rPr>
                <w:rFonts w:ascii="宋体" w:hAnsi="宋体" w:cs="宋体"/>
                <w:color w:val="auto"/>
                <w:kern w:val="2"/>
                <w:sz w:val="24"/>
                <w:szCs w:val="24"/>
                <w:highlight w:val="none"/>
              </w:rPr>
            </w:pPr>
            <w:r>
              <w:rPr>
                <w:rFonts w:hint="eastAsia" w:ascii="宋体" w:hAnsi="宋体" w:cs="宋体"/>
                <w:color w:val="auto"/>
                <w:kern w:val="2"/>
                <w:sz w:val="24"/>
                <w:szCs w:val="24"/>
                <w:highlight w:val="none"/>
              </w:rPr>
              <w:t>电脑所在地址        （如××市××区(县) ××街（路）××号××大厦××房）</w:t>
            </w:r>
          </w:p>
        </w:tc>
      </w:tr>
    </w:tbl>
    <w:p>
      <w:pPr>
        <w:pStyle w:val="30"/>
        <w:ind w:firstLine="199" w:firstLineChars="80"/>
        <w:rPr>
          <w:b/>
          <w:color w:val="auto"/>
          <w:highlight w:val="none"/>
        </w:rPr>
      </w:pPr>
    </w:p>
    <w:p>
      <w:pPr>
        <w:pStyle w:val="30"/>
        <w:ind w:firstLine="216" w:firstLineChars="80"/>
        <w:rPr>
          <w:color w:val="auto"/>
          <w:highlight w:val="none"/>
        </w:rPr>
      </w:pPr>
      <w:r>
        <w:rPr>
          <w:rFonts w:hint="eastAsia" w:ascii="宋体" w:hAnsi="宋体"/>
          <w:b w:val="0"/>
          <w:color w:val="auto"/>
          <w:spacing w:val="0"/>
          <w:sz w:val="27"/>
          <w:szCs w:val="27"/>
          <w:highlight w:val="none"/>
        </w:rPr>
        <w:t>格式七：</w:t>
      </w:r>
      <w:r>
        <w:rPr>
          <w:rFonts w:hint="eastAsia" w:ascii="黑体" w:hAnsi="黑体" w:eastAsia="黑体"/>
          <w:color w:val="auto"/>
          <w:highlight w:val="none"/>
        </w:rPr>
        <w:t>:</w:t>
      </w:r>
    </w:p>
    <w:p>
      <w:pPr>
        <w:pStyle w:val="13"/>
        <w:ind w:firstLine="452" w:firstLineChars="150"/>
        <w:jc w:val="center"/>
        <w:rPr>
          <w:rFonts w:hAnsi="宋体"/>
          <w:b/>
          <w:color w:val="auto"/>
          <w:sz w:val="30"/>
          <w:szCs w:val="30"/>
          <w:highlight w:val="none"/>
        </w:rPr>
      </w:pPr>
      <w:r>
        <w:rPr>
          <w:rFonts w:hint="eastAsia" w:hAnsi="宋体"/>
          <w:b/>
          <w:color w:val="auto"/>
          <w:sz w:val="30"/>
          <w:szCs w:val="30"/>
          <w:highlight w:val="none"/>
        </w:rPr>
        <w:t>交通设施维护车辆、设备、机械一览表</w:t>
      </w:r>
    </w:p>
    <w:p>
      <w:pPr>
        <w:ind w:firstLine="480"/>
        <w:rPr>
          <w:rFonts w:ascii="新宋体" w:hAnsi="新宋体" w:eastAsia="新宋体"/>
          <w:b/>
          <w:color w:val="auto"/>
          <w:kern w:val="0"/>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494"/>
        <w:gridCol w:w="720"/>
        <w:gridCol w:w="1080"/>
        <w:gridCol w:w="1080"/>
        <w:gridCol w:w="1607"/>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r>
              <w:rPr>
                <w:rFonts w:hint="eastAsia" w:ascii="新宋体" w:hAnsi="新宋体" w:eastAsia="新宋体"/>
                <w:color w:val="auto"/>
                <w:kern w:val="0"/>
                <w:highlight w:val="none"/>
              </w:rPr>
              <w:t>维护车辆、机械设备名称</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r>
              <w:rPr>
                <w:rFonts w:hint="eastAsia" w:ascii="新宋体" w:hAnsi="新宋体" w:eastAsia="新宋体"/>
                <w:color w:val="auto"/>
                <w:kern w:val="0"/>
                <w:highlight w:val="none"/>
              </w:rPr>
              <w:t>型号规格</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r>
              <w:rPr>
                <w:rFonts w:hint="eastAsia" w:ascii="新宋体" w:hAnsi="新宋体" w:eastAsia="新宋体"/>
                <w:color w:val="auto"/>
                <w:kern w:val="0"/>
                <w:highlight w:val="none"/>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r>
              <w:rPr>
                <w:rFonts w:hint="eastAsia" w:ascii="新宋体" w:hAnsi="新宋体" w:eastAsia="新宋体"/>
                <w:color w:val="auto"/>
                <w:kern w:val="0"/>
                <w:highlight w:val="none"/>
              </w:rPr>
              <w:t>国别产地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r>
              <w:rPr>
                <w:rFonts w:hint="eastAsia" w:ascii="新宋体" w:hAnsi="新宋体" w:eastAsia="新宋体"/>
                <w:color w:val="auto"/>
                <w:kern w:val="0"/>
                <w:highlight w:val="none"/>
              </w:rPr>
              <w:t>已使用年限</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r>
              <w:rPr>
                <w:rFonts w:hint="eastAsia" w:ascii="新宋体" w:hAnsi="新宋体" w:eastAsia="新宋体"/>
                <w:color w:val="auto"/>
                <w:kern w:val="0"/>
                <w:highlight w:val="none"/>
              </w:rPr>
              <w:t>设备来源（自有或</w:t>
            </w:r>
            <w:r>
              <w:rPr>
                <w:rFonts w:hint="eastAsia" w:ascii="新宋体" w:hAnsi="新宋体" w:eastAsia="新宋体"/>
                <w:color w:val="auto"/>
                <w:kern w:val="0"/>
                <w:highlight w:val="none"/>
                <w:lang w:eastAsia="zh-CN"/>
              </w:rPr>
              <w:t>承诺提供</w:t>
            </w:r>
            <w:r>
              <w:rPr>
                <w:rFonts w:hint="eastAsia" w:ascii="新宋体" w:hAnsi="新宋体" w:eastAsia="新宋体"/>
                <w:color w:val="auto"/>
                <w:kern w:val="0"/>
                <w:highlight w:val="none"/>
              </w:rPr>
              <w:t>）</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r>
              <w:rPr>
                <w:rFonts w:hint="eastAsia" w:ascii="新宋体" w:hAnsi="新宋体" w:eastAsia="新宋体"/>
                <w:color w:val="auto"/>
                <w:kern w:val="0"/>
                <w:highlight w:val="none"/>
              </w:rPr>
              <w:t>目前所在地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107" w:rightChars="-51"/>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新宋体" w:hAnsi="新宋体" w:eastAsia="新宋体"/>
                <w:color w:val="auto"/>
                <w:kern w:val="0"/>
                <w:highlight w:val="none"/>
              </w:rPr>
            </w:pPr>
          </w:p>
        </w:tc>
      </w:tr>
    </w:tbl>
    <w:p>
      <w:pPr>
        <w:pStyle w:val="31"/>
        <w:ind w:left="840" w:hanging="420"/>
        <w:rPr>
          <w:rFonts w:hint="eastAsia"/>
          <w:color w:val="auto"/>
          <w:highlight w:val="none"/>
        </w:rPr>
      </w:pPr>
    </w:p>
    <w:p>
      <w:pPr>
        <w:pStyle w:val="31"/>
        <w:ind w:left="0" w:firstLine="0"/>
        <w:rPr>
          <w:rFonts w:hint="default" w:eastAsia="宋体"/>
          <w:color w:val="auto"/>
          <w:highlight w:val="none"/>
          <w:lang w:val="en-US" w:eastAsia="zh-CN"/>
        </w:rPr>
      </w:pPr>
    </w:p>
    <w:p>
      <w:pPr>
        <w:pStyle w:val="31"/>
        <w:ind w:left="840" w:hanging="420"/>
        <w:rPr>
          <w:color w:val="auto"/>
          <w:highlight w:val="none"/>
        </w:rPr>
      </w:pPr>
    </w:p>
    <w:p>
      <w:pPr>
        <w:ind w:firstLine="480"/>
        <w:rPr>
          <w:rFonts w:hint="eastAsia" w:ascii="宋体" w:hAnsi="宋体" w:eastAsia="宋体"/>
          <w:b w:val="0"/>
          <w:color w:val="auto"/>
          <w:kern w:val="0"/>
          <w:sz w:val="27"/>
          <w:szCs w:val="27"/>
          <w:highlight w:val="none"/>
        </w:rPr>
      </w:pPr>
      <w:r>
        <w:rPr>
          <w:rFonts w:hint="eastAsia"/>
          <w:b w:val="0"/>
          <w:color w:val="auto"/>
          <w:kern w:val="0"/>
          <w:sz w:val="27"/>
          <w:szCs w:val="27"/>
          <w:highlight w:val="none"/>
        </w:rPr>
        <w:t>格式八：</w:t>
      </w:r>
    </w:p>
    <w:p>
      <w:pPr>
        <w:pStyle w:val="13"/>
        <w:spacing w:line="360" w:lineRule="auto"/>
        <w:jc w:val="center"/>
        <w:rPr>
          <w:rFonts w:ascii="新宋体" w:hAnsi="新宋体" w:eastAsia="新宋体"/>
          <w:b/>
          <w:color w:val="auto"/>
          <w:sz w:val="28"/>
          <w:szCs w:val="28"/>
          <w:highlight w:val="none"/>
        </w:rPr>
      </w:pPr>
      <w:r>
        <w:rPr>
          <w:rFonts w:ascii="新宋体" w:hAnsi="新宋体" w:eastAsia="新宋体"/>
          <w:b/>
          <w:color w:val="auto"/>
          <w:sz w:val="28"/>
          <w:szCs w:val="28"/>
          <w:highlight w:val="none"/>
        </w:rPr>
        <w:t>招标人</w:t>
      </w:r>
      <w:r>
        <w:rPr>
          <w:rFonts w:hint="eastAsia" w:ascii="新宋体" w:hAnsi="新宋体" w:eastAsia="新宋体"/>
          <w:b/>
          <w:color w:val="auto"/>
          <w:sz w:val="28"/>
          <w:szCs w:val="28"/>
          <w:highlight w:val="none"/>
        </w:rPr>
        <w:t>免责声明</w:t>
      </w:r>
    </w:p>
    <w:p>
      <w:pPr>
        <w:pStyle w:val="13"/>
        <w:spacing w:line="360" w:lineRule="auto"/>
        <w:jc w:val="center"/>
        <w:rPr>
          <w:rFonts w:ascii="新宋体" w:hAnsi="新宋体" w:eastAsia="新宋体"/>
          <w:b/>
          <w:color w:val="auto"/>
          <w:sz w:val="28"/>
          <w:szCs w:val="28"/>
          <w:highlight w:val="none"/>
        </w:rPr>
      </w:pPr>
    </w:p>
    <w:p>
      <w:pPr>
        <w:spacing w:line="360" w:lineRule="auto"/>
        <w:contextualSpacing/>
        <w:rPr>
          <w:rFonts w:ascii="新宋体" w:hAnsi="新宋体" w:eastAsia="新宋体"/>
          <w:b/>
          <w:color w:val="auto"/>
          <w:sz w:val="24"/>
          <w:highlight w:val="none"/>
        </w:rPr>
      </w:pPr>
      <w:r>
        <w:rPr>
          <w:rFonts w:hint="eastAsia" w:ascii="新宋体" w:hAnsi="新宋体" w:eastAsia="新宋体"/>
          <w:color w:val="auto"/>
          <w:sz w:val="24"/>
          <w:highlight w:val="none"/>
        </w:rPr>
        <w:t>广州市公安局：</w:t>
      </w:r>
    </w:p>
    <w:p>
      <w:pPr>
        <w:spacing w:line="360" w:lineRule="auto"/>
        <w:ind w:firstLine="470" w:firstLineChars="196"/>
        <w:contextualSpacing/>
        <w:rPr>
          <w:rFonts w:ascii="新宋体" w:hAnsi="新宋体" w:eastAsia="新宋体"/>
          <w:color w:val="auto"/>
          <w:sz w:val="24"/>
          <w:highlight w:val="none"/>
        </w:rPr>
      </w:pPr>
      <w:r>
        <w:rPr>
          <w:rFonts w:hint="eastAsia" w:ascii="新宋体" w:hAnsi="新宋体" w:eastAsia="新宋体"/>
          <w:color w:val="auto"/>
          <w:sz w:val="24"/>
          <w:highlight w:val="none"/>
        </w:rPr>
        <w:t>我公司参加</w:t>
      </w:r>
      <w:r>
        <w:rPr>
          <w:rFonts w:hint="eastAsia" w:ascii="宋体" w:hAnsi="宋体"/>
          <w:color w:val="auto"/>
          <w:sz w:val="24"/>
          <w:highlight w:val="none"/>
          <w:u w:val="single"/>
          <w:lang w:eastAsia="zh-CN"/>
        </w:rPr>
        <w:t>广州市公安局交警支队2025-2027年中心五区市政道路交通设施维护项目</w:t>
      </w:r>
      <w:r>
        <w:rPr>
          <w:rFonts w:hint="eastAsia" w:ascii="宋体" w:hAnsi="宋体"/>
          <w:color w:val="auto"/>
          <w:sz w:val="24"/>
          <w:highlight w:val="none"/>
          <w:u w:val="single"/>
        </w:rPr>
        <w:t>（标段   ）</w:t>
      </w:r>
      <w:r>
        <w:rPr>
          <w:rFonts w:hint="eastAsia" w:ascii="新宋体" w:hAnsi="新宋体" w:eastAsia="新宋体"/>
          <w:color w:val="auto"/>
          <w:sz w:val="24"/>
          <w:highlight w:val="none"/>
        </w:rPr>
        <w:t>投标，对于拟投入本标段使用的机动车辆及驾驶司机的使用，我司在此郑重承诺并作如下声明：</w:t>
      </w:r>
    </w:p>
    <w:p>
      <w:pPr>
        <w:pStyle w:val="13"/>
        <w:spacing w:line="360" w:lineRule="auto"/>
        <w:ind w:firstLine="480"/>
        <w:contextualSpacing/>
        <w:rPr>
          <w:rFonts w:ascii="新宋体" w:hAnsi="新宋体" w:eastAsia="新宋体"/>
          <w:b/>
          <w:color w:val="auto"/>
          <w:sz w:val="24"/>
          <w:szCs w:val="24"/>
          <w:highlight w:val="none"/>
        </w:rPr>
      </w:pPr>
      <w:r>
        <w:rPr>
          <w:rFonts w:hint="eastAsia" w:ascii="新宋体" w:hAnsi="新宋体" w:eastAsia="新宋体"/>
          <w:b/>
          <w:color w:val="auto"/>
          <w:sz w:val="24"/>
          <w:szCs w:val="24"/>
          <w:highlight w:val="none"/>
        </w:rPr>
        <w:t>我司将严格按要求使用合格的机动车辆和驾驶人员，对于投入本标段使用的机动车辆及驾驶司机，在合同期内完成合同约定内容的过程中产生</w:t>
      </w:r>
      <w:r>
        <w:rPr>
          <w:rFonts w:ascii="新宋体" w:hAnsi="新宋体" w:eastAsia="新宋体"/>
          <w:b/>
          <w:color w:val="auto"/>
          <w:sz w:val="24"/>
          <w:szCs w:val="24"/>
          <w:highlight w:val="none"/>
        </w:rPr>
        <w:t>的一切交通违法事件和事故</w:t>
      </w:r>
      <w:r>
        <w:rPr>
          <w:rFonts w:hint="eastAsia" w:ascii="新宋体" w:hAnsi="新宋体" w:eastAsia="新宋体"/>
          <w:b/>
          <w:color w:val="auto"/>
          <w:sz w:val="24"/>
          <w:szCs w:val="24"/>
          <w:highlight w:val="none"/>
        </w:rPr>
        <w:t>与贵单位无关，贵单位对此</w:t>
      </w:r>
      <w:r>
        <w:rPr>
          <w:rFonts w:ascii="新宋体" w:hAnsi="新宋体" w:eastAsia="新宋体"/>
          <w:b/>
          <w:color w:val="auto"/>
          <w:sz w:val="24"/>
          <w:szCs w:val="24"/>
          <w:highlight w:val="none"/>
        </w:rPr>
        <w:t>免予一切责任</w:t>
      </w:r>
      <w:r>
        <w:rPr>
          <w:rFonts w:hint="eastAsia" w:ascii="新宋体" w:hAnsi="新宋体" w:eastAsia="新宋体"/>
          <w:b/>
          <w:color w:val="auto"/>
          <w:sz w:val="24"/>
          <w:szCs w:val="24"/>
          <w:highlight w:val="none"/>
        </w:rPr>
        <w:t>。</w:t>
      </w:r>
    </w:p>
    <w:p>
      <w:pPr>
        <w:spacing w:line="360" w:lineRule="auto"/>
        <w:ind w:firstLine="480" w:firstLineChars="200"/>
        <w:contextualSpacing/>
        <w:rPr>
          <w:rFonts w:ascii="新宋体" w:hAnsi="新宋体" w:eastAsia="新宋体"/>
          <w:color w:val="auto"/>
          <w:sz w:val="24"/>
          <w:highlight w:val="none"/>
        </w:rPr>
      </w:pPr>
      <w:r>
        <w:rPr>
          <w:rFonts w:hint="eastAsia" w:ascii="新宋体" w:hAnsi="新宋体" w:eastAsia="新宋体"/>
          <w:color w:val="auto"/>
          <w:sz w:val="24"/>
          <w:highlight w:val="none"/>
        </w:rPr>
        <w:t>特此声明。</w:t>
      </w:r>
    </w:p>
    <w:p>
      <w:pPr>
        <w:spacing w:line="360" w:lineRule="auto"/>
        <w:ind w:left="239" w:leftChars="114" w:firstLine="4320" w:firstLineChars="1800"/>
        <w:contextualSpacing/>
        <w:rPr>
          <w:rFonts w:ascii="新宋体" w:hAnsi="新宋体" w:eastAsia="新宋体"/>
          <w:color w:val="auto"/>
          <w:sz w:val="24"/>
          <w:highlight w:val="none"/>
        </w:rPr>
      </w:pPr>
    </w:p>
    <w:p>
      <w:pPr>
        <w:spacing w:line="360" w:lineRule="auto"/>
        <w:ind w:left="239" w:leftChars="114" w:firstLine="4320" w:firstLineChars="1800"/>
        <w:contextualSpacing/>
        <w:rPr>
          <w:rFonts w:ascii="新宋体" w:hAnsi="新宋体" w:eastAsia="新宋体"/>
          <w:color w:val="auto"/>
          <w:sz w:val="24"/>
          <w:highlight w:val="none"/>
        </w:rPr>
      </w:pPr>
    </w:p>
    <w:p>
      <w:pPr>
        <w:spacing w:line="360" w:lineRule="auto"/>
        <w:ind w:left="239" w:leftChars="114" w:firstLine="4320" w:firstLineChars="1800"/>
        <w:contextualSpacing/>
        <w:rPr>
          <w:rFonts w:ascii="新宋体" w:hAnsi="新宋体" w:eastAsia="新宋体"/>
          <w:color w:val="auto"/>
          <w:sz w:val="24"/>
          <w:highlight w:val="none"/>
        </w:rPr>
      </w:pPr>
    </w:p>
    <w:p>
      <w:pPr>
        <w:spacing w:line="360" w:lineRule="auto"/>
        <w:ind w:left="239" w:leftChars="114" w:firstLine="4320" w:firstLineChars="1800"/>
        <w:contextualSpacing/>
        <w:rPr>
          <w:rFonts w:ascii="新宋体" w:hAnsi="新宋体" w:eastAsia="新宋体"/>
          <w:color w:val="auto"/>
          <w:sz w:val="24"/>
          <w:highlight w:val="none"/>
        </w:rPr>
      </w:pPr>
    </w:p>
    <w:p>
      <w:pPr>
        <w:spacing w:line="360" w:lineRule="auto"/>
        <w:ind w:left="239" w:leftChars="114" w:firstLine="4320" w:firstLineChars="1800"/>
        <w:contextualSpacing/>
        <w:rPr>
          <w:rFonts w:ascii="新宋体" w:hAnsi="新宋体" w:eastAsia="新宋体"/>
          <w:color w:val="auto"/>
          <w:sz w:val="24"/>
          <w:highlight w:val="none"/>
        </w:rPr>
      </w:pPr>
    </w:p>
    <w:p>
      <w:pPr>
        <w:spacing w:line="360" w:lineRule="auto"/>
        <w:ind w:left="239" w:leftChars="114" w:firstLine="4320" w:firstLineChars="1800"/>
        <w:contextualSpacing/>
        <w:rPr>
          <w:rFonts w:ascii="新宋体" w:hAnsi="新宋体" w:eastAsia="新宋体"/>
          <w:color w:val="auto"/>
          <w:sz w:val="24"/>
          <w:highlight w:val="none"/>
        </w:rPr>
      </w:pPr>
    </w:p>
    <w:p>
      <w:pPr>
        <w:spacing w:line="360" w:lineRule="auto"/>
        <w:ind w:left="239" w:leftChars="114" w:firstLine="4320" w:firstLineChars="1800"/>
        <w:contextualSpacing/>
        <w:rPr>
          <w:rFonts w:ascii="新宋体" w:hAnsi="新宋体" w:eastAsia="新宋体"/>
          <w:b/>
          <w:color w:val="auto"/>
          <w:sz w:val="24"/>
          <w:highlight w:val="none"/>
        </w:rPr>
      </w:pPr>
      <w:r>
        <w:rPr>
          <w:rFonts w:hint="eastAsia" w:ascii="新宋体" w:hAnsi="新宋体" w:eastAsia="新宋体"/>
          <w:color w:val="auto"/>
          <w:sz w:val="24"/>
          <w:highlight w:val="none"/>
        </w:rPr>
        <w:t>投标人（公章）：</w:t>
      </w:r>
    </w:p>
    <w:p>
      <w:pPr>
        <w:spacing w:line="360" w:lineRule="auto"/>
        <w:ind w:left="239" w:leftChars="114" w:firstLine="1440" w:firstLineChars="600"/>
        <w:contextualSpacing/>
        <w:rPr>
          <w:rFonts w:ascii="新宋体" w:hAnsi="新宋体" w:eastAsia="新宋体"/>
          <w:b/>
          <w:color w:val="auto"/>
          <w:sz w:val="24"/>
          <w:highlight w:val="none"/>
        </w:rPr>
      </w:pPr>
      <w:r>
        <w:rPr>
          <w:rFonts w:hint="eastAsia" w:ascii="新宋体" w:hAnsi="新宋体" w:eastAsia="新宋体"/>
          <w:color w:val="auto"/>
          <w:sz w:val="24"/>
          <w:highlight w:val="none"/>
        </w:rPr>
        <w:t>法定代表人或其授权委托人（签名或盖章）：</w:t>
      </w:r>
    </w:p>
    <w:p>
      <w:pPr>
        <w:autoSpaceDE w:val="0"/>
        <w:autoSpaceDN w:val="0"/>
        <w:adjustRightInd w:val="0"/>
        <w:ind w:firstLine="5460" w:firstLineChars="2600"/>
        <w:rPr>
          <w:rFonts w:ascii="宋体"/>
          <w:b/>
          <w:color w:val="auto"/>
          <w:highlight w:val="none"/>
        </w:rPr>
      </w:pPr>
      <w:r>
        <w:rPr>
          <w:rFonts w:hint="eastAsia" w:ascii="新宋体" w:hAnsi="新宋体" w:eastAsia="新宋体"/>
          <w:color w:val="auto"/>
          <w:highlight w:val="none"/>
        </w:rPr>
        <w:t>日  期：    年     月   日</w:t>
      </w:r>
    </w:p>
    <w:p>
      <w:pPr>
        <w:autoSpaceDE w:val="0"/>
        <w:autoSpaceDN w:val="0"/>
        <w:adjustRightInd w:val="0"/>
        <w:rPr>
          <w:rFonts w:ascii="宋体"/>
          <w:b/>
          <w:color w:val="auto"/>
          <w:highlight w:val="none"/>
        </w:rPr>
      </w:pPr>
    </w:p>
    <w:p>
      <w:pPr>
        <w:tabs>
          <w:tab w:val="left" w:pos="720"/>
        </w:tabs>
        <w:snapToGrid w:val="0"/>
        <w:spacing w:line="360" w:lineRule="auto"/>
        <w:jc w:val="both"/>
        <w:outlineLvl w:val="0"/>
        <w:rPr>
          <w:rStyle w:val="26"/>
          <w:rFonts w:hint="default"/>
          <w:color w:val="auto"/>
          <w:highlight w:val="none"/>
        </w:rPr>
      </w:pPr>
      <w:r>
        <w:rPr>
          <w:rStyle w:val="26"/>
          <w:rFonts w:hint="default"/>
          <w:color w:val="auto"/>
          <w:highlight w:val="none"/>
        </w:rPr>
        <w:br w:type="page"/>
      </w:r>
      <w:bookmarkStart w:id="25" w:name="_Toc4998"/>
      <w:r>
        <w:rPr>
          <w:rStyle w:val="26"/>
          <w:rFonts w:hint="default"/>
          <w:color w:val="auto"/>
          <w:highlight w:val="none"/>
        </w:rPr>
        <w:t>第五章  技术条件（工程建设标准）</w:t>
      </w:r>
      <w:bookmarkEnd w:id="25"/>
    </w:p>
    <w:p>
      <w:pPr>
        <w:spacing w:line="560" w:lineRule="exact"/>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一、项目概况</w:t>
      </w:r>
    </w:p>
    <w:p>
      <w:pPr>
        <w:spacing w:line="560" w:lineRule="exact"/>
        <w:ind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color w:val="auto"/>
          <w:sz w:val="24"/>
          <w:szCs w:val="24"/>
          <w:highlight w:val="none"/>
        </w:rPr>
        <w:t>中标人须在中标结果公告之日起2个工作日内向采购人提供与提交投标电子标书内容一致且每页加盖单位公章的纸质投标文件3套及电子文件1套。</w:t>
      </w:r>
    </w:p>
    <w:p>
      <w:pPr>
        <w:spacing w:line="560" w:lineRule="exact"/>
        <w:ind w:firstLine="482" w:firstLineChars="200"/>
        <w:rPr>
          <w:rFonts w:hint="eastAsia" w:ascii="仿宋_GB2312" w:hAnsi="仿宋_GB2312" w:eastAsia="仿宋_GB2312" w:cs="仿宋_GB2312"/>
          <w:color w:val="auto"/>
          <w:sz w:val="24"/>
          <w:szCs w:val="24"/>
          <w:highlight w:val="none"/>
        </w:rPr>
      </w:pPr>
      <w:r>
        <w:rPr>
          <w:rFonts w:hint="eastAsia" w:ascii="楷体_GB2312" w:hAnsi="楷体_GB2312" w:eastAsia="楷体_GB2312" w:cs="楷体_GB2312"/>
          <w:b/>
          <w:bCs/>
          <w:color w:val="auto"/>
          <w:sz w:val="24"/>
          <w:szCs w:val="24"/>
          <w:highlight w:val="none"/>
        </w:rPr>
        <w:t>（一）项目名称</w:t>
      </w:r>
    </w:p>
    <w:p>
      <w:pPr>
        <w:spacing w:line="560" w:lineRule="exact"/>
        <w:ind w:firstLine="480" w:firstLineChars="200"/>
        <w:rPr>
          <w:rFonts w:hint="eastAsia" w:ascii="仿宋_GB2312" w:hAnsi="仿宋_GB2312" w:eastAsia="仿宋_GB2312" w:cs="仿宋_GB2312"/>
          <w:color w:val="auto"/>
          <w:sz w:val="24"/>
          <w:szCs w:val="24"/>
          <w:highlight w:val="none"/>
        </w:rPr>
      </w:pPr>
      <w:bookmarkStart w:id="26" w:name="_Toc387326562"/>
      <w:bookmarkStart w:id="27" w:name="_Toc383551980"/>
      <w:bookmarkStart w:id="28" w:name="_Toc325015974"/>
      <w:bookmarkStart w:id="29" w:name="_Toc530992479"/>
      <w:r>
        <w:rPr>
          <w:rFonts w:hint="eastAsia" w:ascii="仿宋_GB2312" w:hAnsi="仿宋_GB2312" w:eastAsia="仿宋_GB2312" w:cs="仿宋_GB2312"/>
          <w:color w:val="auto"/>
          <w:sz w:val="24"/>
          <w:szCs w:val="24"/>
          <w:highlight w:val="none"/>
        </w:rPr>
        <w:t>广州市公安局交警支队</w:t>
      </w:r>
      <w:r>
        <w:rPr>
          <w:rFonts w:hint="eastAsia" w:ascii="仿宋_GB2312" w:hAnsi="仿宋_GB2312" w:eastAsia="仿宋_GB2312" w:cs="仿宋_GB2312"/>
          <w:color w:val="auto"/>
          <w:sz w:val="24"/>
          <w:szCs w:val="24"/>
          <w:highlight w:val="none"/>
          <w:lang w:eastAsia="zh-CN"/>
        </w:rPr>
        <w:t>2025-2027</w:t>
      </w:r>
      <w:r>
        <w:rPr>
          <w:rFonts w:hint="eastAsia" w:ascii="仿宋_GB2312" w:hAnsi="仿宋_GB2312" w:eastAsia="仿宋_GB2312" w:cs="仿宋_GB2312"/>
          <w:color w:val="auto"/>
          <w:sz w:val="24"/>
          <w:szCs w:val="24"/>
          <w:highlight w:val="none"/>
        </w:rPr>
        <w:t>年中心五区市政道路交通设施维护项目</w:t>
      </w:r>
    </w:p>
    <w:p>
      <w:pPr>
        <w:numPr>
          <w:ilvl w:val="0"/>
          <w:numId w:val="3"/>
        </w:numPr>
        <w:spacing w:line="560" w:lineRule="exact"/>
        <w:ind w:firstLine="482" w:firstLineChars="200"/>
        <w:rPr>
          <w:rFonts w:hint="eastAsia" w:ascii="楷体_GB2312" w:hAnsi="楷体_GB2312" w:eastAsia="楷体_GB2312" w:cs="楷体_GB2312"/>
          <w:b/>
          <w:bCs/>
          <w:color w:val="auto"/>
          <w:sz w:val="24"/>
          <w:szCs w:val="24"/>
          <w:highlight w:val="none"/>
        </w:rPr>
      </w:pPr>
      <w:r>
        <w:rPr>
          <w:rFonts w:hint="eastAsia" w:ascii="楷体_GB2312" w:hAnsi="楷体_GB2312" w:eastAsia="楷体_GB2312" w:cs="楷体_GB2312"/>
          <w:b/>
          <w:bCs/>
          <w:color w:val="auto"/>
          <w:sz w:val="24"/>
          <w:szCs w:val="24"/>
          <w:highlight w:val="none"/>
        </w:rPr>
        <w:t>单位简介</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警支队隶属广州市公安局，作为公安交通管理部门，负责广州市中心五区支路（不含）以上等级市政道路交通安全设施的日常管养工作，由下属的秩序设施大队具体负责交通设施维护项目的日常管理实施工作。市交警支队下属11个交警大队，分别为越秀大队、荔湾大队、天河大队、海珠大队、白云一大队、白云二大队、高速一大队、高速二大队、高速三大队、环城大队、高速五大队。</w:t>
      </w:r>
    </w:p>
    <w:p>
      <w:pPr>
        <w:numPr>
          <w:ilvl w:val="0"/>
          <w:numId w:val="3"/>
        </w:numPr>
        <w:spacing w:line="560" w:lineRule="exact"/>
        <w:ind w:firstLine="482" w:firstLineChars="200"/>
        <w:rPr>
          <w:rFonts w:hint="eastAsia" w:ascii="楷体_GB2312" w:hAnsi="楷体_GB2312" w:eastAsia="楷体_GB2312" w:cs="楷体_GB2312"/>
          <w:b/>
          <w:bCs/>
          <w:color w:val="auto"/>
          <w:sz w:val="24"/>
          <w:szCs w:val="24"/>
          <w:highlight w:val="none"/>
        </w:rPr>
      </w:pPr>
      <w:r>
        <w:rPr>
          <w:rFonts w:hint="eastAsia" w:ascii="楷体_GB2312" w:hAnsi="楷体_GB2312" w:eastAsia="楷体_GB2312" w:cs="楷体_GB2312"/>
          <w:b/>
          <w:bCs/>
          <w:color w:val="auto"/>
          <w:sz w:val="24"/>
          <w:szCs w:val="24"/>
          <w:highlight w:val="none"/>
        </w:rPr>
        <w:t>项目背景</w:t>
      </w:r>
      <w:bookmarkEnd w:id="26"/>
      <w:bookmarkEnd w:id="27"/>
      <w:bookmarkEnd w:id="28"/>
      <w:bookmarkEnd w:id="29"/>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根据《广州市人民政府办公厅关于印发广州市城市建设维护工作市区分工调整方案的通知》（穗府办函〔2020〕19号）、市政府对《广州市交通运输局 广州市公安局关于明确中心五区支路以上市政道路标志标线维护有关工作的请示》的批复（综四交通〔2021〕255号）精神以及我局与市交通运输局签订的市、区道路交通设施管养事权交接书，目前由我支队负责管养的中心五区支路（不含）以上等级市政道路交通安全设施具体如下：</w:t>
      </w:r>
    </w:p>
    <w:p>
      <w:pPr>
        <w:numPr>
          <w:ilvl w:val="0"/>
          <w:numId w:val="4"/>
        </w:numPr>
        <w:spacing w:line="560" w:lineRule="exact"/>
        <w:ind w:firstLine="480" w:firstLineChars="200"/>
        <w:rPr>
          <w:rFonts w:hint="eastAsia" w:ascii="仿宋_GB2312" w:hAnsi="仿宋_GB2312" w:eastAsia="仿宋_GB2312" w:cs="仿宋_GB2312"/>
          <w:color w:val="auto"/>
          <w:sz w:val="24"/>
          <w:szCs w:val="24"/>
          <w:highlight w:val="none"/>
        </w:rPr>
      </w:pPr>
      <w:bookmarkStart w:id="30" w:name="_Toc325015975"/>
      <w:bookmarkStart w:id="31" w:name="_Toc387326563"/>
      <w:bookmarkStart w:id="32" w:name="_Toc383551981"/>
      <w:bookmarkStart w:id="33" w:name="_Toc530992480"/>
      <w:bookmarkStart w:id="34" w:name="_Toc271198123"/>
      <w:r>
        <w:rPr>
          <w:rFonts w:hint="eastAsia" w:ascii="仿宋_GB2312" w:hAnsi="仿宋_GB2312" w:eastAsia="仿宋_GB2312" w:cs="仿宋_GB2312"/>
          <w:color w:val="auto"/>
          <w:sz w:val="24"/>
          <w:szCs w:val="24"/>
          <w:highlight w:val="none"/>
        </w:rPr>
        <w:t>中心五区（越秀、海珠、荔湾、天河、白云区）支路（不含）以上等级市政道路的机动车道路护栏、机非分隔护栏、交通标志、交通标线、防撞消能桶、广角镜等交通安全设施。</w:t>
      </w:r>
    </w:p>
    <w:p>
      <w:pPr>
        <w:numPr>
          <w:ilvl w:val="0"/>
          <w:numId w:val="4"/>
        </w:num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市管8条重要市政道路、重要跨江桥梁除上述交通设施外，还包括人行道护栏。</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市管8条重要市政道路包括：滨江路—阅江路（鹤洞桥—琶洲—科韵路）、沿江路—临江大道（至科韵路）、东风西路—黄埔大道（至科韵路）、环市路（南岸路）—中山大道（至科韵路）、广州大道全线、机场路—解放路、同泰路—白云大道—大金钟路、广园路。</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（2）重要跨江桥梁包括：海珠桥、人民桥、广州大桥、海印桥、江湾桥、解放桥、鹤洞大桥、猎德大桥、琶洲大桥、金沙洲大桥。</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3、广园快速路（天河段）的人行道护栏。</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4、上述所称的交通标志，是指以颜色、形状、文字、图形等向道路使用者传递信息的标志，包括警告标志、禁令标志（限高标志除外）、指示标志、指路标志、告示标志及辅助标志。</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5、上述所称的交通标线，是指施划或安装于道路上的各种线条、箭头、文字、图案及立面标记、突起路标、轮廓标、弹性交通柱等交通安全设施。</w:t>
      </w:r>
    </w:p>
    <w:p>
      <w:pPr>
        <w:spacing w:line="56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6、统计至202</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月，中心五区支路（不含）以上等级市政道路主要交通安全设施存量如下：</w:t>
      </w:r>
    </w:p>
    <w:p>
      <w:pPr>
        <w:adjustRightInd w:val="0"/>
        <w:snapToGrid w:val="0"/>
        <w:spacing w:line="5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表1：中心五区支路以上市政道路交通设施存量统计表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39"/>
        <w:gridCol w:w="834"/>
        <w:gridCol w:w="1000"/>
        <w:gridCol w:w="1243"/>
        <w:gridCol w:w="1334"/>
        <w:gridCol w:w="873"/>
        <w:gridCol w:w="91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pPr>
              <w:spacing w:line="320" w:lineRule="exact"/>
              <w:jc w:val="cente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序号</w:t>
            </w:r>
          </w:p>
        </w:tc>
        <w:tc>
          <w:tcPr>
            <w:tcW w:w="939" w:type="dxa"/>
            <w:noWrap w:val="0"/>
            <w:vAlign w:val="center"/>
          </w:tcPr>
          <w:p>
            <w:pPr>
              <w:spacing w:line="320" w:lineRule="exact"/>
              <w:jc w:val="cente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行政区</w:t>
            </w:r>
          </w:p>
        </w:tc>
        <w:tc>
          <w:tcPr>
            <w:tcW w:w="834" w:type="dxa"/>
            <w:noWrap w:val="0"/>
            <w:vAlign w:val="center"/>
          </w:tcPr>
          <w:p>
            <w:pPr>
              <w:spacing w:line="320" w:lineRule="exact"/>
              <w:jc w:val="cente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道路数量（条）</w:t>
            </w:r>
          </w:p>
        </w:tc>
        <w:tc>
          <w:tcPr>
            <w:tcW w:w="1000" w:type="dxa"/>
            <w:noWrap w:val="0"/>
            <w:vAlign w:val="center"/>
          </w:tcPr>
          <w:p>
            <w:pPr>
              <w:spacing w:line="320" w:lineRule="exact"/>
              <w:jc w:val="cente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道路总长（km）</w:t>
            </w:r>
          </w:p>
        </w:tc>
        <w:tc>
          <w:tcPr>
            <w:tcW w:w="1243" w:type="dxa"/>
            <w:noWrap w:val="0"/>
            <w:vAlign w:val="center"/>
          </w:tcPr>
          <w:p>
            <w:pPr>
              <w:spacing w:line="320" w:lineRule="exact"/>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交通标志（m</w:t>
            </w:r>
            <w:r>
              <w:rPr>
                <w:rFonts w:hint="eastAsia" w:ascii="仿宋" w:hAnsi="仿宋" w:eastAsia="仿宋"/>
                <w:b/>
                <w:bCs/>
                <w:color w:val="auto"/>
                <w:sz w:val="24"/>
                <w:szCs w:val="24"/>
                <w:highlight w:val="none"/>
                <w:vertAlign w:val="superscript"/>
              </w:rPr>
              <w:t>2</w:t>
            </w:r>
            <w:r>
              <w:rPr>
                <w:rFonts w:hint="eastAsia" w:ascii="仿宋" w:hAnsi="仿宋" w:eastAsia="仿宋"/>
                <w:b/>
                <w:bCs/>
                <w:color w:val="auto"/>
                <w:sz w:val="24"/>
                <w:szCs w:val="24"/>
                <w:highlight w:val="none"/>
              </w:rPr>
              <w:t>)</w:t>
            </w:r>
          </w:p>
        </w:tc>
        <w:tc>
          <w:tcPr>
            <w:tcW w:w="1334" w:type="dxa"/>
            <w:noWrap w:val="0"/>
            <w:vAlign w:val="center"/>
          </w:tcPr>
          <w:p>
            <w:pPr>
              <w:spacing w:line="320" w:lineRule="exact"/>
              <w:jc w:val="cente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交通标线（m</w:t>
            </w:r>
            <w:r>
              <w:rPr>
                <w:rFonts w:hint="eastAsia" w:ascii="仿宋" w:hAnsi="仿宋" w:eastAsia="仿宋"/>
                <w:b/>
                <w:bCs/>
                <w:color w:val="auto"/>
                <w:sz w:val="24"/>
                <w:szCs w:val="24"/>
                <w:highlight w:val="none"/>
                <w:vertAlign w:val="superscript"/>
              </w:rPr>
              <w:t>2</w:t>
            </w:r>
            <w:r>
              <w:rPr>
                <w:rFonts w:hint="eastAsia" w:ascii="仿宋" w:hAnsi="仿宋" w:eastAsia="仿宋"/>
                <w:b/>
                <w:bCs/>
                <w:color w:val="auto"/>
                <w:sz w:val="24"/>
                <w:szCs w:val="24"/>
                <w:highlight w:val="none"/>
              </w:rPr>
              <w:t>)</w:t>
            </w:r>
          </w:p>
        </w:tc>
        <w:tc>
          <w:tcPr>
            <w:tcW w:w="873" w:type="dxa"/>
            <w:noWrap w:val="0"/>
            <w:vAlign w:val="center"/>
          </w:tcPr>
          <w:p>
            <w:pPr>
              <w:spacing w:line="320" w:lineRule="exact"/>
              <w:jc w:val="cente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机动车道护栏（m）</w:t>
            </w:r>
          </w:p>
        </w:tc>
        <w:tc>
          <w:tcPr>
            <w:tcW w:w="912" w:type="dxa"/>
            <w:noWrap w:val="0"/>
            <w:vAlign w:val="center"/>
          </w:tcPr>
          <w:p>
            <w:pPr>
              <w:spacing w:line="320" w:lineRule="exact"/>
              <w:jc w:val="cente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机非分隔护栏（m）</w:t>
            </w:r>
          </w:p>
        </w:tc>
        <w:tc>
          <w:tcPr>
            <w:tcW w:w="883" w:type="dxa"/>
            <w:noWrap w:val="0"/>
            <w:vAlign w:val="center"/>
          </w:tcPr>
          <w:p>
            <w:pPr>
              <w:spacing w:line="320" w:lineRule="exact"/>
              <w:jc w:val="cente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人行道护栏（m）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939"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越秀</w:t>
            </w:r>
          </w:p>
        </w:tc>
        <w:tc>
          <w:tcPr>
            <w:tcW w:w="834" w:type="dxa"/>
            <w:noWrap w:val="0"/>
            <w:vAlign w:val="center"/>
          </w:tcPr>
          <w:p>
            <w:pPr>
              <w:spacing w:line="320" w:lineRule="exact"/>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83</w:t>
            </w:r>
          </w:p>
        </w:tc>
        <w:tc>
          <w:tcPr>
            <w:tcW w:w="1000" w:type="dxa"/>
            <w:noWrap w:val="0"/>
            <w:vAlign w:val="center"/>
          </w:tcPr>
          <w:p>
            <w:pPr>
              <w:spacing w:line="320" w:lineRule="exact"/>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100.3</w:t>
            </w:r>
          </w:p>
        </w:tc>
        <w:tc>
          <w:tcPr>
            <w:tcW w:w="1243"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10055.53</w:t>
            </w:r>
          </w:p>
        </w:tc>
        <w:tc>
          <w:tcPr>
            <w:tcW w:w="1334"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150067.26</w:t>
            </w:r>
          </w:p>
        </w:tc>
        <w:tc>
          <w:tcPr>
            <w:tcW w:w="873" w:type="dxa"/>
            <w:noWrap w:val="0"/>
            <w:vAlign w:val="center"/>
          </w:tcPr>
          <w:p>
            <w:pPr>
              <w:spacing w:line="320" w:lineRule="exact"/>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31317</w:t>
            </w:r>
          </w:p>
        </w:tc>
        <w:tc>
          <w:tcPr>
            <w:tcW w:w="912" w:type="dxa"/>
            <w:noWrap w:val="0"/>
            <w:vAlign w:val="center"/>
          </w:tcPr>
          <w:p>
            <w:pPr>
              <w:spacing w:line="320" w:lineRule="exact"/>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6516</w:t>
            </w:r>
          </w:p>
        </w:tc>
        <w:tc>
          <w:tcPr>
            <w:tcW w:w="883" w:type="dxa"/>
            <w:noWrap w:val="0"/>
            <w:vAlign w:val="center"/>
          </w:tcPr>
          <w:p>
            <w:pPr>
              <w:spacing w:line="320" w:lineRule="exact"/>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939"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海珠</w:t>
            </w:r>
          </w:p>
        </w:tc>
        <w:tc>
          <w:tcPr>
            <w:tcW w:w="834"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106</w:t>
            </w:r>
          </w:p>
        </w:tc>
        <w:tc>
          <w:tcPr>
            <w:tcW w:w="1000"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136.92</w:t>
            </w:r>
          </w:p>
        </w:tc>
        <w:tc>
          <w:tcPr>
            <w:tcW w:w="1243"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10182.79</w:t>
            </w:r>
          </w:p>
        </w:tc>
        <w:tc>
          <w:tcPr>
            <w:tcW w:w="1334"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237550.76</w:t>
            </w:r>
          </w:p>
        </w:tc>
        <w:tc>
          <w:tcPr>
            <w:tcW w:w="873" w:type="dxa"/>
            <w:noWrap w:val="0"/>
            <w:vAlign w:val="center"/>
          </w:tcPr>
          <w:p>
            <w:pPr>
              <w:spacing w:line="320" w:lineRule="exact"/>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29657</w:t>
            </w:r>
          </w:p>
        </w:tc>
        <w:tc>
          <w:tcPr>
            <w:tcW w:w="912" w:type="dxa"/>
            <w:noWrap w:val="0"/>
            <w:vAlign w:val="center"/>
          </w:tcPr>
          <w:p>
            <w:pPr>
              <w:spacing w:line="320" w:lineRule="exact"/>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18824</w:t>
            </w:r>
          </w:p>
        </w:tc>
        <w:tc>
          <w:tcPr>
            <w:tcW w:w="883" w:type="dxa"/>
            <w:noWrap w:val="0"/>
            <w:vAlign w:val="center"/>
          </w:tcPr>
          <w:p>
            <w:pPr>
              <w:spacing w:line="320" w:lineRule="exact"/>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9068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939"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天河</w:t>
            </w:r>
          </w:p>
        </w:tc>
        <w:tc>
          <w:tcPr>
            <w:tcW w:w="834"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65</w:t>
            </w:r>
          </w:p>
        </w:tc>
        <w:tc>
          <w:tcPr>
            <w:tcW w:w="1000"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155.72</w:t>
            </w:r>
          </w:p>
        </w:tc>
        <w:tc>
          <w:tcPr>
            <w:tcW w:w="1243"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17324.97</w:t>
            </w:r>
          </w:p>
        </w:tc>
        <w:tc>
          <w:tcPr>
            <w:tcW w:w="1334"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320182.94</w:t>
            </w:r>
          </w:p>
        </w:tc>
        <w:tc>
          <w:tcPr>
            <w:tcW w:w="873" w:type="dxa"/>
            <w:noWrap w:val="0"/>
            <w:vAlign w:val="center"/>
          </w:tcPr>
          <w:p>
            <w:pPr>
              <w:spacing w:line="320" w:lineRule="exact"/>
              <w:jc w:val="center"/>
              <w:rPr>
                <w:rFonts w:hint="default" w:ascii="仿宋" w:hAnsi="仿宋" w:eastAsia="仿宋" w:cs="Times New Roman"/>
                <w:color w:val="auto"/>
                <w:sz w:val="24"/>
                <w:szCs w:val="24"/>
                <w:highlight w:val="none"/>
                <w:lang w:val="en-US"/>
              </w:rPr>
            </w:pPr>
            <w:r>
              <w:rPr>
                <w:rFonts w:hint="eastAsia" w:ascii="仿宋" w:hAnsi="仿宋" w:eastAsia="仿宋" w:cs="Times New Roman"/>
                <w:color w:val="auto"/>
                <w:sz w:val="24"/>
                <w:szCs w:val="24"/>
                <w:highlight w:val="none"/>
                <w:lang w:val="en-US" w:eastAsia="zh-CN"/>
              </w:rPr>
              <w:t>32952</w:t>
            </w:r>
          </w:p>
        </w:tc>
        <w:tc>
          <w:tcPr>
            <w:tcW w:w="912" w:type="dxa"/>
            <w:noWrap w:val="0"/>
            <w:vAlign w:val="center"/>
          </w:tcPr>
          <w:p>
            <w:pPr>
              <w:spacing w:line="320" w:lineRule="exact"/>
              <w:jc w:val="center"/>
              <w:rPr>
                <w:rFonts w:hint="default" w:ascii="仿宋" w:hAnsi="仿宋" w:eastAsia="仿宋" w:cs="Times New Roman"/>
                <w:color w:val="auto"/>
                <w:sz w:val="24"/>
                <w:szCs w:val="24"/>
                <w:highlight w:val="none"/>
                <w:lang w:val="en-US"/>
              </w:rPr>
            </w:pPr>
            <w:r>
              <w:rPr>
                <w:rFonts w:hint="eastAsia" w:ascii="仿宋" w:hAnsi="仿宋" w:eastAsia="仿宋" w:cs="Times New Roman"/>
                <w:color w:val="auto"/>
                <w:sz w:val="24"/>
                <w:szCs w:val="24"/>
                <w:highlight w:val="none"/>
                <w:lang w:val="en-US" w:eastAsia="zh-CN"/>
              </w:rPr>
              <w:t>11109</w:t>
            </w:r>
          </w:p>
        </w:tc>
        <w:tc>
          <w:tcPr>
            <w:tcW w:w="883" w:type="dxa"/>
            <w:noWrap w:val="0"/>
            <w:vAlign w:val="center"/>
          </w:tcPr>
          <w:p>
            <w:pPr>
              <w:spacing w:line="320" w:lineRule="exact"/>
              <w:jc w:val="center"/>
              <w:rPr>
                <w:rFonts w:hint="default" w:ascii="仿宋" w:hAnsi="仿宋" w:eastAsia="仿宋" w:cs="Times New Roman"/>
                <w:color w:val="auto"/>
                <w:sz w:val="24"/>
                <w:szCs w:val="24"/>
                <w:highlight w:val="none"/>
                <w:lang w:val="en-US"/>
              </w:rPr>
            </w:pPr>
            <w:r>
              <w:rPr>
                <w:rFonts w:hint="eastAsia" w:ascii="仿宋" w:hAnsi="仿宋" w:eastAsia="仿宋" w:cs="Times New Roman"/>
                <w:color w:val="auto"/>
                <w:sz w:val="24"/>
                <w:szCs w:val="24"/>
                <w:highlight w:val="none"/>
                <w:lang w:val="en-US" w:eastAsia="zh-CN"/>
              </w:rPr>
              <w:t>4388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w:t>
            </w:r>
          </w:p>
        </w:tc>
        <w:tc>
          <w:tcPr>
            <w:tcW w:w="939"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荔湾</w:t>
            </w:r>
          </w:p>
        </w:tc>
        <w:tc>
          <w:tcPr>
            <w:tcW w:w="834"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63</w:t>
            </w:r>
          </w:p>
        </w:tc>
        <w:tc>
          <w:tcPr>
            <w:tcW w:w="1000"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81.73</w:t>
            </w:r>
          </w:p>
        </w:tc>
        <w:tc>
          <w:tcPr>
            <w:tcW w:w="1243"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19722.88</w:t>
            </w:r>
          </w:p>
        </w:tc>
        <w:tc>
          <w:tcPr>
            <w:tcW w:w="1334"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298835.54</w:t>
            </w:r>
          </w:p>
        </w:tc>
        <w:tc>
          <w:tcPr>
            <w:tcW w:w="873" w:type="dxa"/>
            <w:noWrap w:val="0"/>
            <w:vAlign w:val="center"/>
          </w:tcPr>
          <w:p>
            <w:pPr>
              <w:spacing w:line="320" w:lineRule="exact"/>
              <w:jc w:val="center"/>
              <w:rPr>
                <w:rFonts w:hint="default" w:ascii="仿宋" w:hAnsi="仿宋" w:eastAsia="仿宋" w:cs="Times New Roman"/>
                <w:color w:val="auto"/>
                <w:sz w:val="24"/>
                <w:szCs w:val="24"/>
                <w:highlight w:val="none"/>
                <w:lang w:val="en-US"/>
              </w:rPr>
            </w:pPr>
            <w:r>
              <w:rPr>
                <w:rFonts w:hint="eastAsia" w:ascii="仿宋" w:hAnsi="仿宋" w:eastAsia="仿宋" w:cs="Times New Roman"/>
                <w:color w:val="auto"/>
                <w:sz w:val="24"/>
                <w:szCs w:val="24"/>
                <w:highlight w:val="none"/>
                <w:lang w:val="en-US" w:eastAsia="zh-CN"/>
              </w:rPr>
              <w:t>18753</w:t>
            </w:r>
          </w:p>
        </w:tc>
        <w:tc>
          <w:tcPr>
            <w:tcW w:w="912" w:type="dxa"/>
            <w:noWrap w:val="0"/>
            <w:vAlign w:val="center"/>
          </w:tcPr>
          <w:p>
            <w:pPr>
              <w:spacing w:line="320" w:lineRule="exact"/>
              <w:jc w:val="center"/>
              <w:rPr>
                <w:rFonts w:hint="default" w:ascii="仿宋" w:hAnsi="仿宋" w:eastAsia="仿宋" w:cs="Times New Roman"/>
                <w:color w:val="auto"/>
                <w:sz w:val="24"/>
                <w:szCs w:val="24"/>
                <w:highlight w:val="none"/>
                <w:lang w:val="en-US"/>
              </w:rPr>
            </w:pPr>
            <w:r>
              <w:rPr>
                <w:rFonts w:hint="eastAsia" w:ascii="仿宋" w:hAnsi="仿宋" w:eastAsia="仿宋" w:cs="Times New Roman"/>
                <w:color w:val="auto"/>
                <w:sz w:val="24"/>
                <w:szCs w:val="24"/>
                <w:highlight w:val="none"/>
                <w:lang w:val="en-US" w:eastAsia="zh-CN"/>
              </w:rPr>
              <w:t>7398</w:t>
            </w:r>
          </w:p>
        </w:tc>
        <w:tc>
          <w:tcPr>
            <w:tcW w:w="883" w:type="dxa"/>
            <w:noWrap w:val="0"/>
            <w:vAlign w:val="center"/>
          </w:tcPr>
          <w:p>
            <w:pPr>
              <w:spacing w:line="320" w:lineRule="exact"/>
              <w:jc w:val="center"/>
              <w:rPr>
                <w:rFonts w:hint="default" w:ascii="仿宋" w:hAnsi="仿宋" w:eastAsia="仿宋" w:cs="Times New Roman"/>
                <w:color w:val="auto"/>
                <w:sz w:val="24"/>
                <w:szCs w:val="24"/>
                <w:highlight w:val="none"/>
                <w:lang w:val="en-US"/>
              </w:rPr>
            </w:pPr>
            <w:r>
              <w:rPr>
                <w:rFonts w:hint="eastAsia" w:ascii="仿宋" w:hAnsi="仿宋" w:eastAsia="仿宋" w:cs="Times New Roman"/>
                <w:color w:val="auto"/>
                <w:sz w:val="24"/>
                <w:szCs w:val="24"/>
                <w:highlight w:val="none"/>
                <w:lang w:val="en-US" w:eastAsia="zh-CN"/>
              </w:rPr>
              <w:t>9598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w:t>
            </w:r>
          </w:p>
        </w:tc>
        <w:tc>
          <w:tcPr>
            <w:tcW w:w="939"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白云</w:t>
            </w:r>
          </w:p>
        </w:tc>
        <w:tc>
          <w:tcPr>
            <w:tcW w:w="834"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81</w:t>
            </w:r>
          </w:p>
        </w:tc>
        <w:tc>
          <w:tcPr>
            <w:tcW w:w="1000"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130.3</w:t>
            </w:r>
          </w:p>
        </w:tc>
        <w:tc>
          <w:tcPr>
            <w:tcW w:w="1243"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18728.02</w:t>
            </w:r>
          </w:p>
        </w:tc>
        <w:tc>
          <w:tcPr>
            <w:tcW w:w="1334"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382916.02</w:t>
            </w:r>
          </w:p>
        </w:tc>
        <w:tc>
          <w:tcPr>
            <w:tcW w:w="873" w:type="dxa"/>
            <w:noWrap w:val="0"/>
            <w:vAlign w:val="center"/>
          </w:tcPr>
          <w:p>
            <w:pPr>
              <w:spacing w:line="320" w:lineRule="exact"/>
              <w:jc w:val="center"/>
              <w:rPr>
                <w:rFonts w:hint="default" w:ascii="仿宋" w:hAnsi="仿宋" w:eastAsia="仿宋" w:cs="Times New Roman"/>
                <w:color w:val="auto"/>
                <w:sz w:val="24"/>
                <w:szCs w:val="24"/>
                <w:highlight w:val="none"/>
                <w:lang w:val="en-US"/>
              </w:rPr>
            </w:pPr>
            <w:r>
              <w:rPr>
                <w:rFonts w:hint="eastAsia" w:ascii="仿宋" w:hAnsi="仿宋" w:eastAsia="仿宋" w:cs="Times New Roman"/>
                <w:color w:val="auto"/>
                <w:sz w:val="24"/>
                <w:szCs w:val="24"/>
                <w:highlight w:val="none"/>
                <w:lang w:val="en-US" w:eastAsia="zh-CN"/>
              </w:rPr>
              <w:t>5151</w:t>
            </w:r>
          </w:p>
        </w:tc>
        <w:tc>
          <w:tcPr>
            <w:tcW w:w="912" w:type="dxa"/>
            <w:noWrap w:val="0"/>
            <w:vAlign w:val="center"/>
          </w:tcPr>
          <w:p>
            <w:pPr>
              <w:spacing w:line="320" w:lineRule="exact"/>
              <w:jc w:val="center"/>
              <w:rPr>
                <w:rFonts w:hint="default" w:ascii="仿宋" w:hAnsi="仿宋" w:eastAsia="仿宋" w:cs="Times New Roman"/>
                <w:color w:val="auto"/>
                <w:sz w:val="24"/>
                <w:szCs w:val="24"/>
                <w:highlight w:val="none"/>
                <w:lang w:val="en-US"/>
              </w:rPr>
            </w:pPr>
            <w:r>
              <w:rPr>
                <w:rFonts w:hint="eastAsia" w:ascii="仿宋" w:hAnsi="仿宋" w:eastAsia="仿宋" w:cs="Times New Roman"/>
                <w:color w:val="auto"/>
                <w:sz w:val="24"/>
                <w:szCs w:val="24"/>
                <w:highlight w:val="none"/>
                <w:lang w:val="en-US" w:eastAsia="zh-CN"/>
              </w:rPr>
              <w:t>7207</w:t>
            </w:r>
          </w:p>
        </w:tc>
        <w:tc>
          <w:tcPr>
            <w:tcW w:w="883" w:type="dxa"/>
            <w:noWrap w:val="0"/>
            <w:vAlign w:val="center"/>
          </w:tcPr>
          <w:p>
            <w:pPr>
              <w:spacing w:line="320" w:lineRule="exact"/>
              <w:jc w:val="center"/>
              <w:rPr>
                <w:rFonts w:hint="default" w:ascii="仿宋" w:hAnsi="仿宋" w:eastAsia="仿宋" w:cs="Times New Roman"/>
                <w:color w:val="auto"/>
                <w:sz w:val="24"/>
                <w:szCs w:val="24"/>
                <w:highlight w:val="none"/>
                <w:lang w:val="en-US"/>
              </w:rPr>
            </w:pPr>
            <w:r>
              <w:rPr>
                <w:rFonts w:hint="eastAsia" w:ascii="仿宋" w:hAnsi="仿宋" w:eastAsia="仿宋" w:cs="Times New Roman"/>
                <w:color w:val="auto"/>
                <w:sz w:val="24"/>
                <w:szCs w:val="24"/>
                <w:highlight w:val="none"/>
                <w:lang w:val="en-US" w:eastAsia="zh-CN"/>
              </w:rPr>
              <w:t>3778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w:t>
            </w:r>
          </w:p>
        </w:tc>
        <w:tc>
          <w:tcPr>
            <w:tcW w:w="939"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内环路</w:t>
            </w:r>
          </w:p>
        </w:tc>
        <w:tc>
          <w:tcPr>
            <w:tcW w:w="834"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1000"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26.7</w:t>
            </w:r>
          </w:p>
        </w:tc>
        <w:tc>
          <w:tcPr>
            <w:tcW w:w="1243"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5077.68</w:t>
            </w:r>
          </w:p>
        </w:tc>
        <w:tc>
          <w:tcPr>
            <w:tcW w:w="1334" w:type="dxa"/>
            <w:noWrap w:val="0"/>
            <w:vAlign w:val="center"/>
          </w:tcPr>
          <w:p>
            <w:pPr>
              <w:spacing w:line="3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73053.8</w:t>
            </w:r>
          </w:p>
        </w:tc>
        <w:tc>
          <w:tcPr>
            <w:tcW w:w="873" w:type="dxa"/>
            <w:noWrap w:val="0"/>
            <w:vAlign w:val="center"/>
          </w:tcPr>
          <w:p>
            <w:pPr>
              <w:spacing w:line="320" w:lineRule="exact"/>
              <w:jc w:val="center"/>
              <w:rPr>
                <w:rFonts w:hint="default" w:ascii="仿宋" w:hAnsi="仿宋" w:eastAsia="仿宋" w:cs="Times New Roman"/>
                <w:color w:val="auto"/>
                <w:sz w:val="24"/>
                <w:szCs w:val="24"/>
                <w:highlight w:val="none"/>
                <w:lang w:val="en-US"/>
              </w:rPr>
            </w:pPr>
            <w:r>
              <w:rPr>
                <w:rFonts w:hint="eastAsia" w:ascii="仿宋" w:hAnsi="仿宋" w:eastAsia="仿宋" w:cs="Times New Roman"/>
                <w:color w:val="auto"/>
                <w:sz w:val="24"/>
                <w:szCs w:val="24"/>
                <w:highlight w:val="none"/>
                <w:lang w:val="en-US" w:eastAsia="zh-CN"/>
              </w:rPr>
              <w:t>16918</w:t>
            </w:r>
          </w:p>
        </w:tc>
        <w:tc>
          <w:tcPr>
            <w:tcW w:w="912" w:type="dxa"/>
            <w:noWrap w:val="0"/>
            <w:vAlign w:val="center"/>
          </w:tcPr>
          <w:p>
            <w:pPr>
              <w:spacing w:line="320" w:lineRule="exact"/>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p>
        </w:tc>
        <w:tc>
          <w:tcPr>
            <w:tcW w:w="883" w:type="dxa"/>
            <w:noWrap w:val="0"/>
            <w:vAlign w:val="center"/>
          </w:tcPr>
          <w:p>
            <w:pPr>
              <w:spacing w:line="320" w:lineRule="exact"/>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p>
        </w:tc>
      </w:tr>
    </w:tbl>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警支队通过周期性交通设施维护项目的采购工作，实施各项交通设施日常巡查维护、抢修维护和单项维护工作，并结合落实各类交通保卫、抢险救灾的设施保障和交通组织调整的设施配套工作，对中心五区支路（不含）以上等级市政道路的交通护栏、交通标志标线等交通安全设施实行维护、抢修、更新、改造，确保交通设施完好，为缓解城市交通堵塞、减少交通事故发生、改善交通秩序、提高道路通行能力奠定坚实基础。</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进一步确保各类交通设施安全、完好、规范、有效，充分发挥道路交通管理设施的功能，确保人民群众生命财产安全，保证交通设施维护工作的连续性，特制定维护需求方案并通过公开招标方式选定维护施工单位，实施交通设施的日常维护工作</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项目配套的设计、监理服务项目另行采购</w:t>
      </w:r>
      <w:r>
        <w:rPr>
          <w:rFonts w:hint="eastAsia" w:ascii="仿宋_GB2312" w:hAnsi="仿宋_GB2312" w:eastAsia="仿宋_GB2312" w:cs="仿宋_GB2312"/>
          <w:color w:val="auto"/>
          <w:sz w:val="24"/>
          <w:szCs w:val="24"/>
          <w:highlight w:val="none"/>
        </w:rPr>
        <w:t>。</w:t>
      </w:r>
    </w:p>
    <w:bookmarkEnd w:id="30"/>
    <w:bookmarkEnd w:id="31"/>
    <w:bookmarkEnd w:id="32"/>
    <w:bookmarkEnd w:id="33"/>
    <w:bookmarkEnd w:id="34"/>
    <w:p>
      <w:pPr>
        <w:spacing w:line="560" w:lineRule="exact"/>
        <w:ind w:left="420" w:leftChars="200"/>
        <w:rPr>
          <w:rFonts w:hint="eastAsia" w:ascii="楷体_GB2312" w:hAnsi="楷体_GB2312" w:eastAsia="楷体_GB2312" w:cs="楷体_GB2312"/>
          <w:b/>
          <w:bCs/>
          <w:color w:val="auto"/>
          <w:sz w:val="24"/>
          <w:szCs w:val="24"/>
          <w:highlight w:val="none"/>
        </w:rPr>
      </w:pPr>
      <w:bookmarkStart w:id="35" w:name="_Toc383551982"/>
      <w:bookmarkStart w:id="36" w:name="_Toc387326564"/>
      <w:bookmarkStart w:id="37" w:name="_Toc271198125"/>
      <w:bookmarkStart w:id="38" w:name="_Toc325015976"/>
      <w:bookmarkStart w:id="39" w:name="_Toc530992481"/>
      <w:r>
        <w:rPr>
          <w:rFonts w:hint="eastAsia" w:ascii="楷体_GB2312" w:hAnsi="楷体_GB2312" w:eastAsia="楷体_GB2312" w:cs="楷体_GB2312"/>
          <w:b/>
          <w:bCs/>
          <w:color w:val="auto"/>
          <w:sz w:val="24"/>
          <w:szCs w:val="24"/>
          <w:highlight w:val="none"/>
        </w:rPr>
        <w:t>（四）维护</w:t>
      </w:r>
      <w:bookmarkEnd w:id="35"/>
      <w:bookmarkEnd w:id="36"/>
      <w:bookmarkEnd w:id="37"/>
      <w:bookmarkEnd w:id="38"/>
      <w:bookmarkEnd w:id="39"/>
      <w:r>
        <w:rPr>
          <w:rFonts w:hint="eastAsia" w:ascii="楷体_GB2312" w:hAnsi="楷体_GB2312" w:eastAsia="楷体_GB2312" w:cs="楷体_GB2312"/>
          <w:b/>
          <w:bCs/>
          <w:color w:val="auto"/>
          <w:sz w:val="24"/>
          <w:szCs w:val="24"/>
          <w:highlight w:val="none"/>
        </w:rPr>
        <w:t>内容</w:t>
      </w:r>
    </w:p>
    <w:p>
      <w:pPr>
        <w:spacing w:line="560" w:lineRule="exact"/>
        <w:ind w:firstLine="480" w:firstLineChars="200"/>
        <w:rPr>
          <w:rFonts w:hint="eastAsia" w:ascii="仿宋_GB2312" w:hAnsi="仿宋_GB2312" w:eastAsia="仿宋_GB2312" w:cs="仿宋_GB2312"/>
          <w:color w:val="auto"/>
          <w:sz w:val="24"/>
          <w:szCs w:val="24"/>
          <w:highlight w:val="none"/>
        </w:rPr>
      </w:pPr>
      <w:bookmarkStart w:id="40" w:name="_Toc271198126"/>
      <w:r>
        <w:rPr>
          <w:rFonts w:hint="eastAsia" w:ascii="仿宋_GB2312" w:hAnsi="仿宋_GB2312" w:eastAsia="仿宋_GB2312" w:cs="仿宋_GB2312"/>
          <w:color w:val="auto"/>
          <w:sz w:val="24"/>
          <w:szCs w:val="24"/>
          <w:highlight w:val="none"/>
        </w:rPr>
        <w:t>1、日常巡查维护。根据巡查工作要求，制定巡查计划、路线和方案，安排专人专车对道路交通护栏、标志标线等设施进行日常巡查，填报巡查记录表。巡查发现存在问题的，通过拍照、录像等方式记录，及时按照约定方式进行报障，经项目监理或</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核定同意后实施调直、扶正、加固等现场简易修复作业；定期更新路面设施基础台账等。</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2、抢修维护。根据巡查发现问题或项目监理、</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下达的指令，在限定的时间内对存在损坏、缺失等故障问题的交通设施进行维修、更换或补装，对设施抢修前、后实施拍照登记，完善抢修工作台账。</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3、单项维护。指根据交通管理工作需要，按</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下达的指令，对交通护栏、标志标线等设施实施拆除、迁移、翻新、新增或改造工作；</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各类交通保卫、抢险救灾等工作的交通设施保障服务。包括交通标志、活动护栏、示警锥、水马等各项交通警保卫用设施的采购、制作、安装、维修、翻新、运送、摆放、收回，以及安排人员和工程车辆在现场待命等。</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5、交通组织调整工作的交通设施配套服务。按</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下达的指令和交通组织调整方案，制作交通设施调整前后的平面示意图，核算工程量，编制预算，并实施交通标志、交通标线、交通护栏、示警桩等交通设施的新增、撤除、更换等工作。</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6、标段划分：</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标段1：越秀区、高速公路一大队；</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标段2：天河区、高速公路三大队；</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标段3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海珠区、高速公路五大队；</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标段4、白云区、高速公路二大队；</w:t>
      </w:r>
    </w:p>
    <w:p>
      <w:pPr>
        <w:spacing w:line="56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标段5：荔湾区、内环路及其放射线、环城大队。</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上述区域指中心五区的行政区域；高速公路一、二、三、五大队及环城大队为交警支队属下高速公路管理大队，本项目同时承担其范围内涉及的警、保卫及抢险救灾等事项的设施保障工作。合同履行期间，如部分行政区域或高速公路大队管辖区域有所调整的，由</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视情况相应调整维护范围。）</w:t>
      </w:r>
      <w:bookmarkStart w:id="41" w:name="_Toc530992482"/>
      <w:bookmarkStart w:id="42" w:name="_Toc383551983"/>
      <w:bookmarkStart w:id="43" w:name="_Toc325015977"/>
      <w:bookmarkStart w:id="44" w:name="_Toc387326565"/>
    </w:p>
    <w:p>
      <w:pPr>
        <w:spacing w:line="560" w:lineRule="exact"/>
        <w:ind w:left="420" w:leftChars="200"/>
        <w:rPr>
          <w:rFonts w:hint="eastAsia" w:ascii="楷体_GB2312" w:hAnsi="楷体_GB2312" w:eastAsia="楷体_GB2312" w:cs="楷体_GB2312"/>
          <w:b/>
          <w:bCs/>
          <w:color w:val="auto"/>
          <w:sz w:val="24"/>
          <w:szCs w:val="24"/>
          <w:highlight w:val="none"/>
        </w:rPr>
      </w:pPr>
      <w:r>
        <w:rPr>
          <w:rFonts w:hint="eastAsia" w:ascii="楷体_GB2312" w:hAnsi="楷体_GB2312" w:eastAsia="楷体_GB2312" w:cs="楷体_GB2312"/>
          <w:b/>
          <w:bCs/>
          <w:color w:val="auto"/>
          <w:sz w:val="24"/>
          <w:szCs w:val="24"/>
          <w:highlight w:val="none"/>
        </w:rPr>
        <w:t>（五）维护经费</w:t>
      </w:r>
      <w:bookmarkEnd w:id="41"/>
      <w:bookmarkEnd w:id="42"/>
      <w:bookmarkEnd w:id="43"/>
      <w:bookmarkEnd w:id="44"/>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5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五个标段两年期维护总经费为</w:t>
      </w:r>
      <w:r>
        <w:rPr>
          <w:rFonts w:hint="eastAsia" w:ascii="微软雅黑" w:hAnsi="微软雅黑" w:eastAsia="微软雅黑"/>
          <w:color w:val="auto"/>
          <w:sz w:val="24"/>
          <w:szCs w:val="24"/>
          <w:highlight w:val="none"/>
          <w:u w:val="single"/>
        </w:rPr>
        <w:t>114952632</w:t>
      </w:r>
      <w:r>
        <w:rPr>
          <w:rFonts w:hint="eastAsia" w:ascii="微软雅黑" w:hAnsi="微软雅黑" w:eastAsia="微软雅黑"/>
          <w:color w:val="auto"/>
          <w:sz w:val="24"/>
          <w:szCs w:val="24"/>
          <w:highlight w:val="none"/>
          <w:u w:val="single"/>
          <w:lang w:val="en-US" w:eastAsia="zh-CN"/>
        </w:rPr>
        <w:t>.</w:t>
      </w:r>
      <w:r>
        <w:rPr>
          <w:rFonts w:hint="eastAsia" w:ascii="微软雅黑" w:hAnsi="微软雅黑" w:eastAsia="微软雅黑"/>
          <w:color w:val="auto"/>
          <w:sz w:val="24"/>
          <w:szCs w:val="24"/>
          <w:highlight w:val="none"/>
          <w:u w:val="single"/>
        </w:rPr>
        <w:t>1</w:t>
      </w:r>
      <w:r>
        <w:rPr>
          <w:rFonts w:hint="eastAsia" w:ascii="仿宋_GB2312" w:hAnsi="仿宋_GB2312" w:eastAsia="仿宋_GB2312" w:cs="仿宋_GB2312"/>
          <w:color w:val="auto"/>
          <w:sz w:val="24"/>
          <w:szCs w:val="24"/>
          <w:highlight w:val="none"/>
        </w:rPr>
        <w:t>元。其中标段1的维护经费为</w:t>
      </w:r>
      <w:r>
        <w:rPr>
          <w:rFonts w:hint="eastAsia" w:ascii="微软雅黑" w:hAnsi="微软雅黑" w:eastAsia="微软雅黑"/>
          <w:color w:val="auto"/>
          <w:sz w:val="24"/>
          <w:szCs w:val="24"/>
          <w:highlight w:val="none"/>
          <w:u w:val="single"/>
          <w:lang w:val="en-US" w:eastAsia="zh-CN"/>
        </w:rPr>
        <w:t>20958671.72</w:t>
      </w:r>
      <w:r>
        <w:rPr>
          <w:rFonts w:hint="eastAsia" w:ascii="仿宋_GB2312" w:hAnsi="仿宋_GB2312" w:eastAsia="仿宋_GB2312" w:cs="仿宋_GB2312"/>
          <w:color w:val="auto"/>
          <w:sz w:val="24"/>
          <w:szCs w:val="24"/>
          <w:highlight w:val="none"/>
        </w:rPr>
        <w:t>元，标段2的维护经费为</w:t>
      </w:r>
      <w:r>
        <w:rPr>
          <w:rFonts w:hint="eastAsia" w:ascii="微软雅黑" w:hAnsi="微软雅黑" w:eastAsia="微软雅黑"/>
          <w:color w:val="auto"/>
          <w:sz w:val="24"/>
          <w:szCs w:val="24"/>
          <w:highlight w:val="none"/>
          <w:u w:val="single"/>
          <w:lang w:val="en-US" w:eastAsia="zh-CN"/>
        </w:rPr>
        <w:t>23977580.97</w:t>
      </w:r>
      <w:r>
        <w:rPr>
          <w:rFonts w:hint="eastAsia" w:ascii="仿宋_GB2312" w:hAnsi="仿宋_GB2312" w:eastAsia="仿宋_GB2312" w:cs="仿宋_GB2312"/>
          <w:color w:val="auto"/>
          <w:sz w:val="24"/>
          <w:szCs w:val="24"/>
          <w:highlight w:val="none"/>
        </w:rPr>
        <w:t>元，标段3的维护经费为</w:t>
      </w:r>
      <w:r>
        <w:rPr>
          <w:rFonts w:hint="eastAsia" w:ascii="微软雅黑" w:hAnsi="微软雅黑" w:eastAsia="微软雅黑"/>
          <w:color w:val="auto"/>
          <w:sz w:val="24"/>
          <w:szCs w:val="24"/>
          <w:highlight w:val="none"/>
          <w:u w:val="single"/>
          <w:lang w:val="en-US" w:eastAsia="zh-CN"/>
        </w:rPr>
        <w:t>22122964.65</w:t>
      </w:r>
      <w:r>
        <w:rPr>
          <w:rFonts w:hint="eastAsia" w:ascii="仿宋_GB2312" w:hAnsi="仿宋_GB2312" w:eastAsia="仿宋_GB2312" w:cs="仿宋_GB2312"/>
          <w:color w:val="auto"/>
          <w:sz w:val="24"/>
          <w:szCs w:val="24"/>
          <w:highlight w:val="none"/>
        </w:rPr>
        <w:t>元，标段4的维护经费为</w:t>
      </w:r>
      <w:r>
        <w:rPr>
          <w:rFonts w:hint="eastAsia" w:ascii="微软雅黑" w:hAnsi="微软雅黑" w:eastAsia="微软雅黑"/>
          <w:color w:val="auto"/>
          <w:sz w:val="24"/>
          <w:szCs w:val="24"/>
          <w:highlight w:val="none"/>
          <w:u w:val="single"/>
          <w:lang w:val="en-US" w:eastAsia="zh-CN"/>
        </w:rPr>
        <w:t>23975063.14</w:t>
      </w:r>
      <w:r>
        <w:rPr>
          <w:rFonts w:hint="eastAsia" w:ascii="仿宋_GB2312" w:hAnsi="仿宋_GB2312" w:eastAsia="仿宋_GB2312" w:cs="仿宋_GB2312"/>
          <w:color w:val="auto"/>
          <w:sz w:val="24"/>
          <w:szCs w:val="24"/>
          <w:highlight w:val="none"/>
        </w:rPr>
        <w:t>元，标段5的维护经费为</w:t>
      </w:r>
      <w:r>
        <w:rPr>
          <w:rFonts w:hint="eastAsia" w:ascii="微软雅黑" w:hAnsi="微软雅黑" w:eastAsia="微软雅黑"/>
          <w:color w:val="auto"/>
          <w:sz w:val="24"/>
          <w:szCs w:val="24"/>
          <w:highlight w:val="none"/>
          <w:u w:val="single"/>
          <w:lang w:val="en-US" w:eastAsia="zh-CN"/>
        </w:rPr>
        <w:t>23918351.62</w:t>
      </w:r>
      <w:r>
        <w:rPr>
          <w:rFonts w:hint="eastAsia" w:ascii="仿宋_GB2312" w:hAnsi="仿宋_GB2312" w:eastAsia="仿宋_GB2312" w:cs="仿宋_GB2312"/>
          <w:color w:val="auto"/>
          <w:sz w:val="24"/>
          <w:szCs w:val="24"/>
          <w:highlight w:val="none"/>
        </w:rPr>
        <w:t>元。具体以市财政下达的城市维护资金计划和最终审定的结算价款为准。</w:t>
      </w:r>
    </w:p>
    <w:p>
      <w:pPr>
        <w:spacing w:line="560" w:lineRule="exact"/>
        <w:ind w:firstLine="482" w:firstLineChars="200"/>
        <w:rPr>
          <w:rFonts w:hint="eastAsia" w:ascii="楷体_GB2312" w:hAnsi="楷体_GB2312" w:eastAsia="楷体_GB2312" w:cs="楷体_GB2312"/>
          <w:b/>
          <w:bCs/>
          <w:color w:val="auto"/>
          <w:sz w:val="24"/>
          <w:szCs w:val="24"/>
          <w:highlight w:val="none"/>
        </w:rPr>
      </w:pPr>
      <w:bookmarkStart w:id="45" w:name="_Toc383551984"/>
      <w:bookmarkStart w:id="46" w:name="_Toc530992483"/>
      <w:bookmarkStart w:id="47" w:name="_Toc387326566"/>
      <w:bookmarkStart w:id="48" w:name="_Toc325015978"/>
      <w:r>
        <w:rPr>
          <w:rFonts w:hint="eastAsia" w:ascii="楷体_GB2312" w:hAnsi="楷体_GB2312" w:eastAsia="楷体_GB2312" w:cs="楷体_GB2312"/>
          <w:b/>
          <w:bCs/>
          <w:color w:val="auto"/>
          <w:sz w:val="24"/>
          <w:szCs w:val="24"/>
          <w:highlight w:val="none"/>
        </w:rPr>
        <w:t>（六）维护周期</w:t>
      </w:r>
      <w:bookmarkEnd w:id="45"/>
      <w:bookmarkEnd w:id="46"/>
      <w:bookmarkEnd w:id="47"/>
      <w:bookmarkEnd w:id="48"/>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自合同签订生效</w:t>
      </w:r>
      <w:r>
        <w:rPr>
          <w:rFonts w:hint="eastAsia" w:ascii="仿宋_GB2312" w:hAnsi="仿宋_GB2312" w:eastAsia="仿宋_GB2312" w:cs="仿宋_GB2312"/>
          <w:color w:val="auto"/>
          <w:sz w:val="24"/>
          <w:szCs w:val="24"/>
          <w:highlight w:val="none"/>
          <w:lang w:val="en-US" w:eastAsia="zh-CN"/>
        </w:rPr>
        <w:t>且监理下达开工令</w:t>
      </w:r>
      <w:r>
        <w:rPr>
          <w:rFonts w:hint="eastAsia" w:ascii="仿宋_GB2312" w:hAnsi="仿宋_GB2312" w:eastAsia="仿宋_GB2312" w:cs="仿宋_GB2312"/>
          <w:color w:val="auto"/>
          <w:sz w:val="24"/>
          <w:szCs w:val="24"/>
          <w:highlight w:val="none"/>
        </w:rPr>
        <w:t>之日起24个月或当项目实际发生的总服务费用累计达到本项目总限价时（以先到为准），本合同终止。</w:t>
      </w:r>
    </w:p>
    <w:p>
      <w:pPr>
        <w:spacing w:line="560" w:lineRule="exact"/>
        <w:ind w:firstLine="482" w:firstLineChars="200"/>
        <w:rPr>
          <w:rFonts w:hint="eastAsia" w:ascii="楷体_GB2312" w:hAnsi="楷体_GB2312" w:eastAsia="楷体_GB2312" w:cs="楷体_GB2312"/>
          <w:b/>
          <w:bCs/>
          <w:color w:val="auto"/>
          <w:sz w:val="24"/>
          <w:szCs w:val="24"/>
          <w:highlight w:val="none"/>
        </w:rPr>
      </w:pPr>
      <w:bookmarkStart w:id="49" w:name="_Toc325015979"/>
      <w:bookmarkStart w:id="50" w:name="_Toc387326567"/>
      <w:bookmarkStart w:id="51" w:name="_Toc530992484"/>
      <w:bookmarkStart w:id="52" w:name="_Toc383551985"/>
      <w:r>
        <w:rPr>
          <w:rFonts w:hint="eastAsia" w:ascii="楷体_GB2312" w:hAnsi="楷体_GB2312" w:eastAsia="楷体_GB2312" w:cs="楷体_GB2312"/>
          <w:b/>
          <w:bCs/>
          <w:color w:val="auto"/>
          <w:sz w:val="24"/>
          <w:szCs w:val="24"/>
          <w:highlight w:val="none"/>
        </w:rPr>
        <w:t>（七）指导原则</w:t>
      </w:r>
      <w:bookmarkEnd w:id="40"/>
      <w:bookmarkEnd w:id="49"/>
      <w:bookmarkEnd w:id="50"/>
      <w:bookmarkEnd w:id="51"/>
      <w:bookmarkEnd w:id="52"/>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1、完整性原则。在项目的维护周期内，启动、计划、执行、控制、收尾各个过程必须贯穿始终，有效地实施项目的整体、范围、时间、成本、质量、人力、沟通、风险、采购管理。</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2、规范性原则。维护人员严格按照规定的维护流程进行维护工作，严格遵守国家相关法规规程、广州市公安局和交警支队的相关工作要求，并做好维护记录和工作总结。</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3、安全性原则。维护要以保证道路交通护栏等交通隔离和安全附属设施处于安全运行状态为前提，严格遵守交通保卫和公安信息应用等各项保密协定，尊重</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和各相关干系人利益，并在现场设施维护、抢修、设施保障和配套等项工程施工和服务工作中，保障维护作业人员和行人等的人身安全，落实各项防护措施，确保维护工作的顺利进行。</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4、高效原则。建立各项抢修、警保卫保障配套等工作的快速响应机制，保证日常故障抢修、重大故障现场处理、紧急工作任务快速响应等在</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要求的时间内完成。</w:t>
      </w:r>
      <w:bookmarkStart w:id="53" w:name="_Toc530992486"/>
      <w:bookmarkStart w:id="54" w:name="_Toc325015981"/>
      <w:bookmarkStart w:id="55" w:name="_Toc387326569"/>
      <w:bookmarkStart w:id="56" w:name="_Toc383551987"/>
    </w:p>
    <w:p>
      <w:pPr>
        <w:spacing w:line="56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5、其他。本项目投标要求5个标段兼投不兼中，各有效标段按照标段1到标段5的先后顺序，依次推荐各有效标段的中标候选人。</w:t>
      </w:r>
    </w:p>
    <w:p>
      <w:pPr>
        <w:spacing w:line="560" w:lineRule="exact"/>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二、维护现状</w:t>
      </w:r>
    </w:p>
    <w:bookmarkEnd w:id="53"/>
    <w:bookmarkEnd w:id="54"/>
    <w:bookmarkEnd w:id="55"/>
    <w:bookmarkEnd w:id="56"/>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目前广州市中心五区由交警支队负责维护和管理的交通设施主要包括支路（不含）以上市政道路的交通标志约</w:t>
      </w:r>
      <w:r>
        <w:rPr>
          <w:rFonts w:hint="eastAsia" w:ascii="仿宋_GB2312" w:hAnsi="仿宋_GB2312" w:eastAsia="仿宋_GB2312" w:cs="仿宋_GB2312"/>
          <w:color w:val="auto"/>
          <w:sz w:val="24"/>
          <w:szCs w:val="24"/>
          <w:highlight w:val="none"/>
          <w:lang w:val="en-US" w:eastAsia="zh-CN"/>
        </w:rPr>
        <w:t>8.1</w:t>
      </w:r>
      <w:r>
        <w:rPr>
          <w:rFonts w:hint="eastAsia" w:ascii="仿宋_GB2312" w:hAnsi="仿宋_GB2312" w:eastAsia="仿宋_GB2312" w:cs="仿宋_GB2312"/>
          <w:color w:val="auto"/>
          <w:sz w:val="24"/>
          <w:szCs w:val="24"/>
          <w:highlight w:val="none"/>
        </w:rPr>
        <w:t>万平方米，交通标线约</w:t>
      </w:r>
      <w:r>
        <w:rPr>
          <w:rFonts w:hint="eastAsia" w:ascii="仿宋_GB2312" w:hAnsi="仿宋_GB2312" w:eastAsia="仿宋_GB2312" w:cs="仿宋_GB2312"/>
          <w:color w:val="auto"/>
          <w:sz w:val="24"/>
          <w:szCs w:val="24"/>
          <w:highlight w:val="none"/>
          <w:lang w:val="en-US" w:eastAsia="zh-CN"/>
        </w:rPr>
        <w:t>146.26</w:t>
      </w:r>
      <w:r>
        <w:rPr>
          <w:rFonts w:hint="eastAsia" w:ascii="仿宋_GB2312" w:hAnsi="仿宋_GB2312" w:eastAsia="仿宋_GB2312" w:cs="仿宋_GB2312"/>
          <w:color w:val="auto"/>
          <w:sz w:val="24"/>
          <w:szCs w:val="24"/>
          <w:highlight w:val="none"/>
        </w:rPr>
        <w:t>万平方米，机动车道护栏约13</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公里，机非分隔护栏约</w:t>
      </w:r>
      <w:r>
        <w:rPr>
          <w:rFonts w:hint="eastAsia" w:ascii="仿宋_GB2312" w:hAnsi="仿宋_GB2312" w:eastAsia="仿宋_GB2312" w:cs="仿宋_GB2312"/>
          <w:color w:val="auto"/>
          <w:sz w:val="24"/>
          <w:szCs w:val="24"/>
          <w:highlight w:val="none"/>
          <w:lang w:val="en-US" w:eastAsia="zh-CN"/>
        </w:rPr>
        <w:t>55.9</w:t>
      </w:r>
      <w:r>
        <w:rPr>
          <w:rFonts w:hint="eastAsia" w:ascii="仿宋_GB2312" w:hAnsi="仿宋_GB2312" w:eastAsia="仿宋_GB2312" w:cs="仿宋_GB2312"/>
          <w:color w:val="auto"/>
          <w:sz w:val="24"/>
          <w:szCs w:val="24"/>
          <w:highlight w:val="none"/>
        </w:rPr>
        <w:t>公里，人行道护栏约</w:t>
      </w:r>
      <w:r>
        <w:rPr>
          <w:rFonts w:hint="eastAsia" w:ascii="仿宋_GB2312" w:hAnsi="仿宋_GB2312" w:eastAsia="仿宋_GB2312" w:cs="仿宋_GB2312"/>
          <w:color w:val="auto"/>
          <w:sz w:val="24"/>
          <w:szCs w:val="24"/>
          <w:highlight w:val="none"/>
          <w:lang w:val="en-US" w:eastAsia="zh-CN"/>
        </w:rPr>
        <w:t>46.58</w:t>
      </w:r>
      <w:r>
        <w:rPr>
          <w:rFonts w:hint="eastAsia" w:ascii="仿宋_GB2312" w:hAnsi="仿宋_GB2312" w:eastAsia="仿宋_GB2312" w:cs="仿宋_GB2312"/>
          <w:color w:val="auto"/>
          <w:sz w:val="24"/>
          <w:szCs w:val="24"/>
          <w:highlight w:val="none"/>
        </w:rPr>
        <w:t>公里，以及交通标志支撑杆件、示警桩、水码、石码、消能桶、广角镜、道钉、轮廓标等交通安全设施。</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新、改、扩建道路或其他专项治理工程新、改建的交通设施，符合移交手续的，自事权（管养）移交手续办理完成之日起，按所在行政区域交由本项目对应标段负责维护。</w:t>
      </w:r>
      <w:bookmarkStart w:id="57" w:name="_Toc271198133"/>
      <w:bookmarkStart w:id="58" w:name="_Toc265327727"/>
    </w:p>
    <w:p>
      <w:pPr>
        <w:spacing w:line="560" w:lineRule="exact"/>
        <w:ind w:firstLine="480" w:firstLineChars="200"/>
        <w:rPr>
          <w:rFonts w:hint="eastAsia" w:ascii="仿宋_GB2312" w:hAnsi="仿宋_GB2312" w:eastAsia="仿宋_GB2312" w:cs="仿宋_GB2312"/>
          <w:b/>
          <w:color w:val="auto"/>
          <w:sz w:val="24"/>
          <w:szCs w:val="24"/>
          <w:highlight w:val="none"/>
        </w:rPr>
      </w:pPr>
      <w:bookmarkStart w:id="59" w:name="_Toc295833712"/>
      <w:bookmarkStart w:id="60" w:name="_Toc530992488"/>
      <w:bookmarkStart w:id="61" w:name="_Toc383551989"/>
      <w:bookmarkStart w:id="62" w:name="_Toc271198137"/>
      <w:bookmarkStart w:id="63" w:name="_Toc325015983"/>
      <w:bookmarkStart w:id="64" w:name="_Toc237747560"/>
      <w:bookmarkStart w:id="65" w:name="_Toc387326571"/>
      <w:bookmarkStart w:id="66" w:name="_Toc238532210"/>
      <w:r>
        <w:rPr>
          <w:rFonts w:hint="eastAsia" w:ascii="黑体" w:hAnsi="黑体" w:eastAsia="黑体" w:cs="黑体"/>
          <w:bCs/>
          <w:color w:val="auto"/>
          <w:sz w:val="24"/>
          <w:szCs w:val="24"/>
          <w:highlight w:val="none"/>
        </w:rPr>
        <w:t>三、维护工程目录</w:t>
      </w:r>
      <w:bookmarkEnd w:id="59"/>
      <w:bookmarkEnd w:id="60"/>
      <w:bookmarkEnd w:id="61"/>
      <w:bookmarkEnd w:id="62"/>
      <w:bookmarkEnd w:id="63"/>
      <w:bookmarkEnd w:id="64"/>
      <w:bookmarkEnd w:id="65"/>
      <w:bookmarkEnd w:id="66"/>
    </w:p>
    <w:p>
      <w:pPr>
        <w:spacing w:line="560" w:lineRule="exact"/>
        <w:ind w:firstLine="482" w:firstLineChars="200"/>
        <w:rPr>
          <w:rFonts w:hint="eastAsia" w:ascii="楷体_GB2312" w:hAnsi="楷体_GB2312" w:eastAsia="楷体_GB2312" w:cs="楷体_GB2312"/>
          <w:b/>
          <w:bCs/>
          <w:color w:val="auto"/>
          <w:sz w:val="24"/>
          <w:szCs w:val="24"/>
          <w:highlight w:val="none"/>
        </w:rPr>
      </w:pPr>
      <w:bookmarkStart w:id="67" w:name="_Toc383551990"/>
      <w:bookmarkStart w:id="68" w:name="_Toc295833713"/>
      <w:bookmarkStart w:id="69" w:name="_Toc325015984"/>
      <w:bookmarkStart w:id="70" w:name="_Toc271198138"/>
      <w:bookmarkStart w:id="71" w:name="_Toc387326572"/>
      <w:bookmarkStart w:id="72" w:name="_Toc530992489"/>
      <w:r>
        <w:rPr>
          <w:rFonts w:hint="eastAsia" w:ascii="楷体_GB2312" w:hAnsi="楷体_GB2312" w:eastAsia="楷体_GB2312" w:cs="楷体_GB2312"/>
          <w:b/>
          <w:bCs/>
          <w:color w:val="auto"/>
          <w:sz w:val="24"/>
          <w:szCs w:val="24"/>
          <w:highlight w:val="none"/>
        </w:rPr>
        <w:t>（一）常规维护</w:t>
      </w:r>
      <w:bookmarkEnd w:id="67"/>
      <w:bookmarkEnd w:id="68"/>
      <w:bookmarkEnd w:id="69"/>
      <w:bookmarkEnd w:id="70"/>
      <w:r>
        <w:rPr>
          <w:rFonts w:hint="eastAsia" w:ascii="楷体_GB2312" w:hAnsi="楷体_GB2312" w:eastAsia="楷体_GB2312" w:cs="楷体_GB2312"/>
          <w:b/>
          <w:bCs/>
          <w:color w:val="auto"/>
          <w:sz w:val="24"/>
          <w:szCs w:val="24"/>
          <w:highlight w:val="none"/>
        </w:rPr>
        <w:t>工程</w:t>
      </w:r>
      <w:bookmarkEnd w:id="71"/>
      <w:bookmarkEnd w:id="72"/>
    </w:p>
    <w:p>
      <w:pPr>
        <w:spacing w:line="560" w:lineRule="exact"/>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1、日常巡查维护</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（1）对道路交通标志、标线、隔离护栏和其他交通安全设施的完好性进行巡查。</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（2）合理安排巡查计划，每标段每天2辆巡查车、2个工人（每辆车1个工人），每</w:t>
      </w:r>
      <w:r>
        <w:rPr>
          <w:rFonts w:hint="default" w:ascii="仿宋_GB2312" w:hAnsi="仿宋_GB2312" w:eastAsia="仿宋_GB2312" w:cs="仿宋_GB2312"/>
          <w:b w:val="0"/>
          <w:bCs/>
          <w:color w:val="auto"/>
          <w:sz w:val="24"/>
          <w:szCs w:val="24"/>
          <w:highlight w:val="none"/>
          <w:lang w:val="en-US"/>
        </w:rPr>
        <w:t>两</w:t>
      </w:r>
      <w:r>
        <w:rPr>
          <w:rFonts w:hint="eastAsia" w:ascii="仿宋_GB2312" w:hAnsi="仿宋_GB2312" w:eastAsia="仿宋_GB2312" w:cs="仿宋_GB2312"/>
          <w:b w:val="0"/>
          <w:bCs/>
          <w:color w:val="auto"/>
          <w:sz w:val="24"/>
          <w:szCs w:val="24"/>
          <w:highlight w:val="none"/>
        </w:rPr>
        <w:t>天</w:t>
      </w:r>
      <w:r>
        <w:rPr>
          <w:rFonts w:hint="eastAsia" w:ascii="仿宋_GB2312" w:hAnsi="仿宋_GB2312" w:eastAsia="仿宋_GB2312" w:cs="仿宋_GB2312"/>
          <w:color w:val="auto"/>
          <w:sz w:val="24"/>
          <w:szCs w:val="24"/>
          <w:highlight w:val="none"/>
        </w:rPr>
        <w:t>一次完成对标段内所有交通设施的巡查，并按规定填写《交通设施巡查登记表》，在每月的5日前将上个月的巡查结果报监理和</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。（注：承包人承诺优于发包人每天2车2人的基本要求，实际每天按2车2人计量。）</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交通设施完好性巡查的主要内容为：护栏（安装和地基牢固、齐整，曲直度、高度和离地距离是否合乎标准，有无人为或客观因素造成的歪斜、残旧、损坏、缺失、缺护栏枝条、脏污、生锈变形、移位等现象，有无被广告牌等遮挡或加挂广告横额、花篮和其他物品等）、底座、立柱和其他紧固件（基础稳固，无松动，无缺失，无生锈变形，无移位，排列方向、间隔距离等满足要求），护栏反光膜（无剥落、无老化破裂、无变形，其尺寸大小、粘贴间隔和反光度符合要求）、示警桩（有无歪斜、残旧、损坏、缺失）、水码、石码（有无歪斜、残旧、损坏、缺失、移位）、交通标志（是否合乎国家设置标准，有无歪斜、残旧、损坏、缺失，字体和翻译及指示方向有无不合理或错误现象，有无绿化遮挡，与交通标线和交通组织方式是否匹配等现象）及其支撑杆件（设置位置、高度是否合理，基础是否松动，杆件有无锈蚀，螺栓有无缺失、锈蚀等）、交通标线（是否合乎国家设置和施划标准，有无残旧、重叠、缺失，是否反光，与交通组织或交通标志有无不匹配或不合理甚至错误现象）等。</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巡查发现简易故障的，除交通高峰期外的其他时段应立即开展简易修复工作。</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发现交通设施存在被恶意破坏、盗窃的要立即报告</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，经</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同意后，</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按照本合同巡查抢修时限工作要求完成抢修工作。</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对于管养道路上未移交的交通设施，应统一纳入巡查范围，发现问题应及时报告采购人。</w:t>
      </w:r>
    </w:p>
    <w:p>
      <w:pPr>
        <w:spacing w:line="56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2、24小时应急备勤</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（1）24小时应急值班制，确保能按要求完成重大故障抢修及突发应急保障等任务。</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（2）如遇突发事件，确保能按要求出动足够应急力量，每标段需满足不少于3辆工程车、15人的基本要求。</w:t>
      </w:r>
    </w:p>
    <w:p>
      <w:pPr>
        <w:spacing w:line="560" w:lineRule="exact"/>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3、常规待命设施仓存和装备保障</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常规待命状态下，仓库内保证有足够的交通隔离、交通管制和安全防护等设施，以满足日常维护及突发应急保障要求；应至少要满足3t、5t、8t工程车各一辆满载的数量，并保证车辆和各种装配器械处于良好的可用状态。</w:t>
      </w:r>
    </w:p>
    <w:p>
      <w:pPr>
        <w:spacing w:line="56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4、日常的维护管理</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（1）服务台管理，包括事件登记、咨询、协调等。定时进入</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规定的工作办公室，以</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运行维护管理系统为主要工具，负责接收设施维护系统事件登记、咨询，协调、指派具体维护任务等，反馈信息并按运维管理流程与</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沟通。</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（2）配置管理，交通设施和设备的配置信息收集、更新，配置文档更新和版本控制。</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（3）仓存管理，对仓库设备、配件、工程材料的入库、存放、出库等方面进行管理。周期性维护项目因周期更替须对存放设施进行转仓的，自项目交接之日起2个月内，由</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安排接替公司安排车辆及人员进场转运，</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应无条件配合提交、核对设施台账，并提供场内相关装卸设备实施装卸工作。如因项目采购等原因导致周期衔接出现延迟的，</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应服从</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安排，提供车辆、器械、人员配合将仓存设施调配、运送至指定地点。</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（4）其它，包括现场勘查，服务流程的改进，维护团队的管理等。</w:t>
      </w:r>
    </w:p>
    <w:p>
      <w:pPr>
        <w:spacing w:line="560" w:lineRule="exact"/>
        <w:ind w:firstLine="482" w:firstLineChars="200"/>
        <w:rPr>
          <w:rFonts w:hint="eastAsia" w:ascii="仿宋_GB2312" w:hAnsi="仿宋_GB2312" w:eastAsia="仿宋_GB2312" w:cs="仿宋_GB2312"/>
          <w:color w:val="auto"/>
          <w:sz w:val="24"/>
          <w:szCs w:val="24"/>
          <w:highlight w:val="none"/>
        </w:rPr>
      </w:pPr>
      <w:bookmarkStart w:id="73" w:name="_Toc295833714"/>
      <w:bookmarkStart w:id="74" w:name="_Toc325015985"/>
      <w:bookmarkStart w:id="75" w:name="_Toc271198139"/>
      <w:bookmarkStart w:id="76" w:name="_Toc383551991"/>
      <w:bookmarkStart w:id="77" w:name="_Toc530992490"/>
      <w:bookmarkStart w:id="78" w:name="_Toc387326573"/>
      <w:r>
        <w:rPr>
          <w:rFonts w:hint="eastAsia" w:ascii="楷体_GB2312" w:hAnsi="楷体_GB2312" w:eastAsia="楷体_GB2312" w:cs="楷体_GB2312"/>
          <w:b/>
          <w:bCs/>
          <w:color w:val="auto"/>
          <w:sz w:val="24"/>
          <w:szCs w:val="24"/>
          <w:highlight w:val="none"/>
        </w:rPr>
        <w:t>（二）非常规维护</w:t>
      </w:r>
      <w:bookmarkEnd w:id="73"/>
      <w:bookmarkEnd w:id="74"/>
      <w:bookmarkEnd w:id="75"/>
      <w:bookmarkEnd w:id="76"/>
      <w:r>
        <w:rPr>
          <w:rFonts w:hint="eastAsia" w:ascii="楷体_GB2312" w:hAnsi="楷体_GB2312" w:eastAsia="楷体_GB2312" w:cs="楷体_GB2312"/>
          <w:b/>
          <w:bCs/>
          <w:color w:val="auto"/>
          <w:sz w:val="24"/>
          <w:szCs w:val="24"/>
          <w:highlight w:val="none"/>
        </w:rPr>
        <w:t>工程</w:t>
      </w:r>
      <w:bookmarkEnd w:id="77"/>
      <w:bookmarkEnd w:id="78"/>
    </w:p>
    <w:p>
      <w:pPr>
        <w:spacing w:line="56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1、抢修维护</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（1）每标段每天至少安排2个班组（每个班组1辆车、3个工人），每天对标段内所有路口、路段的交通设施故障进行抢修排除。</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（2）安排专人24小时轮班值守并登记报障信息，分派抢修工作组赴现场完成抢修工作任务。</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（3）以任何形式接收到的抢修任务，日间（7:30-19:00）必须于10分钟内作出响应，1小时内到达现场，到场后1小时内完成抢修任务；夜间（19</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00-次日7:30）必须于20分钟内作出响应，2小时内到达现场，到场后2小时内完成抢修任务。</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部分涉及大型标志及杆件（如悬臂式、龙门架式标志及杆件）等的抢修工作，视实际损坏程度适当延长抢修时限要求，具体以项目监理或</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的指令为准。</w:t>
      </w:r>
    </w:p>
    <w:p>
      <w:pPr>
        <w:spacing w:line="56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2、单项工程维护</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（1）流程简要描述：一、</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下达工作任务书（《工作联系单》）；二、</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根据工作任务书联合项目设计单位至现场勘察、测量；三、制定初步设计图，提出维护工程方案（包括工程概算）；四、分别由监理、</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审核维护工程方案；五、设计单位根据审核完成的维护工程方案制作完善工程施工图；六、</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根据维护工程方案及工程施工设计图制作工程预算，交监理及</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下达《工程委托书》；七、</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组织实施；八、工程验收；九、收尾和计量，收尾包括更新设施数据库或文档。</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（2）单项维护工程的执行需要更高的技术和管理要求，</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应组织胜任的人员进行勘察设计，研究制定可行、合理的维护工程方案。维护工程方案经过审定后，在实施过程中一般不得改变，如确实遇到意外情况需要改变的，则必须征得</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的书面同意。</w:t>
      </w:r>
    </w:p>
    <w:p>
      <w:pPr>
        <w:spacing w:line="560" w:lineRule="exact"/>
        <w:ind w:firstLine="482" w:firstLineChars="200"/>
        <w:rPr>
          <w:rFonts w:hint="eastAsia" w:ascii="仿宋_GB2312" w:hAnsi="仿宋_GB2312" w:eastAsia="仿宋_GB2312" w:cs="仿宋_GB2312"/>
          <w:b/>
          <w:color w:val="auto"/>
          <w:sz w:val="24"/>
          <w:szCs w:val="24"/>
          <w:highlight w:val="none"/>
        </w:rPr>
      </w:pPr>
      <w:bookmarkStart w:id="79" w:name="_Toc237747571"/>
      <w:bookmarkStart w:id="80" w:name="_Toc238532221"/>
      <w:bookmarkStart w:id="81" w:name="_Toc383551992"/>
      <w:bookmarkStart w:id="82" w:name="_Toc295833724"/>
      <w:bookmarkStart w:id="83" w:name="_Toc271198149"/>
      <w:bookmarkStart w:id="84" w:name="_Toc325015986"/>
      <w:bookmarkStart w:id="85" w:name="_Toc530992491"/>
      <w:bookmarkStart w:id="86" w:name="_Toc387326574"/>
    </w:p>
    <w:p>
      <w:pPr>
        <w:spacing w:line="560" w:lineRule="exact"/>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四、人员要求</w:t>
      </w:r>
      <w:bookmarkEnd w:id="79"/>
      <w:bookmarkEnd w:id="80"/>
      <w:bookmarkEnd w:id="81"/>
      <w:bookmarkEnd w:id="82"/>
      <w:bookmarkEnd w:id="83"/>
      <w:bookmarkEnd w:id="84"/>
      <w:bookmarkEnd w:id="85"/>
      <w:bookmarkEnd w:id="86"/>
    </w:p>
    <w:p>
      <w:pPr>
        <w:spacing w:line="560" w:lineRule="exact"/>
        <w:ind w:firstLine="482" w:firstLineChars="200"/>
        <w:rPr>
          <w:rFonts w:hint="eastAsia" w:ascii="楷体_GB2312" w:hAnsi="楷体_GB2312" w:eastAsia="楷体_GB2312" w:cs="楷体_GB2312"/>
          <w:b/>
          <w:bCs/>
          <w:color w:val="auto"/>
          <w:sz w:val="24"/>
          <w:szCs w:val="24"/>
          <w:highlight w:val="none"/>
        </w:rPr>
      </w:pPr>
      <w:bookmarkStart w:id="87" w:name="_Toc383551993"/>
      <w:bookmarkStart w:id="88" w:name="_Toc387326575"/>
      <w:bookmarkStart w:id="89" w:name="_Toc530992492"/>
      <w:bookmarkStart w:id="90" w:name="_Toc295833725"/>
      <w:bookmarkStart w:id="91" w:name="_Toc271198150"/>
      <w:bookmarkStart w:id="92" w:name="_Toc325015987"/>
      <w:r>
        <w:rPr>
          <w:rFonts w:hint="eastAsia" w:ascii="楷体_GB2312" w:hAnsi="楷体_GB2312" w:eastAsia="楷体_GB2312" w:cs="楷体_GB2312"/>
          <w:b/>
          <w:bCs/>
          <w:color w:val="auto"/>
          <w:sz w:val="24"/>
          <w:szCs w:val="24"/>
          <w:highlight w:val="none"/>
        </w:rPr>
        <w:t>（一）人员配备</w:t>
      </w:r>
      <w:bookmarkEnd w:id="87"/>
      <w:bookmarkEnd w:id="88"/>
      <w:bookmarkEnd w:id="89"/>
      <w:bookmarkEnd w:id="90"/>
      <w:bookmarkEnd w:id="91"/>
      <w:bookmarkEnd w:id="92"/>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维护服务的项目组人数至少</w:t>
      </w:r>
      <w:r>
        <w:rPr>
          <w:rFonts w:hint="eastAsia" w:ascii="仿宋_GB2312" w:hAnsi="仿宋_GB2312" w:eastAsia="仿宋_GB2312" w:cs="仿宋_GB2312"/>
          <w:color w:val="auto"/>
          <w:sz w:val="24"/>
          <w:szCs w:val="24"/>
          <w:highlight w:val="none"/>
          <w:lang w:val="en-US" w:eastAsia="zh-CN"/>
        </w:rPr>
        <w:t>36</w:t>
      </w:r>
      <w:r>
        <w:rPr>
          <w:rFonts w:hint="eastAsia" w:ascii="仿宋_GB2312" w:hAnsi="仿宋_GB2312" w:eastAsia="仿宋_GB2312" w:cs="仿宋_GB2312"/>
          <w:color w:val="auto"/>
          <w:sz w:val="24"/>
          <w:szCs w:val="24"/>
          <w:highlight w:val="none"/>
        </w:rPr>
        <w:t>人：</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1、项目经理1人；</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2、项目工程师2人；</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3、总调度1人，调度助理1人；</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4、资料员3人，仓管员1人；</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5、工艺技术人员2人，专职质检、安全监督人员至少各1人；</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val="en-US" w:eastAsia="zh-CN"/>
        </w:rPr>
        <w:t>现场施工技术工人至少12人</w:t>
      </w:r>
      <w:r>
        <w:rPr>
          <w:rFonts w:hint="eastAsia" w:ascii="仿宋_GB2312" w:hAnsi="仿宋_GB2312" w:eastAsia="仿宋_GB2312" w:cs="仿宋_GB2312"/>
          <w:color w:val="auto"/>
          <w:sz w:val="24"/>
          <w:szCs w:val="24"/>
          <w:highlight w:val="none"/>
        </w:rPr>
        <w:t>；</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7、日常</w:t>
      </w:r>
      <w:r>
        <w:rPr>
          <w:rFonts w:hint="eastAsia" w:ascii="仿宋_GB2312" w:hAnsi="仿宋_GB2312" w:eastAsia="仿宋_GB2312" w:cs="仿宋_GB2312"/>
          <w:color w:val="auto"/>
          <w:sz w:val="24"/>
          <w:szCs w:val="24"/>
          <w:highlight w:val="none"/>
          <w:lang w:eastAsia="zh-CN"/>
        </w:rPr>
        <w:t>巡查、</w:t>
      </w:r>
      <w:r>
        <w:rPr>
          <w:rFonts w:hint="eastAsia" w:ascii="仿宋_GB2312" w:hAnsi="仿宋_GB2312" w:eastAsia="仿宋_GB2312" w:cs="仿宋_GB2312"/>
          <w:color w:val="auto"/>
          <w:sz w:val="24"/>
          <w:szCs w:val="24"/>
          <w:highlight w:val="none"/>
        </w:rPr>
        <w:t>抢修班组人员至少</w:t>
      </w:r>
      <w:r>
        <w:rPr>
          <w:rFonts w:hint="eastAsia" w:ascii="仿宋_GB2312" w:hAnsi="仿宋_GB2312" w:eastAsia="仿宋_GB2312" w:cs="仿宋_GB2312"/>
          <w:color w:val="auto"/>
          <w:sz w:val="24"/>
          <w:szCs w:val="24"/>
          <w:highlight w:val="none"/>
          <w:lang w:val="en-US" w:eastAsia="zh-CN"/>
        </w:rPr>
        <w:t>11</w:t>
      </w:r>
      <w:r>
        <w:rPr>
          <w:rFonts w:hint="eastAsia" w:ascii="仿宋_GB2312" w:hAnsi="仿宋_GB2312" w:eastAsia="仿宋_GB2312" w:cs="仿宋_GB2312"/>
          <w:color w:val="auto"/>
          <w:sz w:val="24"/>
          <w:szCs w:val="24"/>
          <w:highlight w:val="none"/>
        </w:rPr>
        <w:t>人；</w:t>
      </w:r>
    </w:p>
    <w:p>
      <w:pPr>
        <w:bidi w:val="0"/>
        <w:rPr>
          <w:rFonts w:hint="eastAsia"/>
          <w:color w:val="auto"/>
          <w:highlight w:val="none"/>
          <w:lang w:val="en-US" w:eastAsia="zh-CN"/>
        </w:rPr>
      </w:pPr>
    </w:p>
    <w:p>
      <w:pPr>
        <w:spacing w:line="560" w:lineRule="exact"/>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上述第1、3、7项人员需专职服务于本项目及本岗位，不能兼任其他（工程）项目职位，亦不得兼任本项目其他职位</w:t>
      </w:r>
      <w:r>
        <w:rPr>
          <w:rFonts w:hint="eastAsia" w:ascii="仿宋_GB2312" w:hAnsi="仿宋_GB2312" w:eastAsia="仿宋_GB2312" w:cs="仿宋_GB2312"/>
          <w:color w:val="auto"/>
          <w:sz w:val="24"/>
          <w:szCs w:val="24"/>
          <w:highlight w:val="none"/>
        </w:rPr>
        <w:t>；如有兼任情形，将按照《广州市公安局交通警察支队交通设施及交通信号设施维护项目管理办法》第6</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条不按投标承诺投入相应人力追究违约责任。所有配备人员要定期参加业务和技术培训，全面掌握设施维护工程技术。</w:t>
      </w:r>
    </w:p>
    <w:p>
      <w:pPr>
        <w:spacing w:line="560" w:lineRule="exact"/>
        <w:ind w:firstLine="482" w:firstLineChars="200"/>
        <w:rPr>
          <w:rFonts w:hint="eastAsia" w:ascii="仿宋_GB2312" w:hAnsi="仿宋_GB2312" w:eastAsia="仿宋_GB2312" w:cs="仿宋_GB2312"/>
          <w:color w:val="auto"/>
          <w:sz w:val="24"/>
          <w:szCs w:val="24"/>
          <w:highlight w:val="none"/>
        </w:rPr>
      </w:pPr>
      <w:bookmarkStart w:id="93" w:name="_Toc387326576"/>
      <w:bookmarkStart w:id="94" w:name="_Toc262823228"/>
      <w:bookmarkStart w:id="95" w:name="_Toc248294819"/>
      <w:bookmarkStart w:id="96" w:name="_Toc295833726"/>
      <w:bookmarkStart w:id="97" w:name="_Toc237859514"/>
      <w:bookmarkStart w:id="98" w:name="_Toc262053954"/>
      <w:bookmarkStart w:id="99" w:name="_Toc325015988"/>
      <w:bookmarkStart w:id="100" w:name="_Toc265160598"/>
      <w:bookmarkStart w:id="101" w:name="_Toc233619106"/>
      <w:bookmarkStart w:id="102" w:name="_Toc530992493"/>
      <w:bookmarkStart w:id="103" w:name="_Toc271198151"/>
      <w:bookmarkStart w:id="104" w:name="_Toc383551994"/>
      <w:r>
        <w:rPr>
          <w:rFonts w:hint="eastAsia" w:ascii="楷体_GB2312" w:hAnsi="楷体_GB2312" w:eastAsia="楷体_GB2312" w:cs="楷体_GB2312"/>
          <w:b/>
          <w:bCs/>
          <w:color w:val="auto"/>
          <w:sz w:val="24"/>
          <w:szCs w:val="24"/>
          <w:highlight w:val="none"/>
        </w:rPr>
        <w:t>（二）素质和能力</w:t>
      </w:r>
      <w:bookmarkEnd w:id="93"/>
      <w:bookmarkEnd w:id="94"/>
      <w:bookmarkEnd w:id="95"/>
      <w:bookmarkEnd w:id="96"/>
      <w:bookmarkEnd w:id="97"/>
      <w:bookmarkEnd w:id="98"/>
      <w:bookmarkEnd w:id="99"/>
      <w:bookmarkEnd w:id="100"/>
      <w:bookmarkEnd w:id="101"/>
      <w:bookmarkEnd w:id="102"/>
      <w:bookmarkEnd w:id="103"/>
      <w:bookmarkEnd w:id="104"/>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1、项目经理。要求具有项目经理资质；具有较全面的技术知识结构和项目管理能力，工作责任心强，有良好的协调能力和表达能力；落实现场带班生产工作义务（</w:t>
      </w:r>
      <w:r>
        <w:rPr>
          <w:rFonts w:hint="eastAsia" w:ascii="仿宋_GB2312" w:hAnsi="仿宋_GB2312" w:eastAsia="仿宋_GB2312" w:cs="仿宋_GB2312"/>
          <w:color w:val="auto"/>
          <w:sz w:val="24"/>
          <w:szCs w:val="24"/>
          <w:highlight w:val="none"/>
          <w:lang w:eastAsia="zh-CN"/>
        </w:rPr>
        <w:t>专项</w:t>
      </w:r>
      <w:r>
        <w:rPr>
          <w:rFonts w:hint="eastAsia" w:ascii="仿宋_GB2312" w:hAnsi="仿宋_GB2312" w:eastAsia="仿宋_GB2312" w:cs="仿宋_GB2312"/>
          <w:color w:val="auto"/>
          <w:sz w:val="24"/>
          <w:szCs w:val="24"/>
          <w:highlight w:val="none"/>
        </w:rPr>
        <w:t>施工、巡查），每周至少1次；从事交通设施工程项目建设或维护工作5年或以上。</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项目工程师。具备交通工程、市政工程专业中级或以上工程师资格；作为本维护工程项目的技术骨干，要求熟悉道路交通工程及交通设施设置的国家标准及规范，对各类事故多发点段、交通拥堵点段的交通组织、标志标线以及其他交通安全设施设置的合理性具备独立思考、初步评估能力，配合提交科学性、合理性优化建议以指导项目日常维护工作；熟悉维护工作流程和技术细节，能够制定详细的维护工程流程和施工工艺方法；掌握市场各类新型材料、新型技术交通设施的研制情况，适当于项目内推广试用；具有独立分析判断技术故障和组织解决技术问题能力，熟悉掌握现场勘查流程、电脑绘图、数据和文档整理等技能。从事交通工程建设或维护工作3年或以上。视</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需求进驻</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办公场所。</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调度人员。作为项目日常工作的主要联系人，须24小时保持通讯畅通；具备良好的沟通、协作、表达能力，熟悉各工艺班组人员，合理、及时作出调度指令；熟悉承包标段内道路及设施的基本情况。从事交通工程建设或维护工作2年或以上。</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4、资料人员。具备一定会计专业知识，具有很强的工作责任心，能耐心、细致、准确地处理相关资料，从事相关工作1年或以上。</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5、仓管员。具备一定仓库管理工作经验，能合理设置各类物资和产品的明细台账，按类型、规格、状态等条件悬挂识别卡片或标识；严格物资出、入仓管理；定期对各类物资做好检查、盘点。</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工艺技术人员、专职质检、安全监督人员。熟悉交通标志及其杆件、交通标线、交通护栏等交通安全设施的制作及安装技术工艺，具有一定信息技术、器械设备的操作能力及文字表达能力。从事相关工作3年以上。</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7、日常</w:t>
      </w:r>
      <w:r>
        <w:rPr>
          <w:rFonts w:hint="eastAsia" w:ascii="仿宋_GB2312" w:hAnsi="仿宋_GB2312" w:eastAsia="仿宋_GB2312" w:cs="仿宋_GB2312"/>
          <w:color w:val="auto"/>
          <w:sz w:val="24"/>
          <w:szCs w:val="24"/>
          <w:highlight w:val="none"/>
          <w:lang w:eastAsia="zh-CN"/>
        </w:rPr>
        <w:t>巡查、</w:t>
      </w:r>
      <w:r>
        <w:rPr>
          <w:rFonts w:hint="eastAsia" w:ascii="仿宋_GB2312" w:hAnsi="仿宋_GB2312" w:eastAsia="仿宋_GB2312" w:cs="仿宋_GB2312"/>
          <w:color w:val="auto"/>
          <w:sz w:val="24"/>
          <w:szCs w:val="24"/>
          <w:highlight w:val="none"/>
        </w:rPr>
        <w:t>抢修班组人员。熟悉各类交通设施设置的相关国家和区域标准及各项工作规程，能独立判断常见的设施故障，具备基础设施数据采集能力。从事交通设施建设或维护工作2年或以上，熟悉广州交通路网和所在单位承包标段辖区内的道路情况。熟悉交通标志、标线、护栏、示警桩、支撑杆件等设施的抢修工艺、施工流程及操作技能，能熟练操作相关制作和施工安装器械，能独立处理常见的设施故障。</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现场</w:t>
      </w:r>
      <w:r>
        <w:rPr>
          <w:rFonts w:hint="eastAsia" w:ascii="仿宋_GB2312" w:hAnsi="仿宋_GB2312" w:eastAsia="仿宋_GB2312" w:cs="仿宋_GB2312"/>
          <w:color w:val="auto"/>
          <w:sz w:val="24"/>
          <w:szCs w:val="24"/>
          <w:highlight w:val="none"/>
        </w:rPr>
        <w:t>施工技术工人。熟练掌握交通标志牌的制作和施工技术，熟练操作相关机具和器械。熟练掌握各类型交通标线的施划工作，熟悉操控各类划线机、除线机；了解各类涂料的混合比例及最佳施划温度；掌握各类型标线的最新国家标准及技术规范要求，并能灵活使用。从事同类工作1年或以上。</w:t>
      </w:r>
    </w:p>
    <w:p>
      <w:pPr>
        <w:spacing w:line="560" w:lineRule="exact"/>
        <w:ind w:firstLine="482" w:firstLineChars="200"/>
        <w:rPr>
          <w:rFonts w:hint="eastAsia" w:ascii="楷体_GB2312" w:hAnsi="楷体_GB2312" w:eastAsia="楷体_GB2312" w:cs="楷体_GB2312"/>
          <w:b/>
          <w:bCs/>
          <w:color w:val="auto"/>
          <w:sz w:val="24"/>
          <w:szCs w:val="24"/>
          <w:highlight w:val="none"/>
        </w:rPr>
      </w:pPr>
      <w:bookmarkStart w:id="105" w:name="_Toc262823229"/>
      <w:bookmarkStart w:id="106" w:name="_Toc262053955"/>
      <w:bookmarkStart w:id="107" w:name="_Toc530992494"/>
      <w:bookmarkStart w:id="108" w:name="_Toc325015989"/>
      <w:bookmarkStart w:id="109" w:name="_Toc387326577"/>
      <w:bookmarkStart w:id="110" w:name="_Toc233619107"/>
      <w:bookmarkStart w:id="111" w:name="_Toc383551995"/>
      <w:bookmarkStart w:id="112" w:name="_Toc237859515"/>
      <w:bookmarkStart w:id="113" w:name="_Toc295833727"/>
      <w:bookmarkStart w:id="114" w:name="_Toc248294820"/>
      <w:bookmarkStart w:id="115" w:name="_Toc265160599"/>
      <w:bookmarkStart w:id="116" w:name="_Toc271198152"/>
      <w:r>
        <w:rPr>
          <w:rFonts w:hint="eastAsia" w:ascii="楷体_GB2312" w:hAnsi="楷体_GB2312" w:eastAsia="楷体_GB2312" w:cs="楷体_GB2312"/>
          <w:b/>
          <w:bCs/>
          <w:color w:val="auto"/>
          <w:sz w:val="24"/>
          <w:szCs w:val="24"/>
          <w:highlight w:val="none"/>
        </w:rPr>
        <w:t>（三）工作要求</w:t>
      </w:r>
      <w:bookmarkEnd w:id="105"/>
      <w:bookmarkEnd w:id="106"/>
      <w:bookmarkEnd w:id="107"/>
      <w:bookmarkEnd w:id="108"/>
      <w:bookmarkEnd w:id="109"/>
      <w:bookmarkEnd w:id="110"/>
      <w:bookmarkEnd w:id="111"/>
      <w:bookmarkEnd w:id="112"/>
      <w:bookmarkEnd w:id="113"/>
      <w:bookmarkEnd w:id="114"/>
      <w:bookmarkEnd w:id="115"/>
      <w:bookmarkEnd w:id="116"/>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参照《建筑施工企业负责人及项目负责人施工现场带班暂行办法》（建质〔2011〕111号），项目经理每周带班生产时间不得少于1次，否则将按《广州市公安局交通警察支队交通设施及交通信号设施维护项目管理办法》相应处违约金。</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2、维护工程配备的人员必须在合同约定起始日前全部到位，未经</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书面同意，不得更换维护人员；如果维护工程人员存在工作态度、责任心、技术能力、协调能力等方面的问题时，</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有权要求</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更换维护工程人员，并且</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在收到</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书面通知之日起7个工作日内必须更换，接替人员也必须经过面试、审核同意后才能开始试用；如试用不合适超过两次以上的，</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可要求</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进行整改，且</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须以公司名义提交正式整改报告。</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必须为参与进本项目的所有维护工程人员购买人身保险,并且</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必须声明，对于维护工程人员因为在工作中发生的各类型伤亡事故，</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免于一切责任。</w:t>
      </w:r>
    </w:p>
    <w:p>
      <w:pPr>
        <w:spacing w:line="560" w:lineRule="exact"/>
        <w:ind w:firstLine="482" w:firstLineChars="200"/>
        <w:rPr>
          <w:rFonts w:hint="eastAsia" w:ascii="仿宋_GB2312" w:hAnsi="仿宋_GB2312" w:eastAsia="仿宋_GB2312" w:cs="仿宋_GB2312"/>
          <w:b/>
          <w:color w:val="auto"/>
          <w:sz w:val="24"/>
          <w:szCs w:val="24"/>
          <w:highlight w:val="none"/>
        </w:rPr>
      </w:pPr>
      <w:bookmarkStart w:id="117" w:name="_Toc271198153"/>
      <w:bookmarkStart w:id="118" w:name="_Toc237747576"/>
      <w:bookmarkStart w:id="119" w:name="_Toc295833728"/>
      <w:bookmarkStart w:id="120" w:name="_Toc530992495"/>
      <w:bookmarkStart w:id="121" w:name="_Toc238532226"/>
      <w:bookmarkStart w:id="122" w:name="_Toc383551996"/>
      <w:bookmarkStart w:id="123" w:name="_Toc387326578"/>
      <w:bookmarkStart w:id="124" w:name="_Toc325015990"/>
    </w:p>
    <w:p>
      <w:pPr>
        <w:spacing w:line="560" w:lineRule="exact"/>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五、配备要求</w:t>
      </w:r>
      <w:bookmarkEnd w:id="117"/>
      <w:bookmarkEnd w:id="118"/>
      <w:bookmarkEnd w:id="119"/>
      <w:bookmarkEnd w:id="120"/>
      <w:bookmarkEnd w:id="121"/>
      <w:bookmarkEnd w:id="122"/>
      <w:bookmarkEnd w:id="123"/>
      <w:bookmarkEnd w:id="124"/>
    </w:p>
    <w:p>
      <w:pPr>
        <w:spacing w:line="560" w:lineRule="exact"/>
        <w:ind w:firstLine="482" w:firstLineChars="200"/>
        <w:rPr>
          <w:rFonts w:hint="eastAsia" w:ascii="楷体_GB2312" w:hAnsi="楷体_GB2312" w:eastAsia="楷体_GB2312" w:cs="楷体_GB2312"/>
          <w:b/>
          <w:bCs/>
          <w:color w:val="auto"/>
          <w:sz w:val="24"/>
          <w:szCs w:val="24"/>
          <w:highlight w:val="none"/>
        </w:rPr>
      </w:pPr>
      <w:bookmarkStart w:id="125" w:name="_Toc387326579"/>
      <w:bookmarkStart w:id="126" w:name="_Toc238532227"/>
      <w:bookmarkStart w:id="127" w:name="_Toc295833729"/>
      <w:bookmarkStart w:id="128" w:name="_Toc237747577"/>
      <w:bookmarkStart w:id="129" w:name="_Toc325015991"/>
      <w:bookmarkStart w:id="130" w:name="_Toc383551997"/>
      <w:bookmarkStart w:id="131" w:name="_Toc530992496"/>
      <w:bookmarkStart w:id="132" w:name="_Toc271198154"/>
      <w:r>
        <w:rPr>
          <w:rFonts w:hint="eastAsia" w:ascii="楷体_GB2312" w:hAnsi="楷体_GB2312" w:eastAsia="楷体_GB2312" w:cs="楷体_GB2312"/>
          <w:b/>
          <w:bCs/>
          <w:color w:val="auto"/>
          <w:sz w:val="24"/>
          <w:szCs w:val="24"/>
          <w:highlight w:val="none"/>
        </w:rPr>
        <w:t>（一）工作场所</w:t>
      </w:r>
      <w:bookmarkEnd w:id="125"/>
      <w:bookmarkEnd w:id="126"/>
      <w:bookmarkEnd w:id="127"/>
      <w:bookmarkEnd w:id="128"/>
      <w:bookmarkEnd w:id="129"/>
      <w:bookmarkEnd w:id="130"/>
      <w:bookmarkEnd w:id="131"/>
      <w:bookmarkEnd w:id="132"/>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应该提供维护工程办公、生产场所以及交通标志、护栏等设施工程材料和备件仓库设置方案。</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应尽量在所负责标段的维护区域内或</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单位所在地附近设立项目部或日常办公场所，在广州市区范围内设置维护材料、备件仓库（仓库面积不少于2000平方米），以便更好地满足</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对工程服务响应时间的要求。设置方案包括：</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1、根据</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需要合理确定原材料、毛坯件、半成品、成品、零配件和备件种类、数量；</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2、设置位置、大小、结构；</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3、工作场所和仓库的具体管理人员；</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4、管理的流程和相关表单；</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5、采购策略。</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根据实际情况，也可以指定其他维护工程人员到</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的办公场所常驻。</w:t>
      </w:r>
    </w:p>
    <w:p>
      <w:pPr>
        <w:spacing w:line="560" w:lineRule="exact"/>
        <w:ind w:firstLine="482" w:firstLineChars="200"/>
        <w:rPr>
          <w:rFonts w:hint="eastAsia" w:ascii="楷体_GB2312" w:hAnsi="楷体_GB2312" w:eastAsia="楷体_GB2312" w:cs="楷体_GB2312"/>
          <w:b/>
          <w:bCs/>
          <w:color w:val="auto"/>
          <w:sz w:val="24"/>
          <w:szCs w:val="24"/>
          <w:highlight w:val="none"/>
        </w:rPr>
      </w:pPr>
      <w:bookmarkStart w:id="133" w:name="_Toc271198155"/>
      <w:bookmarkStart w:id="134" w:name="_Toc387326580"/>
      <w:bookmarkStart w:id="135" w:name="_Toc325015992"/>
      <w:bookmarkStart w:id="136" w:name="_Toc383551998"/>
      <w:bookmarkStart w:id="137" w:name="_Toc238532228"/>
      <w:bookmarkStart w:id="138" w:name="_Toc237747578"/>
      <w:bookmarkStart w:id="139" w:name="_Toc295833730"/>
      <w:bookmarkStart w:id="140" w:name="_Toc530992497"/>
      <w:r>
        <w:rPr>
          <w:rFonts w:hint="eastAsia" w:ascii="楷体_GB2312" w:hAnsi="楷体_GB2312" w:eastAsia="楷体_GB2312" w:cs="楷体_GB2312"/>
          <w:b/>
          <w:bCs/>
          <w:color w:val="auto"/>
          <w:sz w:val="24"/>
          <w:szCs w:val="24"/>
          <w:highlight w:val="none"/>
        </w:rPr>
        <w:t>（二）维护工程车辆和工具</w:t>
      </w:r>
      <w:bookmarkEnd w:id="133"/>
      <w:bookmarkEnd w:id="134"/>
      <w:bookmarkEnd w:id="135"/>
      <w:bookmarkEnd w:id="136"/>
      <w:bookmarkEnd w:id="137"/>
      <w:bookmarkEnd w:id="138"/>
      <w:bookmarkEnd w:id="139"/>
      <w:bookmarkEnd w:id="140"/>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1、通行要求</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应确保投入至本项目的所有车辆能满足在广州市区内24小时通行的实际需求，绝不允许出现因投入至本项目的维护工作车辆与广州市区货车限行政策相悖而无法正常使用的情况。</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详细请参阅《广州市区限制货车通行的通告》（穗公交规字〔202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号）。</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（2）如项目实施过程中广州市货车限行政策发生调整变化的，</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须按调整后的政策无条件配合办理相关车辆通行许可审批事项。</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投入至本项目的所有车辆必须按国家相关规定喷涂黄色。</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详细请参阅：1、《道路交通安全法》；2、《机动车运行安全技术条件》（GB7258-2017）；3、《安全色》（GB2893-2008）。</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2、基本要求</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投入本项目的维护工程汽车至少10辆，包括：</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A.日常巡查专用车辆2辆或以上。巡查专用车辆为厢式或普通货车（</w:t>
      </w:r>
      <w:r>
        <w:rPr>
          <w:rFonts w:hint="eastAsia" w:ascii="仿宋_GB2312" w:hAnsi="仿宋_GB2312" w:eastAsia="仿宋_GB2312" w:cs="仿宋_GB2312"/>
          <w:color w:val="auto"/>
          <w:sz w:val="24"/>
          <w:szCs w:val="24"/>
          <w:highlight w:val="none"/>
          <w:lang w:val="en-US" w:eastAsia="zh-CN"/>
        </w:rPr>
        <w:t>核定载质量</w:t>
      </w:r>
      <w:r>
        <w:rPr>
          <w:rFonts w:hint="eastAsia" w:ascii="仿宋_GB2312" w:hAnsi="仿宋_GB2312" w:eastAsia="仿宋_GB2312" w:cs="仿宋_GB2312"/>
          <w:color w:val="auto"/>
          <w:sz w:val="24"/>
          <w:szCs w:val="24"/>
          <w:highlight w:val="none"/>
        </w:rPr>
        <w:t>为3</w:t>
      </w:r>
      <w:r>
        <w:rPr>
          <w:rFonts w:hint="eastAsia" w:ascii="仿宋_GB2312" w:hAnsi="仿宋_GB2312" w:eastAsia="仿宋_GB2312" w:cs="仿宋_GB2312"/>
          <w:color w:val="auto"/>
          <w:sz w:val="24"/>
          <w:szCs w:val="24"/>
          <w:highlight w:val="none"/>
          <w:lang w:val="en-US" w:eastAsia="zh-CN"/>
        </w:rPr>
        <w:t>t或以下货车</w:t>
      </w:r>
      <w:r>
        <w:rPr>
          <w:rFonts w:hint="eastAsia" w:ascii="仿宋_GB2312" w:hAnsi="仿宋_GB2312" w:eastAsia="仿宋_GB2312" w:cs="仿宋_GB2312"/>
          <w:color w:val="auto"/>
          <w:sz w:val="24"/>
          <w:szCs w:val="24"/>
          <w:highlight w:val="none"/>
        </w:rPr>
        <w:t>），须配备部分维修器具及配件，遇设施微小损坏事件，可进行简易修复工作。同时车辆须配备4K或以上高清画质、智能录音、近红外夜视功能的行车记录仪，以满足日间及夜间巡查采集设施信息功能。巡查专用车辆不得用于其它项目和用途。</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B.故障抢修工程车（</w:t>
      </w:r>
      <w:r>
        <w:rPr>
          <w:rFonts w:hint="eastAsia" w:ascii="仿宋_GB2312" w:hAnsi="仿宋_GB2312" w:eastAsia="仿宋_GB2312" w:cs="仿宋_GB2312"/>
          <w:color w:val="auto"/>
          <w:sz w:val="24"/>
          <w:szCs w:val="24"/>
          <w:highlight w:val="none"/>
          <w:lang w:val="en-US" w:eastAsia="zh-CN"/>
        </w:rPr>
        <w:t>核定载质量为</w:t>
      </w:r>
      <w:r>
        <w:rPr>
          <w:rFonts w:hint="eastAsia" w:ascii="仿宋_GB2312" w:hAnsi="仿宋_GB2312" w:eastAsia="仿宋_GB2312" w:cs="仿宋_GB2312"/>
          <w:color w:val="auto"/>
          <w:sz w:val="24"/>
          <w:szCs w:val="24"/>
          <w:highlight w:val="none"/>
        </w:rPr>
        <w:t>3t或以上货车）3辆或以上。</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C.应急保障工程车（</w:t>
      </w:r>
      <w:r>
        <w:rPr>
          <w:rFonts w:hint="eastAsia" w:ascii="仿宋_GB2312" w:hAnsi="仿宋_GB2312" w:eastAsia="仿宋_GB2312" w:cs="仿宋_GB2312"/>
          <w:color w:val="auto"/>
          <w:sz w:val="24"/>
          <w:szCs w:val="24"/>
          <w:highlight w:val="none"/>
          <w:lang w:val="en-US" w:eastAsia="zh-CN"/>
        </w:rPr>
        <w:t>核定载质量为</w:t>
      </w:r>
      <w:r>
        <w:rPr>
          <w:rFonts w:hint="eastAsia" w:ascii="仿宋_GB2312" w:hAnsi="仿宋_GB2312" w:eastAsia="仿宋_GB2312" w:cs="仿宋_GB2312"/>
          <w:color w:val="auto"/>
          <w:sz w:val="24"/>
          <w:szCs w:val="24"/>
          <w:highlight w:val="none"/>
        </w:rPr>
        <w:t>3t</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以上5t以下货车）至少2辆。</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D.应急保障工程车（</w:t>
      </w:r>
      <w:r>
        <w:rPr>
          <w:rFonts w:hint="eastAsia" w:ascii="仿宋_GB2312" w:hAnsi="仿宋_GB2312" w:eastAsia="仿宋_GB2312" w:cs="仿宋_GB2312"/>
          <w:color w:val="auto"/>
          <w:sz w:val="24"/>
          <w:szCs w:val="24"/>
          <w:highlight w:val="none"/>
          <w:lang w:val="en-US" w:eastAsia="zh-CN"/>
        </w:rPr>
        <w:t>核定载质量为</w:t>
      </w:r>
      <w:r>
        <w:rPr>
          <w:rFonts w:hint="eastAsia" w:ascii="仿宋_GB2312" w:hAnsi="仿宋_GB2312" w:eastAsia="仿宋_GB2312" w:cs="仿宋_GB2312"/>
          <w:color w:val="auto"/>
          <w:sz w:val="24"/>
          <w:szCs w:val="24"/>
          <w:highlight w:val="none"/>
        </w:rPr>
        <w:t>5t</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以上8t以下货车）至少2辆。</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E.应急保障工程车（</w:t>
      </w:r>
      <w:r>
        <w:rPr>
          <w:rFonts w:hint="eastAsia" w:ascii="仿宋_GB2312" w:hAnsi="仿宋_GB2312" w:eastAsia="仿宋_GB2312" w:cs="仿宋_GB2312"/>
          <w:color w:val="auto"/>
          <w:sz w:val="24"/>
          <w:szCs w:val="24"/>
          <w:highlight w:val="none"/>
          <w:lang w:val="en-US" w:eastAsia="zh-CN"/>
        </w:rPr>
        <w:t>核定载质量为</w:t>
      </w:r>
      <w:r>
        <w:rPr>
          <w:rFonts w:hint="eastAsia" w:ascii="仿宋_GB2312" w:hAnsi="仿宋_GB2312" w:eastAsia="仿宋_GB2312" w:cs="仿宋_GB2312"/>
          <w:color w:val="auto"/>
          <w:sz w:val="24"/>
          <w:szCs w:val="24"/>
          <w:highlight w:val="none"/>
        </w:rPr>
        <w:t>8t或以上货车）至少1辆。</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至少还需配备1辆吊车（或随车吊）、1辆升降车。</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（3）要求给出车辆</w:t>
      </w:r>
      <w:r>
        <w:rPr>
          <w:rFonts w:hint="eastAsia" w:ascii="仿宋_GB2312" w:hAnsi="仿宋_GB2312" w:eastAsia="仿宋_GB2312" w:cs="仿宋_GB2312"/>
          <w:color w:val="auto"/>
          <w:sz w:val="24"/>
          <w:szCs w:val="24"/>
          <w:highlight w:val="none"/>
          <w:lang w:val="en-US" w:eastAsia="zh-CN"/>
        </w:rPr>
        <w:t>核定载质量</w:t>
      </w:r>
      <w:r>
        <w:rPr>
          <w:rFonts w:hint="eastAsia" w:ascii="仿宋_GB2312" w:hAnsi="仿宋_GB2312" w:eastAsia="仿宋_GB2312" w:cs="仿宋_GB2312"/>
          <w:color w:val="auto"/>
          <w:sz w:val="24"/>
          <w:szCs w:val="24"/>
          <w:highlight w:val="none"/>
        </w:rPr>
        <w:t>、座位</w:t>
      </w:r>
      <w:r>
        <w:rPr>
          <w:rFonts w:hint="eastAsia" w:ascii="仿宋_GB2312" w:hAnsi="仿宋_GB2312" w:eastAsia="仿宋_GB2312" w:cs="仿宋_GB2312"/>
          <w:color w:val="auto"/>
          <w:sz w:val="24"/>
          <w:szCs w:val="24"/>
          <w:highlight w:val="none"/>
          <w:lang w:eastAsia="zh-CN"/>
        </w:rPr>
        <w:t>数</w:t>
      </w:r>
      <w:r>
        <w:rPr>
          <w:rFonts w:hint="eastAsia" w:ascii="仿宋_GB2312" w:hAnsi="仿宋_GB2312" w:eastAsia="仿宋_GB2312" w:cs="仿宋_GB2312"/>
          <w:color w:val="auto"/>
          <w:sz w:val="24"/>
          <w:szCs w:val="24"/>
          <w:highlight w:val="none"/>
        </w:rPr>
        <w:t>、车龄等指标作为考察内容，要求车况良好，手续齐全完备，购买全保保险（交通事故强制险、座位险等）。如果是</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现有的车辆，必须附上车辆行驶证的</w:t>
      </w:r>
      <w:r>
        <w:rPr>
          <w:rFonts w:hint="eastAsia" w:ascii="仿宋_GB2312" w:hAnsi="仿宋_GB2312" w:eastAsia="仿宋_GB2312" w:cs="仿宋_GB2312"/>
          <w:color w:val="auto"/>
          <w:sz w:val="24"/>
          <w:szCs w:val="24"/>
          <w:highlight w:val="none"/>
          <w:lang w:val="en-US" w:eastAsia="zh-CN"/>
        </w:rPr>
        <w:t>复印件</w:t>
      </w:r>
      <w:r>
        <w:rPr>
          <w:rFonts w:hint="eastAsia" w:ascii="仿宋_GB2312" w:hAnsi="仿宋_GB2312" w:eastAsia="仿宋_GB2312" w:cs="仿宋_GB2312"/>
          <w:color w:val="auto"/>
          <w:sz w:val="24"/>
          <w:szCs w:val="24"/>
          <w:highlight w:val="none"/>
        </w:rPr>
        <w:t>，如果是租赁的车辆，租赁合同的租赁期须覆盖本项目服务周期。</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必须声明，对于该机动车和司机的一切交通违法事件和事故，</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免予一切责任。</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（4）每辆故障抢修工程车辆上应配备一定数量的护栏及必备配件、维修工具和警示施工安全风险用的反光锥等安全设施。</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（5）按照交通标志制作、安装及检测要求，</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须至少满足以下设备需求：切割机1台、剪板机1台、铆钉机1台、贴膜机1台、丝印机1台、电脑刻字机1台、标志逆反射系数测量仪（手持式）2台、色彩色差仪1台、风炮2台、发电机3台。</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（6）按照交通标线施划工艺及检测要求，</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至少满足以下设备需求：双组份标线划线机2台、热熔划线机3台、标线清除机3台、高压水除线机（自带废料吸附功能）1台、标线逆反射系数测量仪2台。</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（7）在常驻的办公场所内，还必须配置完善电脑、互联网以及其他必要的维护设备和工具。一切维护工程工具的购置、使用等费用由</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负责。</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应该专门设置2台移动电话，专用于服务台人员与</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沟通使用，24小时保持通话畅通，要求电话机具备免提、耳机等功能以适合服务台工作。</w:t>
      </w:r>
    </w:p>
    <w:p>
      <w:pPr>
        <w:spacing w:line="560" w:lineRule="exact"/>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（9）根据项目交通组织优化及调整工作需要，</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须配备至少1台无人机。无人机须满足最</w:t>
      </w:r>
      <w:r>
        <w:rPr>
          <w:rFonts w:hint="eastAsia" w:ascii="仿宋_GB2312" w:hAnsi="仿宋_GB2312" w:eastAsia="仿宋_GB2312" w:cs="仿宋_GB2312"/>
          <w:color w:val="auto"/>
          <w:sz w:val="24"/>
          <w:szCs w:val="24"/>
          <w:highlight w:val="none"/>
          <w:lang w:eastAsia="zh-CN"/>
        </w:rPr>
        <w:t>长</w:t>
      </w:r>
      <w:r>
        <w:rPr>
          <w:rFonts w:hint="eastAsia" w:ascii="仿宋_GB2312" w:hAnsi="仿宋_GB2312" w:eastAsia="仿宋_GB2312" w:cs="仿宋_GB2312"/>
          <w:color w:val="auto"/>
          <w:sz w:val="24"/>
          <w:szCs w:val="24"/>
          <w:highlight w:val="none"/>
        </w:rPr>
        <w:t>飞行30分钟、最大信号有效距离5-7公里的基本要求，同时应保证实时图传质量不低于720P，主摄像像素不低于2000万，视频拍摄能力不低于4K60P。</w:t>
      </w:r>
      <w:r>
        <w:rPr>
          <w:rFonts w:hint="eastAsia" w:ascii="仿宋_GB2312" w:hAnsi="仿宋_GB2312" w:eastAsia="仿宋_GB2312" w:cs="仿宋_GB2312"/>
          <w:color w:val="auto"/>
          <w:sz w:val="24"/>
          <w:szCs w:val="24"/>
          <w:highlight w:val="none"/>
          <w:lang w:val="en-US" w:eastAsia="zh-CN"/>
        </w:rPr>
        <w:t>中标人应确保上述车辆、设备的性能满足正常使用。</w:t>
      </w:r>
    </w:p>
    <w:p>
      <w:pPr>
        <w:spacing w:line="560" w:lineRule="exact"/>
        <w:ind w:firstLine="480" w:firstLineChars="200"/>
        <w:rPr>
          <w:rFonts w:hint="eastAsia" w:ascii="仿宋_GB2312" w:hAnsi="仿宋_GB2312" w:eastAsia="仿宋_GB2312" w:cs="仿宋_GB2312"/>
          <w:color w:val="auto"/>
          <w:sz w:val="24"/>
          <w:szCs w:val="24"/>
          <w:highlight w:val="none"/>
        </w:rPr>
      </w:pPr>
      <w:bookmarkStart w:id="141" w:name="_Toc530992498"/>
      <w:r>
        <w:rPr>
          <w:rFonts w:hint="eastAsia" w:ascii="仿宋_GB2312" w:hAnsi="仿宋_GB2312" w:eastAsia="仿宋_GB2312" w:cs="仿宋_GB2312"/>
          <w:color w:val="auto"/>
          <w:sz w:val="24"/>
          <w:szCs w:val="24"/>
          <w:highlight w:val="none"/>
        </w:rPr>
        <w:t>3、其他要求</w:t>
      </w:r>
      <w:bookmarkEnd w:id="141"/>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所投入到本项目的所有车辆，均须遵循广州市区货运汽车通行条例，自行到相应行政主管部门办理通行证照。</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自收到项目《中标通知书》之日起一个月内，须自行前往管养辖区的</w:t>
      </w:r>
      <w:r>
        <w:rPr>
          <w:rFonts w:hint="eastAsia" w:ascii="仿宋_GB2312" w:hAnsi="仿宋_GB2312" w:eastAsia="仿宋_GB2312" w:cs="仿宋_GB2312"/>
          <w:color w:val="auto"/>
          <w:sz w:val="24"/>
          <w:szCs w:val="24"/>
          <w:highlight w:val="none"/>
          <w:lang w:eastAsia="zh-CN"/>
        </w:rPr>
        <w:t>道路主管</w:t>
      </w:r>
      <w:r>
        <w:rPr>
          <w:rFonts w:hint="eastAsia" w:ascii="仿宋_GB2312" w:hAnsi="仿宋_GB2312" w:eastAsia="仿宋_GB2312" w:cs="仿宋_GB2312"/>
          <w:color w:val="auto"/>
          <w:sz w:val="24"/>
          <w:szCs w:val="24"/>
          <w:highlight w:val="none"/>
        </w:rPr>
        <w:t>部门办理好批量维护、占道施工行政许可。</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交警支队一直致力于探索开发、应用基于“大数据”、云计算、移动互联等先进信息技术为引领的交通设施管理信息系统平台，以实现对全市基础交通设施数据的资源共享以及对本项目的日常管理工作。如项目实施过程中需启用相关管理系统平台的，维护单位须自行承担接入系统所涉及的计算机设备以及系统平台、通信线路租用等的费用。</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（4）《广州市公安局交通警察支队交通设施及交通信号设施维护项目管理办法》为本项目合同不可分割的一部分。在履行合同的过程中，双方须完全按本办法执行。</w:t>
      </w:r>
    </w:p>
    <w:p>
      <w:pPr>
        <w:spacing w:line="56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eastAsia="zh-CN"/>
        </w:rPr>
        <w:t>）合同约定的合同起始之日起，中标人未能按投标承诺提供办公场地、仓库、车辆和相关设备的，</w:t>
      </w:r>
      <w:r>
        <w:rPr>
          <w:rFonts w:hint="eastAsia" w:ascii="仿宋_GB2312" w:hAnsi="仿宋_GB2312" w:eastAsia="仿宋_GB2312" w:cs="仿宋_GB2312"/>
          <w:color w:val="auto"/>
          <w:sz w:val="24"/>
          <w:szCs w:val="24"/>
          <w:highlight w:val="none"/>
          <w:lang w:val="en-US" w:eastAsia="zh-CN"/>
        </w:rPr>
        <w:t>将依据《广州市公安局交通警察支队交通设施及交通信号设施维护项目管理办法》对中标人相应处违约金，</w:t>
      </w:r>
      <w:r>
        <w:rPr>
          <w:rFonts w:hint="eastAsia" w:ascii="仿宋_GB2312" w:hAnsi="仿宋_GB2312" w:eastAsia="仿宋_GB2312" w:cs="仿宋_GB2312"/>
          <w:color w:val="auto"/>
          <w:sz w:val="24"/>
          <w:szCs w:val="24"/>
          <w:highlight w:val="none"/>
          <w:lang w:eastAsia="zh-CN"/>
        </w:rPr>
        <w:t>合同起始之日起</w:t>
      </w: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lang w:eastAsia="zh-CN"/>
        </w:rPr>
        <w:t>天</w:t>
      </w:r>
      <w:r>
        <w:rPr>
          <w:rFonts w:hint="eastAsia" w:ascii="仿宋_GB2312" w:hAnsi="仿宋_GB2312" w:eastAsia="仿宋_GB2312" w:cs="仿宋_GB2312"/>
          <w:color w:val="auto"/>
          <w:sz w:val="24"/>
          <w:szCs w:val="24"/>
          <w:highlight w:val="none"/>
          <w:lang w:val="en-US" w:eastAsia="zh-CN"/>
        </w:rPr>
        <w:t>仍未整改到位的，</w:t>
      </w:r>
      <w:r>
        <w:rPr>
          <w:rFonts w:hint="eastAsia" w:ascii="仿宋_GB2312" w:hAnsi="仿宋_GB2312" w:eastAsia="仿宋_GB2312" w:cs="仿宋_GB2312"/>
          <w:color w:val="auto"/>
          <w:sz w:val="24"/>
          <w:szCs w:val="24"/>
          <w:highlight w:val="none"/>
          <w:lang w:eastAsia="zh-CN"/>
        </w:rPr>
        <w:t>采购人有权单方面解除合同，由此造成的一切损失由中标人承担。</w:t>
      </w:r>
    </w:p>
    <w:p>
      <w:pPr>
        <w:spacing w:line="56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中标人应保证日常排班表、巡查抢修记录及施工图册资料等资料制作的真实完整，如发现在排班表、巡查抢修、施工图册等资料的人员、车辆情况与施工过程资料、结算材料不一致的，即视为中标人未投入相应人员及车辆，并按</w:t>
      </w:r>
      <w:r>
        <w:rPr>
          <w:rFonts w:hint="eastAsia" w:ascii="仿宋_GB2312" w:hAnsi="仿宋_GB2312" w:eastAsia="仿宋_GB2312" w:cs="仿宋_GB2312"/>
          <w:color w:val="auto"/>
          <w:sz w:val="24"/>
          <w:szCs w:val="24"/>
          <w:highlight w:val="none"/>
        </w:rPr>
        <w:t>《广州市公安局交通警察支队交通设施及交通信号设施维护项目管理办法》</w:t>
      </w:r>
      <w:r>
        <w:rPr>
          <w:rFonts w:hint="eastAsia" w:ascii="仿宋_GB2312" w:hAnsi="仿宋_GB2312" w:eastAsia="仿宋_GB2312" w:cs="仿宋_GB2312"/>
          <w:color w:val="auto"/>
          <w:sz w:val="24"/>
          <w:szCs w:val="24"/>
          <w:highlight w:val="none"/>
          <w:lang w:val="en-US" w:eastAsia="zh-CN"/>
        </w:rPr>
        <w:t>相应</w:t>
      </w:r>
      <w:r>
        <w:rPr>
          <w:rFonts w:hint="eastAsia" w:ascii="仿宋_GB2312" w:hAnsi="仿宋_GB2312" w:eastAsia="仿宋_GB2312" w:cs="仿宋_GB2312"/>
          <w:color w:val="auto"/>
          <w:sz w:val="24"/>
          <w:szCs w:val="24"/>
          <w:highlight w:val="none"/>
          <w:lang w:eastAsia="zh-CN"/>
        </w:rPr>
        <w:t>处违约金。</w:t>
      </w:r>
    </w:p>
    <w:bookmarkEnd w:id="57"/>
    <w:bookmarkEnd w:id="58"/>
    <w:p>
      <w:pPr>
        <w:spacing w:line="560" w:lineRule="exact"/>
        <w:ind w:firstLine="480" w:firstLineChars="200"/>
        <w:rPr>
          <w:rFonts w:hint="eastAsia" w:ascii="黑体" w:hAnsi="黑体" w:eastAsia="黑体" w:cs="黑体"/>
          <w:bCs/>
          <w:color w:val="auto"/>
          <w:sz w:val="24"/>
          <w:szCs w:val="24"/>
          <w:highlight w:val="none"/>
        </w:rPr>
      </w:pPr>
      <w:bookmarkStart w:id="142" w:name="_Toc270672841"/>
      <w:bookmarkEnd w:id="142"/>
      <w:bookmarkStart w:id="143" w:name="_Toc270673357"/>
      <w:bookmarkEnd w:id="143"/>
      <w:bookmarkStart w:id="144" w:name="_Toc387326581"/>
      <w:bookmarkStart w:id="145" w:name="_Toc383552002"/>
      <w:bookmarkStart w:id="146" w:name="_Toc271198161"/>
      <w:bookmarkStart w:id="147" w:name="_Toc387326582"/>
      <w:bookmarkStart w:id="148" w:name="_Toc237747583"/>
      <w:bookmarkStart w:id="149" w:name="_Toc530992499"/>
      <w:bookmarkStart w:id="150" w:name="_Toc325015996"/>
      <w:bookmarkStart w:id="151" w:name="_Toc295833735"/>
      <w:bookmarkStart w:id="152" w:name="_Toc238532233"/>
      <w:r>
        <w:rPr>
          <w:rFonts w:hint="eastAsia" w:ascii="黑体" w:hAnsi="黑体" w:eastAsia="黑体" w:cs="黑体"/>
          <w:bCs/>
          <w:color w:val="auto"/>
          <w:sz w:val="24"/>
          <w:szCs w:val="24"/>
          <w:highlight w:val="none"/>
        </w:rPr>
        <w:t>六、主要工程类清单</w:t>
      </w:r>
      <w:bookmarkEnd w:id="144"/>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请详见招标文件第</w:t>
      </w:r>
      <w:r>
        <w:rPr>
          <w:rFonts w:hint="eastAsia" w:ascii="仿宋_GB2312" w:hAnsi="仿宋_GB2312" w:eastAsia="仿宋_GB2312" w:cs="仿宋_GB2312"/>
          <w:color w:val="auto"/>
          <w:sz w:val="24"/>
          <w:szCs w:val="24"/>
          <w:highlight w:val="none"/>
          <w:lang w:eastAsia="zh-CN"/>
        </w:rPr>
        <w:t>七</w:t>
      </w:r>
      <w:r>
        <w:rPr>
          <w:rFonts w:hint="eastAsia" w:ascii="仿宋_GB2312" w:hAnsi="仿宋_GB2312" w:eastAsia="仿宋_GB2312" w:cs="仿宋_GB2312"/>
          <w:color w:val="auto"/>
          <w:sz w:val="24"/>
          <w:szCs w:val="24"/>
          <w:highlight w:val="none"/>
        </w:rPr>
        <w:t>章。</w:t>
      </w:r>
    </w:p>
    <w:p>
      <w:pPr>
        <w:spacing w:line="560" w:lineRule="exact"/>
        <w:ind w:firstLine="482" w:firstLineChars="200"/>
        <w:rPr>
          <w:rFonts w:hint="eastAsia" w:ascii="仿宋_GB2312" w:hAnsi="仿宋_GB2312" w:eastAsia="仿宋_GB2312" w:cs="仿宋_GB2312"/>
          <w:b/>
          <w:color w:val="auto"/>
          <w:sz w:val="24"/>
          <w:szCs w:val="24"/>
          <w:highlight w:val="none"/>
        </w:rPr>
      </w:pPr>
    </w:p>
    <w:p>
      <w:pPr>
        <w:spacing w:line="560" w:lineRule="exact"/>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七、支付方法</w:t>
      </w:r>
      <w:bookmarkEnd w:id="145"/>
      <w:bookmarkEnd w:id="146"/>
      <w:bookmarkEnd w:id="147"/>
      <w:bookmarkEnd w:id="148"/>
      <w:bookmarkEnd w:id="149"/>
      <w:bookmarkEnd w:id="150"/>
      <w:bookmarkEnd w:id="151"/>
      <w:bookmarkEnd w:id="152"/>
    </w:p>
    <w:p>
      <w:pPr>
        <w:spacing w:line="560" w:lineRule="exact"/>
        <w:ind w:firstLine="482" w:firstLineChars="200"/>
        <w:rPr>
          <w:rFonts w:hint="eastAsia" w:ascii="楷体_GB2312" w:hAnsi="楷体_GB2312" w:eastAsia="楷体_GB2312" w:cs="楷体_GB2312"/>
          <w:b/>
          <w:bCs/>
          <w:color w:val="auto"/>
          <w:sz w:val="24"/>
          <w:szCs w:val="24"/>
          <w:highlight w:val="none"/>
        </w:rPr>
      </w:pPr>
      <w:bookmarkStart w:id="153" w:name="_Toc530992500"/>
      <w:bookmarkStart w:id="154" w:name="_Toc325015997"/>
      <w:bookmarkStart w:id="155" w:name="_Toc383552003"/>
      <w:bookmarkStart w:id="156" w:name="_Toc387326583"/>
      <w:r>
        <w:rPr>
          <w:rFonts w:hint="eastAsia" w:ascii="楷体_GB2312" w:hAnsi="楷体_GB2312" w:eastAsia="楷体_GB2312" w:cs="楷体_GB2312"/>
          <w:b/>
          <w:bCs/>
          <w:color w:val="auto"/>
          <w:sz w:val="24"/>
          <w:szCs w:val="24"/>
          <w:highlight w:val="none"/>
        </w:rPr>
        <w:t>（一）工程预付款</w:t>
      </w:r>
      <w:bookmarkEnd w:id="153"/>
      <w:bookmarkEnd w:id="154"/>
      <w:bookmarkEnd w:id="155"/>
      <w:bookmarkEnd w:id="156"/>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1、工程预付款为合同价的30%，合同期内分两</w:t>
      </w:r>
      <w:r>
        <w:rPr>
          <w:rFonts w:hint="eastAsia" w:ascii="仿宋_GB2312" w:hAnsi="仿宋_GB2312" w:eastAsia="仿宋_GB2312" w:cs="仿宋_GB2312"/>
          <w:color w:val="auto"/>
          <w:sz w:val="24"/>
          <w:szCs w:val="24"/>
          <w:highlight w:val="none"/>
          <w:lang w:eastAsia="zh-CN"/>
        </w:rPr>
        <w:t>期</w:t>
      </w:r>
      <w:r>
        <w:rPr>
          <w:rFonts w:hint="eastAsia" w:ascii="仿宋_GB2312" w:hAnsi="仿宋_GB2312" w:eastAsia="仿宋_GB2312" w:cs="仿宋_GB2312"/>
          <w:color w:val="auto"/>
          <w:sz w:val="24"/>
          <w:szCs w:val="24"/>
          <w:highlight w:val="none"/>
        </w:rPr>
        <w:t>办理财政集中支付手续：一、合同签订生效且</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已按约定提交银行履约保函(履约保证金额为中标价款的10%)后，</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在收到经项目监理审核确认的</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提出的支付申请后</w:t>
      </w:r>
      <w:r>
        <w:rPr>
          <w:rFonts w:hint="eastAsia" w:ascii="仿宋_GB2312" w:hAnsi="仿宋_GB2312" w:eastAsia="仿宋_GB2312" w:cs="仿宋_GB2312"/>
          <w:color w:val="auto"/>
          <w:sz w:val="24"/>
          <w:szCs w:val="24"/>
          <w:highlight w:val="none"/>
          <w:lang w:eastAsia="zh-CN"/>
        </w:rPr>
        <w:t>1</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天内，为</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办理合同价15%（即人民币元整，￥）的第一</w:t>
      </w:r>
      <w:r>
        <w:rPr>
          <w:rFonts w:hint="eastAsia" w:ascii="仿宋_GB2312" w:hAnsi="仿宋_GB2312" w:eastAsia="仿宋_GB2312" w:cs="仿宋_GB2312"/>
          <w:color w:val="auto"/>
          <w:sz w:val="24"/>
          <w:szCs w:val="24"/>
          <w:highlight w:val="none"/>
          <w:lang w:eastAsia="zh-CN"/>
        </w:rPr>
        <w:t>期</w:t>
      </w:r>
      <w:r>
        <w:rPr>
          <w:rFonts w:hint="eastAsia" w:ascii="仿宋_GB2312" w:hAnsi="仿宋_GB2312" w:eastAsia="仿宋_GB2312" w:cs="仿宋_GB2312"/>
          <w:color w:val="auto"/>
          <w:sz w:val="24"/>
          <w:szCs w:val="24"/>
          <w:highlight w:val="none"/>
        </w:rPr>
        <w:t>预付款财政集中支付手续；二、合同期内第二个自然年的</w:t>
      </w:r>
      <w:r>
        <w:rPr>
          <w:rFonts w:hint="eastAsia" w:ascii="仿宋_GB2312" w:hAnsi="仿宋_GB2312" w:eastAsia="仿宋_GB2312" w:cs="仿宋_GB2312"/>
          <w:color w:val="auto"/>
          <w:sz w:val="24"/>
          <w:szCs w:val="24"/>
          <w:highlight w:val="none"/>
          <w:lang w:eastAsia="zh-CN"/>
        </w:rPr>
        <w:t>第一季度内</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在收到经项目监理审核确认的</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提出的支付申请后</w:t>
      </w: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天内，为</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办理合同价15%（即人民币元整，￥）的第二</w:t>
      </w:r>
      <w:r>
        <w:rPr>
          <w:rFonts w:hint="eastAsia" w:ascii="仿宋_GB2312" w:hAnsi="仿宋_GB2312" w:eastAsia="仿宋_GB2312" w:cs="仿宋_GB2312"/>
          <w:color w:val="auto"/>
          <w:sz w:val="24"/>
          <w:szCs w:val="24"/>
          <w:highlight w:val="none"/>
          <w:lang w:eastAsia="zh-CN"/>
        </w:rPr>
        <w:t>期</w:t>
      </w:r>
      <w:r>
        <w:rPr>
          <w:rFonts w:hint="eastAsia" w:ascii="仿宋_GB2312" w:hAnsi="仿宋_GB2312" w:eastAsia="仿宋_GB2312" w:cs="仿宋_GB2312"/>
          <w:color w:val="auto"/>
          <w:sz w:val="24"/>
          <w:szCs w:val="24"/>
          <w:highlight w:val="none"/>
        </w:rPr>
        <w:t>预付款财政集中支付手续。</w:t>
      </w:r>
    </w:p>
    <w:p>
      <w:pPr>
        <w:spacing w:line="560" w:lineRule="exact"/>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已支付工程预付款按月度工程进度款的</w:t>
      </w:r>
      <w:r>
        <w:rPr>
          <w:rFonts w:hint="eastAsia" w:ascii="仿宋_GB2312" w:hAnsi="仿宋_GB2312" w:eastAsia="仿宋_GB2312" w:cs="仿宋_GB2312"/>
          <w:color w:val="auto"/>
          <w:sz w:val="24"/>
          <w:szCs w:val="24"/>
          <w:highlight w:val="none"/>
          <w:lang w:val="en-US" w:eastAsia="zh-CN"/>
        </w:rPr>
        <w:t>50%进行</w:t>
      </w:r>
      <w:r>
        <w:rPr>
          <w:rFonts w:hint="eastAsia" w:ascii="仿宋_GB2312" w:hAnsi="仿宋_GB2312" w:eastAsia="仿宋_GB2312" w:cs="仿宋_GB2312"/>
          <w:color w:val="auto"/>
          <w:sz w:val="24"/>
          <w:szCs w:val="24"/>
          <w:highlight w:val="none"/>
          <w:lang w:eastAsia="zh-CN"/>
        </w:rPr>
        <w:t>逐月抵扣，即每月工程进度款的</w:t>
      </w:r>
      <w:r>
        <w:rPr>
          <w:rFonts w:hint="eastAsia" w:ascii="仿宋_GB2312" w:hAnsi="仿宋_GB2312" w:eastAsia="仿宋_GB2312" w:cs="仿宋_GB2312"/>
          <w:color w:val="auto"/>
          <w:sz w:val="24"/>
          <w:szCs w:val="24"/>
          <w:highlight w:val="none"/>
          <w:lang w:val="en-US" w:eastAsia="zh-CN"/>
        </w:rPr>
        <w:t>50%用以抵扣已支付工程预付款，扣完即止。</w:t>
      </w:r>
    </w:p>
    <w:p>
      <w:pPr>
        <w:spacing w:line="56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合同价15%（即人民币元整，￥）的第一</w:t>
      </w:r>
      <w:r>
        <w:rPr>
          <w:rFonts w:hint="eastAsia" w:ascii="仿宋_GB2312" w:hAnsi="仿宋_GB2312" w:eastAsia="仿宋_GB2312" w:cs="仿宋_GB2312"/>
          <w:color w:val="auto"/>
          <w:sz w:val="24"/>
          <w:szCs w:val="24"/>
          <w:highlight w:val="none"/>
          <w:lang w:eastAsia="zh-CN"/>
        </w:rPr>
        <w:t>期</w:t>
      </w:r>
      <w:r>
        <w:rPr>
          <w:rFonts w:hint="eastAsia" w:ascii="仿宋_GB2312" w:hAnsi="仿宋_GB2312" w:eastAsia="仿宋_GB2312" w:cs="仿宋_GB2312"/>
          <w:color w:val="auto"/>
          <w:sz w:val="24"/>
          <w:szCs w:val="24"/>
          <w:highlight w:val="none"/>
        </w:rPr>
        <w:t>预付款</w:t>
      </w:r>
      <w:r>
        <w:rPr>
          <w:rFonts w:hint="eastAsia" w:ascii="仿宋_GB2312" w:hAnsi="仿宋_GB2312" w:eastAsia="仿宋_GB2312" w:cs="仿宋_GB2312"/>
          <w:color w:val="auto"/>
          <w:sz w:val="24"/>
          <w:szCs w:val="24"/>
          <w:highlight w:val="none"/>
          <w:lang w:eastAsia="zh-CN"/>
        </w:rPr>
        <w:t>，自办理本项目第一期工程进度款财政支付手续起，按当月工程进度款的</w:t>
      </w:r>
      <w:r>
        <w:rPr>
          <w:rFonts w:hint="eastAsia" w:ascii="仿宋_GB2312" w:hAnsi="仿宋_GB2312" w:eastAsia="仿宋_GB2312" w:cs="仿宋_GB2312"/>
          <w:color w:val="auto"/>
          <w:sz w:val="24"/>
          <w:szCs w:val="24"/>
          <w:highlight w:val="none"/>
          <w:lang w:val="en-US" w:eastAsia="zh-CN"/>
        </w:rPr>
        <w:t>50%进行抵扣，扣完即止。若至第二期工程预付款办理财政支付手续之日仍未抵扣完第一期工程预付款的，则顺延第二期工程预付款的财政支付手续日期，至抵扣完成后再行办理。</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合同价15%（即人民币元整，￥）的第</w:t>
      </w:r>
      <w:r>
        <w:rPr>
          <w:rFonts w:hint="eastAsia" w:ascii="仿宋_GB2312" w:hAnsi="仿宋_GB2312" w:eastAsia="仿宋_GB2312" w:cs="仿宋_GB2312"/>
          <w:color w:val="auto"/>
          <w:sz w:val="24"/>
          <w:szCs w:val="24"/>
          <w:highlight w:val="none"/>
          <w:lang w:eastAsia="zh-CN"/>
        </w:rPr>
        <w:t>二期</w:t>
      </w:r>
      <w:r>
        <w:rPr>
          <w:rFonts w:hint="eastAsia" w:ascii="仿宋_GB2312" w:hAnsi="仿宋_GB2312" w:eastAsia="仿宋_GB2312" w:cs="仿宋_GB2312"/>
          <w:color w:val="auto"/>
          <w:sz w:val="24"/>
          <w:szCs w:val="24"/>
          <w:highlight w:val="none"/>
        </w:rPr>
        <w:t>预付款</w:t>
      </w:r>
      <w:r>
        <w:rPr>
          <w:rFonts w:hint="eastAsia" w:ascii="仿宋_GB2312" w:hAnsi="仿宋_GB2312" w:eastAsia="仿宋_GB2312" w:cs="仿宋_GB2312"/>
          <w:color w:val="auto"/>
          <w:sz w:val="24"/>
          <w:szCs w:val="24"/>
          <w:highlight w:val="none"/>
          <w:lang w:eastAsia="zh-CN"/>
        </w:rPr>
        <w:t>，自完成第二期预付款支付手续后，按当月工程进度款的</w:t>
      </w:r>
      <w:r>
        <w:rPr>
          <w:rFonts w:hint="eastAsia" w:ascii="仿宋_GB2312" w:hAnsi="仿宋_GB2312" w:eastAsia="仿宋_GB2312" w:cs="仿宋_GB2312"/>
          <w:color w:val="auto"/>
          <w:sz w:val="24"/>
          <w:szCs w:val="24"/>
          <w:highlight w:val="none"/>
          <w:lang w:val="en-US" w:eastAsia="zh-CN"/>
        </w:rPr>
        <w:t>50%进行抵扣，扣完即止。</w:t>
      </w:r>
      <w:r>
        <w:rPr>
          <w:rFonts w:hint="eastAsia" w:ascii="仿宋_GB2312" w:hAnsi="仿宋_GB2312" w:eastAsia="仿宋_GB2312" w:cs="仿宋_GB2312"/>
          <w:color w:val="auto"/>
          <w:sz w:val="24"/>
          <w:szCs w:val="24"/>
          <w:highlight w:val="none"/>
          <w:lang w:eastAsia="zh-CN"/>
        </w:rPr>
        <w:t>至本合同结束仍未</w:t>
      </w:r>
      <w:r>
        <w:rPr>
          <w:rFonts w:hint="eastAsia" w:ascii="仿宋_GB2312" w:hAnsi="仿宋_GB2312" w:eastAsia="仿宋_GB2312" w:cs="仿宋_GB2312"/>
          <w:color w:val="auto"/>
          <w:sz w:val="24"/>
          <w:szCs w:val="24"/>
          <w:highlight w:val="none"/>
        </w:rPr>
        <w:t>抵扣</w:t>
      </w:r>
      <w:r>
        <w:rPr>
          <w:rFonts w:hint="eastAsia" w:ascii="仿宋_GB2312" w:hAnsi="仿宋_GB2312" w:eastAsia="仿宋_GB2312" w:cs="仿宋_GB2312"/>
          <w:color w:val="auto"/>
          <w:sz w:val="24"/>
          <w:szCs w:val="24"/>
          <w:highlight w:val="none"/>
          <w:lang w:eastAsia="zh-CN"/>
        </w:rPr>
        <w:t>完的。</w:t>
      </w:r>
      <w:r>
        <w:rPr>
          <w:rFonts w:hint="eastAsia" w:ascii="仿宋_GB2312" w:hAnsi="仿宋_GB2312" w:eastAsia="仿宋_GB2312" w:cs="仿宋_GB2312"/>
          <w:color w:val="auto"/>
          <w:sz w:val="24"/>
          <w:szCs w:val="24"/>
          <w:highlight w:val="none"/>
        </w:rPr>
        <w:t>从项目最终工程结算款中</w:t>
      </w:r>
      <w:r>
        <w:rPr>
          <w:rFonts w:hint="eastAsia" w:ascii="仿宋_GB2312" w:hAnsi="仿宋_GB2312" w:eastAsia="仿宋_GB2312" w:cs="仿宋_GB2312"/>
          <w:color w:val="auto"/>
          <w:sz w:val="24"/>
          <w:szCs w:val="24"/>
          <w:highlight w:val="none"/>
          <w:lang w:eastAsia="zh-CN"/>
        </w:rPr>
        <w:t>扣除</w:t>
      </w:r>
      <w:r>
        <w:rPr>
          <w:rFonts w:hint="eastAsia" w:ascii="仿宋_GB2312" w:hAnsi="仿宋_GB2312" w:eastAsia="仿宋_GB2312" w:cs="仿宋_GB2312"/>
          <w:color w:val="auto"/>
          <w:sz w:val="24"/>
          <w:szCs w:val="24"/>
          <w:highlight w:val="none"/>
        </w:rPr>
        <w:t>。</w:t>
      </w:r>
    </w:p>
    <w:p>
      <w:pPr>
        <w:spacing w:line="560" w:lineRule="exact"/>
        <w:ind w:firstLine="482" w:firstLineChars="200"/>
        <w:rPr>
          <w:rFonts w:hint="eastAsia" w:ascii="仿宋_GB2312" w:hAnsi="仿宋_GB2312" w:eastAsia="仿宋_GB2312" w:cs="仿宋_GB2312"/>
          <w:b/>
          <w:bCs/>
          <w:color w:val="auto"/>
          <w:sz w:val="24"/>
          <w:szCs w:val="24"/>
          <w:highlight w:val="none"/>
        </w:rPr>
      </w:pPr>
      <w:bookmarkStart w:id="157" w:name="_Toc387326584"/>
      <w:bookmarkStart w:id="158" w:name="_Toc383552004"/>
      <w:bookmarkStart w:id="159" w:name="_Toc530992501"/>
      <w:bookmarkStart w:id="160" w:name="_Toc325015998"/>
      <w:r>
        <w:rPr>
          <w:rFonts w:hint="eastAsia" w:ascii="仿宋_GB2312" w:hAnsi="仿宋_GB2312" w:eastAsia="仿宋_GB2312" w:cs="仿宋_GB2312"/>
          <w:b/>
          <w:bCs/>
          <w:color w:val="auto"/>
          <w:sz w:val="24"/>
          <w:szCs w:val="24"/>
          <w:highlight w:val="none"/>
        </w:rPr>
        <w:t>（二）维护工程量确认</w:t>
      </w:r>
      <w:bookmarkEnd w:id="157"/>
      <w:bookmarkEnd w:id="158"/>
      <w:bookmarkEnd w:id="159"/>
      <w:bookmarkEnd w:id="160"/>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按自然月每月制作一次月度结算。</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每月完成的常规维护工程量和非常规维护工程量月结表在下一个月的20日前交</w:t>
      </w:r>
      <w:r>
        <w:rPr>
          <w:rFonts w:hint="eastAsia" w:ascii="仿宋_GB2312" w:hAnsi="仿宋_GB2312" w:eastAsia="仿宋_GB2312" w:cs="仿宋_GB2312"/>
          <w:color w:val="auto"/>
          <w:sz w:val="24"/>
          <w:szCs w:val="24"/>
          <w:highlight w:val="none"/>
          <w:lang w:val="en-US" w:eastAsia="zh-CN"/>
        </w:rPr>
        <w:t>总</w:t>
      </w:r>
      <w:r>
        <w:rPr>
          <w:rFonts w:hint="eastAsia" w:ascii="仿宋_GB2312" w:hAnsi="仿宋_GB2312" w:eastAsia="仿宋_GB2312" w:cs="仿宋_GB2312"/>
          <w:color w:val="auto"/>
          <w:sz w:val="24"/>
          <w:szCs w:val="24"/>
          <w:highlight w:val="none"/>
        </w:rPr>
        <w:t>监理工程师签名确认，后送交</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审核确认。按三方共同确认的工作量每月编制一次月结表。每月的25日前完成上一月份的月度结算表，交</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办理月度进度款的支付手续；同时作为送审结算价送</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委托的第三方财政评审机构作最终审核，以终审结算书作最终结算价款。</w:t>
      </w:r>
    </w:p>
    <w:p>
      <w:pPr>
        <w:spacing w:line="560" w:lineRule="exact"/>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（三）进度款及尾款</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工程款支付的方式和时间：在</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、监理单位、</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已经共同确认实际完成工程量的前提下，</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按月结工程价款的80%（</w:t>
      </w:r>
      <w:r>
        <w:rPr>
          <w:rFonts w:hint="eastAsia" w:ascii="仿宋_GB2312" w:hAnsi="仿宋_GB2312" w:eastAsia="仿宋_GB2312" w:cs="仿宋_GB2312"/>
          <w:color w:val="auto"/>
          <w:sz w:val="24"/>
          <w:szCs w:val="24"/>
          <w:highlight w:val="none"/>
          <w:lang w:eastAsia="zh-CN"/>
        </w:rPr>
        <w:t>按上述条款</w:t>
      </w:r>
      <w:r>
        <w:rPr>
          <w:rFonts w:hint="eastAsia" w:ascii="仿宋_GB2312" w:hAnsi="仿宋_GB2312" w:eastAsia="仿宋_GB2312" w:cs="仿宋_GB2312"/>
          <w:color w:val="auto"/>
          <w:sz w:val="24"/>
          <w:szCs w:val="24"/>
          <w:highlight w:val="none"/>
        </w:rPr>
        <w:t>扣除预付款）向</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办理申请支付工程进度款的手续。当工程进度款支付的总额（含预付款）达到</w:t>
      </w:r>
      <w:r>
        <w:rPr>
          <w:rFonts w:hint="eastAsia" w:ascii="仿宋_GB2312" w:hAnsi="仿宋_GB2312" w:eastAsia="仿宋_GB2312" w:cs="仿宋_GB2312"/>
          <w:color w:val="auto"/>
          <w:sz w:val="24"/>
          <w:szCs w:val="24"/>
          <w:highlight w:val="none"/>
          <w:lang w:eastAsia="zh-CN"/>
        </w:rPr>
        <w:t>合同价</w:t>
      </w:r>
      <w:r>
        <w:rPr>
          <w:rFonts w:hint="eastAsia" w:ascii="仿宋_GB2312" w:hAnsi="仿宋_GB2312" w:eastAsia="仿宋_GB2312" w:cs="仿宋_GB2312"/>
          <w:color w:val="auto"/>
          <w:sz w:val="24"/>
          <w:szCs w:val="24"/>
          <w:highlight w:val="none"/>
        </w:rPr>
        <w:t>的80％时，余下工程款经</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委托的第三方财政评审机构审定后，</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按评审价扣除累计违约金额后向</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办理余款支付手续。</w:t>
      </w:r>
    </w:p>
    <w:p>
      <w:pPr>
        <w:spacing w:line="56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（四）其他</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1、每次办理款项支付时，</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应提前递交相关材料，因</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或监理人原因造成逾期支付的，</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不承担违约责任。</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采取财政集中支付，因财政资金拨款不到位造成</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逾期付款的，</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不承担违约责任，并且不能成为</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拖延施工的理由。</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须在结算时提交工人工资支付承诺函，涉及到国家法定节假日须开展项目工作任务的，</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不另外提供任何形式的补偿。</w:t>
      </w:r>
    </w:p>
    <w:p>
      <w:pPr>
        <w:spacing w:line="560" w:lineRule="exact"/>
        <w:ind w:firstLine="480" w:firstLineChars="200"/>
        <w:rPr>
          <w:rFonts w:hint="eastAsia" w:ascii="黑体" w:hAnsi="黑体" w:eastAsia="黑体" w:cs="黑体"/>
          <w:bCs/>
          <w:color w:val="auto"/>
          <w:sz w:val="24"/>
          <w:szCs w:val="24"/>
          <w:highlight w:val="none"/>
        </w:rPr>
      </w:pPr>
      <w:bookmarkStart w:id="161" w:name="_Toc173728575"/>
      <w:bookmarkEnd w:id="161"/>
      <w:bookmarkStart w:id="162" w:name="_Toc173728576"/>
      <w:bookmarkEnd w:id="162"/>
      <w:bookmarkStart w:id="163" w:name="_Toc387326586"/>
      <w:bookmarkStart w:id="164" w:name="_Toc383552006"/>
      <w:bookmarkStart w:id="165" w:name="_Toc232580036"/>
      <w:bookmarkStart w:id="166" w:name="_Toc530992502"/>
      <w:bookmarkStart w:id="167" w:name="_Toc325016000"/>
      <w:r>
        <w:rPr>
          <w:rFonts w:hint="eastAsia" w:ascii="黑体" w:hAnsi="黑体" w:eastAsia="黑体" w:cs="黑体"/>
          <w:bCs/>
          <w:color w:val="auto"/>
          <w:sz w:val="24"/>
          <w:szCs w:val="24"/>
          <w:highlight w:val="none"/>
        </w:rPr>
        <w:t>八、维护项目管理制度</w:t>
      </w:r>
      <w:bookmarkEnd w:id="163"/>
      <w:bookmarkEnd w:id="164"/>
      <w:bookmarkEnd w:id="165"/>
      <w:bookmarkEnd w:id="166"/>
      <w:bookmarkEnd w:id="167"/>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在实施常规维护工程和非常规维护工程管理工作中依据《广州市公安局交警支队交通设施及交通信号设施维护项目管理办法》、《交通设施维护工程各业务环节工作时限要求》和相关维护施工工程质量标准及其他规程对</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和监理实行工程管理，并通过维护工程工作例会的形式全面总结评价维护工程管理工作，包括项目管理、故障处理、配置管理、专项维护工程、工程结算等方面实施的效果，从数量上、质量上、时效上给予综合评价，同时审核监理提出的下一月份的维护工程工作计划和工程进度安排。</w:t>
      </w:r>
    </w:p>
    <w:p>
      <w:pPr>
        <w:spacing w:line="560" w:lineRule="exact"/>
        <w:ind w:firstLine="241" w:firstLineChars="100"/>
        <w:rPr>
          <w:rFonts w:hint="eastAsia" w:ascii="仿宋_GB2312" w:hAnsi="仿宋_GB2312" w:eastAsia="仿宋_GB2312" w:cs="仿宋_GB2312"/>
          <w:color w:val="auto"/>
          <w:sz w:val="24"/>
          <w:szCs w:val="24"/>
          <w:highlight w:val="none"/>
        </w:rPr>
      </w:pPr>
      <w:bookmarkStart w:id="168" w:name="_Toc387326587"/>
      <w:bookmarkStart w:id="169" w:name="_Toc530992503"/>
      <w:r>
        <w:rPr>
          <w:rFonts w:hint="eastAsia" w:ascii="楷体_GB2312" w:hAnsi="楷体_GB2312" w:eastAsia="楷体_GB2312" w:cs="楷体_GB2312"/>
          <w:b/>
          <w:bCs/>
          <w:color w:val="auto"/>
          <w:sz w:val="24"/>
          <w:szCs w:val="24"/>
          <w:highlight w:val="none"/>
        </w:rPr>
        <w:t>（一）</w:t>
      </w:r>
      <w:bookmarkEnd w:id="168"/>
      <w:bookmarkEnd w:id="169"/>
      <w:r>
        <w:rPr>
          <w:rFonts w:hint="eastAsia" w:ascii="楷体_GB2312" w:hAnsi="楷体_GB2312" w:eastAsia="楷体_GB2312" w:cs="楷体_GB2312"/>
          <w:b/>
          <w:bCs/>
          <w:color w:val="auto"/>
          <w:sz w:val="24"/>
          <w:szCs w:val="24"/>
          <w:highlight w:val="none"/>
        </w:rPr>
        <w:t>广州市公安局交警支队交通设施及交通信号设施维护项目管理办法</w:t>
      </w:r>
    </w:p>
    <w:p>
      <w:pPr>
        <w:spacing w:line="560" w:lineRule="exact"/>
        <w:ind w:firstLine="482"/>
        <w:rPr>
          <w:rFonts w:hint="eastAsia" w:ascii="仿宋" w:hAnsi="仿宋" w:eastAsia="仿宋" w:cs="仿宋"/>
          <w:b/>
          <w:color w:val="auto"/>
          <w:sz w:val="24"/>
          <w:szCs w:val="24"/>
          <w:highlight w:val="none"/>
        </w:rPr>
      </w:pPr>
      <w:bookmarkStart w:id="170" w:name="_Toc530992530"/>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概述</w:t>
      </w:r>
    </w:p>
    <w:p>
      <w:pPr>
        <w:pageBreakBefore w:val="0"/>
        <w:tabs>
          <w:tab w:val="left" w:pos="1877"/>
        </w:tabs>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1.项目实施内容：</w:t>
      </w:r>
    </w:p>
    <w:p>
      <w:pPr>
        <w:pageBreakBefore w:val="0"/>
        <w:tabs>
          <w:tab w:val="left" w:pos="1877"/>
        </w:tabs>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交通设施维护项目</w:t>
      </w:r>
      <w:r>
        <w:rPr>
          <w:rFonts w:hint="eastAsia" w:ascii="仿宋" w:hAnsi="仿宋" w:eastAsia="仿宋" w:cs="仿宋"/>
          <w:color w:val="auto"/>
          <w:sz w:val="24"/>
          <w:szCs w:val="24"/>
          <w:highlight w:val="none"/>
          <w:lang w:eastAsia="zh-CN"/>
        </w:rPr>
        <w:t>：主要</w:t>
      </w:r>
      <w:r>
        <w:rPr>
          <w:rFonts w:hint="eastAsia" w:ascii="仿宋" w:hAnsi="仿宋" w:eastAsia="仿宋" w:cs="仿宋"/>
          <w:color w:val="auto"/>
          <w:sz w:val="24"/>
          <w:szCs w:val="24"/>
          <w:highlight w:val="none"/>
        </w:rPr>
        <w:t>实施对中心</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区</w:t>
      </w:r>
      <w:r>
        <w:rPr>
          <w:rFonts w:hint="eastAsia" w:ascii="仿宋" w:hAnsi="仿宋" w:eastAsia="仿宋" w:cs="仿宋"/>
          <w:color w:val="auto"/>
          <w:sz w:val="24"/>
          <w:szCs w:val="24"/>
          <w:highlight w:val="none"/>
          <w:lang w:eastAsia="zh-CN"/>
        </w:rPr>
        <w:t>支路（不含）以上市政道路标志标线、机动车道路护栏、机非分隔护栏以及</w:t>
      </w:r>
      <w:r>
        <w:rPr>
          <w:rFonts w:hint="eastAsia" w:ascii="仿宋" w:hAnsi="仿宋" w:eastAsia="仿宋" w:cs="仿宋"/>
          <w:color w:val="auto"/>
          <w:sz w:val="24"/>
          <w:szCs w:val="24"/>
          <w:highlight w:val="none"/>
          <w:lang w:val="en-US" w:eastAsia="zh-CN"/>
        </w:rPr>
        <w:t>8条重要市政道路人行道护栏</w:t>
      </w:r>
      <w:r>
        <w:rPr>
          <w:rFonts w:hint="eastAsia" w:ascii="仿宋" w:hAnsi="仿宋" w:eastAsia="仿宋" w:cs="仿宋"/>
          <w:color w:val="auto"/>
          <w:sz w:val="24"/>
          <w:szCs w:val="24"/>
          <w:highlight w:val="none"/>
        </w:rPr>
        <w:t>等各项交通安全设施的日常巡查、抢修等维护工作，同时承担各类交通保卫、抢险救灾的设施保障和交通组织调整的设施配套工作。</w:t>
      </w:r>
    </w:p>
    <w:p>
      <w:pPr>
        <w:pageBreakBefore w:val="0"/>
        <w:tabs>
          <w:tab w:val="left" w:pos="1877"/>
        </w:tabs>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交通信号设施维护项目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设备维护，包括辖区内各种道路的交通信号控制设施（含单点和SCATS）中交通流量检测部分、控制主机部分、通信部分（线路和设备）、交通信号灯，以及它们配套的杆件、管井、管线、电源、机房设备等基础设施设备的运行维护和故障抢修等；（2）专项维护任务，是指</w:t>
      </w:r>
      <w:r>
        <w:rPr>
          <w:rFonts w:hint="eastAsia" w:ascii="仿宋" w:hAnsi="仿宋" w:eastAsia="仿宋" w:cs="仿宋"/>
          <w:color w:val="auto"/>
          <w:sz w:val="24"/>
          <w:szCs w:val="24"/>
          <w:highlight w:val="none"/>
          <w:lang w:eastAsia="zh-CN"/>
        </w:rPr>
        <w:t>发包人</w:t>
      </w:r>
      <w:r>
        <w:rPr>
          <w:rFonts w:hint="eastAsia" w:ascii="仿宋" w:hAnsi="仿宋" w:eastAsia="仿宋" w:cs="仿宋"/>
          <w:color w:val="auto"/>
          <w:sz w:val="24"/>
          <w:szCs w:val="24"/>
          <w:highlight w:val="none"/>
        </w:rPr>
        <w:t>根据不可预见的需要下达的维护任务，包括对路口交通控制有关的信号设施进行技术改造、更新、合理化改善等特定任务等。</w:t>
      </w:r>
    </w:p>
    <w:p>
      <w:pPr>
        <w:pageBreakBefore w:val="0"/>
        <w:tabs>
          <w:tab w:val="left" w:pos="1877"/>
        </w:tabs>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维护项目服务单位通过公开招标产生，维护范围原则上按招标文件规定的区域来划分，项目管理单位视实际工作需要，经与原维护单位协调后，特殊情况时可指定其中任何一家服务单位跨维护范围去承担项目中的任何一项内容</w:t>
      </w:r>
      <w:r>
        <w:rPr>
          <w:rFonts w:hint="eastAsia" w:ascii="仿宋" w:hAnsi="仿宋" w:eastAsia="仿宋" w:cs="仿宋"/>
          <w:color w:val="auto"/>
          <w:sz w:val="24"/>
          <w:szCs w:val="24"/>
          <w:highlight w:val="none"/>
          <w:lang w:eastAsia="zh-CN"/>
        </w:rPr>
        <w:t>，产生的费用包含在原合同价款内</w:t>
      </w:r>
      <w:r>
        <w:rPr>
          <w:rFonts w:hint="eastAsia" w:ascii="仿宋" w:hAnsi="仿宋" w:eastAsia="仿宋" w:cs="仿宋"/>
          <w:color w:val="auto"/>
          <w:sz w:val="24"/>
          <w:szCs w:val="24"/>
          <w:highlight w:val="none"/>
        </w:rPr>
        <w:t>。</w:t>
      </w:r>
    </w:p>
    <w:p>
      <w:pPr>
        <w:pageBreakBefore w:val="0"/>
        <w:tabs>
          <w:tab w:val="left" w:pos="1877"/>
        </w:tabs>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3.交通设施及</w:t>
      </w:r>
      <w:r>
        <w:rPr>
          <w:rFonts w:hint="eastAsia" w:ascii="仿宋" w:hAnsi="仿宋" w:eastAsia="仿宋" w:cs="仿宋"/>
          <w:color w:val="auto"/>
          <w:sz w:val="24"/>
          <w:szCs w:val="24"/>
          <w:highlight w:val="none"/>
        </w:rPr>
        <w:t>交通信号设施维护设计、监理项目均通过招标方式产生，服务单位各1家。</w:t>
      </w:r>
    </w:p>
    <w:p>
      <w:pPr>
        <w:pageBreakBefore w:val="0"/>
        <w:tabs>
          <w:tab w:val="left" w:pos="1877"/>
        </w:tabs>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4.维护、设计及监理项目的资金来源均为市财政资金。</w:t>
      </w:r>
    </w:p>
    <w:p>
      <w:pPr>
        <w:pageBreakBefore w:val="0"/>
        <w:tabs>
          <w:tab w:val="left" w:pos="1877"/>
        </w:tabs>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交通设施维护项目及</w:t>
      </w:r>
      <w:r>
        <w:rPr>
          <w:rFonts w:hint="eastAsia" w:ascii="仿宋" w:hAnsi="仿宋" w:eastAsia="仿宋" w:cs="仿宋"/>
          <w:color w:val="auto"/>
          <w:sz w:val="24"/>
          <w:szCs w:val="24"/>
          <w:highlight w:val="none"/>
        </w:rPr>
        <w:t>交通信号设施维护项目管理单位是广州市公安局交通警察支队（简称交警支队），具体负责实施管理是交警支队属下的秩序设施大队。</w:t>
      </w:r>
    </w:p>
    <w:p>
      <w:pPr>
        <w:pageBreakBefore w:val="0"/>
        <w:kinsoku/>
        <w:wordWrap/>
        <w:overflowPunct/>
        <w:topLinePunct w:val="0"/>
        <w:bidi w:val="0"/>
        <w:snapToGrid/>
        <w:spacing w:line="560" w:lineRule="exact"/>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工程任务书</w:t>
      </w:r>
      <w:r>
        <w:rPr>
          <w:rFonts w:hint="eastAsia" w:ascii="仿宋" w:hAnsi="仿宋" w:eastAsia="仿宋" w:cs="仿宋"/>
          <w:b/>
          <w:bCs/>
          <w:color w:val="auto"/>
          <w:sz w:val="24"/>
          <w:szCs w:val="24"/>
          <w:highlight w:val="none"/>
          <w:lang w:val="en-US" w:eastAsia="zh-CN"/>
        </w:rPr>
        <w:t>及委托单</w:t>
      </w:r>
      <w:r>
        <w:rPr>
          <w:rFonts w:hint="eastAsia" w:ascii="仿宋" w:hAnsi="仿宋" w:eastAsia="仿宋" w:cs="仿宋"/>
          <w:b/>
          <w:bCs/>
          <w:color w:val="auto"/>
          <w:sz w:val="24"/>
          <w:szCs w:val="24"/>
          <w:highlight w:val="none"/>
        </w:rPr>
        <w:t>管理办法</w:t>
      </w:r>
    </w:p>
    <w:p>
      <w:pPr>
        <w:pageBreakBefore w:val="0"/>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维护项目的工程任务书</w:t>
      </w:r>
      <w:r>
        <w:rPr>
          <w:rFonts w:hint="eastAsia" w:ascii="仿宋" w:hAnsi="仿宋" w:eastAsia="仿宋" w:cs="仿宋"/>
          <w:b w:val="0"/>
          <w:bCs w:val="0"/>
          <w:color w:val="auto"/>
          <w:sz w:val="24"/>
          <w:szCs w:val="24"/>
          <w:highlight w:val="none"/>
          <w:lang w:val="en-US" w:eastAsia="zh-CN"/>
        </w:rPr>
        <w:t>及工作联系单</w:t>
      </w:r>
      <w:r>
        <w:rPr>
          <w:rFonts w:hint="eastAsia" w:ascii="仿宋" w:hAnsi="仿宋" w:eastAsia="仿宋" w:cs="仿宋"/>
          <w:color w:val="auto"/>
          <w:sz w:val="24"/>
          <w:szCs w:val="24"/>
          <w:highlight w:val="none"/>
        </w:rPr>
        <w:t>统一由秩序设施大队按有关规定的程序下达，并由专人进行管理和跟踪。</w:t>
      </w:r>
    </w:p>
    <w:p>
      <w:pPr>
        <w:pageBreakBefore w:val="0"/>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工程费用审批表的审批权限：工程预算在1万元以下的由设施大队中队领导审批，1万元（含1万元）以上5万元以下的由秩序设施大队分管领导审批，5万元（含5万元）以上10万元以下由设施大队主要领导审批，10万元（含10万元）以上的由</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管支队领导审批。</w:t>
      </w:r>
    </w:p>
    <w:p>
      <w:pPr>
        <w:pageBreakBefore w:val="0"/>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秩序设施大队有工程任务要委托</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实施时，先下达工程任务书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或工作联系单）</w:t>
      </w:r>
      <w:r>
        <w:rPr>
          <w:rFonts w:hint="eastAsia" w:ascii="仿宋" w:hAnsi="仿宋" w:eastAsia="仿宋" w:cs="仿宋"/>
          <w:color w:val="auto"/>
          <w:sz w:val="24"/>
          <w:szCs w:val="24"/>
          <w:highlight w:val="none"/>
        </w:rPr>
        <w:t>。工作内容由秩序设施大队、</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、监理单位以及设计单位</w:t>
      </w:r>
      <w:r>
        <w:rPr>
          <w:rFonts w:hint="eastAsia" w:ascii="仿宋" w:hAnsi="仿宋" w:eastAsia="仿宋" w:cs="仿宋"/>
          <w:color w:val="auto"/>
          <w:sz w:val="24"/>
          <w:szCs w:val="24"/>
          <w:highlight w:val="none"/>
          <w:lang w:eastAsia="zh-CN"/>
        </w:rPr>
        <w:t>（警保卫、巡查抢修工作除外）</w:t>
      </w:r>
      <w:r>
        <w:rPr>
          <w:rFonts w:hint="eastAsia" w:ascii="仿宋" w:hAnsi="仿宋" w:eastAsia="仿宋" w:cs="仿宋"/>
          <w:color w:val="auto"/>
          <w:sz w:val="24"/>
          <w:szCs w:val="24"/>
          <w:highlight w:val="none"/>
          <w:lang w:val="en-US" w:eastAsia="zh-CN"/>
        </w:rPr>
        <w:t>现场确认</w:t>
      </w:r>
      <w:r>
        <w:rPr>
          <w:rFonts w:hint="eastAsia" w:ascii="仿宋" w:hAnsi="仿宋" w:eastAsia="仿宋" w:cs="仿宋"/>
          <w:color w:val="auto"/>
          <w:sz w:val="24"/>
          <w:szCs w:val="24"/>
          <w:highlight w:val="none"/>
        </w:rPr>
        <w:t>，并约定地点、工作量、完成时间</w:t>
      </w:r>
      <w:r>
        <w:rPr>
          <w:rFonts w:hint="eastAsia" w:ascii="仿宋" w:hAnsi="仿宋" w:eastAsia="仿宋" w:cs="仿宋"/>
          <w:color w:val="auto"/>
          <w:sz w:val="24"/>
          <w:szCs w:val="24"/>
          <w:highlight w:val="none"/>
          <w:lang w:val="en-US" w:eastAsia="zh-CN"/>
        </w:rPr>
        <w:t>以及其他具体</w:t>
      </w:r>
      <w:r>
        <w:rPr>
          <w:rFonts w:hint="eastAsia" w:ascii="仿宋" w:hAnsi="仿宋" w:eastAsia="仿宋" w:cs="仿宋"/>
          <w:color w:val="auto"/>
          <w:sz w:val="24"/>
          <w:szCs w:val="24"/>
          <w:highlight w:val="none"/>
        </w:rPr>
        <w:t>要求。</w:t>
      </w:r>
    </w:p>
    <w:p>
      <w:pPr>
        <w:pageBreakBefore w:val="0"/>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收到工</w:t>
      </w:r>
      <w:r>
        <w:rPr>
          <w:rFonts w:hint="eastAsia" w:ascii="仿宋" w:hAnsi="仿宋" w:eastAsia="仿宋" w:cs="仿宋"/>
          <w:color w:val="auto"/>
          <w:sz w:val="24"/>
          <w:szCs w:val="24"/>
          <w:highlight w:val="none"/>
          <w:lang w:val="en-US" w:eastAsia="zh-CN"/>
        </w:rPr>
        <w:t>程</w:t>
      </w:r>
      <w:r>
        <w:rPr>
          <w:rFonts w:hint="eastAsia" w:ascii="仿宋" w:hAnsi="仿宋" w:eastAsia="仿宋" w:cs="仿宋"/>
          <w:color w:val="auto"/>
          <w:sz w:val="24"/>
          <w:szCs w:val="24"/>
          <w:highlight w:val="none"/>
        </w:rPr>
        <w:t>任务书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或工作联系单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后，应在工作任务约定的时间内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无特殊约定的，应在5个工作日内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书面提交工程预算（包括包括地点、工程量、施工设计图、施工方案等））。</w:t>
      </w:r>
    </w:p>
    <w:p>
      <w:pPr>
        <w:pageBreakBefore w:val="0"/>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工程</w:t>
      </w:r>
      <w:r>
        <w:rPr>
          <w:rFonts w:hint="eastAsia" w:ascii="仿宋" w:hAnsi="仿宋" w:eastAsia="仿宋" w:cs="仿宋"/>
          <w:color w:val="auto"/>
          <w:sz w:val="24"/>
          <w:szCs w:val="24"/>
          <w:highlight w:val="none"/>
          <w:lang w:val="en-US" w:eastAsia="zh-CN"/>
        </w:rPr>
        <w:t>预算</w:t>
      </w:r>
      <w:r>
        <w:rPr>
          <w:rFonts w:hint="eastAsia" w:ascii="仿宋" w:hAnsi="仿宋" w:eastAsia="仿宋" w:cs="仿宋"/>
          <w:color w:val="auto"/>
          <w:sz w:val="24"/>
          <w:szCs w:val="24"/>
          <w:highlight w:val="none"/>
        </w:rPr>
        <w:t>要严格按工程委托的表格样式要求填写，并按</w:t>
      </w:r>
      <w:r>
        <w:rPr>
          <w:rFonts w:hint="eastAsia" w:ascii="仿宋" w:hAnsi="仿宋" w:eastAsia="仿宋" w:cs="仿宋"/>
          <w:color w:val="auto"/>
          <w:sz w:val="24"/>
          <w:szCs w:val="24"/>
          <w:highlight w:val="none"/>
          <w:lang w:val="en-US" w:eastAsia="zh-CN"/>
        </w:rPr>
        <w:t>规范</w:t>
      </w:r>
      <w:r>
        <w:rPr>
          <w:rFonts w:hint="eastAsia" w:ascii="仿宋" w:hAnsi="仿宋" w:eastAsia="仿宋" w:cs="仿宋"/>
          <w:color w:val="auto"/>
          <w:sz w:val="24"/>
          <w:szCs w:val="24"/>
          <w:highlight w:val="none"/>
        </w:rPr>
        <w:t>程序进行审批。</w:t>
      </w:r>
    </w:p>
    <w:p>
      <w:pPr>
        <w:pageBreakBefore w:val="0"/>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在接到下达的工程任务书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或工作联系单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后应及时回复</w:t>
      </w:r>
      <w:r>
        <w:rPr>
          <w:rFonts w:hint="eastAsia" w:ascii="仿宋" w:hAnsi="仿宋" w:eastAsia="仿宋" w:cs="仿宋"/>
          <w:color w:val="auto"/>
          <w:sz w:val="24"/>
          <w:szCs w:val="24"/>
          <w:highlight w:val="none"/>
          <w:lang w:val="en-US" w:eastAsia="zh-CN"/>
        </w:rPr>
        <w:t>秩序设施大队</w:t>
      </w:r>
      <w:r>
        <w:rPr>
          <w:rFonts w:hint="eastAsia" w:ascii="仿宋" w:hAnsi="仿宋" w:eastAsia="仿宋" w:cs="仿宋"/>
          <w:color w:val="auto"/>
          <w:sz w:val="24"/>
          <w:szCs w:val="24"/>
          <w:highlight w:val="none"/>
        </w:rPr>
        <w:t>进行确认，同时应将工程委托单报</w:t>
      </w:r>
      <w:r>
        <w:rPr>
          <w:rFonts w:hint="eastAsia" w:ascii="仿宋" w:hAnsi="仿宋" w:eastAsia="仿宋" w:cs="仿宋"/>
          <w:color w:val="auto"/>
          <w:sz w:val="24"/>
          <w:szCs w:val="24"/>
          <w:highlight w:val="none"/>
          <w:lang w:eastAsia="zh-CN"/>
        </w:rPr>
        <w:t>监理单位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对工程任务书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或工作联系单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的内容要认真阅读研究，对工程任务书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或工作联系单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下达不规范、内容不清晰或按工程任务书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或工作联系单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要求不能按时完成工程的，要及时主动地与</w:t>
      </w:r>
      <w:r>
        <w:rPr>
          <w:rFonts w:hint="eastAsia" w:ascii="仿宋" w:hAnsi="仿宋" w:eastAsia="仿宋" w:cs="仿宋"/>
          <w:color w:val="auto"/>
          <w:sz w:val="24"/>
          <w:szCs w:val="24"/>
          <w:highlight w:val="none"/>
          <w:lang w:val="en-US" w:eastAsia="zh-CN"/>
        </w:rPr>
        <w:t>秩序设施大队</w:t>
      </w:r>
      <w:r>
        <w:rPr>
          <w:rFonts w:hint="eastAsia" w:ascii="仿宋" w:hAnsi="仿宋" w:eastAsia="仿宋" w:cs="仿宋"/>
          <w:color w:val="auto"/>
          <w:sz w:val="24"/>
          <w:szCs w:val="24"/>
          <w:highlight w:val="none"/>
        </w:rPr>
        <w:t>负责该工程</w:t>
      </w:r>
      <w:r>
        <w:rPr>
          <w:rFonts w:hint="eastAsia" w:ascii="仿宋" w:hAnsi="仿宋" w:eastAsia="仿宋" w:cs="仿宋"/>
          <w:color w:val="auto"/>
          <w:sz w:val="24"/>
          <w:szCs w:val="24"/>
          <w:highlight w:val="none"/>
          <w:lang w:val="en-US" w:eastAsia="zh-CN"/>
        </w:rPr>
        <w:t>任务</w:t>
      </w:r>
      <w:r>
        <w:rPr>
          <w:rFonts w:hint="eastAsia" w:ascii="仿宋" w:hAnsi="仿宋" w:eastAsia="仿宋" w:cs="仿宋"/>
          <w:color w:val="auto"/>
          <w:sz w:val="24"/>
          <w:szCs w:val="24"/>
          <w:highlight w:val="none"/>
        </w:rPr>
        <w:t>下达的经办同志联系并协调修改，否则</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自行对该工程的延误事宜负责</w:t>
      </w:r>
    </w:p>
    <w:p>
      <w:pPr>
        <w:pageBreakBefore w:val="0"/>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除特殊情况外，任何维护工程的施工必须要有工程任务费用审批表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或工程委托单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为依据。</w:t>
      </w:r>
    </w:p>
    <w:p>
      <w:pPr>
        <w:pageBreakBefore w:val="0"/>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如有下列情形之一的可以在请示秩序设施大队</w:t>
      </w:r>
      <w:r>
        <w:rPr>
          <w:rFonts w:hint="eastAsia" w:ascii="仿宋" w:hAnsi="仿宋" w:eastAsia="仿宋" w:cs="仿宋"/>
          <w:color w:val="auto"/>
          <w:sz w:val="24"/>
          <w:szCs w:val="24"/>
          <w:highlight w:val="none"/>
          <w:lang w:val="en-US" w:eastAsia="zh-CN"/>
        </w:rPr>
        <w:t>经办同志</w:t>
      </w:r>
      <w:r>
        <w:rPr>
          <w:rFonts w:hint="eastAsia" w:ascii="仿宋" w:hAnsi="仿宋" w:eastAsia="仿宋" w:cs="仿宋"/>
          <w:color w:val="auto"/>
          <w:sz w:val="24"/>
          <w:szCs w:val="24"/>
          <w:highlight w:val="none"/>
        </w:rPr>
        <w:t>的同意后先施工，但事后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天之内（节假日顺延）</w:t>
      </w:r>
      <w:r>
        <w:rPr>
          <w:rFonts w:hint="eastAsia" w:ascii="仿宋" w:hAnsi="仿宋" w:eastAsia="仿宋" w:cs="仿宋"/>
          <w:color w:val="auto"/>
          <w:sz w:val="24"/>
          <w:szCs w:val="24"/>
          <w:highlight w:val="none"/>
          <w:lang w:eastAsia="zh-CN"/>
        </w:rPr>
        <w:t>维护单位必须协调秩序设施大队经办同志补充</w:t>
      </w:r>
      <w:r>
        <w:rPr>
          <w:rFonts w:hint="eastAsia" w:ascii="仿宋" w:hAnsi="仿宋" w:eastAsia="仿宋" w:cs="仿宋"/>
          <w:color w:val="auto"/>
          <w:sz w:val="24"/>
          <w:szCs w:val="24"/>
          <w:highlight w:val="none"/>
          <w:lang w:val="en-US" w:eastAsia="zh-CN"/>
        </w:rPr>
        <w:t>审批手续</w:t>
      </w:r>
      <w:r>
        <w:rPr>
          <w:rFonts w:hint="eastAsia" w:ascii="仿宋" w:hAnsi="仿宋" w:eastAsia="仿宋" w:cs="仿宋"/>
          <w:color w:val="auto"/>
          <w:sz w:val="24"/>
          <w:szCs w:val="24"/>
          <w:highlight w:val="none"/>
        </w:rPr>
        <w:t>：</w:t>
      </w:r>
    </w:p>
    <w:p>
      <w:pPr>
        <w:pageBreakBefore w:val="0"/>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◆由于突发事件引起的工程抢修以及设施保障工作；</w:t>
      </w:r>
    </w:p>
    <w:p>
      <w:pPr>
        <w:pageBreakBefore w:val="0"/>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其他应急</w:t>
      </w:r>
      <w:r>
        <w:rPr>
          <w:rFonts w:hint="eastAsia" w:ascii="仿宋" w:hAnsi="仿宋" w:eastAsia="仿宋" w:cs="仿宋"/>
          <w:color w:val="auto"/>
          <w:sz w:val="24"/>
          <w:szCs w:val="24"/>
          <w:highlight w:val="none"/>
        </w:rPr>
        <w:t>布置的工作。</w:t>
      </w:r>
    </w:p>
    <w:p>
      <w:pPr>
        <w:pageBreakBefore w:val="0"/>
        <w:numPr>
          <w:ilvl w:val="0"/>
          <w:numId w:val="5"/>
        </w:numPr>
        <w:kinsoku/>
        <w:wordWrap/>
        <w:overflowPunct/>
        <w:topLinePunct w:val="0"/>
        <w:bidi w:val="0"/>
        <w:snapToGrid/>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交通设施维护项目的日常巡查工作每月以一份委托单的形式下达，交通信号设施维护项目的日常巡查及故障解决、</w:t>
      </w:r>
      <w:r>
        <w:rPr>
          <w:rFonts w:hint="eastAsia" w:ascii="仿宋" w:hAnsi="仿宋" w:eastAsia="仿宋" w:cs="仿宋"/>
          <w:color w:val="auto"/>
          <w:sz w:val="24"/>
          <w:szCs w:val="24"/>
          <w:highlight w:val="none"/>
        </w:rPr>
        <w:t>硬件维修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光纤线路日常维护</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常规维护工程每月以一个专项任务书的形式下达</w:t>
      </w:r>
      <w:r>
        <w:rPr>
          <w:rFonts w:hint="eastAsia" w:ascii="仿宋" w:hAnsi="仿宋" w:eastAsia="仿宋" w:cs="仿宋"/>
          <w:color w:val="auto"/>
          <w:sz w:val="24"/>
          <w:szCs w:val="24"/>
          <w:highlight w:val="none"/>
          <w:lang w:eastAsia="zh-CN"/>
        </w:rPr>
        <w:t>，抢修工作</w:t>
      </w:r>
      <w:r>
        <w:rPr>
          <w:rFonts w:hint="eastAsia" w:ascii="仿宋" w:hAnsi="仿宋" w:eastAsia="仿宋" w:cs="仿宋"/>
          <w:color w:val="auto"/>
          <w:sz w:val="24"/>
          <w:szCs w:val="24"/>
          <w:highlight w:val="none"/>
          <w:lang w:val="en-US" w:eastAsia="zh-CN"/>
        </w:rPr>
        <w:t>发生耗材的</w:t>
      </w:r>
      <w:r>
        <w:rPr>
          <w:rFonts w:hint="eastAsia" w:ascii="仿宋" w:hAnsi="仿宋" w:eastAsia="仿宋" w:cs="仿宋"/>
          <w:color w:val="auto"/>
          <w:sz w:val="24"/>
          <w:szCs w:val="24"/>
          <w:highlight w:val="none"/>
          <w:lang w:eastAsia="zh-CN"/>
        </w:rPr>
        <w:t>以实际发生工程量进行月度抢修结算</w:t>
      </w:r>
      <w:r>
        <w:rPr>
          <w:rFonts w:hint="eastAsia" w:ascii="仿宋" w:hAnsi="仿宋" w:eastAsia="仿宋" w:cs="仿宋"/>
          <w:color w:val="auto"/>
          <w:sz w:val="24"/>
          <w:szCs w:val="24"/>
          <w:highlight w:val="none"/>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在收到工程任务书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或委托单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后，要及时通知监理单位进行工程监理，如因</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不通知监理单位进行工程监理而造成工程验收和结算问题的，一切损失由</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负责；监理单位在接到</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转来的工程任务书之后，应即时履行监理义务，不得推脱</w:t>
      </w:r>
      <w:r>
        <w:rPr>
          <w:rFonts w:hint="eastAsia" w:ascii="仿宋" w:hAnsi="仿宋" w:eastAsia="仿宋" w:cs="仿宋"/>
          <w:color w:val="auto"/>
          <w:sz w:val="24"/>
          <w:szCs w:val="24"/>
          <w:highlight w:val="none"/>
          <w:lang w:val="en-US" w:eastAsia="zh-CN"/>
        </w:rPr>
        <w:t>致</w:t>
      </w:r>
      <w:r>
        <w:rPr>
          <w:rFonts w:hint="eastAsia" w:ascii="仿宋" w:hAnsi="仿宋" w:eastAsia="仿宋" w:cs="仿宋"/>
          <w:color w:val="auto"/>
          <w:sz w:val="24"/>
          <w:szCs w:val="24"/>
          <w:highlight w:val="none"/>
        </w:rPr>
        <w:t>工程延误。</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须</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规定时限内完成任务书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或委托单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工作内容；除不可抗力因素外，如因其他原因可能造成工作无法按时完成的，</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可提前3天书面提请延期申请，经项目监理及秩序设施大队经办同志审批通过后可适当延长至申请日期完工。否则，因延期造成的一切后果由</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承担。</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在实施工程任务时，工程造价要严格控制在</w:t>
      </w:r>
      <w:r>
        <w:rPr>
          <w:rFonts w:hint="eastAsia" w:ascii="仿宋" w:hAnsi="仿宋" w:eastAsia="仿宋" w:cs="仿宋"/>
          <w:color w:val="auto"/>
          <w:sz w:val="24"/>
          <w:szCs w:val="24"/>
          <w:highlight w:val="none"/>
          <w:lang w:val="en-US" w:eastAsia="zh-CN"/>
        </w:rPr>
        <w:t>经审批</w:t>
      </w:r>
      <w:r>
        <w:rPr>
          <w:rFonts w:hint="eastAsia" w:ascii="仿宋" w:hAnsi="仿宋" w:eastAsia="仿宋" w:cs="仿宋"/>
          <w:color w:val="auto"/>
          <w:sz w:val="24"/>
          <w:szCs w:val="24"/>
          <w:highlight w:val="none"/>
        </w:rPr>
        <w:t>确定的工程预算内，如因特殊情况致工程实际费用超出工程预算的，超出部分应严格控制在原预算的10%以内；超过10%（含）以上的，必须严格按流程重新办理审批手续后方能施工。</w:t>
      </w:r>
    </w:p>
    <w:p>
      <w:pPr>
        <w:keepNext w:val="0"/>
        <w:keepLines w:val="0"/>
        <w:pageBreakBefore w:val="0"/>
        <w:widowControl w:val="0"/>
        <w:numPr>
          <w:ilvl w:val="0"/>
          <w:numId w:val="5"/>
        </w:numPr>
        <w:suppressLineNumbers w:val="0"/>
        <w:kinsoku/>
        <w:wordWrap/>
        <w:overflowPunct/>
        <w:topLinePunct w:val="0"/>
        <w:bidi w:val="0"/>
        <w:snapToGrid/>
        <w:spacing w:before="0" w:beforeAutospacing="0" w:after="0" w:afterAutospacing="0" w:line="560" w:lineRule="exact"/>
        <w:ind w:left="0" w:leftChars="0" w:righ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工程任务书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或委托单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完成之后三天内（节假日顺延），</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要以</w:t>
      </w:r>
      <w:r>
        <w:rPr>
          <w:rFonts w:hint="eastAsia" w:ascii="仿宋" w:hAnsi="仿宋" w:eastAsia="仿宋" w:cs="仿宋"/>
          <w:color w:val="auto"/>
          <w:sz w:val="24"/>
          <w:szCs w:val="24"/>
          <w:highlight w:val="none"/>
          <w:lang w:val="en-US" w:eastAsia="zh-CN"/>
        </w:rPr>
        <w:t>电子邮件、</w:t>
      </w:r>
      <w:r>
        <w:rPr>
          <w:rFonts w:hint="eastAsia" w:ascii="仿宋" w:hAnsi="仿宋" w:eastAsia="仿宋" w:cs="仿宋"/>
          <w:color w:val="auto"/>
          <w:sz w:val="24"/>
          <w:szCs w:val="24"/>
          <w:highlight w:val="none"/>
        </w:rPr>
        <w:t>微信</w:t>
      </w:r>
      <w:r>
        <w:rPr>
          <w:rFonts w:hint="eastAsia" w:ascii="仿宋" w:hAnsi="仿宋" w:eastAsia="仿宋" w:cs="仿宋"/>
          <w:color w:val="auto"/>
          <w:sz w:val="24"/>
          <w:szCs w:val="24"/>
          <w:highlight w:val="none"/>
          <w:lang w:val="en-US" w:eastAsia="zh-CN"/>
        </w:rPr>
        <w:t>或</w:t>
      </w:r>
      <w:r>
        <w:rPr>
          <w:rFonts w:hint="eastAsia" w:ascii="仿宋" w:hAnsi="仿宋" w:eastAsia="仿宋" w:cs="仿宋"/>
          <w:strike w:val="0"/>
          <w:color w:val="auto"/>
          <w:sz w:val="24"/>
          <w:szCs w:val="24"/>
          <w:highlight w:val="none"/>
        </w:rPr>
        <w:t>传真</w:t>
      </w:r>
      <w:r>
        <w:rPr>
          <w:rFonts w:hint="eastAsia" w:ascii="仿宋" w:hAnsi="仿宋" w:eastAsia="仿宋" w:cs="仿宋"/>
          <w:strike w:val="0"/>
          <w:color w:val="auto"/>
          <w:sz w:val="24"/>
          <w:szCs w:val="24"/>
          <w:highlight w:val="none"/>
          <w:lang w:val="en-US" w:eastAsia="zh-CN"/>
        </w:rPr>
        <w:t>等</w:t>
      </w:r>
      <w:r>
        <w:rPr>
          <w:rFonts w:hint="eastAsia" w:ascii="仿宋" w:hAnsi="仿宋" w:eastAsia="仿宋" w:cs="仿宋"/>
          <w:strike w:val="0"/>
          <w:color w:val="auto"/>
          <w:sz w:val="24"/>
          <w:szCs w:val="24"/>
          <w:highlight w:val="none"/>
          <w:lang w:val="en-US" w:eastAsia="zh"/>
        </w:rPr>
        <w:t>文字</w:t>
      </w:r>
      <w:r>
        <w:rPr>
          <w:rFonts w:hint="eastAsia" w:ascii="仿宋" w:hAnsi="仿宋" w:eastAsia="仿宋" w:cs="仿宋"/>
          <w:color w:val="auto"/>
          <w:sz w:val="24"/>
          <w:szCs w:val="24"/>
          <w:highlight w:val="none"/>
        </w:rPr>
        <w:t>形式通报</w:t>
      </w:r>
      <w:r>
        <w:rPr>
          <w:rFonts w:hint="eastAsia" w:ascii="仿宋" w:hAnsi="仿宋" w:eastAsia="仿宋" w:cs="仿宋"/>
          <w:color w:val="auto"/>
          <w:sz w:val="24"/>
          <w:szCs w:val="24"/>
          <w:highlight w:val="none"/>
          <w:lang w:val="en-US" w:eastAsia="zh-CN"/>
        </w:rPr>
        <w:t>秩序设施大队</w:t>
      </w:r>
      <w:r>
        <w:rPr>
          <w:rFonts w:hint="eastAsia" w:ascii="仿宋" w:hAnsi="仿宋" w:eastAsia="仿宋" w:cs="仿宋"/>
          <w:color w:val="auto"/>
          <w:sz w:val="24"/>
          <w:szCs w:val="24"/>
          <w:highlight w:val="none"/>
        </w:rPr>
        <w:t>经办同志，以利于</w:t>
      </w:r>
      <w:r>
        <w:rPr>
          <w:rFonts w:hint="eastAsia" w:ascii="仿宋" w:hAnsi="仿宋" w:eastAsia="仿宋" w:cs="仿宋"/>
          <w:color w:val="auto"/>
          <w:sz w:val="24"/>
          <w:szCs w:val="24"/>
          <w:highlight w:val="none"/>
          <w:lang w:val="en-US" w:eastAsia="zh-CN"/>
        </w:rPr>
        <w:t>之后</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验收</w:t>
      </w:r>
      <w:r>
        <w:rPr>
          <w:rFonts w:hint="eastAsia" w:ascii="仿宋" w:hAnsi="仿宋" w:eastAsia="仿宋" w:cs="仿宋"/>
          <w:color w:val="auto"/>
          <w:sz w:val="24"/>
          <w:szCs w:val="24"/>
          <w:highlight w:val="none"/>
        </w:rPr>
        <w:t>监管工作。迟报或未报的，按延期完工处理。</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对于工程的预算，秩序设施大队有权要求</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免费限时提供，</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不能推脱。</w:t>
      </w:r>
    </w:p>
    <w:p>
      <w:pPr>
        <w:pageBreakBefore w:val="0"/>
        <w:kinsoku/>
        <w:wordWrap/>
        <w:overflowPunct/>
        <w:topLinePunct w:val="0"/>
        <w:bidi w:val="0"/>
        <w:snapToGrid/>
        <w:spacing w:line="560" w:lineRule="exact"/>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工程验收</w:t>
      </w:r>
      <w:r>
        <w:rPr>
          <w:rFonts w:hint="eastAsia" w:ascii="仿宋" w:hAnsi="仿宋" w:eastAsia="仿宋" w:cs="仿宋"/>
          <w:b/>
          <w:bCs/>
          <w:color w:val="auto"/>
          <w:sz w:val="24"/>
          <w:szCs w:val="24"/>
          <w:highlight w:val="none"/>
          <w:lang w:val="en-US" w:eastAsia="zh-CN"/>
        </w:rPr>
        <w:t>管理</w:t>
      </w:r>
      <w:r>
        <w:rPr>
          <w:rFonts w:hint="eastAsia" w:ascii="仿宋" w:hAnsi="仿宋" w:eastAsia="仿宋" w:cs="仿宋"/>
          <w:b/>
          <w:bCs/>
          <w:color w:val="auto"/>
          <w:sz w:val="24"/>
          <w:szCs w:val="24"/>
          <w:highlight w:val="none"/>
        </w:rPr>
        <w:t>办法</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工程完工后，</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应将结算表及有关材料送监理单位审核，监理单位审核通过后报</w:t>
      </w:r>
      <w:r>
        <w:rPr>
          <w:rFonts w:hint="eastAsia" w:ascii="仿宋" w:hAnsi="仿宋" w:eastAsia="仿宋" w:cs="仿宋"/>
          <w:color w:val="auto"/>
          <w:sz w:val="24"/>
          <w:szCs w:val="24"/>
          <w:highlight w:val="none"/>
          <w:lang w:val="en-US" w:eastAsia="zh-CN"/>
        </w:rPr>
        <w:t>秩序设施大队</w:t>
      </w:r>
      <w:r>
        <w:rPr>
          <w:rFonts w:hint="eastAsia" w:ascii="仿宋" w:hAnsi="仿宋" w:eastAsia="仿宋" w:cs="仿宋"/>
          <w:color w:val="auto"/>
          <w:sz w:val="24"/>
          <w:szCs w:val="24"/>
          <w:highlight w:val="none"/>
        </w:rPr>
        <w:t>经办人员。</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工程验收按工程任务书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或委托单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进行验收，</w:t>
      </w:r>
      <w:r>
        <w:rPr>
          <w:rFonts w:hint="eastAsia" w:ascii="仿宋" w:hAnsi="仿宋" w:eastAsia="仿宋" w:cs="仿宋"/>
          <w:color w:val="auto"/>
          <w:sz w:val="24"/>
          <w:szCs w:val="24"/>
          <w:highlight w:val="none"/>
          <w:lang w:eastAsia="zh-CN"/>
        </w:rPr>
        <w:t>工程量的确认必须严格依据设计图纸及现场验收确认，</w:t>
      </w:r>
      <w:r>
        <w:rPr>
          <w:rFonts w:hint="eastAsia" w:ascii="仿宋" w:hAnsi="仿宋" w:eastAsia="仿宋" w:cs="仿宋"/>
          <w:color w:val="auto"/>
          <w:sz w:val="24"/>
          <w:szCs w:val="24"/>
          <w:highlight w:val="none"/>
        </w:rPr>
        <w:t>具体的工程结算金额须报相关部门做最后的核准。</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工程验收</w:t>
      </w:r>
      <w:r>
        <w:rPr>
          <w:rFonts w:hint="eastAsia" w:ascii="仿宋" w:hAnsi="仿宋" w:eastAsia="仿宋" w:cs="仿宋"/>
          <w:color w:val="auto"/>
          <w:sz w:val="24"/>
          <w:szCs w:val="24"/>
          <w:highlight w:val="none"/>
          <w:lang w:val="en-US" w:eastAsia="zh"/>
        </w:rPr>
        <w:t>按</w:t>
      </w:r>
      <w:r>
        <w:rPr>
          <w:rFonts w:hint="eastAsia" w:ascii="仿宋" w:hAnsi="仿宋" w:eastAsia="仿宋" w:cs="仿宋"/>
          <w:color w:val="auto"/>
          <w:sz w:val="24"/>
          <w:szCs w:val="24"/>
          <w:highlight w:val="none"/>
          <w:lang w:val="en-US" w:eastAsia="zh-CN"/>
        </w:rPr>
        <w:t>月进行，由</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lang w:val="en-US" w:eastAsia="zh-CN"/>
        </w:rPr>
        <w:t>、监理单位、设计单位以及秩序设施大队经办同志共同完成，秩序设施大队中队或大队领导可对该月的各项工程进行抽检验收，以确保工程验收质量。</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在完成工程任务书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或委托单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下达的工程后，以结算表的形式上报监理单位以及</w:t>
      </w:r>
      <w:r>
        <w:rPr>
          <w:rFonts w:hint="eastAsia" w:ascii="仿宋" w:hAnsi="仿宋" w:eastAsia="仿宋" w:cs="仿宋"/>
          <w:color w:val="auto"/>
          <w:sz w:val="24"/>
          <w:szCs w:val="24"/>
          <w:highlight w:val="none"/>
          <w:lang w:val="en-US" w:eastAsia="zh-CN"/>
        </w:rPr>
        <w:t>秩序设施大队</w:t>
      </w:r>
      <w:r>
        <w:rPr>
          <w:rFonts w:hint="eastAsia" w:ascii="仿宋" w:hAnsi="仿宋" w:eastAsia="仿宋" w:cs="仿宋"/>
          <w:color w:val="auto"/>
          <w:sz w:val="24"/>
          <w:szCs w:val="24"/>
          <w:highlight w:val="none"/>
        </w:rPr>
        <w:t>进行验收，验收通过的由监理单位以及工程验收人员签名确认。</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维护工程的验收技术依据是国家或行业的质量检验评定标准以及交警支队下达的交通工程技术规范文本，不按工程任务书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或委托单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的要求以及有关技术要求施工而导致工程不能通过验收的，其损失由</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自行承担。</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以结算表形式上报监理单位，监理单位须在</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个工作日内完成验收工作</w:t>
      </w:r>
      <w:r>
        <w:rPr>
          <w:rFonts w:hint="eastAsia" w:ascii="仿宋" w:hAnsi="仿宋" w:eastAsia="仿宋" w:cs="仿宋"/>
          <w:color w:val="auto"/>
          <w:sz w:val="24"/>
          <w:szCs w:val="24"/>
          <w:highlight w:val="none"/>
          <w:lang w:eastAsia="zh-CN"/>
        </w:rPr>
        <w:t>，验收过程必须使用相关检测设备对工程主要参数进行测量并做好过程记录</w:t>
      </w:r>
      <w:r>
        <w:rPr>
          <w:rFonts w:hint="eastAsia" w:ascii="仿宋" w:hAnsi="仿宋" w:eastAsia="仿宋" w:cs="仿宋"/>
          <w:color w:val="auto"/>
          <w:sz w:val="24"/>
          <w:szCs w:val="24"/>
          <w:highlight w:val="none"/>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业主单位（交警支队）参加验收的人员不得少于两人，除项目经办人外，由负责中队领导随机派出另一同志参加，亦可邀请相应辖区大队设施管理员参加。验收通过后，参加人员均应签名确认</w:t>
      </w:r>
      <w:r>
        <w:rPr>
          <w:rFonts w:hint="eastAsia" w:ascii="仿宋" w:hAnsi="仿宋" w:eastAsia="仿宋" w:cs="仿宋"/>
          <w:color w:val="auto"/>
          <w:sz w:val="24"/>
          <w:szCs w:val="24"/>
          <w:highlight w:val="none"/>
        </w:rPr>
        <w:t>。</w:t>
      </w:r>
    </w:p>
    <w:p>
      <w:pPr>
        <w:pageBreakBefore w:val="0"/>
        <w:kinsoku/>
        <w:wordWrap/>
        <w:overflowPunct/>
        <w:topLinePunct w:val="0"/>
        <w:bidi w:val="0"/>
        <w:snapToGrid/>
        <w:spacing w:line="560" w:lineRule="exact"/>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工程竣工资料及质量保证管理办法</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每项维护工程完工后，</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须提供一份完工清单，清单的内容包括工程所含的各项设施的设置地点（含朝向）、内容、数量、规格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设施安全性能指数等内容，清单可以在工程结算单内体现，无须另做。</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涉及各类</w:t>
      </w:r>
      <w:r>
        <w:rPr>
          <w:rFonts w:hint="eastAsia" w:ascii="仿宋" w:hAnsi="仿宋" w:eastAsia="仿宋" w:cs="仿宋"/>
          <w:color w:val="auto"/>
          <w:sz w:val="24"/>
          <w:szCs w:val="24"/>
          <w:highlight w:val="none"/>
          <w:lang w:val="en-US" w:eastAsia="zh-CN"/>
        </w:rPr>
        <w:t>支撑</w:t>
      </w:r>
      <w:r>
        <w:rPr>
          <w:rFonts w:hint="eastAsia" w:ascii="仿宋" w:hAnsi="仿宋" w:eastAsia="仿宋" w:cs="仿宋"/>
          <w:color w:val="auto"/>
          <w:sz w:val="24"/>
          <w:szCs w:val="24"/>
          <w:highlight w:val="none"/>
        </w:rPr>
        <w:t>杆件</w:t>
      </w:r>
      <w:r>
        <w:rPr>
          <w:rFonts w:hint="eastAsia" w:ascii="仿宋" w:hAnsi="仿宋" w:eastAsia="仿宋" w:cs="仿宋"/>
          <w:color w:val="auto"/>
          <w:sz w:val="24"/>
          <w:szCs w:val="24"/>
          <w:highlight w:val="none"/>
          <w:lang w:eastAsia="zh-CN"/>
        </w:rPr>
        <w:t>支撑杆件、反光道钉、轮廓标、示警桩</w:t>
      </w:r>
      <w:r>
        <w:rPr>
          <w:rFonts w:hint="eastAsia" w:ascii="仿宋" w:hAnsi="仿宋" w:eastAsia="仿宋" w:cs="仿宋"/>
          <w:color w:val="auto"/>
          <w:sz w:val="24"/>
          <w:szCs w:val="24"/>
          <w:highlight w:val="none"/>
          <w:lang w:val="en-US" w:eastAsia="zh-CN"/>
        </w:rPr>
        <w:t>等设施</w:t>
      </w:r>
      <w:r>
        <w:rPr>
          <w:rFonts w:hint="eastAsia" w:ascii="仿宋" w:hAnsi="仿宋" w:eastAsia="仿宋" w:cs="仿宋"/>
          <w:color w:val="auto"/>
          <w:sz w:val="24"/>
          <w:szCs w:val="24"/>
          <w:highlight w:val="none"/>
        </w:rPr>
        <w:t>的，工程完工后要提供安全保证书（含保证年限）；涉及交通信号机备件的，要提供材料技术合格证书以及保用年限（同类产品只需提供一次）；涉及信号灯灯具、线缆等材料要提供产品合格证书以及保质年限；涉及交通标线的，要提供材料</w:t>
      </w:r>
      <w:r>
        <w:rPr>
          <w:rFonts w:hint="eastAsia" w:ascii="仿宋" w:hAnsi="仿宋" w:eastAsia="仿宋" w:cs="仿宋"/>
          <w:color w:val="auto"/>
          <w:sz w:val="24"/>
          <w:szCs w:val="24"/>
          <w:highlight w:val="none"/>
          <w:lang w:eastAsia="zh-CN"/>
        </w:rPr>
        <w:t>生产、检验</w:t>
      </w:r>
      <w:r>
        <w:rPr>
          <w:rFonts w:hint="eastAsia" w:ascii="仿宋" w:hAnsi="仿宋" w:eastAsia="仿宋" w:cs="仿宋"/>
          <w:color w:val="auto"/>
          <w:sz w:val="24"/>
          <w:szCs w:val="24"/>
          <w:highlight w:val="none"/>
        </w:rPr>
        <w:t>合格证书以及保用年限（同类产品只需提供一次）；涉及交通护栏要提供产品合格证书</w:t>
      </w:r>
      <w:r>
        <w:rPr>
          <w:rFonts w:hint="eastAsia" w:ascii="仿宋" w:hAnsi="仿宋" w:eastAsia="仿宋" w:cs="仿宋"/>
          <w:color w:val="auto"/>
          <w:sz w:val="24"/>
          <w:szCs w:val="24"/>
          <w:highlight w:val="none"/>
          <w:lang w:eastAsia="zh-CN"/>
        </w:rPr>
        <w:t>（或原材料及各生产工序的生产、检验合格证）</w:t>
      </w:r>
      <w:r>
        <w:rPr>
          <w:rFonts w:hint="eastAsia" w:ascii="仿宋" w:hAnsi="仿宋" w:eastAsia="仿宋" w:cs="仿宋"/>
          <w:color w:val="auto"/>
          <w:sz w:val="24"/>
          <w:szCs w:val="24"/>
          <w:highlight w:val="none"/>
        </w:rPr>
        <w:t>以及保质年限；</w:t>
      </w:r>
      <w:r>
        <w:rPr>
          <w:rFonts w:hint="eastAsia" w:ascii="仿宋" w:hAnsi="仿宋" w:eastAsia="仿宋" w:cs="仿宋"/>
          <w:color w:val="auto"/>
          <w:sz w:val="24"/>
          <w:szCs w:val="24"/>
          <w:highlight w:val="none"/>
          <w:lang w:val="en-US" w:eastAsia="zh-CN"/>
        </w:rPr>
        <w:t>秩序设施大队</w:t>
      </w:r>
      <w:r>
        <w:rPr>
          <w:rFonts w:hint="eastAsia" w:ascii="仿宋" w:hAnsi="仿宋" w:eastAsia="仿宋" w:cs="仿宋"/>
          <w:color w:val="auto"/>
          <w:sz w:val="24"/>
          <w:szCs w:val="24"/>
          <w:highlight w:val="none"/>
        </w:rPr>
        <w:t>有权要求</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提供认为必要的任何竣工资料。</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负责实施的设施维护工程，在无战争、自然灾害等不可抗拒的因素下，如在承诺的保证期内因质量问题而导致的质量以及安全事故的，其损失及后果均由</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承担。</w:t>
      </w:r>
    </w:p>
    <w:p>
      <w:pPr>
        <w:pageBreakBefore w:val="0"/>
        <w:kinsoku/>
        <w:wordWrap/>
        <w:overflowPunct/>
        <w:topLinePunct w:val="0"/>
        <w:bidi w:val="0"/>
        <w:snapToGrid/>
        <w:spacing w:line="560" w:lineRule="exact"/>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工程结算管理办法</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维护工程</w:t>
      </w:r>
      <w:r>
        <w:rPr>
          <w:rFonts w:hint="eastAsia" w:ascii="仿宋" w:hAnsi="仿宋" w:eastAsia="仿宋" w:cs="仿宋"/>
          <w:color w:val="auto"/>
          <w:sz w:val="24"/>
          <w:szCs w:val="24"/>
          <w:highlight w:val="none"/>
          <w:lang w:val="en-US" w:eastAsia="zh-CN"/>
        </w:rPr>
        <w:t>按</w:t>
      </w:r>
      <w:r>
        <w:rPr>
          <w:rFonts w:hint="eastAsia" w:ascii="仿宋" w:hAnsi="仿宋" w:eastAsia="仿宋" w:cs="仿宋"/>
          <w:color w:val="auto"/>
          <w:sz w:val="24"/>
          <w:szCs w:val="24"/>
          <w:highlight w:val="none"/>
        </w:rPr>
        <w:t>月办理进度款结算支付工作，其流程是：</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提供工程月结资料——监理单位、</w:t>
      </w:r>
      <w:r>
        <w:rPr>
          <w:rFonts w:hint="eastAsia" w:ascii="仿宋" w:hAnsi="仿宋" w:eastAsia="仿宋" w:cs="仿宋"/>
          <w:color w:val="auto"/>
          <w:sz w:val="24"/>
          <w:szCs w:val="24"/>
          <w:highlight w:val="none"/>
          <w:lang w:val="en-US" w:eastAsia="zh-CN"/>
        </w:rPr>
        <w:t>秩序设施大队</w:t>
      </w:r>
      <w:r>
        <w:rPr>
          <w:rFonts w:hint="eastAsia" w:ascii="仿宋" w:hAnsi="仿宋" w:eastAsia="仿宋" w:cs="仿宋"/>
          <w:color w:val="auto"/>
          <w:sz w:val="24"/>
          <w:szCs w:val="24"/>
          <w:highlight w:val="none"/>
        </w:rPr>
        <w:t>验收确认——</w:t>
      </w:r>
      <w:r>
        <w:rPr>
          <w:rFonts w:hint="eastAsia" w:ascii="仿宋" w:hAnsi="仿宋" w:eastAsia="仿宋" w:cs="仿宋"/>
          <w:color w:val="auto"/>
          <w:sz w:val="24"/>
          <w:szCs w:val="24"/>
          <w:highlight w:val="none"/>
          <w:lang w:val="en-US" w:eastAsia="zh-CN"/>
        </w:rPr>
        <w:t>秩序设施大队</w:t>
      </w:r>
      <w:r>
        <w:rPr>
          <w:rFonts w:hint="eastAsia" w:ascii="仿宋" w:hAnsi="仿宋" w:eastAsia="仿宋" w:cs="仿宋"/>
          <w:color w:val="auto"/>
          <w:sz w:val="24"/>
          <w:szCs w:val="24"/>
          <w:highlight w:val="none"/>
        </w:rPr>
        <w:t>领导审批——</w:t>
      </w:r>
      <w:r>
        <w:rPr>
          <w:rFonts w:hint="eastAsia" w:ascii="仿宋" w:hAnsi="仿宋" w:eastAsia="仿宋" w:cs="仿宋"/>
          <w:color w:val="auto"/>
          <w:sz w:val="24"/>
          <w:szCs w:val="24"/>
          <w:highlight w:val="none"/>
          <w:lang w:val="en-US" w:eastAsia="zh-CN"/>
        </w:rPr>
        <w:t>支队财务部门审核——</w:t>
      </w:r>
      <w:r>
        <w:rPr>
          <w:rFonts w:hint="eastAsia" w:ascii="仿宋" w:hAnsi="仿宋" w:eastAsia="仿宋" w:cs="仿宋"/>
          <w:color w:val="auto"/>
          <w:sz w:val="24"/>
          <w:szCs w:val="24"/>
          <w:highlight w:val="none"/>
        </w:rPr>
        <w:t>支队领导审批——</w:t>
      </w:r>
      <w:r>
        <w:rPr>
          <w:rFonts w:hint="eastAsia" w:ascii="仿宋" w:hAnsi="仿宋" w:eastAsia="仿宋" w:cs="仿宋"/>
          <w:color w:val="auto"/>
          <w:sz w:val="24"/>
          <w:szCs w:val="24"/>
          <w:highlight w:val="none"/>
          <w:lang w:val="en-US" w:eastAsia="zh-CN"/>
        </w:rPr>
        <w:t>市局财政部门审核——</w:t>
      </w:r>
      <w:r>
        <w:rPr>
          <w:rFonts w:hint="eastAsia" w:ascii="仿宋" w:hAnsi="仿宋" w:eastAsia="仿宋" w:cs="仿宋"/>
          <w:color w:val="auto"/>
          <w:sz w:val="24"/>
          <w:szCs w:val="24"/>
          <w:highlight w:val="none"/>
        </w:rPr>
        <w:t>投资人审核和支付工程款项。</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每份工程结算单后需附有该项工程的工程委托单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或费用审批表，抢修除外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费用明细、现场施工图片及验收</w:t>
      </w:r>
      <w:r>
        <w:rPr>
          <w:rFonts w:hint="eastAsia" w:ascii="仿宋" w:hAnsi="仿宋" w:eastAsia="仿宋" w:cs="仿宋"/>
          <w:color w:val="auto"/>
          <w:sz w:val="24"/>
          <w:szCs w:val="24"/>
          <w:highlight w:val="none"/>
          <w:lang w:eastAsia="zh"/>
        </w:rPr>
        <w:t>情况</w:t>
      </w:r>
      <w:r>
        <w:rPr>
          <w:rFonts w:hint="eastAsia" w:ascii="仿宋" w:hAnsi="仿宋" w:eastAsia="仿宋" w:cs="仿宋"/>
          <w:color w:val="auto"/>
          <w:sz w:val="24"/>
          <w:szCs w:val="24"/>
          <w:highlight w:val="none"/>
        </w:rPr>
        <w:t>等资料，</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由于不能提供准确的结算单而导致结算延误的，其应承担一切损失。</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为了按时完成工程结算单的上报工作，各相关单位须严格按照有关程序和时间期限来做，如确有特殊原因而导致无法按时完成的，须书面申请协商解决，否则，一切后果由延误工作的一方负责。</w:t>
      </w:r>
    </w:p>
    <w:p>
      <w:pPr>
        <w:pageBreakBefore w:val="0"/>
        <w:kinsoku/>
        <w:wordWrap/>
        <w:overflowPunct/>
        <w:topLinePunct w:val="0"/>
        <w:bidi w:val="0"/>
        <w:snapToGrid/>
        <w:spacing w:line="560" w:lineRule="exact"/>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工程抢修管理办法</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设施</w:t>
      </w:r>
      <w:r>
        <w:rPr>
          <w:rFonts w:hint="eastAsia" w:ascii="仿宋" w:hAnsi="仿宋" w:eastAsia="仿宋" w:cs="仿宋"/>
          <w:color w:val="auto"/>
          <w:sz w:val="24"/>
          <w:szCs w:val="24"/>
          <w:highlight w:val="none"/>
          <w:lang w:val="en-US" w:eastAsia="zh-CN"/>
        </w:rPr>
        <w:t>维护工程</w:t>
      </w:r>
      <w:r>
        <w:rPr>
          <w:rFonts w:hint="eastAsia" w:ascii="仿宋" w:hAnsi="仿宋" w:eastAsia="仿宋" w:cs="仿宋"/>
          <w:color w:val="auto"/>
          <w:sz w:val="24"/>
          <w:szCs w:val="24"/>
          <w:highlight w:val="none"/>
        </w:rPr>
        <w:t>的抢修工作是指对因交通事故以及其它突发事件而造成的设施的损坏进行紧急维修工作。</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抢修指令由运维管理系统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服务台值班人员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各辖区交警大队电台、支队电台或秩序设施大队民警</w:t>
      </w:r>
      <w:r>
        <w:rPr>
          <w:rFonts w:hint="eastAsia" w:ascii="仿宋" w:hAnsi="仿宋" w:eastAsia="仿宋" w:cs="仿宋"/>
          <w:color w:val="auto"/>
          <w:sz w:val="24"/>
          <w:szCs w:val="24"/>
          <w:highlight w:val="none"/>
        </w:rPr>
        <w:t>通过电话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微信</w:t>
      </w:r>
      <w:r>
        <w:rPr>
          <w:rFonts w:hint="eastAsia" w:ascii="仿宋" w:hAnsi="仿宋" w:eastAsia="仿宋" w:cs="仿宋"/>
          <w:color w:val="auto"/>
          <w:sz w:val="24"/>
          <w:szCs w:val="24"/>
          <w:highlight w:val="none"/>
          <w:lang w:val="en-US" w:eastAsia="zh"/>
        </w:rPr>
        <w:t>、</w:t>
      </w:r>
      <w:r>
        <w:rPr>
          <w:rFonts w:hint="eastAsia" w:ascii="仿宋" w:hAnsi="仿宋" w:eastAsia="仿宋" w:cs="仿宋"/>
          <w:color w:val="auto"/>
          <w:sz w:val="24"/>
          <w:szCs w:val="24"/>
          <w:highlight w:val="none"/>
          <w:lang w:val="en-US" w:eastAsia="zh-CN"/>
        </w:rPr>
        <w:t>工作群等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或抢修单的形式下达，</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须在接到指令</w:t>
      </w:r>
      <w:r>
        <w:rPr>
          <w:rFonts w:hint="eastAsia" w:ascii="仿宋" w:hAnsi="仿宋" w:eastAsia="仿宋" w:cs="仿宋"/>
          <w:color w:val="auto"/>
          <w:sz w:val="24"/>
          <w:szCs w:val="24"/>
          <w:highlight w:val="none"/>
          <w:lang w:val="en-US" w:eastAsia="zh-CN"/>
        </w:rPr>
        <w:t>后按约定时间响应及到</w:t>
      </w:r>
      <w:r>
        <w:rPr>
          <w:rFonts w:hint="eastAsia" w:ascii="仿宋" w:hAnsi="仿宋" w:eastAsia="仿宋" w:cs="仿宋"/>
          <w:color w:val="auto"/>
          <w:sz w:val="24"/>
          <w:szCs w:val="24"/>
          <w:highlight w:val="none"/>
        </w:rPr>
        <w:t>现场进行抢修。</w:t>
      </w:r>
    </w:p>
    <w:p>
      <w:pPr>
        <w:pageBreakBefore w:val="0"/>
        <w:numPr>
          <w:ilvl w:val="0"/>
          <w:numId w:val="0"/>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其中，</w:t>
      </w:r>
      <w:r>
        <w:rPr>
          <w:rFonts w:hint="eastAsia" w:ascii="仿宋" w:hAnsi="仿宋" w:eastAsia="仿宋" w:cs="仿宋"/>
          <w:color w:val="auto"/>
          <w:sz w:val="24"/>
          <w:szCs w:val="24"/>
          <w:highlight w:val="none"/>
        </w:rPr>
        <w:t>故障时间是23时至次日7时</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属于以下情况的，服务台值班人员应立即电话通知</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并做好值班记录，</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应视情况电话上报秩序设施大队经办同志：</w:t>
      </w:r>
    </w:p>
    <w:p>
      <w:pPr>
        <w:pageBreakBefore w:val="0"/>
        <w:numPr>
          <w:ilvl w:val="0"/>
          <w:numId w:val="6"/>
        </w:numPr>
        <w:kinsoku/>
        <w:wordWrap/>
        <w:overflowPunct/>
        <w:topLinePunct w:val="0"/>
        <w:bidi w:val="0"/>
        <w:snapToGrid/>
        <w:spacing w:line="560" w:lineRule="exact"/>
        <w:ind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信号灯及信号灯杆倒地，机箱被撞倒地，影响交通及可能存成漏电风险的；</w:t>
      </w:r>
    </w:p>
    <w:p>
      <w:pPr>
        <w:pageBreakBefore w:val="0"/>
        <w:numPr>
          <w:ilvl w:val="0"/>
          <w:numId w:val="6"/>
        </w:numPr>
        <w:kinsoku/>
        <w:wordWrap/>
        <w:overflowPunct/>
        <w:topLinePunct w:val="0"/>
        <w:bidi w:val="0"/>
        <w:snapToGrid/>
        <w:spacing w:line="560" w:lineRule="exact"/>
        <w:ind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信号灯杆出现冒烟、电缆着火的；</w:t>
      </w:r>
    </w:p>
    <w:p>
      <w:pPr>
        <w:pageBreakBefore w:val="0"/>
        <w:numPr>
          <w:ilvl w:val="0"/>
          <w:numId w:val="6"/>
        </w:numPr>
        <w:kinsoku/>
        <w:wordWrap/>
        <w:overflowPunct/>
        <w:topLinePunct w:val="0"/>
        <w:bidi w:val="0"/>
        <w:snapToGrid/>
        <w:spacing w:line="560" w:lineRule="exact"/>
        <w:ind w:leftChars="20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信号灯一直长红无法通行、信号灯三色齐亮等不正常显示存在道路交通安全风险的。</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对抢修工程中涉及金额超过</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千元的要事先征得</w:t>
      </w:r>
      <w:r>
        <w:rPr>
          <w:rFonts w:hint="eastAsia" w:ascii="仿宋" w:hAnsi="仿宋" w:eastAsia="仿宋" w:cs="仿宋"/>
          <w:color w:val="auto"/>
          <w:sz w:val="24"/>
          <w:szCs w:val="24"/>
          <w:highlight w:val="none"/>
          <w:lang w:val="en-US" w:eastAsia="zh-CN"/>
        </w:rPr>
        <w:t>秩序设施大队</w:t>
      </w:r>
      <w:r>
        <w:rPr>
          <w:rFonts w:hint="eastAsia" w:ascii="仿宋" w:hAnsi="仿宋" w:eastAsia="仿宋" w:cs="仿宋"/>
          <w:color w:val="auto"/>
          <w:sz w:val="24"/>
          <w:szCs w:val="24"/>
          <w:highlight w:val="none"/>
        </w:rPr>
        <w:t>的同意方能开工，联系不上</w:t>
      </w:r>
      <w:r>
        <w:rPr>
          <w:rFonts w:hint="eastAsia" w:ascii="仿宋" w:hAnsi="仿宋" w:eastAsia="仿宋" w:cs="仿宋"/>
          <w:color w:val="auto"/>
          <w:sz w:val="24"/>
          <w:szCs w:val="24"/>
          <w:highlight w:val="none"/>
          <w:lang w:val="en-US" w:eastAsia="zh-CN"/>
        </w:rPr>
        <w:t>秩序设施大队</w:t>
      </w:r>
      <w:r>
        <w:rPr>
          <w:rFonts w:hint="eastAsia" w:ascii="仿宋" w:hAnsi="仿宋" w:eastAsia="仿宋" w:cs="仿宋"/>
          <w:color w:val="auto"/>
          <w:sz w:val="24"/>
          <w:szCs w:val="24"/>
          <w:highlight w:val="none"/>
        </w:rPr>
        <w:t>经办人员且现场存在严重安全隐患的、可能导致严重交通堵塞的可以先行施工，但事后须及时向</w:t>
      </w:r>
      <w:r>
        <w:rPr>
          <w:rFonts w:hint="eastAsia" w:ascii="仿宋" w:hAnsi="仿宋" w:eastAsia="仿宋" w:cs="仿宋"/>
          <w:color w:val="auto"/>
          <w:sz w:val="24"/>
          <w:szCs w:val="24"/>
          <w:highlight w:val="none"/>
          <w:lang w:val="en-US" w:eastAsia="zh-CN"/>
        </w:rPr>
        <w:t>秩序设施大队</w:t>
      </w:r>
      <w:r>
        <w:rPr>
          <w:rFonts w:hint="eastAsia" w:ascii="仿宋" w:hAnsi="仿宋" w:eastAsia="仿宋" w:cs="仿宋"/>
          <w:color w:val="auto"/>
          <w:sz w:val="24"/>
          <w:szCs w:val="24"/>
          <w:highlight w:val="none"/>
        </w:rPr>
        <w:t>汇报。</w:t>
      </w:r>
    </w:p>
    <w:p>
      <w:pPr>
        <w:keepNext w:val="0"/>
        <w:keepLines w:val="0"/>
        <w:pageBreakBefore w:val="0"/>
        <w:widowControl w:val="0"/>
        <w:numPr>
          <w:ilvl w:val="0"/>
          <w:numId w:val="5"/>
        </w:numPr>
        <w:suppressLineNumbers w:val="0"/>
        <w:kinsoku/>
        <w:wordWrap/>
        <w:overflowPunct/>
        <w:topLinePunct w:val="0"/>
        <w:bidi w:val="0"/>
        <w:snapToGrid/>
        <w:spacing w:before="0" w:beforeAutospacing="0" w:after="0" w:afterAutospacing="0" w:line="560" w:lineRule="exact"/>
        <w:ind w:left="0" w:leftChars="0" w:righ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对于损坏的设施，</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须将现场进行照相作为工程的结算依据，如无相片作为依据的，不能进行工程结算，其损失由</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自行承担。同时，须跟进、做好损坏交通设施的回收工作，做好台账记录，避免资产流失，抢修过程中发现损坏设施遗失的，应向辖区大队确认。</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为了保证抢修工作的顺利进行，服务台值班人员必须24小时待命（不分节假日），并做好详细的值班记录。</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应具备确保抢修工作的各类工程设备，如吊车、切割设备、风炮机、抢修通信设备等。</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应备有应付抢修工作的各类设施备件，如杆件、灯具、配件</w:t>
      </w:r>
      <w:r>
        <w:rPr>
          <w:rFonts w:hint="eastAsia" w:ascii="仿宋" w:hAnsi="仿宋" w:eastAsia="仿宋" w:cs="仿宋"/>
          <w:color w:val="auto"/>
          <w:sz w:val="24"/>
          <w:szCs w:val="24"/>
          <w:highlight w:val="none"/>
          <w:lang w:eastAsia="zh"/>
        </w:rPr>
        <w:t>、各类护栏</w:t>
      </w:r>
      <w:r>
        <w:rPr>
          <w:rFonts w:hint="eastAsia" w:ascii="仿宋" w:hAnsi="仿宋" w:eastAsia="仿宋" w:cs="仿宋"/>
          <w:color w:val="auto"/>
          <w:sz w:val="24"/>
          <w:szCs w:val="24"/>
          <w:highlight w:val="none"/>
        </w:rPr>
        <w:t>等。</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抢修任务完成后，应及时通报抢修指令下达单位，并录入运维管理系统</w:t>
      </w:r>
      <w:r>
        <w:rPr>
          <w:rFonts w:hint="eastAsia" w:ascii="仿宋" w:hAnsi="仿宋" w:eastAsia="仿宋" w:cs="仿宋"/>
          <w:color w:val="auto"/>
          <w:sz w:val="24"/>
          <w:szCs w:val="24"/>
          <w:highlight w:val="none"/>
          <w:lang w:val="en-US" w:eastAsia="zh-CN"/>
        </w:rPr>
        <w:t>,同时向秩序设施大队负责同志报备</w:t>
      </w:r>
      <w:r>
        <w:rPr>
          <w:rFonts w:hint="eastAsia" w:ascii="仿宋" w:hAnsi="仿宋" w:eastAsia="仿宋" w:cs="仿宋"/>
          <w:color w:val="auto"/>
          <w:sz w:val="24"/>
          <w:szCs w:val="24"/>
          <w:highlight w:val="none"/>
        </w:rPr>
        <w:t>。</w:t>
      </w:r>
    </w:p>
    <w:p>
      <w:pPr>
        <w:pageBreakBefore w:val="0"/>
        <w:kinsoku/>
        <w:wordWrap/>
        <w:overflowPunct/>
        <w:topLinePunct w:val="0"/>
        <w:bidi w:val="0"/>
        <w:snapToGrid/>
        <w:spacing w:line="560" w:lineRule="exact"/>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设施</w:t>
      </w:r>
      <w:r>
        <w:rPr>
          <w:rFonts w:hint="eastAsia" w:ascii="仿宋" w:hAnsi="仿宋" w:eastAsia="仿宋" w:cs="仿宋"/>
          <w:b/>
          <w:bCs/>
          <w:color w:val="auto"/>
          <w:sz w:val="24"/>
          <w:szCs w:val="24"/>
          <w:highlight w:val="none"/>
          <w:lang w:eastAsia="zh"/>
        </w:rPr>
        <w:t>日</w:t>
      </w:r>
      <w:r>
        <w:rPr>
          <w:rFonts w:hint="eastAsia" w:ascii="仿宋" w:hAnsi="仿宋" w:eastAsia="仿宋" w:cs="仿宋"/>
          <w:b/>
          <w:bCs/>
          <w:color w:val="auto"/>
          <w:sz w:val="24"/>
          <w:szCs w:val="24"/>
          <w:highlight w:val="none"/>
        </w:rPr>
        <w:t>常巡查的管理办法</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设施日常巡查制度是</w:t>
      </w:r>
      <w:r>
        <w:rPr>
          <w:rFonts w:hint="eastAsia" w:ascii="仿宋" w:hAnsi="仿宋" w:eastAsia="仿宋" w:cs="仿宋"/>
          <w:color w:val="auto"/>
          <w:sz w:val="24"/>
          <w:szCs w:val="24"/>
          <w:highlight w:val="none"/>
          <w:lang w:eastAsia="zh"/>
        </w:rPr>
        <w:t>交通设施维护工程、</w:t>
      </w:r>
      <w:r>
        <w:rPr>
          <w:rFonts w:hint="eastAsia" w:ascii="仿宋" w:hAnsi="仿宋" w:eastAsia="仿宋" w:cs="仿宋"/>
          <w:color w:val="auto"/>
          <w:sz w:val="24"/>
          <w:szCs w:val="24"/>
          <w:highlight w:val="none"/>
        </w:rPr>
        <w:t>交通信号设施维护工程的一项重要工作制度，</w:t>
      </w:r>
      <w:r>
        <w:rPr>
          <w:rFonts w:hint="eastAsia" w:ascii="仿宋" w:hAnsi="仿宋" w:eastAsia="仿宋" w:cs="仿宋"/>
          <w:color w:val="auto"/>
          <w:sz w:val="24"/>
          <w:szCs w:val="24"/>
          <w:highlight w:val="none"/>
          <w:lang w:eastAsia="zh"/>
        </w:rPr>
        <w:t>维护单位</w:t>
      </w:r>
      <w:r>
        <w:rPr>
          <w:rFonts w:hint="eastAsia" w:ascii="仿宋" w:hAnsi="仿宋" w:eastAsia="仿宋" w:cs="仿宋"/>
          <w:color w:val="auto"/>
          <w:sz w:val="24"/>
          <w:szCs w:val="24"/>
          <w:highlight w:val="none"/>
        </w:rPr>
        <w:t>必须每天按要求安排约定的巡查专车和工人进行巡查工作，做好巡查记录；相关巡查记录应包括时间、巡查路段及发现问题等，以此为基础制作月度巡查登记表交监理单位及秩序设施大队审查，同时作为结算依据的一部分。</w:t>
      </w:r>
    </w:p>
    <w:p>
      <w:pPr>
        <w:keepNext w:val="0"/>
        <w:keepLines w:val="0"/>
        <w:pageBreakBefore w:val="0"/>
        <w:widowControl w:val="0"/>
        <w:numPr>
          <w:ilvl w:val="0"/>
          <w:numId w:val="5"/>
        </w:numPr>
        <w:suppressLineNumbers w:val="0"/>
        <w:kinsoku/>
        <w:wordWrap/>
        <w:overflowPunct/>
        <w:topLinePunct w:val="0"/>
        <w:bidi w:val="0"/>
        <w:snapToGrid/>
        <w:spacing w:before="0" w:beforeAutospacing="0" w:after="0" w:afterAutospacing="0" w:line="560" w:lineRule="exact"/>
        <w:ind w:left="0" w:leftChars="0" w:righ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设施的巡查内容包括</w:t>
      </w:r>
      <w:r>
        <w:rPr>
          <w:rFonts w:hint="eastAsia" w:ascii="仿宋" w:hAnsi="仿宋" w:eastAsia="仿宋" w:cs="仿宋"/>
          <w:color w:val="auto"/>
          <w:sz w:val="24"/>
          <w:szCs w:val="24"/>
          <w:highlight w:val="none"/>
          <w:lang w:val="en-US" w:eastAsia="zh-CN"/>
        </w:rPr>
        <w:t>道路所有交通设施</w:t>
      </w:r>
      <w:r>
        <w:rPr>
          <w:rFonts w:hint="eastAsia" w:ascii="仿宋" w:hAnsi="仿宋" w:eastAsia="仿宋" w:cs="仿宋"/>
          <w:color w:val="auto"/>
          <w:sz w:val="24"/>
          <w:szCs w:val="24"/>
          <w:highlight w:val="none"/>
          <w:lang w:val="en-US" w:eastAsia="zh"/>
        </w:rPr>
        <w:t>，如</w:t>
      </w:r>
      <w:r>
        <w:rPr>
          <w:rFonts w:hint="eastAsia" w:ascii="仿宋" w:hAnsi="仿宋" w:eastAsia="仿宋" w:cs="仿宋"/>
          <w:color w:val="auto"/>
          <w:sz w:val="24"/>
          <w:szCs w:val="24"/>
          <w:highlight w:val="none"/>
        </w:rPr>
        <w:t>信号机箱、灯具、杆件、沙井盖</w:t>
      </w:r>
      <w:r>
        <w:rPr>
          <w:rFonts w:hint="eastAsia" w:ascii="仿宋" w:hAnsi="仿宋" w:eastAsia="仿宋" w:cs="仿宋"/>
          <w:color w:val="auto"/>
          <w:sz w:val="24"/>
          <w:szCs w:val="24"/>
          <w:highlight w:val="none"/>
          <w:lang w:eastAsia="zh"/>
        </w:rPr>
        <w:t>、</w:t>
      </w:r>
      <w:r>
        <w:rPr>
          <w:rFonts w:hint="eastAsia" w:ascii="仿宋" w:hAnsi="仿宋" w:eastAsia="仿宋" w:cs="仿宋"/>
          <w:color w:val="auto"/>
          <w:sz w:val="24"/>
          <w:szCs w:val="24"/>
          <w:highlight w:val="none"/>
          <w:lang w:val="en-US" w:eastAsia="zh"/>
        </w:rPr>
        <w:t>护栏、沙桶、示警桩、标志标线</w:t>
      </w:r>
      <w:r>
        <w:rPr>
          <w:rFonts w:hint="eastAsia" w:ascii="仿宋" w:hAnsi="仿宋" w:eastAsia="仿宋" w:cs="仿宋"/>
          <w:color w:val="auto"/>
          <w:sz w:val="24"/>
          <w:szCs w:val="24"/>
          <w:highlight w:val="none"/>
        </w:rPr>
        <w:t>等设施的完好性。巡查人员应及时处理信号机箱、低空灯具、杆件、沙井盖</w:t>
      </w:r>
      <w:r>
        <w:rPr>
          <w:rFonts w:hint="eastAsia" w:ascii="仿宋" w:hAnsi="仿宋" w:eastAsia="仿宋" w:cs="仿宋"/>
          <w:color w:val="auto"/>
          <w:sz w:val="24"/>
          <w:szCs w:val="24"/>
          <w:highlight w:val="none"/>
          <w:lang w:eastAsia="zh"/>
        </w:rPr>
        <w:t>、</w:t>
      </w:r>
      <w:r>
        <w:rPr>
          <w:rFonts w:hint="eastAsia" w:ascii="仿宋" w:hAnsi="仿宋" w:eastAsia="仿宋" w:cs="仿宋"/>
          <w:color w:val="auto"/>
          <w:sz w:val="24"/>
          <w:szCs w:val="24"/>
          <w:highlight w:val="none"/>
          <w:lang w:val="en-US" w:eastAsia="zh"/>
        </w:rPr>
        <w:t>标志、护栏、沙桶、警示桩</w:t>
      </w:r>
      <w:r>
        <w:rPr>
          <w:rFonts w:hint="eastAsia" w:ascii="仿宋" w:hAnsi="仿宋" w:eastAsia="仿宋" w:cs="仿宋"/>
          <w:color w:val="auto"/>
          <w:sz w:val="24"/>
          <w:szCs w:val="24"/>
          <w:highlight w:val="none"/>
        </w:rPr>
        <w:t>等定向、扶正、加固等不发生材料费用的工作。</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通过巡查发现的问题或经其它途径（如大队民警上报）发现的问题要在24小时内予于解决，并按规定的样式登记造册后于次周的周一下午15：00时前报</w:t>
      </w:r>
      <w:r>
        <w:rPr>
          <w:rFonts w:hint="eastAsia" w:ascii="仿宋" w:hAnsi="仿宋" w:eastAsia="仿宋" w:cs="仿宋"/>
          <w:color w:val="auto"/>
          <w:sz w:val="24"/>
          <w:szCs w:val="24"/>
          <w:highlight w:val="none"/>
          <w:lang w:eastAsia="zh"/>
        </w:rPr>
        <w:t>秩序设施大队</w:t>
      </w:r>
      <w:r>
        <w:rPr>
          <w:rFonts w:hint="eastAsia" w:ascii="仿宋" w:hAnsi="仿宋" w:eastAsia="仿宋" w:cs="仿宋"/>
          <w:color w:val="auto"/>
          <w:sz w:val="24"/>
          <w:szCs w:val="24"/>
          <w:highlight w:val="none"/>
        </w:rPr>
        <w:t>备案，作为结算以及</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正常工作的评估依据，非包干工程的工程内容应拍照留底，并通知监理单位。</w:t>
      </w:r>
    </w:p>
    <w:p>
      <w:pPr>
        <w:pageBreakBefore w:val="0"/>
        <w:kinsoku/>
        <w:wordWrap/>
        <w:overflowPunct/>
        <w:topLinePunct w:val="0"/>
        <w:bidi w:val="0"/>
        <w:snapToGrid/>
        <w:spacing w:line="560" w:lineRule="exact"/>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交通保卫工作的管理办法</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交通警、保卫工作是具有高度政治性和责任性的一项严肃工作；参与保卫工作的</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及其人员要政治可靠、无犯罪记录、责任心强。</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在接到相关任务后，必须要按时、高效完成；对发现可能会影响工作正常开展的异常情况，要及时向秩序设施大队反映，并按指令采取紧急措施。</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在交通警、保卫工作当中，</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及其人员必须听从命令、严守秘密。但凡以任何形式泄露相关工作内容的，当事人及其所属公司均须承担相应法律责任；造成严重后果的，除终止项目合同外，同时追究责任人及公司的相关法律责任。</w:t>
      </w:r>
    </w:p>
    <w:p>
      <w:pPr>
        <w:keepNext w:val="0"/>
        <w:keepLines w:val="0"/>
        <w:pageBreakBefore w:val="0"/>
        <w:widowControl w:val="0"/>
        <w:numPr>
          <w:ilvl w:val="0"/>
          <w:numId w:val="5"/>
        </w:numPr>
        <w:suppressLineNumbers w:val="0"/>
        <w:kinsoku/>
        <w:wordWrap/>
        <w:overflowPunct/>
        <w:topLinePunct w:val="0"/>
        <w:bidi w:val="0"/>
        <w:snapToGrid/>
        <w:spacing w:before="0" w:beforeAutospacing="0" w:after="0" w:afterAutospacing="0" w:line="560" w:lineRule="exact"/>
        <w:ind w:left="0" w:leftChars="0" w:righ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交通警、保卫工作当中，备勤人员及相关设施要严格按秩序设施大队的要求按时送达指定地点，备勤人员必须保证通信设备24小时畅通，及时响应秩序设施大队的指令。各类设施要保证外观整洁、功能正常；设施送达后须辖区大队设施员确认、签收；回收时做好清点、记录并由辖区大队设施员签认</w:t>
      </w:r>
      <w:r>
        <w:rPr>
          <w:rFonts w:hint="eastAsia" w:ascii="仿宋" w:hAnsi="仿宋" w:eastAsia="仿宋" w:cs="仿宋"/>
          <w:color w:val="auto"/>
          <w:sz w:val="24"/>
          <w:szCs w:val="24"/>
          <w:highlight w:val="none"/>
          <w:lang w:eastAsia="zh"/>
        </w:rPr>
        <w:t>。</w:t>
      </w:r>
      <w:r>
        <w:rPr>
          <w:rFonts w:hint="eastAsia" w:ascii="仿宋" w:hAnsi="仿宋" w:eastAsia="仿宋" w:cs="仿宋"/>
          <w:color w:val="auto"/>
          <w:sz w:val="24"/>
          <w:szCs w:val="24"/>
          <w:highlight w:val="none"/>
        </w:rPr>
        <w:t>如出现设施丢失情况，应先报送辖区大队设施员请求开展视频监控调查工作；发现存在被盗嫌疑的，应到当地派出所报案，收到报案回执后24小时内向项目监理及秩序设施大队经办民警报备，否则一切损失由</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自行负责。</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交通警、保卫备勤设施和人员的调整与调动均须经秩序设施大队经办同志同意，不得擅自变更备勤地点。</w:t>
      </w:r>
    </w:p>
    <w:p>
      <w:pPr>
        <w:pageBreakBefore w:val="0"/>
        <w:numPr>
          <w:ilvl w:val="0"/>
          <w:numId w:val="0"/>
        </w:numPr>
        <w:kinsoku/>
        <w:wordWrap/>
        <w:overflowPunct/>
        <w:topLinePunct w:val="0"/>
        <w:bidi w:val="0"/>
        <w:snapToGrid/>
        <w:spacing w:line="560" w:lineRule="exact"/>
        <w:ind w:left="420" w:leftChars="20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九、临时交通设施的管理办法</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临时交通设施包括有：拆除回来的各类交通设施、交通保卫及临时交通组织需要的各类交通活动设施等等。</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对于拆除回来的各类交通设施，维护单位要做好详细的登记造册工作，合同期内按招、投标文件的约定免费暂存在维护单位场地内；如因其他工程需重复使用的，须做好出仓记录。</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暂存于维护单位内的各类活动设施，应分门别类摆放，制作铭牌登记类型、数量等信息，定期安排整理、清点、清洁工作，安排专人做好出、入仓登记工作。</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交通保卫工作的临时交通设施在运送及搬运过程中，维护单位要避免人为的损坏，否则其损失由维护单位负责。</w:t>
      </w:r>
    </w:p>
    <w:p>
      <w:pPr>
        <w:pageBreakBefore w:val="0"/>
        <w:kinsoku/>
        <w:wordWrap/>
        <w:overflowPunct/>
        <w:topLinePunct w:val="0"/>
        <w:bidi w:val="0"/>
        <w:snapToGrid/>
        <w:spacing w:line="560" w:lineRule="exact"/>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
        </w:rPr>
        <w:t>十</w:t>
      </w:r>
      <w:r>
        <w:rPr>
          <w:rFonts w:hint="eastAsia" w:ascii="仿宋" w:hAnsi="仿宋" w:eastAsia="仿宋" w:cs="仿宋"/>
          <w:b/>
          <w:bCs/>
          <w:color w:val="auto"/>
          <w:sz w:val="24"/>
          <w:szCs w:val="24"/>
          <w:highlight w:val="none"/>
        </w:rPr>
        <w:t>、废旧设施管理办法</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废旧设施包括：交通事故或自然灾害等原因损坏的、升级换代拆除的、已过使用寿命的</w:t>
      </w:r>
      <w:r>
        <w:rPr>
          <w:rFonts w:hint="eastAsia" w:ascii="仿宋" w:hAnsi="仿宋" w:eastAsia="仿宋" w:cs="仿宋"/>
          <w:color w:val="auto"/>
          <w:sz w:val="24"/>
          <w:szCs w:val="24"/>
          <w:highlight w:val="none"/>
          <w:lang w:eastAsia="zh"/>
        </w:rPr>
        <w:t>交通设施和</w:t>
      </w:r>
      <w:r>
        <w:rPr>
          <w:rFonts w:hint="eastAsia" w:ascii="仿宋" w:hAnsi="仿宋" w:eastAsia="仿宋" w:cs="仿宋"/>
          <w:color w:val="auto"/>
          <w:sz w:val="24"/>
          <w:szCs w:val="24"/>
          <w:highlight w:val="none"/>
        </w:rPr>
        <w:t>交通信号设施</w:t>
      </w:r>
      <w:r>
        <w:rPr>
          <w:rFonts w:hint="eastAsia" w:ascii="仿宋" w:hAnsi="仿宋" w:eastAsia="仿宋" w:cs="仿宋"/>
          <w:color w:val="auto"/>
          <w:sz w:val="24"/>
          <w:szCs w:val="24"/>
          <w:highlight w:val="none"/>
          <w:lang w:eastAsia="zh"/>
        </w:rPr>
        <w:t>，以及</w:t>
      </w:r>
      <w:r>
        <w:rPr>
          <w:rFonts w:hint="eastAsia" w:ascii="仿宋" w:hAnsi="仿宋" w:eastAsia="仿宋" w:cs="仿宋"/>
          <w:color w:val="auto"/>
          <w:sz w:val="24"/>
          <w:szCs w:val="24"/>
          <w:highlight w:val="none"/>
        </w:rPr>
        <w:t>新旧标移交流转的残旧</w:t>
      </w:r>
      <w:r>
        <w:rPr>
          <w:rFonts w:hint="eastAsia" w:ascii="仿宋" w:hAnsi="仿宋" w:eastAsia="仿宋" w:cs="仿宋"/>
          <w:color w:val="auto"/>
          <w:sz w:val="24"/>
          <w:szCs w:val="24"/>
          <w:highlight w:val="none"/>
          <w:lang w:eastAsia="zh"/>
        </w:rPr>
        <w:t>交通设施和</w:t>
      </w:r>
      <w:r>
        <w:rPr>
          <w:rFonts w:hint="eastAsia" w:ascii="仿宋" w:hAnsi="仿宋" w:eastAsia="仿宋" w:cs="仿宋"/>
          <w:color w:val="auto"/>
          <w:sz w:val="24"/>
          <w:szCs w:val="24"/>
          <w:highlight w:val="none"/>
        </w:rPr>
        <w:t>交通信号设施等。</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废旧设施暂存于</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厂房内。</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仓管人员要做好详细的入仓记录，做到日清月结、帐物相符。</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区分好种类后的废旧设施，按其是否可继续使用分别存放。损坏的设施经维修后仍可继续投入使用的，应重新归类存放；无法修复且无继续使用价值的设施，统一归类到报废设施类别。</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报废交通信号设施应达到如下任一标准：</w:t>
      </w:r>
    </w:p>
    <w:p>
      <w:pPr>
        <w:pageBreakBefore w:val="0"/>
        <w:kinsoku/>
        <w:wordWrap/>
        <w:overflowPunct/>
        <w:topLinePunct w:val="0"/>
        <w:bidi w:val="0"/>
        <w:snapToGrid/>
        <w:spacing w:line="560" w:lineRule="exact"/>
        <w:ind w:left="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（1）损坏严重，无法修复或无修复价值的；</w:t>
      </w:r>
    </w:p>
    <w:p>
      <w:pPr>
        <w:pageBreakBefore w:val="0"/>
        <w:kinsoku/>
        <w:wordWrap/>
        <w:overflowPunct/>
        <w:topLinePunct w:val="0"/>
        <w:bidi w:val="0"/>
        <w:snapToGrid/>
        <w:spacing w:line="560" w:lineRule="exact"/>
        <w:ind w:left="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（2）主体部位损伤、扭曲程度严重，无法保证使用安全的；</w:t>
      </w:r>
    </w:p>
    <w:p>
      <w:pPr>
        <w:pageBreakBefore w:val="0"/>
        <w:kinsoku/>
        <w:wordWrap/>
        <w:overflowPunct/>
        <w:topLinePunct w:val="0"/>
        <w:bidi w:val="0"/>
        <w:snapToGrid/>
        <w:spacing w:line="560" w:lineRule="exact"/>
        <w:ind w:left="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（3）超过产品使用寿命的；</w:t>
      </w:r>
    </w:p>
    <w:p>
      <w:pPr>
        <w:pageBreakBefore w:val="0"/>
        <w:kinsoku/>
        <w:wordWrap/>
        <w:overflowPunct/>
        <w:topLinePunct w:val="0"/>
        <w:bidi w:val="0"/>
        <w:snapToGrid/>
        <w:spacing w:line="560" w:lineRule="exact"/>
        <w:ind w:left="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（4）锈蚀严重无法正常使用的；</w:t>
      </w:r>
    </w:p>
    <w:p>
      <w:pPr>
        <w:pageBreakBefore w:val="0"/>
        <w:kinsoku/>
        <w:wordWrap/>
        <w:overflowPunct/>
        <w:topLinePunct w:val="0"/>
        <w:bidi w:val="0"/>
        <w:snapToGrid/>
        <w:spacing w:line="560" w:lineRule="exact"/>
        <w:ind w:left="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（5）更新换代后无其他用途的。</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报废设施，遵循由</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提出，项目监理和秩序设施大队审核、确认的流程，具体如下：</w:t>
      </w:r>
    </w:p>
    <w:p>
      <w:pPr>
        <w:pageBreakBefore w:val="0"/>
        <w:kinsoku/>
        <w:wordWrap/>
        <w:overflowPunct/>
        <w:topLinePunct w:val="0"/>
        <w:bidi w:val="0"/>
        <w:snapToGrid/>
        <w:spacing w:line="560" w:lineRule="exact"/>
        <w:ind w:left="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制作报废设施清单连同报废申请书提交项目监理审核；</w:t>
      </w:r>
    </w:p>
    <w:p>
      <w:pPr>
        <w:pageBreakBefore w:val="0"/>
        <w:kinsoku/>
        <w:wordWrap/>
        <w:overflowPunct/>
        <w:topLinePunct w:val="0"/>
        <w:bidi w:val="0"/>
        <w:snapToGrid/>
        <w:spacing w:line="560" w:lineRule="exact"/>
        <w:ind w:left="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（2）项目监理对拟申请报废的设施进行现场鉴定、清点，核查无误后提交秩序设施大队审核；</w:t>
      </w:r>
    </w:p>
    <w:p>
      <w:pPr>
        <w:pageBreakBefore w:val="0"/>
        <w:kinsoku/>
        <w:wordWrap/>
        <w:overflowPunct/>
        <w:topLinePunct w:val="0"/>
        <w:bidi w:val="0"/>
        <w:snapToGrid/>
        <w:spacing w:line="560" w:lineRule="exact"/>
        <w:ind w:left="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（3）秩序设施大队人员对拟申请报废的设施进行现场鉴定、清点，核查无误后按相关流程报送支队国有资产管理部门申请办理报废手续；</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在未办理完成有关手续前，任何单位和个人不得擅自报废任何设施。</w:t>
      </w:r>
    </w:p>
    <w:p>
      <w:pPr>
        <w:pageBreakBefore w:val="0"/>
        <w:kinsoku/>
        <w:wordWrap/>
        <w:overflowPunct/>
        <w:topLinePunct w:val="0"/>
        <w:bidi w:val="0"/>
        <w:snapToGrid/>
        <w:spacing w:line="560" w:lineRule="exact"/>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
        </w:rPr>
        <w:t>一</w:t>
      </w:r>
      <w:r>
        <w:rPr>
          <w:rFonts w:hint="eastAsia" w:ascii="仿宋" w:hAnsi="仿宋" w:eastAsia="仿宋" w:cs="仿宋"/>
          <w:b/>
          <w:bCs/>
          <w:color w:val="auto"/>
          <w:sz w:val="24"/>
          <w:szCs w:val="24"/>
          <w:highlight w:val="none"/>
        </w:rPr>
        <w:t>、工程安全生产管理办法</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有责任做好施工过程当中的各项安全措施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人员安全和财物保险的问题，均由</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负责。</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施工过程当中，</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须按国家、省市的有关规定，办理各项施工许可证，不能无证施工或野蛮施工，否则一切后果均由</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负责。</w:t>
      </w:r>
    </w:p>
    <w:p>
      <w:pPr>
        <w:pageBreakBefore w:val="0"/>
        <w:kinsoku/>
        <w:wordWrap/>
        <w:overflowPunct/>
        <w:topLinePunct w:val="0"/>
        <w:bidi w:val="0"/>
        <w:snapToGrid/>
        <w:spacing w:line="560" w:lineRule="exact"/>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
        </w:rPr>
        <w:t>二</w:t>
      </w:r>
      <w:r>
        <w:rPr>
          <w:rFonts w:hint="eastAsia" w:ascii="仿宋" w:hAnsi="仿宋" w:eastAsia="仿宋" w:cs="仿宋"/>
          <w:b/>
          <w:bCs/>
          <w:color w:val="auto"/>
          <w:sz w:val="24"/>
          <w:szCs w:val="24"/>
          <w:highlight w:val="none"/>
        </w:rPr>
        <w:t>、工程</w:t>
      </w:r>
      <w:r>
        <w:rPr>
          <w:rFonts w:hint="eastAsia" w:ascii="仿宋" w:hAnsi="仿宋" w:eastAsia="仿宋" w:cs="仿宋"/>
          <w:b/>
          <w:bCs/>
          <w:color w:val="auto"/>
          <w:sz w:val="24"/>
          <w:szCs w:val="24"/>
          <w:highlight w:val="none"/>
          <w:lang w:eastAsia="zh-CN"/>
        </w:rPr>
        <w:t>违约</w:t>
      </w:r>
      <w:r>
        <w:rPr>
          <w:rFonts w:hint="eastAsia" w:ascii="仿宋" w:hAnsi="仿宋" w:eastAsia="仿宋" w:cs="仿宋"/>
          <w:b/>
          <w:bCs/>
          <w:color w:val="auto"/>
          <w:sz w:val="24"/>
          <w:szCs w:val="24"/>
          <w:highlight w:val="none"/>
        </w:rPr>
        <w:t>管理办法（注：本条款违约金币种均指人民币）</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维护单位、监理单位、设计单位不按照合同、投标文件的承诺或项目管理办法等规定开展工作的，除按合同相关规定处理外，还将视情节处以相应违约金。</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维护单位处违约金的</w:t>
      </w:r>
      <w:r>
        <w:rPr>
          <w:rFonts w:hint="eastAsia" w:ascii="仿宋" w:hAnsi="仿宋" w:eastAsia="仿宋" w:cs="仿宋"/>
          <w:color w:val="auto"/>
          <w:sz w:val="24"/>
          <w:szCs w:val="24"/>
          <w:highlight w:val="none"/>
        </w:rPr>
        <w:t>，遵循由</w:t>
      </w:r>
      <w:r>
        <w:rPr>
          <w:rFonts w:hint="eastAsia" w:ascii="仿宋" w:hAnsi="仿宋" w:eastAsia="仿宋" w:cs="仿宋"/>
          <w:color w:val="auto"/>
          <w:sz w:val="24"/>
          <w:szCs w:val="24"/>
          <w:highlight w:val="none"/>
          <w:lang w:eastAsia="zh-CN"/>
        </w:rPr>
        <w:t>监理单位</w:t>
      </w:r>
      <w:r>
        <w:rPr>
          <w:rFonts w:hint="eastAsia" w:ascii="仿宋" w:hAnsi="仿宋" w:eastAsia="仿宋" w:cs="仿宋"/>
          <w:color w:val="auto"/>
          <w:sz w:val="24"/>
          <w:szCs w:val="24"/>
          <w:highlight w:val="none"/>
        </w:rPr>
        <w:t>书面提出、支队秩序设施大队审核、</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确认的流程，填写相应的</w:t>
      </w:r>
      <w:r>
        <w:rPr>
          <w:rFonts w:hint="eastAsia" w:ascii="仿宋" w:hAnsi="仿宋" w:eastAsia="仿宋" w:cs="仿宋"/>
          <w:color w:val="auto"/>
          <w:sz w:val="24"/>
          <w:szCs w:val="24"/>
          <w:highlight w:val="none"/>
          <w:lang w:val="en-US" w:eastAsia="zh-CN"/>
        </w:rPr>
        <w:t>违约通知书</w:t>
      </w:r>
      <w:r>
        <w:rPr>
          <w:rFonts w:hint="eastAsia" w:ascii="仿宋" w:hAnsi="仿宋" w:eastAsia="仿宋" w:cs="仿宋"/>
          <w:color w:val="auto"/>
          <w:sz w:val="24"/>
          <w:szCs w:val="24"/>
          <w:highlight w:val="none"/>
        </w:rPr>
        <w:t>并存档</w:t>
      </w:r>
      <w:r>
        <w:rPr>
          <w:rFonts w:hint="eastAsia" w:ascii="仿宋" w:hAnsi="仿宋" w:eastAsia="仿宋" w:cs="仿宋"/>
          <w:color w:val="auto"/>
          <w:sz w:val="24"/>
          <w:szCs w:val="24"/>
          <w:highlight w:val="none"/>
          <w:lang w:eastAsia="zh"/>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对于监理单位及设计单位</w:t>
      </w:r>
      <w:r>
        <w:rPr>
          <w:rFonts w:hint="eastAsia" w:ascii="仿宋" w:hAnsi="仿宋" w:eastAsia="仿宋" w:cs="仿宋"/>
          <w:color w:val="auto"/>
          <w:sz w:val="24"/>
          <w:szCs w:val="24"/>
          <w:highlight w:val="none"/>
          <w:lang w:eastAsia="zh-CN"/>
        </w:rPr>
        <w:t>处违约金的</w:t>
      </w:r>
      <w:r>
        <w:rPr>
          <w:rFonts w:hint="eastAsia" w:ascii="仿宋" w:hAnsi="仿宋" w:eastAsia="仿宋" w:cs="仿宋"/>
          <w:color w:val="auto"/>
          <w:sz w:val="24"/>
          <w:szCs w:val="24"/>
          <w:highlight w:val="none"/>
        </w:rPr>
        <w:t>，遵循由秩序设施大队提出，监理单位、设计单位确认的流程，填写相应的</w:t>
      </w:r>
      <w:r>
        <w:rPr>
          <w:rFonts w:hint="eastAsia" w:ascii="仿宋" w:hAnsi="仿宋" w:eastAsia="仿宋" w:cs="仿宋"/>
          <w:color w:val="auto"/>
          <w:sz w:val="24"/>
          <w:szCs w:val="24"/>
          <w:highlight w:val="none"/>
          <w:lang w:eastAsia="zh-CN"/>
        </w:rPr>
        <w:t>违约通知</w:t>
      </w:r>
      <w:r>
        <w:rPr>
          <w:rFonts w:hint="eastAsia" w:ascii="仿宋" w:hAnsi="仿宋" w:eastAsia="仿宋" w:cs="仿宋"/>
          <w:color w:val="auto"/>
          <w:sz w:val="24"/>
          <w:szCs w:val="24"/>
          <w:highlight w:val="none"/>
        </w:rPr>
        <w:t>书并存档</w:t>
      </w:r>
      <w:r>
        <w:rPr>
          <w:rFonts w:hint="eastAsia" w:ascii="仿宋" w:hAnsi="仿宋" w:eastAsia="仿宋" w:cs="仿宋"/>
          <w:color w:val="auto"/>
          <w:sz w:val="24"/>
          <w:szCs w:val="24"/>
          <w:highlight w:val="none"/>
          <w:lang w:eastAsia="zh"/>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监理单位</w:t>
      </w:r>
      <w:r>
        <w:rPr>
          <w:rFonts w:hint="eastAsia" w:ascii="仿宋" w:hAnsi="仿宋" w:eastAsia="仿宋" w:cs="仿宋"/>
          <w:color w:val="auto"/>
          <w:sz w:val="24"/>
          <w:szCs w:val="24"/>
          <w:highlight w:val="none"/>
          <w:lang w:eastAsia="zh"/>
        </w:rPr>
        <w:t>、设计单位</w:t>
      </w:r>
      <w:r>
        <w:rPr>
          <w:rFonts w:hint="eastAsia" w:ascii="仿宋" w:hAnsi="仿宋" w:eastAsia="仿宋" w:cs="仿宋"/>
          <w:color w:val="auto"/>
          <w:sz w:val="24"/>
          <w:szCs w:val="24"/>
          <w:highlight w:val="none"/>
        </w:rPr>
        <w:t>对所受的经济</w:t>
      </w:r>
      <w:r>
        <w:rPr>
          <w:rFonts w:hint="eastAsia" w:ascii="仿宋" w:hAnsi="仿宋" w:eastAsia="仿宋" w:cs="仿宋"/>
          <w:color w:val="auto"/>
          <w:sz w:val="24"/>
          <w:szCs w:val="24"/>
          <w:highlight w:val="none"/>
          <w:lang w:eastAsia="zh-CN"/>
        </w:rPr>
        <w:t>违约决定</w:t>
      </w:r>
      <w:r>
        <w:rPr>
          <w:rFonts w:hint="eastAsia" w:ascii="仿宋" w:hAnsi="仿宋" w:eastAsia="仿宋" w:cs="仿宋"/>
          <w:color w:val="auto"/>
          <w:sz w:val="24"/>
          <w:szCs w:val="24"/>
          <w:highlight w:val="none"/>
        </w:rPr>
        <w:t>有异议的，可在收到</w:t>
      </w:r>
      <w:r>
        <w:rPr>
          <w:rFonts w:hint="eastAsia" w:ascii="仿宋" w:hAnsi="仿宋" w:eastAsia="仿宋" w:cs="仿宋"/>
          <w:color w:val="auto"/>
          <w:sz w:val="24"/>
          <w:szCs w:val="24"/>
          <w:highlight w:val="none"/>
          <w:lang w:val="en-US" w:eastAsia="zh-CN"/>
        </w:rPr>
        <w:t>违约通知书</w:t>
      </w:r>
      <w:r>
        <w:rPr>
          <w:rFonts w:hint="eastAsia" w:ascii="仿宋" w:hAnsi="仿宋" w:eastAsia="仿宋" w:cs="仿宋"/>
          <w:color w:val="auto"/>
          <w:sz w:val="24"/>
          <w:szCs w:val="24"/>
          <w:highlight w:val="none"/>
        </w:rPr>
        <w:t>的5个工作日内向支队秩序设施大队提出复核，如经复议仍无法解决之间分歧的，可按合同的相应规定提出仲裁或诉讼；</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不按投标文件的承诺投入相应人</w:t>
      </w:r>
      <w:r>
        <w:rPr>
          <w:rFonts w:hint="eastAsia" w:ascii="仿宋" w:hAnsi="仿宋" w:eastAsia="仿宋" w:cs="仿宋"/>
          <w:color w:val="auto"/>
          <w:sz w:val="24"/>
          <w:szCs w:val="24"/>
          <w:highlight w:val="none"/>
          <w:lang w:val="en-US" w:eastAsia="zh-CN"/>
        </w:rPr>
        <w:t>员</w:t>
      </w:r>
      <w:r>
        <w:rPr>
          <w:rFonts w:hint="eastAsia" w:ascii="仿宋" w:hAnsi="仿宋" w:eastAsia="仿宋" w:cs="仿宋"/>
          <w:color w:val="auto"/>
          <w:sz w:val="24"/>
          <w:szCs w:val="24"/>
          <w:highlight w:val="none"/>
        </w:rPr>
        <w:t>的，每缺少</w:t>
      </w:r>
      <w:r>
        <w:rPr>
          <w:rFonts w:hint="eastAsia" w:ascii="仿宋" w:hAnsi="仿宋" w:eastAsia="仿宋" w:cs="仿宋"/>
          <w:color w:val="auto"/>
          <w:sz w:val="24"/>
          <w:szCs w:val="24"/>
          <w:highlight w:val="none"/>
          <w:lang w:eastAsia="zh"/>
        </w:rPr>
        <w:t>1</w:t>
      </w:r>
      <w:r>
        <w:rPr>
          <w:rFonts w:hint="eastAsia" w:ascii="仿宋" w:hAnsi="仿宋" w:eastAsia="仿宋" w:cs="仿宋"/>
          <w:color w:val="auto"/>
          <w:sz w:val="24"/>
          <w:szCs w:val="24"/>
          <w:highlight w:val="none"/>
        </w:rPr>
        <w:t>名工程师的，每人次/天处违约金2千元并限期改正；每缺少</w:t>
      </w:r>
      <w:r>
        <w:rPr>
          <w:rFonts w:hint="eastAsia" w:ascii="仿宋" w:hAnsi="仿宋" w:eastAsia="仿宋" w:cs="仿宋"/>
          <w:color w:val="auto"/>
          <w:sz w:val="24"/>
          <w:szCs w:val="24"/>
          <w:highlight w:val="none"/>
          <w:lang w:eastAsia="zh"/>
        </w:rPr>
        <w:t>1</w:t>
      </w:r>
      <w:r>
        <w:rPr>
          <w:rFonts w:hint="eastAsia" w:ascii="仿宋" w:hAnsi="仿宋" w:eastAsia="仿宋" w:cs="仿宋"/>
          <w:color w:val="auto"/>
          <w:sz w:val="24"/>
          <w:szCs w:val="24"/>
          <w:highlight w:val="none"/>
        </w:rPr>
        <w:t>名工人的，每人次/天处违约金1千元并限期改正；未经批准更换项目经理的，每次处违约金10万元并限期改正；未经批准更换项目其他人员的，每次处违约金2万元并限期改正</w:t>
      </w:r>
      <w:r>
        <w:rPr>
          <w:rFonts w:hint="eastAsia" w:ascii="仿宋" w:hAnsi="仿宋" w:eastAsia="仿宋" w:cs="仿宋"/>
          <w:color w:val="auto"/>
          <w:sz w:val="24"/>
          <w:szCs w:val="24"/>
          <w:highlight w:val="none"/>
          <w:lang w:eastAsia="zh-CN"/>
        </w:rPr>
        <w:t>；专职岗位维护人员兼职其他岗位的，每人次处违约金</w:t>
      </w:r>
      <w:r>
        <w:rPr>
          <w:rFonts w:hint="eastAsia" w:ascii="仿宋" w:hAnsi="仿宋" w:eastAsia="仿宋" w:cs="仿宋"/>
          <w:color w:val="auto"/>
          <w:sz w:val="24"/>
          <w:szCs w:val="24"/>
          <w:highlight w:val="none"/>
          <w:lang w:val="en-US" w:eastAsia="zh-CN"/>
        </w:rPr>
        <w:t>2万元</w:t>
      </w:r>
      <w:r>
        <w:rPr>
          <w:rFonts w:hint="eastAsia" w:ascii="仿宋" w:hAnsi="仿宋" w:eastAsia="仿宋" w:cs="仿宋"/>
          <w:color w:val="auto"/>
          <w:sz w:val="24"/>
          <w:szCs w:val="24"/>
          <w:highlight w:val="none"/>
        </w:rPr>
        <w:t>并限期改正。</w:t>
      </w:r>
    </w:p>
    <w:p>
      <w:pPr>
        <w:keepNext w:val="0"/>
        <w:keepLines w:val="0"/>
        <w:pageBreakBefore w:val="0"/>
        <w:widowControl w:val="0"/>
        <w:numPr>
          <w:ilvl w:val="0"/>
          <w:numId w:val="5"/>
        </w:numPr>
        <w:suppressLineNumbers w:val="0"/>
        <w:kinsoku/>
        <w:wordWrap/>
        <w:overflowPunct/>
        <w:topLinePunct w:val="0"/>
        <w:bidi w:val="0"/>
        <w:snapToGrid/>
        <w:spacing w:before="0" w:beforeAutospacing="0" w:after="0" w:afterAutospacing="0" w:line="560" w:lineRule="exact"/>
        <w:ind w:left="0" w:leftChars="0" w:righ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维护单位不按投标文件的承诺投入相应仓库场地的，处违约金20万元并限15天内整改，逾期未整改的，</w:t>
      </w:r>
      <w:r>
        <w:rPr>
          <w:rFonts w:hint="eastAsia" w:ascii="仿宋" w:hAnsi="仿宋" w:eastAsia="仿宋" w:cs="仿宋"/>
          <w:color w:val="auto"/>
          <w:sz w:val="24"/>
          <w:szCs w:val="24"/>
          <w:highlight w:val="none"/>
          <w:lang w:val="en-US" w:eastAsia="zh-CN"/>
        </w:rPr>
        <w:t>责令停工整顿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不按投标文件的承诺投入相应的</w:t>
      </w:r>
      <w:r>
        <w:rPr>
          <w:rFonts w:hint="eastAsia" w:ascii="仿宋" w:hAnsi="仿宋" w:eastAsia="仿宋" w:cs="仿宋"/>
          <w:color w:val="auto"/>
          <w:sz w:val="24"/>
          <w:szCs w:val="24"/>
          <w:highlight w:val="none"/>
          <w:lang w:val="en-US" w:eastAsia="zh-CN"/>
        </w:rPr>
        <w:t>车辆、</w:t>
      </w:r>
      <w:r>
        <w:rPr>
          <w:rFonts w:hint="eastAsia" w:ascii="仿宋" w:hAnsi="仿宋" w:eastAsia="仿宋" w:cs="仿宋"/>
          <w:color w:val="auto"/>
          <w:sz w:val="24"/>
          <w:szCs w:val="24"/>
          <w:highlight w:val="none"/>
        </w:rPr>
        <w:t>设备</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机械的，每缺少一台</w:t>
      </w:r>
      <w:r>
        <w:rPr>
          <w:rFonts w:hint="eastAsia" w:ascii="仿宋" w:hAnsi="仿宋" w:eastAsia="仿宋" w:cs="仿宋"/>
          <w:color w:val="auto"/>
          <w:sz w:val="24"/>
          <w:szCs w:val="24"/>
          <w:highlight w:val="none"/>
          <w:lang w:val="en-US" w:eastAsia="zh-CN"/>
        </w:rPr>
        <w:t>车辆、</w:t>
      </w:r>
      <w:r>
        <w:rPr>
          <w:rFonts w:hint="eastAsia" w:ascii="仿宋" w:hAnsi="仿宋" w:eastAsia="仿宋" w:cs="仿宋"/>
          <w:color w:val="auto"/>
          <w:sz w:val="24"/>
          <w:szCs w:val="24"/>
          <w:highlight w:val="none"/>
        </w:rPr>
        <w:t>设备</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机械，每台次/天处违约金</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千元并限期改正</w:t>
      </w:r>
      <w:r>
        <w:rPr>
          <w:rFonts w:hint="eastAsia" w:ascii="仿宋" w:hAnsi="仿宋" w:eastAsia="仿宋" w:cs="仿宋"/>
          <w:color w:val="auto"/>
          <w:sz w:val="24"/>
          <w:szCs w:val="24"/>
          <w:highlight w:val="none"/>
          <w:lang w:eastAsia="zh-CN"/>
        </w:rPr>
        <w:t>。未经批准更换项目车辆</w:t>
      </w:r>
      <w:r>
        <w:rPr>
          <w:rFonts w:hint="eastAsia" w:ascii="仿宋" w:hAnsi="仿宋" w:eastAsia="仿宋" w:cs="仿宋"/>
          <w:color w:val="auto"/>
          <w:sz w:val="24"/>
          <w:szCs w:val="24"/>
          <w:highlight w:val="none"/>
          <w:lang w:eastAsia="zh"/>
        </w:rPr>
        <w:t>设备</w:t>
      </w:r>
      <w:r>
        <w:rPr>
          <w:rFonts w:hint="eastAsia" w:ascii="仿宋" w:hAnsi="仿宋" w:eastAsia="仿宋" w:cs="仿宋"/>
          <w:color w:val="auto"/>
          <w:sz w:val="24"/>
          <w:szCs w:val="24"/>
          <w:highlight w:val="none"/>
          <w:lang w:eastAsia="zh-CN"/>
        </w:rPr>
        <w:t>、仓库场地的，每次处违约金2万元并限期改正。合同约定的合同起始之日起，维护单位未能按投标承诺提供办公场地、仓库、车辆和相关设备的，将对维护单位相应处违约金，合同起始之日起15天仍未整改到位的，</w:t>
      </w:r>
      <w:r>
        <w:rPr>
          <w:rFonts w:hint="eastAsia" w:ascii="仿宋" w:hAnsi="仿宋" w:eastAsia="仿宋" w:cs="仿宋"/>
          <w:color w:val="auto"/>
          <w:sz w:val="24"/>
          <w:szCs w:val="24"/>
          <w:highlight w:val="none"/>
          <w:lang w:eastAsia="zh"/>
        </w:rPr>
        <w:t>发包</w:t>
      </w:r>
      <w:r>
        <w:rPr>
          <w:rFonts w:hint="eastAsia" w:ascii="仿宋" w:hAnsi="仿宋" w:eastAsia="仿宋" w:cs="仿宋"/>
          <w:color w:val="auto"/>
          <w:sz w:val="24"/>
          <w:szCs w:val="24"/>
          <w:highlight w:val="none"/>
          <w:lang w:eastAsia="zh-CN"/>
        </w:rPr>
        <w:t>人有权单方面解除合同，由此造成的一切损失由维护单位承担。</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单位、设计单位不按投标文件的承诺投入相应的技术力量的，高级职称的每人次/天处违约金2千元并限期改正；中级或以下职称的每人次/天处违约金1千元并限期改正；未经批准更换项目总监（经理）的，每次处违约金</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万元并限期改正；未经批准更换项目工程师的，每次处违约金5千元并限期改正；未经批准更换项目其他人员的，每次处违约金2千元</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限期改</w:t>
      </w:r>
      <w:r>
        <w:rPr>
          <w:rFonts w:hint="eastAsia" w:ascii="仿宋" w:hAnsi="仿宋" w:eastAsia="仿宋" w:cs="仿宋"/>
          <w:color w:val="auto"/>
          <w:sz w:val="24"/>
          <w:szCs w:val="24"/>
          <w:highlight w:val="none"/>
          <w:lang w:eastAsia="zh-CN"/>
        </w:rPr>
        <w:t>正。</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监理单位、设计公司不按投标文件的承诺投入相应的车辆或设备的，每缺少一台车辆或设备，每台次/天处违约金</w:t>
      </w:r>
      <w:r>
        <w:rPr>
          <w:rFonts w:hint="eastAsia" w:ascii="仿宋" w:hAnsi="仿宋" w:eastAsia="仿宋" w:cs="仿宋"/>
          <w:color w:val="auto"/>
          <w:sz w:val="24"/>
          <w:szCs w:val="24"/>
          <w:highlight w:val="none"/>
          <w:lang w:val="en-US" w:eastAsia="zh-CN"/>
        </w:rPr>
        <w:t>1千</w:t>
      </w:r>
      <w:r>
        <w:rPr>
          <w:rFonts w:hint="eastAsia" w:ascii="仿宋" w:hAnsi="仿宋" w:eastAsia="仿宋" w:cs="仿宋"/>
          <w:color w:val="auto"/>
          <w:sz w:val="24"/>
          <w:szCs w:val="24"/>
          <w:highlight w:val="none"/>
        </w:rPr>
        <w:t>元并限期改正</w:t>
      </w:r>
      <w:r>
        <w:rPr>
          <w:rFonts w:hint="eastAsia" w:ascii="仿宋" w:hAnsi="仿宋" w:eastAsia="仿宋" w:cs="仿宋"/>
          <w:color w:val="auto"/>
          <w:sz w:val="24"/>
          <w:szCs w:val="24"/>
          <w:highlight w:val="none"/>
          <w:lang w:eastAsia="zh-CN"/>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维护单位项目经理未按规定履行每周带班生产(</w:t>
      </w:r>
      <w:r>
        <w:rPr>
          <w:rFonts w:hint="eastAsia" w:ascii="仿宋" w:hAnsi="仿宋" w:eastAsia="仿宋" w:cs="仿宋"/>
          <w:color w:val="auto"/>
          <w:sz w:val="24"/>
          <w:szCs w:val="24"/>
          <w:highlight w:val="none"/>
          <w:lang w:val="en-US" w:eastAsia="zh"/>
        </w:rPr>
        <w:t>专项</w:t>
      </w:r>
      <w:r>
        <w:rPr>
          <w:rFonts w:hint="eastAsia" w:ascii="仿宋" w:hAnsi="仿宋" w:eastAsia="仿宋" w:cs="仿宋"/>
          <w:color w:val="auto"/>
          <w:sz w:val="24"/>
          <w:szCs w:val="24"/>
          <w:highlight w:val="none"/>
          <w:lang w:val="en-US" w:eastAsia="zh-CN"/>
        </w:rPr>
        <w:t>施工、巡查）的，每缺席1次处违约金5万元；当月累计缺席超过3次的，从第3次起每次处违约金10万元。</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、设计单位、监理单位进驻支队工作人员未按要求</w:t>
      </w:r>
      <w:r>
        <w:rPr>
          <w:rFonts w:hint="eastAsia" w:ascii="仿宋" w:hAnsi="仿宋" w:eastAsia="仿宋" w:cs="仿宋"/>
          <w:color w:val="auto"/>
          <w:sz w:val="24"/>
          <w:szCs w:val="24"/>
          <w:highlight w:val="none"/>
          <w:lang w:eastAsia="zh"/>
        </w:rPr>
        <w:t>进驻的</w:t>
      </w:r>
      <w:r>
        <w:rPr>
          <w:rFonts w:hint="eastAsia" w:ascii="仿宋" w:hAnsi="仿宋" w:eastAsia="仿宋" w:cs="仿宋"/>
          <w:color w:val="auto"/>
          <w:sz w:val="24"/>
          <w:szCs w:val="24"/>
          <w:highlight w:val="none"/>
        </w:rPr>
        <w:t>，每人次/天处违约金5百元并限期改正；</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进驻支队维护平台人员未按要求做好报障电话接听登记、信号设施故障跟踪处理反馈、路口配置资料统计更新等工作的，每次处违约金2千元。</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维护单位未按要求落实仓存设施管理工作要求，仓存设施未分门别类摆放的，每发现</w:t>
      </w:r>
      <w:r>
        <w:rPr>
          <w:rFonts w:hint="eastAsia" w:ascii="仿宋" w:hAnsi="仿宋" w:eastAsia="仿宋" w:cs="仿宋"/>
          <w:color w:val="auto"/>
          <w:sz w:val="24"/>
          <w:szCs w:val="24"/>
          <w:highlight w:val="none"/>
          <w:lang w:val="en-US" w:eastAsia="zh"/>
        </w:rPr>
        <w:t>1</w:t>
      </w:r>
      <w:r>
        <w:rPr>
          <w:rFonts w:hint="eastAsia" w:ascii="仿宋" w:hAnsi="仿宋" w:eastAsia="仿宋" w:cs="仿宋"/>
          <w:color w:val="auto"/>
          <w:sz w:val="24"/>
          <w:szCs w:val="24"/>
          <w:highlight w:val="none"/>
          <w:lang w:val="en-US" w:eastAsia="zh-CN"/>
        </w:rPr>
        <w:t>次处违约金5千元并限期改正；仓存设施无专人负责管理、登记的，每发现</w:t>
      </w:r>
      <w:r>
        <w:rPr>
          <w:rFonts w:hint="eastAsia" w:ascii="仿宋" w:hAnsi="仿宋" w:eastAsia="仿宋" w:cs="仿宋"/>
          <w:color w:val="auto"/>
          <w:sz w:val="24"/>
          <w:szCs w:val="24"/>
          <w:highlight w:val="none"/>
          <w:lang w:val="en-US" w:eastAsia="zh"/>
        </w:rPr>
        <w:t>1</w:t>
      </w:r>
      <w:r>
        <w:rPr>
          <w:rFonts w:hint="eastAsia" w:ascii="仿宋" w:hAnsi="仿宋" w:eastAsia="仿宋" w:cs="仿宋"/>
          <w:color w:val="auto"/>
          <w:sz w:val="24"/>
          <w:szCs w:val="24"/>
          <w:highlight w:val="none"/>
          <w:lang w:val="en-US" w:eastAsia="zh-CN"/>
        </w:rPr>
        <w:t>次处违约金5千元并限期改正；仓存设施存、取登记台账混乱、应付了事的，每发现一次处违约金5千元并限期改正；造成严重后果的，除按要求赔偿设施价值全部损失外，每次并处违约金5万元。</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监理单位未按业主单位要求，定期对</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人员、车辆、设备情况和仓存管理情况进行检查、监督，并提供相关工作情况报告的，每次处违约金2千元；造成严重后果的，除按相关规定追究责任外，每次并处违约金1万元</w:t>
      </w:r>
      <w:r>
        <w:rPr>
          <w:rFonts w:hint="eastAsia" w:ascii="仿宋" w:hAnsi="仿宋" w:eastAsia="仿宋" w:cs="仿宋"/>
          <w:color w:val="auto"/>
          <w:sz w:val="24"/>
          <w:szCs w:val="24"/>
          <w:highlight w:val="none"/>
          <w:lang w:eastAsia="zh-CN"/>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未经批准不及时履行巡查和抢修任务的，</w:t>
      </w:r>
      <w:r>
        <w:rPr>
          <w:rFonts w:hint="eastAsia" w:ascii="仿宋" w:hAnsi="仿宋" w:eastAsia="仿宋" w:cs="仿宋"/>
          <w:color w:val="auto"/>
          <w:sz w:val="24"/>
          <w:szCs w:val="24"/>
          <w:highlight w:val="none"/>
          <w:lang w:val="en-US" w:eastAsia="zh-CN"/>
        </w:rPr>
        <w:t>按发现的问题计算，每宗</w:t>
      </w:r>
      <w:r>
        <w:rPr>
          <w:rFonts w:hint="eastAsia" w:ascii="仿宋" w:hAnsi="仿宋" w:eastAsia="仿宋" w:cs="仿宋"/>
          <w:color w:val="auto"/>
          <w:sz w:val="24"/>
          <w:szCs w:val="24"/>
          <w:highlight w:val="none"/>
        </w:rPr>
        <w:t>处违约金2千元（每天累计处罚不超过2万元，该违约的认定以</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上报的设施巡查表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现场情况、工作群信息</w:t>
      </w:r>
      <w:r>
        <w:rPr>
          <w:rFonts w:hint="eastAsia" w:ascii="仿宋" w:hAnsi="仿宋" w:eastAsia="仿宋" w:cs="仿宋"/>
          <w:color w:val="auto"/>
          <w:sz w:val="24"/>
          <w:szCs w:val="24"/>
          <w:highlight w:val="none"/>
        </w:rPr>
        <w:t>或报障系统内容</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为依据）；</w:t>
      </w:r>
      <w:r>
        <w:rPr>
          <w:rFonts w:hint="eastAsia" w:ascii="仿宋" w:hAnsi="仿宋" w:eastAsia="仿宋" w:cs="仿宋"/>
          <w:color w:val="auto"/>
          <w:sz w:val="24"/>
          <w:szCs w:val="24"/>
          <w:highlight w:val="none"/>
          <w:lang w:eastAsia="zh-CN"/>
        </w:rPr>
        <w:t>由此造成的一切法律责任均由维护单位承担。</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在交通警保卫或突发事件的设施保障工作中，</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未经批准不按要求完成任务的，每次处违约金2万元；造成严重后果的，除按相关规定追究责任外，每次并处违约金10万元；</w:t>
      </w:r>
      <w:r>
        <w:rPr>
          <w:rFonts w:hint="eastAsia" w:ascii="仿宋" w:hAnsi="仿宋" w:eastAsia="仿宋" w:cs="仿宋"/>
          <w:color w:val="auto"/>
          <w:sz w:val="24"/>
          <w:szCs w:val="24"/>
          <w:highlight w:val="none"/>
          <w:lang w:eastAsia="zh-CN"/>
        </w:rPr>
        <w:t>监理单位</w:t>
      </w:r>
      <w:r>
        <w:rPr>
          <w:rFonts w:hint="eastAsia" w:ascii="仿宋" w:hAnsi="仿宋" w:eastAsia="仿宋" w:cs="仿宋"/>
          <w:color w:val="auto"/>
          <w:sz w:val="24"/>
          <w:szCs w:val="24"/>
          <w:highlight w:val="none"/>
        </w:rPr>
        <w:t>未履行相应职责的，每次处违约金1万元</w:t>
      </w:r>
      <w:r>
        <w:rPr>
          <w:rFonts w:hint="eastAsia" w:ascii="仿宋" w:hAnsi="仿宋" w:eastAsia="仿宋" w:cs="仿宋"/>
          <w:color w:val="auto"/>
          <w:sz w:val="24"/>
          <w:szCs w:val="24"/>
          <w:highlight w:val="none"/>
          <w:lang w:eastAsia="zh"/>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未经批准擅自进行施工的，除无偿按原样恢复外，每次处违约金1万元。</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未经批准不按施工委托书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任务书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的要求按质、按量、按时完成施工任务的，工期每拖延1天处违约金3千元；施工质量出现问题的，除无偿对出现质量问题部分工程进行返工</w:t>
      </w:r>
      <w:r>
        <w:rPr>
          <w:rFonts w:hint="eastAsia" w:ascii="仿宋" w:hAnsi="仿宋" w:eastAsia="仿宋" w:cs="仿宋"/>
          <w:color w:val="auto"/>
          <w:sz w:val="24"/>
          <w:szCs w:val="24"/>
          <w:highlight w:val="none"/>
          <w:lang w:eastAsia="zh-CN"/>
        </w:rPr>
        <w:t>外，还需</w:t>
      </w:r>
      <w:r>
        <w:rPr>
          <w:rFonts w:hint="eastAsia" w:ascii="仿宋" w:hAnsi="仿宋" w:eastAsia="仿宋" w:cs="仿宋"/>
          <w:color w:val="auto"/>
          <w:sz w:val="24"/>
          <w:szCs w:val="24"/>
          <w:highlight w:val="none"/>
        </w:rPr>
        <w:t>按延误工期</w:t>
      </w:r>
      <w:r>
        <w:rPr>
          <w:rFonts w:hint="eastAsia" w:ascii="仿宋" w:hAnsi="仿宋" w:eastAsia="仿宋" w:cs="仿宋"/>
          <w:color w:val="auto"/>
          <w:sz w:val="24"/>
          <w:szCs w:val="24"/>
          <w:highlight w:val="none"/>
          <w:lang w:eastAsia="zh-CN"/>
        </w:rPr>
        <w:t>及质量出现问题部分工程量的</w:t>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lang w:eastAsia="zh-CN"/>
        </w:rPr>
        <w:t>承担相应经济违约金</w:t>
      </w:r>
      <w:r>
        <w:rPr>
          <w:rFonts w:hint="eastAsia" w:ascii="仿宋" w:hAnsi="仿宋" w:eastAsia="仿宋" w:cs="仿宋"/>
          <w:color w:val="auto"/>
          <w:sz w:val="24"/>
          <w:szCs w:val="24"/>
          <w:highlight w:val="none"/>
          <w:lang w:eastAsia="zh"/>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因工程质量问题</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val="en-US" w:eastAsia="zh"/>
        </w:rPr>
        <w:t>其他问题</w:t>
      </w:r>
      <w:r>
        <w:rPr>
          <w:rFonts w:hint="eastAsia" w:ascii="仿宋" w:hAnsi="仿宋" w:eastAsia="仿宋" w:cs="仿宋"/>
          <w:color w:val="auto"/>
          <w:sz w:val="24"/>
          <w:szCs w:val="24"/>
          <w:highlight w:val="none"/>
        </w:rPr>
        <w:t>而被行政通报或被新闻媒体曝光造成不良影响的，</w:t>
      </w:r>
      <w:r>
        <w:rPr>
          <w:rFonts w:hint="eastAsia" w:ascii="仿宋" w:hAnsi="仿宋" w:eastAsia="仿宋" w:cs="仿宋"/>
          <w:color w:val="auto"/>
          <w:sz w:val="24"/>
          <w:szCs w:val="24"/>
          <w:highlight w:val="none"/>
          <w:lang w:eastAsia="zh"/>
        </w:rPr>
        <w:t>每</w:t>
      </w:r>
      <w:r>
        <w:rPr>
          <w:rFonts w:hint="eastAsia" w:ascii="仿宋" w:hAnsi="仿宋" w:eastAsia="仿宋" w:cs="仿宋"/>
          <w:color w:val="auto"/>
          <w:sz w:val="24"/>
          <w:szCs w:val="24"/>
          <w:highlight w:val="none"/>
        </w:rPr>
        <w:t>次处违约金</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万元；监理单位</w:t>
      </w:r>
      <w:r>
        <w:rPr>
          <w:rFonts w:hint="eastAsia" w:ascii="仿宋" w:hAnsi="仿宋" w:eastAsia="仿宋" w:cs="仿宋"/>
          <w:color w:val="auto"/>
          <w:sz w:val="24"/>
          <w:szCs w:val="24"/>
          <w:highlight w:val="none"/>
          <w:lang w:val="en-US" w:eastAsia="zh-CN"/>
        </w:rPr>
        <w:t>未履行职责的处</w:t>
      </w:r>
      <w:r>
        <w:rPr>
          <w:rFonts w:hint="eastAsia" w:ascii="仿宋" w:hAnsi="仿宋" w:eastAsia="仿宋" w:cs="仿宋"/>
          <w:color w:val="auto"/>
          <w:sz w:val="24"/>
          <w:szCs w:val="24"/>
          <w:highlight w:val="none"/>
        </w:rPr>
        <w:t>违约金</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5"/>
        </w:numPr>
        <w:suppressLineNumbers w:val="0"/>
        <w:kinsoku/>
        <w:wordWrap/>
        <w:overflowPunct/>
        <w:topLinePunct w:val="0"/>
        <w:bidi w:val="0"/>
        <w:snapToGrid/>
        <w:spacing w:before="0" w:beforeAutospacing="0" w:after="0" w:afterAutospacing="0" w:line="560" w:lineRule="exact"/>
        <w:ind w:left="0" w:leftChars="0" w:righ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监理单位</w:t>
      </w:r>
      <w:r>
        <w:rPr>
          <w:rFonts w:hint="eastAsia" w:ascii="仿宋" w:hAnsi="仿宋" w:eastAsia="仿宋" w:cs="仿宋"/>
          <w:color w:val="auto"/>
          <w:sz w:val="24"/>
          <w:szCs w:val="24"/>
          <w:highlight w:val="none"/>
        </w:rPr>
        <w:t>未</w:t>
      </w:r>
      <w:r>
        <w:rPr>
          <w:rFonts w:hint="eastAsia" w:ascii="仿宋" w:hAnsi="仿宋" w:eastAsia="仿宋" w:cs="仿宋"/>
          <w:color w:val="auto"/>
          <w:sz w:val="24"/>
          <w:szCs w:val="24"/>
          <w:highlight w:val="none"/>
          <w:lang w:eastAsia="zh"/>
        </w:rPr>
        <w:t>有效</w:t>
      </w:r>
      <w:r>
        <w:rPr>
          <w:rFonts w:hint="eastAsia" w:ascii="仿宋" w:hAnsi="仿宋" w:eastAsia="仿宋" w:cs="仿宋"/>
          <w:color w:val="auto"/>
          <w:sz w:val="24"/>
          <w:szCs w:val="24"/>
          <w:highlight w:val="none"/>
        </w:rPr>
        <w:t>履行监理义务的，每次处违约金</w:t>
      </w:r>
      <w:r>
        <w:rPr>
          <w:rFonts w:hint="eastAsia" w:ascii="仿宋" w:hAnsi="仿宋" w:eastAsia="仿宋" w:cs="仿宋"/>
          <w:color w:val="auto"/>
          <w:sz w:val="24"/>
          <w:szCs w:val="24"/>
          <w:highlight w:val="none"/>
          <w:lang w:eastAsia="zh"/>
        </w:rPr>
        <w:t>1</w:t>
      </w:r>
      <w:r>
        <w:rPr>
          <w:rFonts w:hint="eastAsia" w:ascii="仿宋" w:hAnsi="仿宋" w:eastAsia="仿宋" w:cs="仿宋"/>
          <w:color w:val="auto"/>
          <w:sz w:val="24"/>
          <w:szCs w:val="24"/>
          <w:highlight w:val="none"/>
        </w:rPr>
        <w:t>千元；未履行监理义务的，每次处违约金2千元，造成严重后果的，</w:t>
      </w:r>
      <w:r>
        <w:rPr>
          <w:rFonts w:hint="eastAsia" w:ascii="仿宋" w:hAnsi="仿宋" w:eastAsia="仿宋" w:cs="仿宋"/>
          <w:color w:val="auto"/>
          <w:sz w:val="24"/>
          <w:szCs w:val="24"/>
          <w:highlight w:val="none"/>
          <w:lang w:val="en-US" w:eastAsia="zh-CN"/>
        </w:rPr>
        <w:t>每</w:t>
      </w:r>
      <w:r>
        <w:rPr>
          <w:rFonts w:hint="eastAsia" w:ascii="仿宋" w:hAnsi="仿宋" w:eastAsia="仿宋" w:cs="仿宋"/>
          <w:color w:val="auto"/>
          <w:sz w:val="24"/>
          <w:szCs w:val="24"/>
          <w:highlight w:val="none"/>
        </w:rPr>
        <w:t>次处违约金2万元</w:t>
      </w:r>
      <w:r>
        <w:rPr>
          <w:rFonts w:hint="eastAsia" w:ascii="仿宋" w:hAnsi="仿宋" w:eastAsia="仿宋" w:cs="仿宋"/>
          <w:color w:val="auto"/>
          <w:sz w:val="24"/>
          <w:szCs w:val="24"/>
          <w:highlight w:val="none"/>
          <w:lang w:eastAsia="zh-CN"/>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设计单位未按时完成施工图设计任务的，每延迟1天处违约金2千元；未按约定标准要求出图的或未按约定现场勘查的，每次处违约金1千元；未认真制作施工设计图，导致现场无法按图纸进行施工的，每出现1次处违约金5千元。</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监理单位</w:t>
      </w:r>
      <w:r>
        <w:rPr>
          <w:rFonts w:hint="eastAsia" w:ascii="仿宋" w:hAnsi="仿宋" w:eastAsia="仿宋" w:cs="仿宋"/>
          <w:color w:val="auto"/>
          <w:sz w:val="24"/>
          <w:szCs w:val="24"/>
          <w:highlight w:val="none"/>
        </w:rPr>
        <w:t>未经批准不及时上报工程结算</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含预算材料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每延迟一天处违约金</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千元，</w:t>
      </w:r>
      <w:r>
        <w:rPr>
          <w:rFonts w:hint="eastAsia" w:ascii="仿宋" w:hAnsi="仿宋" w:eastAsia="仿宋" w:cs="仿宋"/>
          <w:color w:val="auto"/>
          <w:sz w:val="24"/>
          <w:szCs w:val="24"/>
          <w:highlight w:val="none"/>
          <w:lang w:eastAsia="zh-CN"/>
        </w:rPr>
        <w:t>监理单位</w:t>
      </w:r>
      <w:r>
        <w:rPr>
          <w:rFonts w:hint="eastAsia" w:ascii="仿宋" w:hAnsi="仿宋" w:eastAsia="仿宋" w:cs="仿宋"/>
          <w:color w:val="auto"/>
          <w:sz w:val="24"/>
          <w:szCs w:val="24"/>
          <w:highlight w:val="none"/>
        </w:rPr>
        <w:t>每延迟</w:t>
      </w:r>
      <w:r>
        <w:rPr>
          <w:rFonts w:hint="eastAsia" w:ascii="仿宋" w:hAnsi="仿宋" w:eastAsia="仿宋" w:cs="仿宋"/>
          <w:color w:val="auto"/>
          <w:sz w:val="24"/>
          <w:szCs w:val="24"/>
          <w:highlight w:val="none"/>
          <w:lang w:eastAsia="zh"/>
        </w:rPr>
        <w:t>1</w:t>
      </w:r>
      <w:r>
        <w:rPr>
          <w:rFonts w:hint="eastAsia" w:ascii="仿宋" w:hAnsi="仿宋" w:eastAsia="仿宋" w:cs="仿宋"/>
          <w:color w:val="auto"/>
          <w:sz w:val="24"/>
          <w:szCs w:val="24"/>
          <w:highlight w:val="none"/>
        </w:rPr>
        <w:t>天处违约金</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千元</w:t>
      </w:r>
      <w:r>
        <w:rPr>
          <w:rFonts w:hint="eastAsia" w:ascii="仿宋" w:hAnsi="仿宋" w:eastAsia="仿宋" w:cs="仿宋"/>
          <w:color w:val="auto"/>
          <w:sz w:val="24"/>
          <w:szCs w:val="24"/>
          <w:highlight w:val="none"/>
          <w:lang w:eastAsia="zh-CN"/>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监理单位</w:t>
      </w:r>
      <w:r>
        <w:rPr>
          <w:rFonts w:hint="eastAsia" w:ascii="仿宋" w:hAnsi="仿宋" w:eastAsia="仿宋" w:cs="仿宋"/>
          <w:color w:val="auto"/>
          <w:sz w:val="24"/>
          <w:szCs w:val="24"/>
          <w:highlight w:val="none"/>
        </w:rPr>
        <w:t>不认真制作工程结算</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含预算材料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的，出现错误的，每</w:t>
      </w:r>
      <w:r>
        <w:rPr>
          <w:rFonts w:hint="eastAsia" w:ascii="仿宋" w:hAnsi="仿宋" w:eastAsia="仿宋" w:cs="仿宋"/>
          <w:color w:val="auto"/>
          <w:sz w:val="24"/>
          <w:szCs w:val="24"/>
          <w:highlight w:val="none"/>
          <w:lang w:eastAsia="zh"/>
        </w:rPr>
        <w:t>次</w:t>
      </w:r>
      <w:r>
        <w:rPr>
          <w:rFonts w:hint="eastAsia" w:ascii="仿宋" w:hAnsi="仿宋" w:eastAsia="仿宋" w:cs="仿宋"/>
          <w:color w:val="auto"/>
          <w:sz w:val="24"/>
          <w:szCs w:val="24"/>
          <w:highlight w:val="none"/>
        </w:rPr>
        <w:t>处</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违约金</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千元，处</w:t>
      </w:r>
      <w:r>
        <w:rPr>
          <w:rFonts w:hint="eastAsia" w:ascii="仿宋" w:hAnsi="仿宋" w:eastAsia="仿宋" w:cs="仿宋"/>
          <w:color w:val="auto"/>
          <w:sz w:val="24"/>
          <w:szCs w:val="24"/>
          <w:highlight w:val="none"/>
          <w:lang w:eastAsia="zh-CN"/>
        </w:rPr>
        <w:t>监理单位</w:t>
      </w:r>
      <w:r>
        <w:rPr>
          <w:rFonts w:hint="eastAsia" w:ascii="仿宋" w:hAnsi="仿宋" w:eastAsia="仿宋" w:cs="仿宋"/>
          <w:color w:val="auto"/>
          <w:sz w:val="24"/>
          <w:szCs w:val="24"/>
          <w:highlight w:val="none"/>
        </w:rPr>
        <w:t>违约金</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千元；蓄意虚报工程量的，一经查实，按工程量虚增部分的10倍金额处</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违约金，</w:t>
      </w:r>
      <w:r>
        <w:rPr>
          <w:rFonts w:hint="eastAsia" w:ascii="仿宋" w:hAnsi="仿宋" w:eastAsia="仿宋" w:cs="仿宋"/>
          <w:color w:val="auto"/>
          <w:sz w:val="24"/>
          <w:szCs w:val="24"/>
          <w:highlight w:val="none"/>
          <w:lang w:eastAsia="zh-CN"/>
        </w:rPr>
        <w:t>监理单位</w:t>
      </w:r>
      <w:r>
        <w:rPr>
          <w:rFonts w:hint="eastAsia" w:ascii="仿宋" w:hAnsi="仿宋" w:eastAsia="仿宋" w:cs="仿宋"/>
          <w:color w:val="auto"/>
          <w:sz w:val="24"/>
          <w:szCs w:val="24"/>
          <w:highlight w:val="none"/>
        </w:rPr>
        <w:t>则每次处违约金</w:t>
      </w:r>
      <w:r>
        <w:rPr>
          <w:rFonts w:hint="eastAsia" w:ascii="仿宋" w:hAnsi="仿宋" w:eastAsia="仿宋" w:cs="仿宋"/>
          <w:color w:val="auto"/>
          <w:sz w:val="24"/>
          <w:szCs w:val="24"/>
          <w:highlight w:val="none"/>
          <w:lang w:eastAsia="zh"/>
        </w:rPr>
        <w:t>3</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CN"/>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、监理单位及设计单位未按要求时间报送资料的，每延迟</w:t>
      </w:r>
      <w:r>
        <w:rPr>
          <w:rFonts w:hint="eastAsia" w:ascii="仿宋" w:hAnsi="仿宋" w:eastAsia="仿宋" w:cs="仿宋"/>
          <w:color w:val="auto"/>
          <w:sz w:val="24"/>
          <w:szCs w:val="24"/>
          <w:highlight w:val="none"/>
          <w:lang w:eastAsia="zh"/>
        </w:rPr>
        <w:t>1</w:t>
      </w:r>
      <w:r>
        <w:rPr>
          <w:rFonts w:hint="eastAsia" w:ascii="仿宋" w:hAnsi="仿宋" w:eastAsia="仿宋" w:cs="仿宋"/>
          <w:color w:val="auto"/>
          <w:sz w:val="24"/>
          <w:szCs w:val="24"/>
          <w:highlight w:val="none"/>
        </w:rPr>
        <w:t>天处违约金2千元；按时报送但资料错漏较多，敷衍应付的，每</w:t>
      </w:r>
      <w:r>
        <w:rPr>
          <w:rFonts w:hint="eastAsia" w:ascii="仿宋" w:hAnsi="仿宋" w:eastAsia="仿宋" w:cs="仿宋"/>
          <w:color w:val="auto"/>
          <w:sz w:val="24"/>
          <w:szCs w:val="24"/>
          <w:highlight w:val="none"/>
          <w:lang w:eastAsia="zh"/>
        </w:rPr>
        <w:t>次</w:t>
      </w:r>
      <w:r>
        <w:rPr>
          <w:rFonts w:hint="eastAsia" w:ascii="仿宋" w:hAnsi="仿宋" w:eastAsia="仿宋" w:cs="仿宋"/>
          <w:color w:val="auto"/>
          <w:sz w:val="24"/>
          <w:szCs w:val="24"/>
          <w:highlight w:val="none"/>
        </w:rPr>
        <w:t>处违约金2千元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报送资料</w:t>
      </w:r>
      <w:r>
        <w:rPr>
          <w:rFonts w:hint="eastAsia" w:ascii="仿宋" w:hAnsi="仿宋" w:eastAsia="仿宋" w:cs="仿宋"/>
          <w:color w:val="auto"/>
          <w:sz w:val="24"/>
          <w:szCs w:val="24"/>
          <w:highlight w:val="none"/>
          <w:lang w:eastAsia="zh-CN"/>
        </w:rPr>
        <w:t>台账虚假的，每</w:t>
      </w:r>
      <w:r>
        <w:rPr>
          <w:rFonts w:hint="eastAsia" w:ascii="仿宋" w:hAnsi="仿宋" w:eastAsia="仿宋" w:cs="仿宋"/>
          <w:color w:val="auto"/>
          <w:sz w:val="24"/>
          <w:szCs w:val="24"/>
          <w:highlight w:val="none"/>
          <w:lang w:eastAsia="zh"/>
        </w:rPr>
        <w:t>次</w:t>
      </w:r>
      <w:r>
        <w:rPr>
          <w:rFonts w:hint="eastAsia" w:ascii="仿宋" w:hAnsi="仿宋" w:eastAsia="仿宋" w:cs="仿宋"/>
          <w:color w:val="auto"/>
          <w:sz w:val="24"/>
          <w:szCs w:val="24"/>
          <w:highlight w:val="none"/>
          <w:lang w:eastAsia="zh-CN"/>
        </w:rPr>
        <w:t>处违约金</w:t>
      </w:r>
      <w:r>
        <w:rPr>
          <w:rFonts w:hint="eastAsia" w:ascii="仿宋" w:hAnsi="仿宋" w:eastAsia="仿宋" w:cs="仿宋"/>
          <w:color w:val="auto"/>
          <w:sz w:val="24"/>
          <w:szCs w:val="24"/>
          <w:highlight w:val="none"/>
          <w:lang w:eastAsia="zh"/>
        </w:rPr>
        <w:t>5</w:t>
      </w:r>
      <w:r>
        <w:rPr>
          <w:rFonts w:hint="eastAsia" w:ascii="仿宋" w:hAnsi="仿宋" w:eastAsia="仿宋" w:cs="仿宋"/>
          <w:color w:val="auto"/>
          <w:sz w:val="24"/>
          <w:szCs w:val="24"/>
          <w:highlight w:val="none"/>
          <w:lang w:val="en-US" w:eastAsia="zh-CN"/>
        </w:rPr>
        <w:t>千元</w:t>
      </w:r>
      <w:r>
        <w:rPr>
          <w:rFonts w:hint="eastAsia" w:ascii="仿宋" w:hAnsi="仿宋" w:eastAsia="仿宋" w:cs="仿宋"/>
          <w:color w:val="auto"/>
          <w:sz w:val="24"/>
          <w:szCs w:val="24"/>
          <w:highlight w:val="none"/>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、监理单位及设计单位未经批准不按时参加相关工作会议的，每迟到1次（1小时内）处违约金</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千元，迟到1小时或</w:t>
      </w:r>
      <w:r>
        <w:rPr>
          <w:rFonts w:hint="eastAsia" w:ascii="仿宋" w:hAnsi="仿宋" w:eastAsia="仿宋" w:cs="仿宋"/>
          <w:color w:val="auto"/>
          <w:sz w:val="24"/>
          <w:szCs w:val="24"/>
          <w:highlight w:val="none"/>
          <w:lang w:val="en-US" w:eastAsia="zh-CN"/>
        </w:rPr>
        <w:t>以上的</w:t>
      </w:r>
      <w:r>
        <w:rPr>
          <w:rFonts w:hint="eastAsia" w:ascii="仿宋" w:hAnsi="仿宋" w:eastAsia="仿宋" w:cs="仿宋"/>
          <w:color w:val="auto"/>
          <w:sz w:val="24"/>
          <w:szCs w:val="24"/>
          <w:highlight w:val="none"/>
        </w:rPr>
        <w:t>，处违约金2千元；未经批准不参加会议</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不按要求派出相应人员参加会议的处违约金</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千元</w:t>
      </w:r>
      <w:r>
        <w:rPr>
          <w:rFonts w:hint="eastAsia" w:ascii="仿宋" w:hAnsi="仿宋" w:eastAsia="仿宋" w:cs="仿宋"/>
          <w:color w:val="auto"/>
          <w:sz w:val="24"/>
          <w:szCs w:val="24"/>
          <w:highlight w:val="none"/>
          <w:lang w:eastAsia="zh-CN"/>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设施因</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日常维护工作不到位（交通事故、自然灾害等不可抗拒力因素除外）致人</w:t>
      </w:r>
      <w:r>
        <w:rPr>
          <w:rFonts w:hint="eastAsia" w:ascii="仿宋" w:hAnsi="仿宋" w:eastAsia="仿宋" w:cs="仿宋"/>
          <w:color w:val="auto"/>
          <w:sz w:val="24"/>
          <w:szCs w:val="24"/>
          <w:highlight w:val="none"/>
          <w:lang w:eastAsia="zh-CN"/>
        </w:rPr>
        <w:t>受伤</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造成</w:t>
      </w:r>
      <w:r>
        <w:rPr>
          <w:rFonts w:hint="eastAsia" w:ascii="仿宋" w:hAnsi="仿宋" w:eastAsia="仿宋" w:cs="仿宋"/>
          <w:color w:val="auto"/>
          <w:sz w:val="24"/>
          <w:szCs w:val="24"/>
          <w:highlight w:val="none"/>
        </w:rPr>
        <w:t>重大财物损失的，</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eastAsia="zh-CN"/>
        </w:rPr>
        <w:t>作</w:t>
      </w:r>
      <w:r>
        <w:rPr>
          <w:rFonts w:hint="eastAsia" w:ascii="仿宋" w:hAnsi="仿宋" w:eastAsia="仿宋" w:cs="仿宋"/>
          <w:color w:val="auto"/>
          <w:sz w:val="24"/>
          <w:szCs w:val="24"/>
          <w:highlight w:val="none"/>
        </w:rPr>
        <w:t>出相应的赔偿外，</w:t>
      </w:r>
      <w:r>
        <w:rPr>
          <w:rFonts w:hint="eastAsia" w:ascii="仿宋" w:hAnsi="仿宋" w:eastAsia="仿宋" w:cs="仿宋"/>
          <w:color w:val="auto"/>
          <w:sz w:val="24"/>
          <w:szCs w:val="24"/>
          <w:highlight w:val="none"/>
          <w:lang w:eastAsia="zh-CN"/>
        </w:rPr>
        <w:t>每次处</w:t>
      </w:r>
      <w:r>
        <w:rPr>
          <w:rFonts w:hint="eastAsia" w:ascii="仿宋" w:hAnsi="仿宋" w:eastAsia="仿宋" w:cs="仿宋"/>
          <w:color w:val="auto"/>
          <w:sz w:val="24"/>
          <w:szCs w:val="24"/>
          <w:highlight w:val="none"/>
        </w:rPr>
        <w:t>违约金</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
        </w:rPr>
        <w:t>，</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处监理单位违约金</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CN"/>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维护单位报备的24小时应急抢修热线，如无提前故障报备更换或其他不可抗力因素而无法接通的，每出现一次处违约金2千元；造成后果的，除追究相应法律责任外，另处违约金1万元/次。</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维护单位项目调度员须24小时保持通讯畅通，遇突发任务无法联系而造成工作延误的，每出现一次处违约金3千元；造成严重后果的，除追究相应法律责任外，另处违约金2万元/次。</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未经批准</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借用交警支队名义或挪用交警支队设施承接实施外单位工程的，每次处违约金10万元；</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有以下之一情形的，</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处违约金5千元并限期改正：（1）未经批准在交通高峰期施工并导致严重交通堵塞的；（2）野蛮施工、工程施工期间不按规定做好围蔽措施、施工后不及时清理现场等导致市政、城管或市民、媒体投诉曝光尚未造成严重后果的；（3）施工</w:t>
      </w:r>
      <w:r>
        <w:rPr>
          <w:rFonts w:hint="eastAsia" w:ascii="仿宋" w:hAnsi="仿宋" w:eastAsia="仿宋" w:cs="仿宋"/>
          <w:color w:val="auto"/>
          <w:sz w:val="24"/>
          <w:szCs w:val="24"/>
          <w:highlight w:val="none"/>
          <w:lang w:val="en-US" w:eastAsia="zh-CN"/>
        </w:rPr>
        <w:t>班组</w:t>
      </w:r>
      <w:r>
        <w:rPr>
          <w:rFonts w:hint="eastAsia" w:ascii="仿宋" w:hAnsi="仿宋" w:eastAsia="仿宋" w:cs="仿宋"/>
          <w:color w:val="auto"/>
          <w:sz w:val="24"/>
          <w:szCs w:val="24"/>
          <w:highlight w:val="none"/>
        </w:rPr>
        <w:t>不按要求做好安全保护措施（如不</w:t>
      </w:r>
      <w:r>
        <w:rPr>
          <w:rFonts w:hint="eastAsia" w:ascii="仿宋" w:hAnsi="仿宋" w:eastAsia="仿宋" w:cs="仿宋"/>
          <w:color w:val="auto"/>
          <w:sz w:val="24"/>
          <w:szCs w:val="24"/>
          <w:highlight w:val="none"/>
          <w:lang w:eastAsia="zh-CN"/>
        </w:rPr>
        <w:t>戴</w:t>
      </w:r>
      <w:r>
        <w:rPr>
          <w:rFonts w:hint="eastAsia" w:ascii="仿宋" w:hAnsi="仿宋" w:eastAsia="仿宋" w:cs="仿宋"/>
          <w:color w:val="auto"/>
          <w:sz w:val="24"/>
          <w:szCs w:val="24"/>
          <w:highlight w:val="none"/>
        </w:rPr>
        <w:t>安全帽、未穿反光衣、未设置安全警示标志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未配备相应防护设备</w:t>
      </w:r>
      <w:r>
        <w:rPr>
          <w:rFonts w:hint="eastAsia" w:ascii="仿宋" w:hAnsi="仿宋" w:eastAsia="仿宋" w:cs="仿宋"/>
          <w:color w:val="auto"/>
          <w:sz w:val="24"/>
          <w:szCs w:val="24"/>
          <w:highlight w:val="none"/>
        </w:rPr>
        <w:t>等）尚未造成严重后果的；（4）现场施工车辆套用其他维护项目的施工证；（5）未按报备时间进场施工</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按规定已向监理单位报备，监理单位未履行监督义务的，处监理单位违约金2千元并限期改正</w:t>
      </w:r>
      <w:r>
        <w:rPr>
          <w:rFonts w:hint="eastAsia" w:ascii="仿宋" w:hAnsi="仿宋" w:eastAsia="仿宋" w:cs="仿宋"/>
          <w:color w:val="auto"/>
          <w:sz w:val="24"/>
          <w:szCs w:val="24"/>
          <w:highlight w:val="none"/>
          <w:lang w:eastAsia="zh-CN"/>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不按照施工安全的规范施工导致人员</w:t>
      </w:r>
      <w:r>
        <w:rPr>
          <w:rFonts w:hint="eastAsia" w:ascii="仿宋" w:hAnsi="仿宋" w:eastAsia="仿宋" w:cs="仿宋"/>
          <w:color w:val="auto"/>
          <w:sz w:val="24"/>
          <w:szCs w:val="24"/>
          <w:highlight w:val="none"/>
          <w:lang w:val="en-US" w:eastAsia="zh-CN"/>
        </w:rPr>
        <w:t>伤亡</w:t>
      </w:r>
      <w:r>
        <w:rPr>
          <w:rFonts w:hint="eastAsia" w:ascii="仿宋" w:hAnsi="仿宋" w:eastAsia="仿宋" w:cs="仿宋"/>
          <w:color w:val="auto"/>
          <w:sz w:val="24"/>
          <w:szCs w:val="24"/>
          <w:highlight w:val="none"/>
        </w:rPr>
        <w:t>或重大财物损失的，</w:t>
      </w:r>
      <w:r>
        <w:rPr>
          <w:rFonts w:hint="eastAsia" w:ascii="仿宋" w:hAnsi="仿宋" w:eastAsia="仿宋" w:cs="仿宋"/>
          <w:color w:val="auto"/>
          <w:sz w:val="24"/>
          <w:szCs w:val="24"/>
          <w:highlight w:val="none"/>
          <w:lang w:eastAsia="zh-CN"/>
        </w:rPr>
        <w:t>维护单位</w:t>
      </w:r>
      <w:r>
        <w:rPr>
          <w:rFonts w:hint="eastAsia" w:ascii="仿宋" w:hAnsi="仿宋" w:eastAsia="仿宋" w:cs="仿宋"/>
          <w:color w:val="auto"/>
          <w:sz w:val="24"/>
          <w:szCs w:val="24"/>
          <w:highlight w:val="none"/>
        </w:rPr>
        <w:t>除承担相应的赔偿责任外，另处违约金10万元；</w:t>
      </w:r>
      <w:r>
        <w:rPr>
          <w:rFonts w:hint="eastAsia" w:ascii="仿宋" w:hAnsi="仿宋" w:eastAsia="仿宋" w:cs="仿宋"/>
          <w:color w:val="auto"/>
          <w:sz w:val="24"/>
          <w:szCs w:val="24"/>
          <w:highlight w:val="none"/>
          <w:lang w:eastAsia="zh-CN"/>
        </w:rPr>
        <w:t>监理单位</w:t>
      </w:r>
      <w:r>
        <w:rPr>
          <w:rFonts w:hint="eastAsia" w:ascii="仿宋" w:hAnsi="仿宋" w:eastAsia="仿宋" w:cs="仿宋"/>
          <w:color w:val="auto"/>
          <w:sz w:val="24"/>
          <w:szCs w:val="24"/>
          <w:highlight w:val="none"/>
        </w:rPr>
        <w:t>处违约金5万元；</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违约管理</w:t>
      </w:r>
      <w:r>
        <w:rPr>
          <w:rFonts w:hint="eastAsia" w:ascii="仿宋" w:hAnsi="仿宋" w:eastAsia="仿宋" w:cs="仿宋"/>
          <w:color w:val="auto"/>
          <w:sz w:val="24"/>
          <w:szCs w:val="24"/>
          <w:highlight w:val="none"/>
        </w:rPr>
        <w:t>办法由交警支队秩序设施大队负责解释</w:t>
      </w:r>
      <w:r>
        <w:rPr>
          <w:rFonts w:hint="eastAsia" w:ascii="仿宋" w:hAnsi="仿宋" w:eastAsia="仿宋" w:cs="仿宋"/>
          <w:color w:val="auto"/>
          <w:sz w:val="24"/>
          <w:szCs w:val="24"/>
          <w:highlight w:val="none"/>
          <w:lang w:eastAsia="zh-CN"/>
        </w:rPr>
        <w:t>。</w:t>
      </w:r>
    </w:p>
    <w:p>
      <w:pPr>
        <w:pageBreakBefore w:val="0"/>
        <w:numPr>
          <w:ilvl w:val="0"/>
          <w:numId w:val="5"/>
        </w:numPr>
        <w:kinsoku/>
        <w:wordWrap/>
        <w:overflowPunct/>
        <w:topLinePunct w:val="0"/>
        <w:bidi w:val="0"/>
        <w:snapToGrid/>
        <w:spacing w:line="560" w:lineRule="exact"/>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违约</w:t>
      </w:r>
      <w:r>
        <w:rPr>
          <w:rFonts w:hint="eastAsia" w:ascii="仿宋" w:hAnsi="仿宋" w:eastAsia="仿宋" w:cs="仿宋"/>
          <w:color w:val="auto"/>
          <w:sz w:val="24"/>
          <w:szCs w:val="24"/>
          <w:highlight w:val="none"/>
        </w:rPr>
        <w:t>通知书样式</w:t>
      </w:r>
      <w:r>
        <w:rPr>
          <w:rFonts w:hint="eastAsia" w:ascii="仿宋" w:hAnsi="仿宋" w:eastAsia="仿宋" w:cs="仿宋"/>
          <w:color w:val="auto"/>
          <w:sz w:val="24"/>
          <w:szCs w:val="24"/>
          <w:highlight w:val="none"/>
          <w:lang w:eastAsia="zh-CN"/>
        </w:rPr>
        <w:t>：</w:t>
      </w:r>
    </w:p>
    <w:p>
      <w:pPr>
        <w:spacing w:line="560" w:lineRule="exact"/>
        <w:ind w:firstLine="480"/>
        <w:rPr>
          <w:rFonts w:hint="eastAsia" w:ascii="仿宋_GB2312" w:hAnsi="仿宋_GB2312" w:eastAsia="仿宋_GB2312" w:cs="仿宋_GB2312"/>
          <w:b/>
          <w:bCs/>
          <w:color w:val="auto"/>
          <w:sz w:val="28"/>
          <w:szCs w:val="28"/>
          <w:highlight w:val="none"/>
        </w:rPr>
      </w:pPr>
    </w:p>
    <w:p>
      <w:pPr>
        <w:widowControl/>
        <w:spacing w:line="56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广州市公安局交警支队设施维护项目</w:t>
      </w: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违约通知书</w:t>
      </w:r>
    </w:p>
    <w:p>
      <w:pPr>
        <w:spacing w:line="560" w:lineRule="exact"/>
        <w:ind w:firstLine="560" w:firstLineChars="200"/>
        <w:jc w:val="center"/>
        <w:rPr>
          <w:rFonts w:hint="eastAsia" w:ascii="仿宋" w:hAnsi="仿宋" w:eastAsia="仿宋" w:cs="仿宋"/>
          <w:color w:val="auto"/>
          <w:sz w:val="28"/>
          <w:szCs w:val="28"/>
          <w:highlight w:val="none"/>
        </w:rPr>
      </w:pPr>
      <w:r>
        <w:rPr>
          <w:rFonts w:hint="eastAsia" w:ascii="仿宋_GB2312" w:hAnsi="仿宋_GB2312" w:eastAsia="仿宋_GB2312" w:cs="仿宋_GB2312"/>
          <w:color w:val="auto"/>
          <w:sz w:val="28"/>
          <w:szCs w:val="28"/>
          <w:highlight w:val="none"/>
        </w:rPr>
        <w:t>编号：YYMMDD001</w:t>
      </w:r>
    </w:p>
    <w:tbl>
      <w:tblPr>
        <w:tblStyle w:val="20"/>
        <w:tblW w:w="0" w:type="auto"/>
        <w:tblInd w:w="0" w:type="dxa"/>
        <w:tblLayout w:type="fixed"/>
        <w:tblCellMar>
          <w:top w:w="0" w:type="dxa"/>
          <w:left w:w="108" w:type="dxa"/>
          <w:bottom w:w="0" w:type="dxa"/>
          <w:right w:w="108" w:type="dxa"/>
        </w:tblCellMar>
      </w:tblPr>
      <w:tblGrid>
        <w:gridCol w:w="897"/>
        <w:gridCol w:w="1253"/>
        <w:gridCol w:w="717"/>
        <w:gridCol w:w="885"/>
        <w:gridCol w:w="1903"/>
        <w:gridCol w:w="792"/>
        <w:gridCol w:w="762"/>
        <w:gridCol w:w="1313"/>
      </w:tblGrid>
      <w:tr>
        <w:tblPrEx>
          <w:tblCellMar>
            <w:top w:w="0" w:type="dxa"/>
            <w:left w:w="108" w:type="dxa"/>
            <w:bottom w:w="0" w:type="dxa"/>
            <w:right w:w="108" w:type="dxa"/>
          </w:tblCellMar>
        </w:tblPrEx>
        <w:trPr>
          <w:trHeight w:val="511" w:hRule="atLeast"/>
        </w:trPr>
        <w:tc>
          <w:tcPr>
            <w:tcW w:w="2150" w:type="dxa"/>
            <w:gridSpan w:val="2"/>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违约单位</w:t>
            </w:r>
          </w:p>
        </w:tc>
        <w:tc>
          <w:tcPr>
            <w:tcW w:w="350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p>
        </w:tc>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处违约金额</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50" w:type="dxa"/>
            <w:gridSpan w:val="2"/>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原因描述</w:t>
            </w:r>
          </w:p>
        </w:tc>
        <w:tc>
          <w:tcPr>
            <w:tcW w:w="6372" w:type="dxa"/>
            <w:gridSpan w:val="6"/>
            <w:tcBorders>
              <w:top w:val="single" w:color="auto" w:sz="4" w:space="0"/>
            </w:tcBorders>
            <w:noWrap w:val="0"/>
            <w:vAlign w:val="top"/>
          </w:tcPr>
          <w:p>
            <w:pPr>
              <w:spacing w:line="320" w:lineRule="exact"/>
              <w:jc w:val="center"/>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50" w:type="dxa"/>
            <w:gridSpan w:val="2"/>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依据</w:t>
            </w:r>
          </w:p>
        </w:tc>
        <w:tc>
          <w:tcPr>
            <w:tcW w:w="6372" w:type="dxa"/>
            <w:gridSpan w:val="6"/>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s="仿宋"/>
                <w:color w:val="auto"/>
                <w:sz w:val="24"/>
                <w:szCs w:val="24"/>
                <w:highlight w:val="none"/>
                <w:lang w:eastAsia="zh-CN"/>
              </w:rPr>
              <w:t>广州市公安局交通警察支队</w:t>
            </w:r>
            <w:r>
              <w:rPr>
                <w:rFonts w:hint="eastAsia" w:ascii="仿宋" w:hAnsi="仿宋" w:eastAsia="仿宋" w:cs="仿宋"/>
                <w:color w:val="auto"/>
                <w:sz w:val="24"/>
                <w:szCs w:val="24"/>
                <w:highlight w:val="none"/>
                <w:lang w:eastAsia="zh"/>
              </w:rPr>
              <w:t>交通</w:t>
            </w:r>
            <w:r>
              <w:rPr>
                <w:rFonts w:hint="eastAsia" w:ascii="仿宋" w:hAnsi="仿宋" w:eastAsia="仿宋" w:cs="仿宋"/>
                <w:color w:val="auto"/>
                <w:sz w:val="24"/>
                <w:szCs w:val="24"/>
                <w:highlight w:val="none"/>
                <w:lang w:eastAsia="zh-CN"/>
              </w:rPr>
              <w:t>设施</w:t>
            </w:r>
            <w:r>
              <w:rPr>
                <w:rFonts w:hint="eastAsia" w:ascii="仿宋" w:hAnsi="仿宋" w:eastAsia="仿宋" w:cs="仿宋"/>
                <w:color w:val="auto"/>
                <w:sz w:val="24"/>
                <w:szCs w:val="24"/>
                <w:highlight w:val="none"/>
                <w:lang w:eastAsia="zh"/>
              </w:rPr>
              <w:t>及交通信号设施</w:t>
            </w:r>
            <w:r>
              <w:rPr>
                <w:rFonts w:hint="eastAsia" w:ascii="仿宋" w:hAnsi="仿宋" w:eastAsia="仿宋" w:cs="仿宋"/>
                <w:color w:val="auto"/>
                <w:sz w:val="24"/>
                <w:szCs w:val="24"/>
                <w:highlight w:val="none"/>
                <w:lang w:eastAsia="zh-CN"/>
              </w:rPr>
              <w:t>维护</w:t>
            </w:r>
            <w:r>
              <w:rPr>
                <w:rFonts w:hint="eastAsia" w:ascii="仿宋" w:hAnsi="仿宋" w:eastAsia="仿宋" w:cs="仿宋"/>
                <w:color w:val="auto"/>
                <w:sz w:val="24"/>
                <w:szCs w:val="24"/>
                <w:highlight w:val="none"/>
                <w:lang w:eastAsia="zh"/>
              </w:rPr>
              <w:t>项目</w:t>
            </w:r>
            <w:r>
              <w:rPr>
                <w:rFonts w:hint="eastAsia" w:ascii="仿宋" w:hAnsi="仿宋" w:eastAsia="仿宋" w:cs="仿宋"/>
                <w:color w:val="auto"/>
                <w:sz w:val="24"/>
                <w:szCs w:val="24"/>
                <w:highlight w:val="none"/>
                <w:lang w:eastAsia="zh-CN"/>
              </w:rPr>
              <w:t>管理办法</w:t>
            </w:r>
            <w:r>
              <w:rPr>
                <w:rFonts w:hint="eastAsia" w:ascii="仿宋" w:hAnsi="仿宋" w:eastAsia="仿宋"/>
                <w:color w:val="auto"/>
                <w:sz w:val="24"/>
                <w:szCs w:val="24"/>
                <w:highlight w:val="none"/>
              </w:rPr>
              <w:t>》第条第（）款的规定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150" w:type="dxa"/>
            <w:gridSpan w:val="2"/>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违约金出处</w:t>
            </w:r>
          </w:p>
        </w:tc>
        <w:tc>
          <w:tcPr>
            <w:tcW w:w="6372" w:type="dxa"/>
            <w:gridSpan w:val="6"/>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违约金将在项目结算财政评审后的尾款支付金额中扣除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897"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提出单位</w:t>
            </w:r>
          </w:p>
        </w:tc>
        <w:tc>
          <w:tcPr>
            <w:tcW w:w="1970" w:type="dxa"/>
            <w:gridSpan w:val="2"/>
            <w:noWrap w:val="0"/>
            <w:vAlign w:val="center"/>
          </w:tcPr>
          <w:p>
            <w:pPr>
              <w:spacing w:line="320" w:lineRule="exact"/>
              <w:jc w:val="center"/>
              <w:rPr>
                <w:rFonts w:hint="eastAsia" w:ascii="仿宋" w:hAnsi="仿宋" w:eastAsia="仿宋"/>
                <w:color w:val="auto"/>
                <w:sz w:val="24"/>
                <w:szCs w:val="24"/>
                <w:highlight w:val="none"/>
              </w:rPr>
            </w:pPr>
          </w:p>
          <w:p>
            <w:pPr>
              <w:spacing w:line="320" w:lineRule="exact"/>
              <w:jc w:val="center"/>
              <w:rPr>
                <w:rFonts w:hint="eastAsia" w:ascii="仿宋" w:hAnsi="仿宋" w:eastAsia="仿宋"/>
                <w:color w:val="auto"/>
                <w:sz w:val="24"/>
                <w:szCs w:val="24"/>
                <w:highlight w:val="none"/>
              </w:rPr>
            </w:pPr>
          </w:p>
          <w:p>
            <w:pPr>
              <w:spacing w:line="320" w:lineRule="exact"/>
              <w:jc w:val="center"/>
              <w:rPr>
                <w:rFonts w:hint="eastAsia" w:ascii="仿宋" w:hAnsi="仿宋" w:eastAsia="仿宋"/>
                <w:color w:val="auto"/>
                <w:sz w:val="24"/>
                <w:szCs w:val="24"/>
                <w:highlight w:val="none"/>
              </w:rPr>
            </w:pPr>
          </w:p>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年月日</w:t>
            </w:r>
          </w:p>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（单位公章）</w:t>
            </w:r>
          </w:p>
        </w:tc>
        <w:tc>
          <w:tcPr>
            <w:tcW w:w="885"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审核单位</w:t>
            </w:r>
          </w:p>
        </w:tc>
        <w:tc>
          <w:tcPr>
            <w:tcW w:w="1903" w:type="dxa"/>
            <w:noWrap w:val="0"/>
            <w:vAlign w:val="top"/>
          </w:tcPr>
          <w:p>
            <w:pPr>
              <w:spacing w:line="320" w:lineRule="exact"/>
              <w:jc w:val="center"/>
              <w:rPr>
                <w:rFonts w:hint="eastAsia" w:ascii="仿宋" w:hAnsi="仿宋" w:eastAsia="仿宋"/>
                <w:color w:val="auto"/>
                <w:sz w:val="24"/>
                <w:szCs w:val="24"/>
                <w:highlight w:val="none"/>
              </w:rPr>
            </w:pPr>
          </w:p>
          <w:p>
            <w:pPr>
              <w:spacing w:line="320" w:lineRule="exact"/>
              <w:jc w:val="center"/>
              <w:rPr>
                <w:rFonts w:hint="eastAsia" w:ascii="仿宋" w:hAnsi="仿宋" w:eastAsia="仿宋"/>
                <w:color w:val="auto"/>
                <w:sz w:val="24"/>
                <w:szCs w:val="24"/>
                <w:highlight w:val="none"/>
              </w:rPr>
            </w:pPr>
          </w:p>
          <w:p>
            <w:pPr>
              <w:rPr>
                <w:rFonts w:hint="eastAsia" w:ascii="仿宋" w:hAnsi="仿宋" w:eastAsia="仿宋"/>
                <w:color w:val="auto"/>
                <w:sz w:val="24"/>
                <w:szCs w:val="24"/>
                <w:highlight w:val="none"/>
              </w:rPr>
            </w:pPr>
          </w:p>
          <w:p>
            <w:pPr>
              <w:pStyle w:val="2"/>
              <w:tabs>
                <w:tab w:val="right" w:leader="dot" w:pos="9060"/>
              </w:tabs>
              <w:rPr>
                <w:rFonts w:hint="eastAsia"/>
                <w:color w:val="auto"/>
                <w:highlight w:val="none"/>
              </w:rPr>
            </w:pPr>
          </w:p>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年月日</w:t>
            </w:r>
          </w:p>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（单位公章）</w:t>
            </w:r>
          </w:p>
        </w:tc>
        <w:tc>
          <w:tcPr>
            <w:tcW w:w="792" w:type="dxa"/>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违约单位</w:t>
            </w:r>
          </w:p>
        </w:tc>
        <w:tc>
          <w:tcPr>
            <w:tcW w:w="2075" w:type="dxa"/>
            <w:gridSpan w:val="2"/>
            <w:noWrap w:val="0"/>
            <w:vAlign w:val="top"/>
          </w:tcPr>
          <w:p>
            <w:pPr>
              <w:spacing w:line="320" w:lineRule="exact"/>
              <w:jc w:val="center"/>
              <w:rPr>
                <w:rFonts w:hint="eastAsia" w:ascii="仿宋" w:hAnsi="仿宋" w:eastAsia="仿宋"/>
                <w:color w:val="auto"/>
                <w:sz w:val="24"/>
                <w:szCs w:val="24"/>
                <w:highlight w:val="none"/>
              </w:rPr>
            </w:pPr>
          </w:p>
          <w:p>
            <w:pPr>
              <w:spacing w:line="320" w:lineRule="exact"/>
              <w:jc w:val="center"/>
              <w:rPr>
                <w:rFonts w:hint="eastAsia" w:ascii="仿宋" w:hAnsi="仿宋" w:eastAsia="仿宋"/>
                <w:color w:val="auto"/>
                <w:sz w:val="24"/>
                <w:szCs w:val="24"/>
                <w:highlight w:val="none"/>
              </w:rPr>
            </w:pPr>
          </w:p>
          <w:p>
            <w:pPr>
              <w:spacing w:line="320" w:lineRule="exact"/>
              <w:jc w:val="center"/>
              <w:rPr>
                <w:rFonts w:hint="eastAsia" w:ascii="仿宋" w:hAnsi="仿宋" w:eastAsia="仿宋"/>
                <w:color w:val="auto"/>
                <w:sz w:val="24"/>
                <w:szCs w:val="24"/>
                <w:highlight w:val="none"/>
              </w:rPr>
            </w:pPr>
          </w:p>
          <w:p>
            <w:pPr>
              <w:spacing w:line="320" w:lineRule="exact"/>
              <w:jc w:val="center"/>
              <w:rPr>
                <w:rFonts w:hint="eastAsia" w:ascii="仿宋" w:hAnsi="仿宋" w:eastAsia="仿宋"/>
                <w:color w:val="auto"/>
                <w:sz w:val="24"/>
                <w:szCs w:val="24"/>
                <w:highlight w:val="none"/>
              </w:rPr>
            </w:pPr>
          </w:p>
          <w:p>
            <w:pPr>
              <w:spacing w:line="320" w:lineRule="exact"/>
              <w:jc w:val="center"/>
              <w:rPr>
                <w:rFonts w:hint="eastAsia" w:ascii="仿宋" w:hAnsi="仿宋" w:eastAsia="仿宋"/>
                <w:color w:val="auto"/>
                <w:sz w:val="24"/>
                <w:szCs w:val="24"/>
                <w:highlight w:val="none"/>
              </w:rPr>
            </w:pPr>
          </w:p>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年月日</w:t>
            </w:r>
          </w:p>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（单位公章）</w:t>
            </w:r>
          </w:p>
        </w:tc>
      </w:tr>
    </w:tbl>
    <w:p>
      <w:pPr>
        <w:spacing w:line="5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十三、其他事项</w:t>
      </w:r>
    </w:p>
    <w:p>
      <w:pPr>
        <w:spacing w:line="560" w:lineRule="exact"/>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.交警支队或启用交通设施业务的管理信息系统对交通设施维护工程进行管理工作，如有对上述管理办法的部分条款进行适应性的修改与完善的，按修改完善后的条款执行。</w:t>
      </w:r>
    </w:p>
    <w:p>
      <w:pPr>
        <w:spacing w:line="560" w:lineRule="exact"/>
        <w:ind w:firstLine="562" w:firstLineChars="200"/>
        <w:rPr>
          <w:rFonts w:hint="eastAsia" w:ascii="仿宋" w:hAnsi="仿宋" w:eastAsia="仿宋" w:cs="仿宋"/>
          <w:color w:val="auto"/>
          <w:sz w:val="28"/>
          <w:szCs w:val="28"/>
          <w:highlight w:val="none"/>
        </w:rPr>
      </w:pPr>
      <w:r>
        <w:rPr>
          <w:rFonts w:hint="eastAsia" w:ascii="楷体_GB2312" w:hAnsi="楷体_GB2312" w:eastAsia="楷体_GB2312" w:cs="楷体_GB2312"/>
          <w:b/>
          <w:bCs/>
          <w:color w:val="auto"/>
          <w:sz w:val="28"/>
          <w:szCs w:val="28"/>
          <w:highlight w:val="none"/>
        </w:rPr>
        <w:t>（二）交通设施维护工程各业务环节工作时限要求</w:t>
      </w:r>
      <w:bookmarkEnd w:id="170"/>
    </w:p>
    <w:tbl>
      <w:tblPr>
        <w:tblStyle w:val="20"/>
        <w:tblW w:w="0" w:type="auto"/>
        <w:jc w:val="center"/>
        <w:tblLayout w:type="fixed"/>
        <w:tblCellMar>
          <w:top w:w="0" w:type="dxa"/>
          <w:left w:w="108" w:type="dxa"/>
          <w:bottom w:w="0" w:type="dxa"/>
          <w:right w:w="108" w:type="dxa"/>
        </w:tblCellMar>
      </w:tblPr>
      <w:tblGrid>
        <w:gridCol w:w="791"/>
        <w:gridCol w:w="1283"/>
        <w:gridCol w:w="5059"/>
        <w:gridCol w:w="1791"/>
      </w:tblGrid>
      <w:tr>
        <w:tblPrEx>
          <w:tblCellMar>
            <w:top w:w="0" w:type="dxa"/>
            <w:left w:w="108" w:type="dxa"/>
            <w:bottom w:w="0" w:type="dxa"/>
            <w:right w:w="108" w:type="dxa"/>
          </w:tblCellMar>
        </w:tblPrEx>
        <w:trPr>
          <w:trHeight w:val="379"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序号</w:t>
            </w:r>
          </w:p>
        </w:tc>
        <w:tc>
          <w:tcPr>
            <w:tcW w:w="1283"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业务环节</w:t>
            </w:r>
          </w:p>
        </w:tc>
        <w:tc>
          <w:tcPr>
            <w:tcW w:w="505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时限要求</w:t>
            </w:r>
          </w:p>
        </w:tc>
        <w:tc>
          <w:tcPr>
            <w:tcW w:w="179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责任单位</w:t>
            </w:r>
          </w:p>
        </w:tc>
      </w:tr>
      <w:tr>
        <w:tblPrEx>
          <w:tblCellMar>
            <w:top w:w="0" w:type="dxa"/>
            <w:left w:w="108" w:type="dxa"/>
            <w:bottom w:w="0" w:type="dxa"/>
            <w:right w:w="108" w:type="dxa"/>
          </w:tblCellMar>
        </w:tblPrEx>
        <w:trPr>
          <w:trHeight w:val="413"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w:t>
            </w:r>
          </w:p>
        </w:tc>
        <w:tc>
          <w:tcPr>
            <w:tcW w:w="1283" w:type="dxa"/>
            <w:tcBorders>
              <w:top w:val="single" w:color="auto" w:sz="4" w:space="0"/>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工作联系单</w:t>
            </w:r>
          </w:p>
        </w:tc>
        <w:tc>
          <w:tcPr>
            <w:tcW w:w="5059" w:type="dxa"/>
            <w:tcBorders>
              <w:top w:val="single" w:color="auto" w:sz="4" w:space="0"/>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秩序设施大队人员填写好工作联系单后，当天交监理及</w:t>
            </w:r>
            <w:r>
              <w:rPr>
                <w:rFonts w:hint="eastAsia" w:ascii="仿宋" w:hAnsi="仿宋" w:eastAsia="仿宋"/>
                <w:color w:val="auto"/>
                <w:sz w:val="24"/>
                <w:szCs w:val="24"/>
                <w:highlight w:val="none"/>
                <w:lang w:eastAsia="zh-CN"/>
              </w:rPr>
              <w:t>中标人</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中标人</w:t>
            </w:r>
            <w:r>
              <w:rPr>
                <w:rFonts w:hint="eastAsia" w:ascii="仿宋" w:hAnsi="仿宋" w:eastAsia="仿宋"/>
                <w:color w:val="auto"/>
                <w:sz w:val="24"/>
                <w:szCs w:val="24"/>
                <w:highlight w:val="none"/>
              </w:rPr>
              <w:t>在收到工作联系单后应立即安排现场勘查。</w:t>
            </w:r>
          </w:p>
        </w:tc>
        <w:tc>
          <w:tcPr>
            <w:tcW w:w="1791" w:type="dxa"/>
            <w:tcBorders>
              <w:top w:val="single" w:color="auto" w:sz="4" w:space="0"/>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秩序设施大队</w:t>
            </w:r>
          </w:p>
        </w:tc>
      </w:tr>
      <w:tr>
        <w:tblPrEx>
          <w:tblCellMar>
            <w:top w:w="0" w:type="dxa"/>
            <w:left w:w="108" w:type="dxa"/>
            <w:bottom w:w="0" w:type="dxa"/>
            <w:right w:w="108" w:type="dxa"/>
          </w:tblCellMar>
        </w:tblPrEx>
        <w:trPr>
          <w:trHeight w:val="2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现场勘查</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接到工作联系单1个工作日内，联合至现场进行点位勘查。</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设计、监理、</w:t>
            </w:r>
            <w:r>
              <w:rPr>
                <w:rFonts w:hint="eastAsia" w:ascii="仿宋" w:hAnsi="仿宋" w:eastAsia="仿宋"/>
                <w:color w:val="auto"/>
                <w:sz w:val="24"/>
                <w:szCs w:val="24"/>
                <w:highlight w:val="none"/>
                <w:lang w:eastAsia="zh-CN"/>
              </w:rPr>
              <w:t>中标人</w:t>
            </w:r>
          </w:p>
        </w:tc>
      </w:tr>
      <w:tr>
        <w:tblPrEx>
          <w:tblCellMar>
            <w:top w:w="0" w:type="dxa"/>
            <w:left w:w="108" w:type="dxa"/>
            <w:bottom w:w="0" w:type="dxa"/>
            <w:right w:w="108" w:type="dxa"/>
          </w:tblCellMar>
        </w:tblPrEx>
        <w:trPr>
          <w:trHeight w:val="28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1.3</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施工图设计</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根据现场勘查及实际工作需要，2个工作日内制作施工设计图。</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设计、</w:t>
            </w:r>
            <w:r>
              <w:rPr>
                <w:rFonts w:hint="eastAsia" w:ascii="仿宋" w:hAnsi="仿宋" w:eastAsia="仿宋"/>
                <w:color w:val="auto"/>
                <w:sz w:val="24"/>
                <w:szCs w:val="24"/>
                <w:highlight w:val="none"/>
                <w:lang w:eastAsia="zh-CN"/>
              </w:rPr>
              <w:t>中标人</w:t>
            </w:r>
          </w:p>
        </w:tc>
      </w:tr>
      <w:tr>
        <w:tblPrEx>
          <w:tblCellMar>
            <w:top w:w="0" w:type="dxa"/>
            <w:left w:w="108" w:type="dxa"/>
            <w:bottom w:w="0" w:type="dxa"/>
            <w:right w:w="108" w:type="dxa"/>
          </w:tblCellMar>
        </w:tblPrEx>
        <w:trPr>
          <w:trHeight w:val="277"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1.4</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工程预算</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接到工作联系单5个工作日内提交，审核过程退回的，应在3天内完成修改。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监理、</w:t>
            </w:r>
            <w:r>
              <w:rPr>
                <w:rFonts w:hint="eastAsia" w:ascii="仿宋" w:hAnsi="仿宋" w:eastAsia="仿宋"/>
                <w:color w:val="auto"/>
                <w:sz w:val="24"/>
                <w:szCs w:val="24"/>
                <w:highlight w:val="none"/>
                <w:lang w:eastAsia="zh-CN"/>
              </w:rPr>
              <w:t>中标人</w:t>
            </w:r>
          </w:p>
        </w:tc>
      </w:tr>
      <w:tr>
        <w:tblPrEx>
          <w:tblCellMar>
            <w:top w:w="0" w:type="dxa"/>
            <w:left w:w="108" w:type="dxa"/>
            <w:bottom w:w="0" w:type="dxa"/>
            <w:right w:w="108" w:type="dxa"/>
          </w:tblCellMar>
        </w:tblPrEx>
        <w:trPr>
          <w:trHeight w:val="321"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1.5</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工程委托</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接到</w:t>
            </w:r>
            <w:r>
              <w:rPr>
                <w:rFonts w:hint="eastAsia" w:ascii="仿宋" w:hAnsi="仿宋" w:eastAsia="仿宋"/>
                <w:color w:val="auto"/>
                <w:sz w:val="24"/>
                <w:szCs w:val="24"/>
                <w:highlight w:val="none"/>
                <w:lang w:eastAsia="zh-CN"/>
              </w:rPr>
              <w:t>中标人</w:t>
            </w:r>
            <w:r>
              <w:rPr>
                <w:rFonts w:hint="eastAsia" w:ascii="仿宋" w:hAnsi="仿宋" w:eastAsia="仿宋"/>
                <w:color w:val="auto"/>
                <w:sz w:val="24"/>
                <w:szCs w:val="24"/>
                <w:highlight w:val="none"/>
              </w:rPr>
              <w:t>预算5个工作日内下达。</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秩序设施大队</w:t>
            </w:r>
          </w:p>
        </w:tc>
      </w:tr>
      <w:tr>
        <w:tblPrEx>
          <w:tblCellMar>
            <w:top w:w="0" w:type="dxa"/>
            <w:left w:w="108" w:type="dxa"/>
            <w:bottom w:w="0" w:type="dxa"/>
            <w:right w:w="108" w:type="dxa"/>
          </w:tblCellMar>
        </w:tblPrEx>
        <w:trPr>
          <w:trHeight w:val="3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1.6</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工程施工</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按工程委托单的时间要求完成，无法按期完成的，应在到期前</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天书面报监理单位和秩序设施大队。</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中标人</w:t>
            </w:r>
          </w:p>
        </w:tc>
      </w:tr>
      <w:tr>
        <w:tblPrEx>
          <w:tblCellMar>
            <w:top w:w="0" w:type="dxa"/>
            <w:left w:w="108" w:type="dxa"/>
            <w:bottom w:w="0" w:type="dxa"/>
            <w:right w:w="108" w:type="dxa"/>
          </w:tblCellMar>
        </w:tblPrEx>
        <w:trPr>
          <w:trHeight w:val="416"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工程结算</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施工完成后6个工作日内提交给监理单位，审核过程退回的，应在3天内完成修改。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施工、监理单位</w:t>
            </w:r>
          </w:p>
        </w:tc>
      </w:tr>
      <w:tr>
        <w:tblPrEx>
          <w:tblCellMar>
            <w:top w:w="0" w:type="dxa"/>
            <w:left w:w="108" w:type="dxa"/>
            <w:bottom w:w="0" w:type="dxa"/>
            <w:right w:w="108" w:type="dxa"/>
          </w:tblCellMar>
        </w:tblPrEx>
        <w:trPr>
          <w:trHeight w:val="280"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1.8</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监理验收</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联合设计单位在收到</w:t>
            </w:r>
            <w:r>
              <w:rPr>
                <w:rFonts w:hint="eastAsia" w:ascii="仿宋" w:hAnsi="仿宋" w:eastAsia="仿宋"/>
                <w:color w:val="auto"/>
                <w:sz w:val="24"/>
                <w:szCs w:val="24"/>
                <w:highlight w:val="none"/>
                <w:lang w:eastAsia="zh-CN"/>
              </w:rPr>
              <w:t>中标人</w:t>
            </w:r>
            <w:r>
              <w:rPr>
                <w:rFonts w:hint="eastAsia" w:ascii="仿宋" w:hAnsi="仿宋" w:eastAsia="仿宋"/>
                <w:color w:val="auto"/>
                <w:sz w:val="24"/>
                <w:szCs w:val="24"/>
                <w:highlight w:val="none"/>
              </w:rPr>
              <w:t>提交的工程结算表后3个工作日内完成验收。</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监理、设计单位</w:t>
            </w:r>
          </w:p>
        </w:tc>
      </w:tr>
      <w:tr>
        <w:tblPrEx>
          <w:tblCellMar>
            <w:top w:w="0" w:type="dxa"/>
            <w:left w:w="108" w:type="dxa"/>
            <w:bottom w:w="0" w:type="dxa"/>
            <w:right w:w="108" w:type="dxa"/>
          </w:tblCellMar>
        </w:tblPrEx>
        <w:trPr>
          <w:trHeight w:val="42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支队验收</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收到监理单位提交的任务结算表后5个工作日内完成验收。审核过程退回的，应在3天内完成修改。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秩序设施大队</w:t>
            </w:r>
          </w:p>
        </w:tc>
      </w:tr>
      <w:tr>
        <w:tblPrEx>
          <w:tblCellMar>
            <w:top w:w="0" w:type="dxa"/>
            <w:left w:w="108" w:type="dxa"/>
            <w:bottom w:w="0" w:type="dxa"/>
            <w:right w:w="108" w:type="dxa"/>
          </w:tblCellMar>
        </w:tblPrEx>
        <w:trPr>
          <w:trHeight w:val="276"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日常巡查</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应在每天下午3时前将前一天的巡查登记表填报好报秩序设施大队。</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中标人</w:t>
            </w:r>
          </w:p>
        </w:tc>
      </w:tr>
      <w:tr>
        <w:tblPrEx>
          <w:tblCellMar>
            <w:top w:w="0" w:type="dxa"/>
            <w:left w:w="108" w:type="dxa"/>
            <w:bottom w:w="0" w:type="dxa"/>
            <w:right w:w="108" w:type="dxa"/>
          </w:tblCellMar>
        </w:tblPrEx>
        <w:trPr>
          <w:trHeight w:val="2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巡查办理</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应在3个工作日内完成巡查登记表内容的处理。</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秩序设施大队</w:t>
            </w:r>
          </w:p>
        </w:tc>
      </w:tr>
      <w:tr>
        <w:tblPrEx>
          <w:tblCellMar>
            <w:top w:w="0" w:type="dxa"/>
            <w:left w:w="108" w:type="dxa"/>
            <w:bottom w:w="0" w:type="dxa"/>
            <w:right w:w="108" w:type="dxa"/>
          </w:tblCellMar>
        </w:tblPrEx>
        <w:trPr>
          <w:trHeight w:val="411"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报障抢修</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应在接到抢修指令（包括网上报障和电话报障）后24小时内完成抢修，紧急的按报障要求时间完成抢修，无法完成的应在当天向报障人报告。</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中标人</w:t>
            </w:r>
          </w:p>
        </w:tc>
      </w:tr>
      <w:tr>
        <w:tblPrEx>
          <w:tblCellMar>
            <w:top w:w="0" w:type="dxa"/>
            <w:left w:w="108" w:type="dxa"/>
            <w:bottom w:w="0" w:type="dxa"/>
            <w:right w:w="108" w:type="dxa"/>
          </w:tblCellMar>
        </w:tblPrEx>
        <w:trPr>
          <w:trHeight w:val="417"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3.2</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抢修结算</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应在抢修完成后3个工作日内提交抢修结算给监理单位，审核过程退回的，应在3天内完成修改。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中标人</w:t>
            </w:r>
          </w:p>
        </w:tc>
      </w:tr>
      <w:tr>
        <w:tblPrEx>
          <w:tblCellMar>
            <w:top w:w="0" w:type="dxa"/>
            <w:left w:w="108" w:type="dxa"/>
            <w:bottom w:w="0" w:type="dxa"/>
            <w:right w:w="108" w:type="dxa"/>
          </w:tblCellMar>
        </w:tblPrEx>
        <w:trPr>
          <w:trHeight w:val="408"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抢修验收</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收到</w:t>
            </w:r>
            <w:r>
              <w:rPr>
                <w:rFonts w:hint="eastAsia" w:ascii="仿宋" w:hAnsi="仿宋" w:eastAsia="仿宋"/>
                <w:color w:val="auto"/>
                <w:sz w:val="24"/>
                <w:szCs w:val="24"/>
                <w:highlight w:val="none"/>
                <w:lang w:eastAsia="zh-CN"/>
              </w:rPr>
              <w:t>中标人</w:t>
            </w:r>
            <w:r>
              <w:rPr>
                <w:rFonts w:hint="eastAsia" w:ascii="仿宋" w:hAnsi="仿宋" w:eastAsia="仿宋"/>
                <w:color w:val="auto"/>
                <w:sz w:val="24"/>
                <w:szCs w:val="24"/>
                <w:highlight w:val="none"/>
              </w:rPr>
              <w:t>提交的抢修结算表后，应在每月的2日、12日、22日前完成其前10天的抢修验收。</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监理单位</w:t>
            </w:r>
          </w:p>
        </w:tc>
      </w:tr>
      <w:tr>
        <w:tblPrEx>
          <w:tblCellMar>
            <w:top w:w="0" w:type="dxa"/>
            <w:left w:w="108" w:type="dxa"/>
            <w:bottom w:w="0" w:type="dxa"/>
            <w:right w:w="108" w:type="dxa"/>
          </w:tblCellMar>
        </w:tblPrEx>
        <w:trPr>
          <w:trHeight w:val="428"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3.4</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抢修月结</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应在每月5日前完成上一月份抢修月度结算表报秩序设施大队。审核过程退回的，应在3天内完成修改。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监理单位</w:t>
            </w:r>
          </w:p>
        </w:tc>
      </w:tr>
      <w:tr>
        <w:tblPrEx>
          <w:tblCellMar>
            <w:top w:w="0" w:type="dxa"/>
            <w:left w:w="108" w:type="dxa"/>
            <w:bottom w:w="0" w:type="dxa"/>
            <w:right w:w="108" w:type="dxa"/>
          </w:tblCellMar>
        </w:tblPrEx>
        <w:trPr>
          <w:trHeight w:val="2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3.5</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抢修审核</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应在每月15日前完成上一月份抢修月度结算表的审核工作。</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秩序设施大队</w:t>
            </w:r>
          </w:p>
        </w:tc>
      </w:tr>
      <w:tr>
        <w:tblPrEx>
          <w:tblCellMar>
            <w:top w:w="0" w:type="dxa"/>
            <w:left w:w="108" w:type="dxa"/>
            <w:bottom w:w="0" w:type="dxa"/>
            <w:right w:w="108" w:type="dxa"/>
          </w:tblCellMar>
        </w:tblPrEx>
        <w:trPr>
          <w:trHeight w:val="282"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任务月结</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应在每月25日前完成上一月份的月度结算表。</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中标人</w:t>
            </w:r>
            <w:r>
              <w:rPr>
                <w:rFonts w:hint="eastAsia" w:ascii="仿宋" w:hAnsi="仿宋" w:eastAsia="仿宋"/>
                <w:color w:val="auto"/>
                <w:sz w:val="24"/>
                <w:szCs w:val="24"/>
                <w:highlight w:val="none"/>
              </w:rPr>
              <w:t>、监理单位</w:t>
            </w:r>
          </w:p>
        </w:tc>
      </w:tr>
    </w:tbl>
    <w:p>
      <w:pPr>
        <w:spacing w:line="320" w:lineRule="exact"/>
        <w:jc w:val="center"/>
        <w:rPr>
          <w:rFonts w:hint="eastAsia" w:ascii="仿宋" w:hAnsi="仿宋" w:eastAsia="仿宋"/>
          <w:color w:val="auto"/>
          <w:sz w:val="24"/>
          <w:szCs w:val="24"/>
          <w:highlight w:val="none"/>
        </w:rPr>
      </w:pPr>
    </w:p>
    <w:p>
      <w:pPr>
        <w:spacing w:line="560" w:lineRule="exact"/>
        <w:ind w:firstLine="482" w:firstLineChars="200"/>
        <w:rPr>
          <w:rFonts w:hint="eastAsia" w:ascii="仿宋_GB2312" w:hAnsi="仿宋_GB2312" w:eastAsia="仿宋_GB2312" w:cs="仿宋_GB2312"/>
          <w:b/>
          <w:bCs/>
          <w:color w:val="auto"/>
          <w:sz w:val="24"/>
          <w:szCs w:val="24"/>
          <w:highlight w:val="none"/>
        </w:rPr>
      </w:pPr>
      <w:bookmarkStart w:id="171" w:name="_Toc530992531"/>
      <w:bookmarkStart w:id="172" w:name="_Toc387326589"/>
      <w:r>
        <w:rPr>
          <w:rFonts w:hint="eastAsia" w:ascii="仿宋_GB2312" w:hAnsi="仿宋_GB2312" w:eastAsia="仿宋_GB2312" w:cs="仿宋_GB2312"/>
          <w:b/>
          <w:bCs/>
          <w:color w:val="auto"/>
          <w:sz w:val="24"/>
          <w:szCs w:val="24"/>
          <w:highlight w:val="none"/>
        </w:rPr>
        <w:t>（三）工程的质量标准</w:t>
      </w:r>
      <w:bookmarkEnd w:id="171"/>
      <w:bookmarkEnd w:id="172"/>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1、本招标项目的招标质量要求为合格或以上。</w:t>
      </w:r>
    </w:p>
    <w:p>
      <w:pPr>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2、质量标准的评定以国家或行业的质量检验评定标准以及建设单位制定的相关技术规范为依据。这些标准包括但不限于以下列出的内容，如有新的标准颁布，则按新的标准执行。</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1.工程委托书</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2.其它专业提供的设计资料</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3.《中华人民共和国道路交通安全法》</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 GBJ124-88 道路工程术语标准</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 GN47-89 道路标线漆（常温型）标准</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 GN48-89 道路标线涂料（热塑型）标准</w:t>
      </w:r>
    </w:p>
    <w:p>
      <w:pPr>
        <w:spacing w:line="360" w:lineRule="auto"/>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7. GB5768</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-2009 道路交通标志和标线</w:t>
      </w:r>
      <w:r>
        <w:rPr>
          <w:rFonts w:hint="eastAsia" w:ascii="仿宋_GB2312" w:hAnsi="仿宋_GB2312" w:eastAsia="仿宋_GB2312" w:cs="仿宋_GB2312"/>
          <w:color w:val="auto"/>
          <w:sz w:val="24"/>
          <w:szCs w:val="24"/>
          <w:highlight w:val="none"/>
          <w:lang w:eastAsia="zh-CN"/>
        </w:rPr>
        <w:t>第</w:t>
      </w:r>
      <w:r>
        <w:rPr>
          <w:rFonts w:hint="eastAsia" w:ascii="仿宋_GB2312" w:hAnsi="仿宋_GB2312" w:eastAsia="仿宋_GB2312" w:cs="仿宋_GB2312"/>
          <w:color w:val="auto"/>
          <w:sz w:val="24"/>
          <w:szCs w:val="24"/>
          <w:highlight w:val="none"/>
          <w:lang w:val="en-US" w:eastAsia="zh-CN"/>
        </w:rPr>
        <w:t>3部分 道路交通标线</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 GB50092-1996 沥青路面施工及验收规范</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 GBJ97-87 水泥混凝土路面施工及验收规范</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10．GB/T51328 城市综合交通体系规划标准</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11．CJJ/T 15-2011 城市道路公共交通站、场、厂设计规范</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12．GJJ1-2008 城镇道路工程施工与质量验收规范</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13．GB/T3880.1 一般工业用铝及铝合金板、带材 第1部分</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14．GB/T3880.2 一般工业用铝及铝合金板、带材 第2部分</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15．GB/T3191 铝及铝合金挤压棒材</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16．GB/T 6892 一般工业用铝及铝合金挤压型材</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17．GB/T 1727 涂膜一般制备方法</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18．GB/T 8416 视觉信号表面色</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19．GB/T 9278 涂料试样状态调节和试验的温湿度</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20．GB/T 9750 涂料产品包装标志</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21．GB/T 708 冷轧钢板和钢带的尺寸、外形、重量及允许偏差</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22．GB/T 2518 连续热镀锌和锌合金镀层钢板及钢带</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23．GB2893 安全色</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24．GB/T3880.3 一般工业用铝及铝合金板、带材 第3部分</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25．GB/T 3199 铝及铝合金加工产品包装、标志、运输、储存</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26．GB/T16311-2024 道路交通标线质量要求和检测方法</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27．GB/T 3978 标准照明体和几何条件</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28．GB/T24722-2020 路面标线用玻璃珠</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29．GB/T 5237 铝合金建筑型材</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30．GB/T 7707 凹板装潢印刷品</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31．JTJ B01 公路工程技术标准</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32．JTJ002 公路工程名词术语</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33．JTG D40公路水泥混凝土路面设计规范</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34．JTG F40公路沥青路面施工技术规范</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35．JTG/T 3610公路路基施工技术规范</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36．JTG/T F20 公路路面基层施工技术细则</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37．JTG 2182公路工程质量检验评定标准</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38．JTG/T 3671 公路交通安全设施施工技术规范</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39．广州市道路交通管理设施设计技术指引（2013）</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40. 广州市道路交通指路标志系统设计技术指引（2013）</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 中英双语标志通名译写规范(广州市地名委员会)</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 GB51038-2015 城市道路交通标志和标线设置规范</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 GB/T18833  道路交通反光膜</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 GB5768.4-2017 道路交通标志和标线第4部分：作业区</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45. GB5768.2-2022 道路交通标志和标线第2部分：道路交通标志</w:t>
      </w:r>
    </w:p>
    <w:p>
      <w:pPr>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46. GB5768.7-2018 道路交通标志和标线第7部分：非机动车和行人</w:t>
      </w:r>
    </w:p>
    <w:p>
      <w:pPr>
        <w:ind w:firstLine="560" w:firstLineChars="200"/>
        <w:rPr>
          <w:rFonts w:hint="eastAsia" w:ascii="仿宋" w:hAnsi="仿宋" w:eastAsia="仿宋" w:cs="仿宋"/>
          <w:color w:val="auto"/>
          <w:sz w:val="28"/>
          <w:szCs w:val="28"/>
          <w:highlight w:val="none"/>
        </w:rPr>
      </w:pPr>
      <w:r>
        <w:rPr>
          <w:rFonts w:hint="eastAsia" w:ascii="黑体" w:hAnsi="黑体" w:eastAsia="黑体" w:cs="黑体"/>
          <w:bCs/>
          <w:color w:val="auto"/>
          <w:sz w:val="28"/>
          <w:szCs w:val="28"/>
          <w:highlight w:val="none"/>
        </w:rPr>
        <w:t>八、各标段维护道路列表</w:t>
      </w:r>
    </w:p>
    <w:p>
      <w:pPr>
        <w:pStyle w:val="2"/>
        <w:tabs>
          <w:tab w:val="right" w:leader="dot" w:pos="9060"/>
        </w:tabs>
        <w:spacing w:before="0" w:after="0" w:line="240" w:lineRule="auto"/>
        <w:ind w:left="0" w:firstLine="562"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（一）标段1（越秀区）维护道路列表</w:t>
      </w:r>
    </w:p>
    <w:tbl>
      <w:tblPr>
        <w:tblStyle w:val="20"/>
        <w:tblpPr w:leftFromText="180" w:rightFromText="180" w:vertAnchor="text" w:horzAnchor="page" w:tblpX="1886" w:tblpY="694"/>
        <w:tblOverlap w:val="never"/>
        <w:tblW w:w="0" w:type="auto"/>
        <w:tblInd w:w="0" w:type="dxa"/>
        <w:tblLayout w:type="fixed"/>
        <w:tblCellMar>
          <w:top w:w="0" w:type="dxa"/>
          <w:left w:w="0" w:type="dxa"/>
          <w:bottom w:w="0" w:type="dxa"/>
          <w:right w:w="0" w:type="dxa"/>
        </w:tblCellMar>
      </w:tblPr>
      <w:tblGrid>
        <w:gridCol w:w="711"/>
        <w:gridCol w:w="1578"/>
        <w:gridCol w:w="1872"/>
        <w:gridCol w:w="1600"/>
        <w:gridCol w:w="1167"/>
        <w:gridCol w:w="1283"/>
      </w:tblGrid>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序号</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道路名称</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起点地址</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止点地址</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w:t>
            </w:r>
            <w:r>
              <w:rPr>
                <w:rFonts w:hint="eastAsia" w:ascii="仿宋_GB2312" w:hAnsi="仿宋_GB2312" w:eastAsia="仿宋_GB2312" w:cs="仿宋_GB2312"/>
                <w:b/>
                <w:color w:val="auto"/>
                <w:kern w:val="0"/>
                <w:sz w:val="22"/>
                <w:highlight w:val="none"/>
                <w:lang w:bidi="ar"/>
              </w:rPr>
              <w:br w:type="textWrapping"/>
            </w:r>
            <w:r>
              <w:rPr>
                <w:rFonts w:hint="eastAsia" w:ascii="仿宋_GB2312" w:hAnsi="仿宋_GB2312" w:eastAsia="仿宋_GB2312" w:cs="仿宋_GB2312"/>
                <w:b/>
                <w:color w:val="auto"/>
                <w:kern w:val="0"/>
                <w:sz w:val="22"/>
                <w:highlight w:val="none"/>
                <w:lang w:bidi="ar"/>
              </w:rPr>
              <w:t>长度(m)</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道路等级</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恒福路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永福路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横枝岗</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1965.00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人民北路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西华路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环市西路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2262.00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东湖路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大沙头路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东华东路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1145.00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东华南路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西大沙头二马路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东华东路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1230.00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东华北路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东华东路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署前路口</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761.00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白云路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东堤桥脚</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新河浦</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920.00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建设二马路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建设横马路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建设中路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430.00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先烈中路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区庄立交桥</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先烈中路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1700.00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先烈南路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东风东路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区庄立交桥</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808.60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中山一路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中山一立交</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中山二路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2111.24</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中山二路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中山一路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中山三路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876.05</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12</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中山三路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中山二路接</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中山四路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830.53</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13</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中山四路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中山三路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中山五路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1032.44</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14</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中山五路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中山四路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中山六路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662.62</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15</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中山六路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中山五路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中山七路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764.47</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16</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永福路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永福酒家</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广园路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858.00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17</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梅东路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中山一路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环市东路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785.00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18</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东川路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新河浦桥面</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648.00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19</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农林下路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环市东路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1630.00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20</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广九大马路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白云路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东濠涌桥头</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180.00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21</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大通路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二沙西桥</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广州大桥</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1794.00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22</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玉宇街</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大通路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晴波路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166.00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23</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灵洲街</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晴澜路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大通路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270.00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24</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寺右新马路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达道路中段</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1309.00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25</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童心路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环市中路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下塘西胜街</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232.00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26</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下塘西路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西胜街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坡顶</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1341.00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27</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麓景西路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下塘西路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麓景路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164.00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28</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万福路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越秀南路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北京路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870.00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29</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文明路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越秀南路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北京路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965.00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30</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文德路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万福路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中山四路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670.00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31</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东沙角路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沿江中路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越秀南路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310.00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32</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越秀南路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广九大马路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文明路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678.00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33</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越秀中路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文明路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475.00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34</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府前路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吉祥路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解放北路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347.00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35</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教育路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惠福东路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中山五路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522.00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36</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侨光路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沿江中路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泰康路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386.00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37</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南堤二马路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北京路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沿江中路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216.00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38</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流花路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站前横路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解放北路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841.00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39</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站南路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站西路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站前路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746.00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40</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盘福路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百灵路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解放北路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766.00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41</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越秀北路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小北路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711.00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42</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仓边路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中山四路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东风中路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577.00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43</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越华路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仓边路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吉祥路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633.00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44</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小北路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东风中路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环市中路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1106.00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45</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靖海路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长堤大马路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一德路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204.00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46</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广仁路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广卫路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越华路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194.00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47</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吉祥路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中山五路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应元路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1025.00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48</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泰康路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北京路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广州起义路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454.00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49</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侨光西路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沿江西路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一德路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355.00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50</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连新路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公园路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应元路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974.00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51</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大德路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广州起义路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人民中路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1194.00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52</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海珠广场路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侨光路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侨光西路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315.00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53</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一德路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广州起义路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人民南路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1186.00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54</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长堤大马路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靖海路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沿江西路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892.00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55</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广卫路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北京路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吉祥路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356.00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56</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西湖路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北京路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广州起义路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483.00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57</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大南路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北京路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广州起义路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505.00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58</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康王北路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西华路口</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东风西路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169.00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59</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水荫南路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水荫路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广州大道中</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265.00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60</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北京路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沿江中路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广卫路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789.00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61</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大沙头三马路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沿江东路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白云路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510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62</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东湖西路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大沙头三马路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东湖路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290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63</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大沙头路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东铁桥二马路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东湖路辅路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855</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64</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达道路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美华北路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中山一路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1160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65</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惠福东路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广州起义路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教育路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511</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66</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建设六马路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东风东路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环市东路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644</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67</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陵园西路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中山三路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东风东路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850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68</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文德南路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沿江中路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万福路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505</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69</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东风路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中山一立交</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康王路</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8783.38</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70</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花城大道</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广州大桥</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1000.00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71</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环市路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天河立交</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广园西</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10337.00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72</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解放路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桂花岗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沿江路</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4521.80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73</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沿江路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大通路</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4851.52</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74</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广园路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园林科学研究院</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濂泉路</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4683.00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75</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东濠涌高架</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麓湖路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江湾大桥</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7526.79</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76</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广州大桥</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广州大道中</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河域中线</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665.00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77</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海印桥</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海珠广场</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河域中线</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565.50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78</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解放桥</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解放南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河域中线</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597.50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79</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江湾桥</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东华南路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河域中线</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752.50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kern w:val="0"/>
                <w:sz w:val="22"/>
                <w:highlight w:val="none"/>
                <w:lang w:val="en-US" w:eastAsia="zh-CN" w:bidi="ar"/>
              </w:rPr>
            </w:pPr>
            <w:r>
              <w:rPr>
                <w:rFonts w:hint="eastAsia" w:ascii="仿宋_GB2312" w:hAnsi="仿宋_GB2312" w:eastAsia="仿宋_GB2312" w:cs="仿宋_GB2312"/>
                <w:color w:val="auto"/>
                <w:kern w:val="0"/>
                <w:sz w:val="22"/>
                <w:highlight w:val="none"/>
                <w:lang w:val="en-US" w:eastAsia="zh-CN" w:bidi="ar"/>
              </w:rPr>
              <w:t>80</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广州起义路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海珠广场</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中山五路</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kern w:val="0"/>
                <w:sz w:val="22"/>
                <w:highlight w:val="none"/>
                <w:lang w:val="en-US" w:eastAsia="zh-CN" w:bidi="ar"/>
              </w:rPr>
            </w:pPr>
            <w:r>
              <w:rPr>
                <w:rFonts w:hint="eastAsia" w:ascii="仿宋_GB2312" w:hAnsi="仿宋_GB2312" w:eastAsia="仿宋_GB2312" w:cs="仿宋_GB2312"/>
                <w:color w:val="auto"/>
                <w:kern w:val="0"/>
                <w:sz w:val="22"/>
                <w:highlight w:val="none"/>
                <w:lang w:val="en-US" w:eastAsia="zh-CN" w:bidi="ar"/>
              </w:rPr>
              <w:t>1144</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主干路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kern w:val="0"/>
                <w:sz w:val="22"/>
                <w:highlight w:val="none"/>
                <w:lang w:val="en-US" w:eastAsia="zh-CN" w:bidi="ar"/>
              </w:rPr>
            </w:pPr>
            <w:r>
              <w:rPr>
                <w:rFonts w:hint="eastAsia" w:ascii="仿宋_GB2312" w:hAnsi="仿宋_GB2312" w:eastAsia="仿宋_GB2312" w:cs="仿宋_GB2312"/>
                <w:color w:val="auto"/>
                <w:kern w:val="0"/>
                <w:sz w:val="22"/>
                <w:highlight w:val="none"/>
                <w:lang w:val="en-US" w:eastAsia="zh-CN" w:bidi="ar"/>
              </w:rPr>
              <w:t>81</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烟雨路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大通路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玉宇街</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kern w:val="0"/>
                <w:sz w:val="22"/>
                <w:highlight w:val="none"/>
                <w:lang w:val="en-US" w:eastAsia="zh-CN" w:bidi="ar"/>
              </w:rPr>
            </w:pPr>
            <w:r>
              <w:rPr>
                <w:rFonts w:hint="eastAsia" w:ascii="仿宋_GB2312" w:hAnsi="仿宋_GB2312" w:eastAsia="仿宋_GB2312" w:cs="仿宋_GB2312"/>
                <w:color w:val="auto"/>
                <w:kern w:val="0"/>
                <w:sz w:val="22"/>
                <w:highlight w:val="none"/>
                <w:lang w:val="en-US" w:eastAsia="zh-CN" w:bidi="ar"/>
              </w:rPr>
              <w:t>1028</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kern w:val="0"/>
                <w:sz w:val="22"/>
                <w:highlight w:val="none"/>
                <w:lang w:val="en-US" w:eastAsia="zh-CN" w:bidi="ar"/>
              </w:rPr>
            </w:pPr>
            <w:r>
              <w:rPr>
                <w:rFonts w:hint="eastAsia" w:ascii="仿宋_GB2312" w:hAnsi="仿宋_GB2312" w:eastAsia="仿宋_GB2312" w:cs="仿宋_GB2312"/>
                <w:color w:val="auto"/>
                <w:kern w:val="0"/>
                <w:sz w:val="22"/>
                <w:highlight w:val="none"/>
                <w:lang w:val="en-US" w:eastAsia="zh-CN" w:bidi="ar"/>
              </w:rPr>
              <w:t>82</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较场西路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东华西路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中山三路</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kern w:val="0"/>
                <w:sz w:val="22"/>
                <w:highlight w:val="none"/>
                <w:lang w:val="en-US" w:eastAsia="zh-CN" w:bidi="ar"/>
              </w:rPr>
            </w:pPr>
            <w:r>
              <w:rPr>
                <w:rFonts w:hint="eastAsia" w:ascii="仿宋_GB2312" w:hAnsi="仿宋_GB2312" w:eastAsia="仿宋_GB2312" w:cs="仿宋_GB2312"/>
                <w:color w:val="auto"/>
                <w:kern w:val="0"/>
                <w:sz w:val="22"/>
                <w:highlight w:val="none"/>
                <w:lang w:val="en-US" w:eastAsia="zh-CN" w:bidi="ar"/>
              </w:rPr>
              <w:t>553</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次干路</w:t>
            </w:r>
          </w:p>
        </w:tc>
      </w:tr>
      <w:tr>
        <w:tblPrEx>
          <w:tblCellMar>
            <w:top w:w="0" w:type="dxa"/>
            <w:left w:w="0" w:type="dxa"/>
            <w:bottom w:w="0" w:type="dxa"/>
            <w:right w:w="0"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kern w:val="0"/>
                <w:sz w:val="22"/>
                <w:highlight w:val="none"/>
                <w:lang w:val="en-US" w:eastAsia="zh-CN" w:bidi="ar"/>
              </w:rPr>
            </w:pPr>
            <w:r>
              <w:rPr>
                <w:rFonts w:hint="eastAsia" w:ascii="仿宋_GB2312" w:hAnsi="仿宋_GB2312" w:eastAsia="仿宋_GB2312" w:cs="仿宋_GB2312"/>
                <w:color w:val="auto"/>
                <w:kern w:val="0"/>
                <w:sz w:val="22"/>
                <w:highlight w:val="none"/>
                <w:lang w:val="en-US" w:eastAsia="zh-CN" w:bidi="ar"/>
              </w:rPr>
              <w:t>83</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麓湖路</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环市东路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横枝岗路</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kern w:val="0"/>
                <w:sz w:val="22"/>
                <w:highlight w:val="none"/>
                <w:lang w:val="en-US" w:eastAsia="zh-CN" w:bidi="ar"/>
              </w:rPr>
            </w:pPr>
            <w:r>
              <w:rPr>
                <w:rFonts w:hint="eastAsia" w:ascii="仿宋_GB2312" w:hAnsi="仿宋_GB2312" w:eastAsia="仿宋_GB2312" w:cs="仿宋_GB2312"/>
                <w:color w:val="auto"/>
                <w:kern w:val="0"/>
                <w:sz w:val="22"/>
                <w:highlight w:val="none"/>
                <w:lang w:val="en-US" w:eastAsia="zh-CN" w:bidi="ar"/>
              </w:rPr>
              <w:t>710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次干路</w:t>
            </w:r>
          </w:p>
        </w:tc>
      </w:tr>
    </w:tbl>
    <w:p>
      <w:pPr>
        <w:pStyle w:val="2"/>
        <w:tabs>
          <w:tab w:val="right" w:leader="dot" w:pos="9060"/>
        </w:tabs>
        <w:ind w:left="0"/>
        <w:jc w:val="both"/>
        <w:rPr>
          <w:rFonts w:hint="eastAsia"/>
          <w:color w:val="auto"/>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）标段</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（天河区）维护道路列表</w:t>
      </w:r>
    </w:p>
    <w:tbl>
      <w:tblPr>
        <w:tblStyle w:val="20"/>
        <w:tblW w:w="0" w:type="auto"/>
        <w:tblInd w:w="0" w:type="dxa"/>
        <w:tblLayout w:type="fixed"/>
        <w:tblCellMar>
          <w:top w:w="0" w:type="dxa"/>
          <w:left w:w="0" w:type="dxa"/>
          <w:bottom w:w="0" w:type="dxa"/>
          <w:right w:w="0" w:type="dxa"/>
        </w:tblCellMar>
      </w:tblPr>
      <w:tblGrid>
        <w:gridCol w:w="813"/>
        <w:gridCol w:w="1633"/>
        <w:gridCol w:w="1817"/>
        <w:gridCol w:w="1567"/>
        <w:gridCol w:w="1183"/>
        <w:gridCol w:w="1283"/>
      </w:tblGrid>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序号</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道路名称</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道路起点</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道路终点</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道路长度(m)</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道路等级</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中山大道</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科韵路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莲溪桥</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5700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花城大道</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员村南街</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4203</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金穗路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马场路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3050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华夏路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临江大道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1377</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冼村路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临江大道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1470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车陂路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大观南路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2923</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禺东西路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兴华路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1235</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燕岭路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广汕公路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禺东西路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2830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天源路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广汕一路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燕岭路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3703.96</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珠吉路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中山大道中</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科林路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3732.71</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奥体路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大观中路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广园快速路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2800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奥体南路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大观路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黄村大道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1300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汇彩路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1651.66</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华南快速东侧路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长兴路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广园立交桥</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1400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林和西路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天河北路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林和西路隧道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林和东路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天河北路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鹏安路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1133</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林和中路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天河北路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林和中路隧道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1200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林和西横路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广州大道北</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林和西路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960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五山路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汇景北路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3800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翰景路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五山路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华景北路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1670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天润路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天寿路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龙口东路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950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天府路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1158</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棠安路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科韵中路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棠德西路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417</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华穗路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临江大道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1626</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平江路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花城大道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临江大道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580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海风路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花城大道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临江大道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621</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海清路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花城大道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临江大道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1292</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体育东路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天河北路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1700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体育西路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天河北路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1500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天河南一路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体育东路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体育西路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天河南二路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天河东路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体育东路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620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五山路南段</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3550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粤垦路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燕岭路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东莞庄路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1413</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兴华路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燕岭路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735</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科韵中路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琶洲大桥北端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广园快速路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3116</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大观路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中华永久陵园</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6522</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马场路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临江大道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1600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棠德西路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复大医院</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813公交站</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307</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科韵路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汇彩路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4700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梅东北延长线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濂泉路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先烈东横路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540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潭村路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花城大道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898</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兴国路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金穗路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兴民路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643</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沙太南路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兴华路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河水村口</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1900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黄村大道</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奥体南路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广园快速路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465</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先烈东路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沙河桥</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1050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科韵北路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广园快速路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华观路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3414</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华观路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科韵路</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科学大道</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3400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车陂南路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临江东延长线</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562.71</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汇彩北路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中山大道中</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黄村立交</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沙汕路</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天源路</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元岗横路</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1345</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51</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中山一立交</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七直路</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10999.99</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52</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花城大道</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怡新路</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9231.57</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53</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天河路</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天河立交</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暨南大学校门</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2728.00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54</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中山大道</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暨南大学西北门</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莲溪桥</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9245.74</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55</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临江大道</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科韵南路</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6006.00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56</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广园路</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濂泉路</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禺东西路</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997.00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57</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琶洲大桥系统</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科韵黄埔大道隧道</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河域中线</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1550.00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58</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猎德大桥</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猎德大道</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河域中线</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325.00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59</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猎德大道</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猎德大桥</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1479.00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60</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天河东路</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黄埔大道</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天河北路</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2081.10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61</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天寿路</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天河北路</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广园快速</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767.00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62</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金穗路隧道</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东进口</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西进口</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476.00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63</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马场路隧道</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东进口</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西进口</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431.00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64</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长兴路</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天源路</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岳洲路</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1741.60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65</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广园快速（天河段）</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禺东西路</w:t>
            </w:r>
          </w:p>
        </w:tc>
        <w:tc>
          <w:tcPr>
            <w:tcW w:w="1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珠吉路</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12000</w:t>
            </w:r>
          </w:p>
        </w:tc>
        <w:tc>
          <w:tcPr>
            <w:tcW w:w="1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bl>
    <w:p>
      <w:pPr>
        <w:pStyle w:val="2"/>
        <w:tabs>
          <w:tab w:val="right" w:leader="dot" w:pos="9060"/>
        </w:tabs>
        <w:ind w:left="0" w:firstLine="562" w:firstLineChars="200"/>
        <w:jc w:val="both"/>
        <w:rPr>
          <w:rFonts w:hint="eastAsia"/>
          <w:color w:val="auto"/>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）标段</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（海珠区）维护道路列表</w:t>
      </w:r>
    </w:p>
    <w:tbl>
      <w:tblPr>
        <w:tblStyle w:val="20"/>
        <w:tblW w:w="0" w:type="auto"/>
        <w:tblInd w:w="0" w:type="dxa"/>
        <w:tblLayout w:type="fixed"/>
        <w:tblCellMar>
          <w:top w:w="0" w:type="dxa"/>
          <w:left w:w="0" w:type="dxa"/>
          <w:bottom w:w="0" w:type="dxa"/>
          <w:right w:w="0" w:type="dxa"/>
        </w:tblCellMar>
      </w:tblPr>
      <w:tblGrid>
        <w:gridCol w:w="791"/>
        <w:gridCol w:w="1633"/>
        <w:gridCol w:w="1817"/>
        <w:gridCol w:w="1600"/>
        <w:gridCol w:w="1166"/>
        <w:gridCol w:w="1284"/>
      </w:tblGrid>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序号</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道路名称</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起点</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终点</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道路长度(m)</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道路等级</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洪德路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滨江西路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工业大道北</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408.00</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工业大道北</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洲头咀隧道</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昌岗西路</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1999.24</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工业大道中</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昌岗西路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新滘西路</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1895.23</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工业大道南</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新滘西路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江南大道南</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1701.97</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南洲路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江南大道南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小洲南路</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8046.00</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江南大道北</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海珠桥</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同福东路</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654.60</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江南大道中</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同福东路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昌岗东路</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1895.23</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江南大道南</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昌岗东路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江泰路</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1701.97</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江南大道南</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新滘西路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南洲路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1319.00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昌岗东路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东晓南路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江南大道中</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846.39</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昌岗中路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江南大道中</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工业大道北</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1540.82</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南田路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江南大道中</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工业大道北</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1782.00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江湾路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滨江中路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江南大道中</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1041.00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前进路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江南大道中</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东晓路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1134.00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东晓路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滨江中路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新港西路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1299.00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东晓南路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昌岗东路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南洲路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3572.00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新港东路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新洲东直街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磨碟沙路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8019.68</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新港西路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客村立交</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东晓南路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3351.66</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新港中路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磨碟沙路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客村立交</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2282.32</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科韵南路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琶洲大桥</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南沙港快速</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3414.50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新滘东路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科韵南路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华快桥底</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3655.30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新滘中路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华南快速干线桥底</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广州大道桥底</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3273.45</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新滘西路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广州大道桥底</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工业大道中</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3655.30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瑞康路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新港西路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新滘西路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1460.00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海洲路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西二号路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阅江西路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508.00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江海大道</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新港中路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聚德中路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1994.00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会展东路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阅江中路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新港东路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614.00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会展西路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阅江中路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新港东路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565.00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琶洲大道</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磨碟沙路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会展西路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2190.55</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琶洲大道东</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会展东路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科韵南路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381.69</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凤浦中路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会展南五路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会展南一路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1975.00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磨碟沙路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阅江西路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新港东路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宝岗大道</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滨江西路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南泰路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3213.63</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燕翔路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南泰路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江燕路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717.73</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逸景路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瑞康路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2200.00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南洲北路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广州大道南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东晓南路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1805.00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沥滘路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沥滘副四约大街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瑞宝路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2300.00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江燕路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工业大道南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江南大道南</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1605.00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江南西路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江南大道中</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宝岗大道中</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819.00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下渡路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滨江东路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新港西路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1105.00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上渡路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滨江东路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珠江岸边</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517.00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革新路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沙渡路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工业大道北</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1900.00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金沙路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工业大道北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环岛路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757.62</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同庆路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滨江西路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同福东路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455.00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sz w:val="22"/>
                <w:highlight w:val="none"/>
                <w:lang w:eastAsia="zh-CN"/>
              </w:rPr>
              <w:t>滨江路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eastAsia="zh-CN" w:bidi="ar"/>
              </w:rPr>
              <w:t>环岛路口</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eastAsia="zh-CN" w:bidi="ar"/>
              </w:rPr>
              <w:t>科韵路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val="en-US" w:eastAsia="zh-CN" w:bidi="ar"/>
              </w:rPr>
              <w:t>9518</w:t>
            </w:r>
            <w:r>
              <w:rPr>
                <w:rFonts w:hint="eastAsia" w:ascii="仿宋_GB2312" w:hAnsi="仿宋_GB2312" w:eastAsia="仿宋_GB2312" w:cs="仿宋_GB2312"/>
                <w:color w:val="auto"/>
                <w:kern w:val="0"/>
                <w:sz w:val="22"/>
                <w:highlight w:val="none"/>
                <w:lang w:bidi="ar"/>
              </w:rPr>
              <w:t>.00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艺景路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广州大道南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新市头路口</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689.00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南泰路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江南大道南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东晓南路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962.00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南泰路</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宝岗大道</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江燕路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540.00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49</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南泰路</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工业大道中</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宝岗大道</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715.00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南泰路</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南边路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工业大道中</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598.00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南泰路</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南石路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南边路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390.00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小洲路</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小洲东路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大学城便桥</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1600.00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小洲东路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小洲绿道</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华快旁边路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1145.00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小洲南路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小洲东路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南洲路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1100.00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碧映路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江海大道</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赤岗西路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975.00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侨港路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东晓南路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江南大道南</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463.00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翠竹路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大江冲</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滨江东路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286.00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江晓路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江南大道南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东晓南路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546.00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金菊路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大江冲</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广州大道南</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299.00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宸悦路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昭悦路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无名</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956.00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昭悦路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阅江路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新港东路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851.00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琶洲村新马路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科韵路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保利发展广场</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458.00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凤景西路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东晓南路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晓鸿大街</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412.00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赤岗北路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新港中路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帝景苑</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715.00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赤岗路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新港中路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聚德西路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1200.00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会展南一路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新港东路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凤浦中路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145.00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会展南四路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新港东路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凤浦中路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310.00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榕景路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革新路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工业大道</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658.00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水榕路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金沙路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沙渡路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800.00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南燕路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南洲北路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盈丰路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280.00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玉菡路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滨江东路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蕙兰路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286.00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叠景路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鹭江西街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广州大道南</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1096.00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土华路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华快旁边路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华州路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1470.00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宝业路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宝岗大道</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工业大道北</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880.00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童悦路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南洲路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南天大道</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1400.00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蕙兰路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广州大道南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红梅路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169.00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翠宝路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工业大道中</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宝岗大道</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680.00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盈丰路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南燕路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东晓南路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1264.00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江南东路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穗南大厦</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江南大道中</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338.00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仲恺路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江湾路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东晓路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954.00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仲恺路</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东晓路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怡海路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600.00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艺苑路</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新港中路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艺洲路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725.00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83</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友邻一路</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艺洲路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艺景路</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325.00</w:t>
            </w:r>
          </w:p>
        </w:tc>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友邻三路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艺洲路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艺景路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234.00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聚德西路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新滘东路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聚德北路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765.00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聚德南路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聚德西路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聚德南路155号</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320.00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聚德中路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聚德西路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江海大道</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629.00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聚德路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聚德北路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龙景南街</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780.00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敦丰路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广州大道南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广州大道南</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780.00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新南路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南边路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工业大道</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468.00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广州大道</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广州大桥</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南洲路</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6483.43</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广州大桥</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广州大道南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河域中线</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665.00</w:t>
            </w:r>
          </w:p>
        </w:tc>
        <w:tc>
          <w:tcPr>
            <w:tcW w:w="1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海印桥</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东晓路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河域中线</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565.50</w:t>
            </w:r>
          </w:p>
        </w:tc>
        <w:tc>
          <w:tcPr>
            <w:tcW w:w="1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94</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海珠桥</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南华东路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河域中线</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226.50</w:t>
            </w:r>
          </w:p>
        </w:tc>
        <w:tc>
          <w:tcPr>
            <w:tcW w:w="1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人民桥</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工业大道北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河域中线</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351.00</w:t>
            </w:r>
          </w:p>
        </w:tc>
        <w:tc>
          <w:tcPr>
            <w:tcW w:w="1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96</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解放桥</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同庆路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河域中线</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597.50</w:t>
            </w:r>
          </w:p>
        </w:tc>
        <w:tc>
          <w:tcPr>
            <w:tcW w:w="1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97</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江湾桥</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江湾路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河域中线</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752.50</w:t>
            </w:r>
          </w:p>
        </w:tc>
        <w:tc>
          <w:tcPr>
            <w:tcW w:w="1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鹤洞大桥</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昌岗路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河域中线</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1184.00</w:t>
            </w:r>
          </w:p>
        </w:tc>
        <w:tc>
          <w:tcPr>
            <w:tcW w:w="1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99</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琶洲大桥系统</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科韵南路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河域中线</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1550.00</w:t>
            </w:r>
          </w:p>
        </w:tc>
        <w:tc>
          <w:tcPr>
            <w:tcW w:w="1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highlight w:val="none"/>
                <w:lang w:eastAsia="zh-CN"/>
              </w:rPr>
              <w:t>环岛路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highlight w:val="none"/>
                <w:lang w:eastAsia="zh-CN"/>
              </w:rPr>
              <w:t>滨江路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highlight w:val="none"/>
                <w:lang w:eastAsia="zh-CN"/>
              </w:rPr>
              <w:t>鹤洞桥</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highlight w:val="none"/>
                <w:lang w:val="en-US" w:eastAsia="zh-CN"/>
              </w:rPr>
              <w:t>6998.00</w:t>
            </w:r>
          </w:p>
        </w:tc>
        <w:tc>
          <w:tcPr>
            <w:tcW w:w="1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双塔路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琶洲大道</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赤岗北路</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637.70</w:t>
            </w:r>
          </w:p>
        </w:tc>
        <w:tc>
          <w:tcPr>
            <w:tcW w:w="1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磨碟沙路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新港中路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阅江西路</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703.80</w:t>
            </w:r>
          </w:p>
        </w:tc>
        <w:tc>
          <w:tcPr>
            <w:tcW w:w="1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猎德大桥</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江</w:t>
            </w:r>
            <w:r>
              <w:rPr>
                <w:rFonts w:hint="eastAsia" w:ascii="仿宋_GB2312" w:hAnsi="仿宋_GB2312" w:eastAsia="仿宋_GB2312" w:cs="仿宋_GB2312"/>
                <w:color w:val="auto"/>
                <w:kern w:val="0"/>
                <w:sz w:val="22"/>
                <w:highlight w:val="none"/>
                <w:lang w:eastAsia="zh-CN" w:bidi="ar"/>
              </w:rPr>
              <w:t>海</w:t>
            </w:r>
            <w:r>
              <w:rPr>
                <w:rFonts w:hint="eastAsia" w:ascii="仿宋_GB2312" w:hAnsi="仿宋_GB2312" w:eastAsia="仿宋_GB2312" w:cs="仿宋_GB2312"/>
                <w:color w:val="auto"/>
                <w:kern w:val="0"/>
                <w:sz w:val="22"/>
                <w:highlight w:val="none"/>
                <w:lang w:bidi="ar"/>
              </w:rPr>
              <w:t>大道</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河域中线</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325.00</w:t>
            </w:r>
          </w:p>
        </w:tc>
        <w:tc>
          <w:tcPr>
            <w:tcW w:w="1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104</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双塔路隧道</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双塔路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新港中路</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475.00</w:t>
            </w:r>
          </w:p>
        </w:tc>
        <w:tc>
          <w:tcPr>
            <w:tcW w:w="1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警安路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江海路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滨江中路</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kern w:val="0"/>
                <w:sz w:val="22"/>
                <w:highlight w:val="none"/>
                <w:lang w:bidi="ar"/>
              </w:rPr>
              <w:t>345.00</w:t>
            </w:r>
          </w:p>
        </w:tc>
        <w:tc>
          <w:tcPr>
            <w:tcW w:w="1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highlight w:val="none"/>
                <w:lang w:bidi="ar"/>
              </w:rPr>
              <w:t>次干道</w:t>
            </w:r>
          </w:p>
        </w:tc>
      </w:tr>
    </w:tbl>
    <w:p>
      <w:pPr>
        <w:pStyle w:val="2"/>
        <w:tabs>
          <w:tab w:val="right" w:leader="dot" w:pos="9060"/>
        </w:tabs>
        <w:ind w:left="0" w:firstLine="482" w:firstLineChars="200"/>
        <w:jc w:val="both"/>
        <w:rPr>
          <w:rFonts w:hint="eastAsia"/>
          <w:color w:val="auto"/>
          <w:highlight w:val="none"/>
        </w:rPr>
      </w:pPr>
      <w:r>
        <w:rPr>
          <w:rFonts w:hint="eastAsia"/>
          <w:color w:val="auto"/>
          <w:highlight w:val="none"/>
        </w:rPr>
        <w:br w:type="page"/>
      </w:r>
      <w:r>
        <w:rPr>
          <w:rFonts w:hint="eastAsia" w:ascii="仿宋_GB2312" w:hAnsi="仿宋_GB2312" w:eastAsia="仿宋_GB2312" w:cs="仿宋_GB2312"/>
          <w:color w:val="auto"/>
          <w:sz w:val="28"/>
          <w:szCs w:val="28"/>
          <w:highlight w:val="none"/>
        </w:rPr>
        <w:t>（四）标段4（白云区）维护道路列表</w:t>
      </w:r>
    </w:p>
    <w:tbl>
      <w:tblPr>
        <w:tblStyle w:val="20"/>
        <w:tblW w:w="0" w:type="auto"/>
        <w:jc w:val="center"/>
        <w:tblLayout w:type="fixed"/>
        <w:tblCellMar>
          <w:top w:w="0" w:type="dxa"/>
          <w:left w:w="0" w:type="dxa"/>
          <w:bottom w:w="0" w:type="dxa"/>
          <w:right w:w="0" w:type="dxa"/>
        </w:tblCellMar>
      </w:tblPr>
      <w:tblGrid>
        <w:gridCol w:w="884"/>
        <w:gridCol w:w="1633"/>
        <w:gridCol w:w="1800"/>
        <w:gridCol w:w="1600"/>
        <w:gridCol w:w="1167"/>
        <w:gridCol w:w="1283"/>
      </w:tblGrid>
      <w:tr>
        <w:tblPrEx>
          <w:tblCellMar>
            <w:top w:w="0" w:type="dxa"/>
            <w:left w:w="0" w:type="dxa"/>
            <w:bottom w:w="0" w:type="dxa"/>
            <w:right w:w="0" w:type="dxa"/>
          </w:tblCellMar>
        </w:tblPrEx>
        <w:trPr>
          <w:trHeight w:val="32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b/>
                <w:bCs/>
                <w:color w:val="auto"/>
                <w:sz w:val="22"/>
                <w:highlight w:val="none"/>
              </w:rPr>
            </w:pPr>
            <w:r>
              <w:rPr>
                <w:rFonts w:hint="eastAsia" w:ascii="仿宋_GB2312" w:hAnsi="仿宋_GB2312" w:eastAsia="仿宋_GB2312" w:cs="仿宋_GB2312"/>
                <w:b/>
                <w:bCs/>
                <w:color w:val="auto"/>
                <w:sz w:val="22"/>
                <w:highlight w:val="none"/>
              </w:rPr>
              <w:t>序号</w:t>
            </w:r>
          </w:p>
        </w:tc>
        <w:tc>
          <w:tcPr>
            <w:tcW w:w="16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b/>
                <w:bCs/>
                <w:color w:val="auto"/>
                <w:sz w:val="22"/>
                <w:highlight w:val="none"/>
              </w:rPr>
            </w:pPr>
            <w:r>
              <w:rPr>
                <w:rFonts w:hint="eastAsia" w:ascii="仿宋_GB2312" w:hAnsi="仿宋_GB2312" w:eastAsia="仿宋_GB2312" w:cs="仿宋_GB2312"/>
                <w:b/>
                <w:bCs/>
                <w:color w:val="auto"/>
                <w:sz w:val="22"/>
                <w:highlight w:val="none"/>
              </w:rPr>
              <w:t>道路名称</w:t>
            </w:r>
          </w:p>
        </w:tc>
        <w:tc>
          <w:tcPr>
            <w:tcW w:w="1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b/>
                <w:bCs/>
                <w:color w:val="auto"/>
                <w:sz w:val="22"/>
                <w:highlight w:val="none"/>
              </w:rPr>
            </w:pPr>
            <w:r>
              <w:rPr>
                <w:rFonts w:hint="eastAsia" w:ascii="仿宋_GB2312" w:hAnsi="仿宋_GB2312" w:eastAsia="仿宋_GB2312" w:cs="仿宋_GB2312"/>
                <w:b/>
                <w:bCs/>
                <w:color w:val="auto"/>
                <w:sz w:val="22"/>
                <w:highlight w:val="none"/>
              </w:rPr>
              <w:t>道路起点</w:t>
            </w:r>
          </w:p>
        </w:tc>
        <w:tc>
          <w:tcPr>
            <w:tcW w:w="1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b/>
                <w:bCs/>
                <w:color w:val="auto"/>
                <w:sz w:val="22"/>
                <w:highlight w:val="none"/>
              </w:rPr>
            </w:pPr>
            <w:r>
              <w:rPr>
                <w:rFonts w:hint="eastAsia" w:ascii="仿宋_GB2312" w:hAnsi="仿宋_GB2312" w:eastAsia="仿宋_GB2312" w:cs="仿宋_GB2312"/>
                <w:b/>
                <w:bCs/>
                <w:color w:val="auto"/>
                <w:sz w:val="22"/>
                <w:highlight w:val="none"/>
              </w:rPr>
              <w:t>道路终点</w:t>
            </w:r>
          </w:p>
        </w:tc>
        <w:tc>
          <w:tcPr>
            <w:tcW w:w="11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b/>
                <w:bCs/>
                <w:color w:val="auto"/>
                <w:sz w:val="22"/>
                <w:highlight w:val="none"/>
              </w:rPr>
            </w:pPr>
            <w:r>
              <w:rPr>
                <w:rFonts w:hint="eastAsia" w:ascii="仿宋_GB2312" w:hAnsi="仿宋_GB2312" w:eastAsia="仿宋_GB2312" w:cs="仿宋_GB2312"/>
                <w:b/>
                <w:bCs/>
                <w:color w:val="auto"/>
                <w:sz w:val="22"/>
                <w:highlight w:val="none"/>
              </w:rPr>
              <w:t>道路长度(m)</w:t>
            </w:r>
          </w:p>
        </w:tc>
        <w:tc>
          <w:tcPr>
            <w:tcW w:w="12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b/>
                <w:bCs/>
                <w:color w:val="auto"/>
                <w:sz w:val="22"/>
                <w:highlight w:val="none"/>
              </w:rPr>
            </w:pPr>
            <w:r>
              <w:rPr>
                <w:rFonts w:hint="eastAsia" w:ascii="仿宋_GB2312" w:hAnsi="仿宋_GB2312" w:eastAsia="仿宋_GB2312" w:cs="仿宋_GB2312"/>
                <w:b/>
                <w:bCs/>
                <w:color w:val="auto"/>
                <w:sz w:val="22"/>
                <w:highlight w:val="none"/>
              </w:rPr>
              <w:t>道路等级</w:t>
            </w:r>
          </w:p>
        </w:tc>
      </w:tr>
      <w:tr>
        <w:tblPrEx>
          <w:tblCellMar>
            <w:top w:w="0" w:type="dxa"/>
            <w:left w:w="0" w:type="dxa"/>
            <w:bottom w:w="0" w:type="dxa"/>
            <w:right w:w="0" w:type="dxa"/>
          </w:tblCellMar>
        </w:tblPrEx>
        <w:trPr>
          <w:trHeight w:val="32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p>
        </w:tc>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p>
        </w:tc>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p>
        </w:tc>
        <w:tc>
          <w:tcPr>
            <w:tcW w:w="12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齐心路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云霄街</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云城东路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750.00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金园路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云城东路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白云大道</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505.00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云城东路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机场路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黄石东路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4341.21</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云城西路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机场路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黄石东路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4153.00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云城南一路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云城东路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云城西路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410.00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6</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云城南二路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云城东路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云城西路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440.00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云城南四路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云城东路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云城西路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362.00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8</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云城中一路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云城西路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白云大道</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928.00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9</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云城北二路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云城东路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云城西路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440.00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10</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云城北一路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云城东路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云城西路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426.00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11</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齐富路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白云大道南</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机场路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2083.87</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12</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云霄路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齐心路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机场路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755.00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13</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云港路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云霄路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5号停机坪</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452.00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14</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心谊路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乐嘉路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远景路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530.00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15</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三元里大道</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解放北路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机场路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4649.00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16</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棠安路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三元里大道</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新市新街</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1094.00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17</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汇侨南路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机场路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汇侨路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373.00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18</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汇侨路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汇侨南路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黄沙岗村大街</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330.00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19</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汇侨中路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汇侨路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紫薇花园</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229</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20</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西槎路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增槎路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西湾路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4376</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21</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金碧南路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石槎路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金碧西路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376</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22</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黄石西路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大冈街</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机场路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2276</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23</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黄石东路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白云大道</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机场路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2622</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24</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下塘西路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越秀区5号界碑</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广园中路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1341</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25</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沙凤一路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彩滨南路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环洲三路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1872.49</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26</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创佳路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创辉路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沙凤三路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27</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创辉路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环洲五路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钟村大街</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911</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28</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沙凤三路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广佛交界处</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环洲五路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754</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29</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环洲一路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金沙洲路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沙凤一路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1210.26</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30</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环洲二路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彩滨中路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建设大道</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542</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31</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环洲三路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彩滨中路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建设大道</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1721.79</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32</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环洲四路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富力金街西侧</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金沙洲路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2200.00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33</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环洲五路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沙凤凤岗南前街</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谷诒路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2500.00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34</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藤业一路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彩滨南路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环洲四路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1294.00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35</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金沙洲路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金沙洲大桥</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浔峰山西路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1156.00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36</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礼传三街</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环洲四路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环洲三路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240.48</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37</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善贤路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谷诒路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环洲五路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761.00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38</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谷诒路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浔峰山东路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黄丽街</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763.00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39</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德康路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石槎路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三元里大道</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1121.00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40</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同康路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西槎路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增槎路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1251.00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41</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鹤龙东路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105国道</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106国道</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1600.00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42</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金信路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云城东路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白云大道南</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581.00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43</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飞鹅西路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机场路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飞鹅路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395.00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44</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政民路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北起下塘西</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飞鹅路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400.00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45</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京溪路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沙太中路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广州大道北</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900.00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46</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彭上德兴路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尖彭路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华英路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984.00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47</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怡新路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广州大道北</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沙太中路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1200.00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48</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启德路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疾病中心南侧</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彭上德兴路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1100.00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49</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黄边北路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黄边中街</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白云大道北</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3000.00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50</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黄石北路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广云路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白云大道北</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780.00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51</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广云路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黄石东路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望岗路口</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2300.00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52</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乐嘉路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三元里大道</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机场路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763</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53</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沙太北路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中成路口</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金盘岭隧道</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3600.00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54</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沙凤一路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环洲五路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彩滨南路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1565.57</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55</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彩滨中路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彩滨南路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彩滨北路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1332.13</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56</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彩滨北路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彩滨中路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恒大御景半岛</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1600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57</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彩滨南路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广佛交界处</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彩滨中路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984.02</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58</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庆槎路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西槎路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石丰路口</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2380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59</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石槎路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德康路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石沙路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2900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60</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石井大道</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华快以北</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石沙路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3080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61</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远景路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三元里大道</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机场路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870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62</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金信横路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规划路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金园路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345.18</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63</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增槎路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增埗大桥</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西槎路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4844</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64</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均禾大道</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106国道</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白云大道北</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2890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65</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沙凤二路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环洲三路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环洲五路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1137.51</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主干道</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66</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沙太中路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怡新路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中成路</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1500.00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67</w:t>
            </w:r>
          </w:p>
        </w:tc>
        <w:tc>
          <w:tcPr>
            <w:tcW w:w="16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白云五线</w:t>
            </w:r>
          </w:p>
        </w:tc>
        <w:tc>
          <w:tcPr>
            <w:tcW w:w="18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南方大道</w:t>
            </w:r>
          </w:p>
        </w:tc>
        <w:tc>
          <w:tcPr>
            <w:tcW w:w="16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G106国道</w:t>
            </w:r>
          </w:p>
        </w:tc>
        <w:tc>
          <w:tcPr>
            <w:tcW w:w="11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3300</w:t>
            </w:r>
          </w:p>
        </w:tc>
        <w:tc>
          <w:tcPr>
            <w:tcW w:w="1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68</w:t>
            </w:r>
          </w:p>
        </w:tc>
        <w:tc>
          <w:tcPr>
            <w:tcW w:w="16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空港大道二期</w:t>
            </w:r>
          </w:p>
        </w:tc>
        <w:tc>
          <w:tcPr>
            <w:tcW w:w="18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空港大道（新科段）</w:t>
            </w:r>
          </w:p>
        </w:tc>
        <w:tc>
          <w:tcPr>
            <w:tcW w:w="160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白云五线</w:t>
            </w:r>
          </w:p>
        </w:tc>
        <w:tc>
          <w:tcPr>
            <w:tcW w:w="116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3300</w:t>
            </w:r>
          </w:p>
        </w:tc>
        <w:tc>
          <w:tcPr>
            <w:tcW w:w="128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69</w:t>
            </w:r>
          </w:p>
        </w:tc>
        <w:tc>
          <w:tcPr>
            <w:tcW w:w="16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钟永路</w:t>
            </w:r>
          </w:p>
        </w:tc>
        <w:tc>
          <w:tcPr>
            <w:tcW w:w="18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Y125</w:t>
            </w:r>
          </w:p>
        </w:tc>
        <w:tc>
          <w:tcPr>
            <w:tcW w:w="160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龙悦北路</w:t>
            </w:r>
          </w:p>
        </w:tc>
        <w:tc>
          <w:tcPr>
            <w:tcW w:w="116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937</w:t>
            </w:r>
          </w:p>
        </w:tc>
        <w:tc>
          <w:tcPr>
            <w:tcW w:w="128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70</w:t>
            </w:r>
          </w:p>
        </w:tc>
        <w:tc>
          <w:tcPr>
            <w:tcW w:w="16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龙悦南路</w:t>
            </w:r>
          </w:p>
        </w:tc>
        <w:tc>
          <w:tcPr>
            <w:tcW w:w="18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龙穗新街</w:t>
            </w:r>
          </w:p>
        </w:tc>
        <w:tc>
          <w:tcPr>
            <w:tcW w:w="160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龙悦新街</w:t>
            </w:r>
          </w:p>
        </w:tc>
        <w:tc>
          <w:tcPr>
            <w:tcW w:w="116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428.2</w:t>
            </w:r>
          </w:p>
        </w:tc>
        <w:tc>
          <w:tcPr>
            <w:tcW w:w="128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71</w:t>
            </w:r>
          </w:p>
        </w:tc>
        <w:tc>
          <w:tcPr>
            <w:tcW w:w="16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云馨路</w:t>
            </w:r>
          </w:p>
        </w:tc>
        <w:tc>
          <w:tcPr>
            <w:tcW w:w="18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K0+000</w:t>
            </w:r>
          </w:p>
        </w:tc>
        <w:tc>
          <w:tcPr>
            <w:tcW w:w="160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广花一路</w:t>
            </w:r>
          </w:p>
        </w:tc>
        <w:tc>
          <w:tcPr>
            <w:tcW w:w="116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739</w:t>
            </w:r>
          </w:p>
        </w:tc>
        <w:tc>
          <w:tcPr>
            <w:tcW w:w="128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72</w:t>
            </w:r>
          </w:p>
        </w:tc>
        <w:tc>
          <w:tcPr>
            <w:tcW w:w="16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悦馨新街</w:t>
            </w:r>
          </w:p>
        </w:tc>
        <w:tc>
          <w:tcPr>
            <w:tcW w:w="18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K0+000</w:t>
            </w:r>
          </w:p>
        </w:tc>
        <w:tc>
          <w:tcPr>
            <w:tcW w:w="160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K0+435</w:t>
            </w:r>
          </w:p>
        </w:tc>
        <w:tc>
          <w:tcPr>
            <w:tcW w:w="116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322</w:t>
            </w:r>
          </w:p>
        </w:tc>
        <w:tc>
          <w:tcPr>
            <w:tcW w:w="128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73</w:t>
            </w:r>
          </w:p>
        </w:tc>
        <w:tc>
          <w:tcPr>
            <w:tcW w:w="16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岗贝路</w:t>
            </w:r>
          </w:p>
        </w:tc>
        <w:tc>
          <w:tcPr>
            <w:tcW w:w="18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三元里大道</w:t>
            </w:r>
          </w:p>
        </w:tc>
        <w:tc>
          <w:tcPr>
            <w:tcW w:w="16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机场路</w:t>
            </w:r>
          </w:p>
        </w:tc>
        <w:tc>
          <w:tcPr>
            <w:tcW w:w="116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960</w:t>
            </w:r>
          </w:p>
        </w:tc>
        <w:tc>
          <w:tcPr>
            <w:tcW w:w="128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74</w:t>
            </w:r>
          </w:p>
        </w:tc>
        <w:tc>
          <w:tcPr>
            <w:tcW w:w="16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石桂路</w:t>
            </w:r>
          </w:p>
        </w:tc>
        <w:tc>
          <w:tcPr>
            <w:tcW w:w="18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黄石西路</w:t>
            </w:r>
          </w:p>
        </w:tc>
        <w:tc>
          <w:tcPr>
            <w:tcW w:w="16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石槎路</w:t>
            </w:r>
          </w:p>
        </w:tc>
        <w:tc>
          <w:tcPr>
            <w:tcW w:w="116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440</w:t>
            </w:r>
          </w:p>
        </w:tc>
        <w:tc>
          <w:tcPr>
            <w:tcW w:w="128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次干路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75</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同泰路</w:t>
            </w:r>
          </w:p>
        </w:tc>
        <w:tc>
          <w:tcPr>
            <w:tcW w:w="18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白云大道南</w:t>
            </w:r>
          </w:p>
        </w:tc>
        <w:tc>
          <w:tcPr>
            <w:tcW w:w="16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广州大道北</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4200.00</w:t>
            </w:r>
          </w:p>
        </w:tc>
        <w:tc>
          <w:tcPr>
            <w:tcW w:w="128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76</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白云大道南</w:t>
            </w:r>
          </w:p>
        </w:tc>
        <w:tc>
          <w:tcPr>
            <w:tcW w:w="18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广园中</w:t>
            </w:r>
          </w:p>
        </w:tc>
        <w:tc>
          <w:tcPr>
            <w:tcW w:w="16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同泰路</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6905.49</w:t>
            </w:r>
          </w:p>
        </w:tc>
        <w:tc>
          <w:tcPr>
            <w:tcW w:w="128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20" w:lineRule="exact"/>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77</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大金钟路</w:t>
            </w:r>
          </w:p>
        </w:tc>
        <w:tc>
          <w:tcPr>
            <w:tcW w:w="18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广园中</w:t>
            </w:r>
          </w:p>
        </w:tc>
        <w:tc>
          <w:tcPr>
            <w:tcW w:w="16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大金钟高架</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1217.02</w:t>
            </w:r>
          </w:p>
        </w:tc>
        <w:tc>
          <w:tcPr>
            <w:tcW w:w="128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78</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机场路</w:t>
            </w:r>
          </w:p>
        </w:tc>
        <w:tc>
          <w:tcPr>
            <w:tcW w:w="18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三元里大道</w:t>
            </w:r>
          </w:p>
        </w:tc>
        <w:tc>
          <w:tcPr>
            <w:tcW w:w="16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广花一路</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8470.85</w:t>
            </w:r>
          </w:p>
        </w:tc>
        <w:tc>
          <w:tcPr>
            <w:tcW w:w="128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79</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同德围南北高架</w:t>
            </w:r>
          </w:p>
        </w:tc>
        <w:tc>
          <w:tcPr>
            <w:tcW w:w="18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西湾路</w:t>
            </w:r>
          </w:p>
        </w:tc>
        <w:tc>
          <w:tcPr>
            <w:tcW w:w="16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德康路</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3480.00</w:t>
            </w:r>
          </w:p>
        </w:tc>
        <w:tc>
          <w:tcPr>
            <w:tcW w:w="128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80</w:t>
            </w:r>
          </w:p>
        </w:tc>
        <w:tc>
          <w:tcPr>
            <w:tcW w:w="16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金沙洲大桥</w:t>
            </w:r>
          </w:p>
        </w:tc>
        <w:tc>
          <w:tcPr>
            <w:tcW w:w="1800"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增槎路</w:t>
            </w:r>
          </w:p>
        </w:tc>
        <w:tc>
          <w:tcPr>
            <w:tcW w:w="1600"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金沙洲路</w:t>
            </w:r>
          </w:p>
        </w:tc>
        <w:tc>
          <w:tcPr>
            <w:tcW w:w="116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813.37</w:t>
            </w:r>
          </w:p>
        </w:tc>
        <w:tc>
          <w:tcPr>
            <w:tcW w:w="1283"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81</w:t>
            </w:r>
          </w:p>
        </w:tc>
        <w:tc>
          <w:tcPr>
            <w:tcW w:w="16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广园路</w:t>
            </w:r>
          </w:p>
        </w:tc>
        <w:tc>
          <w:tcPr>
            <w:tcW w:w="18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环市西路</w:t>
            </w:r>
          </w:p>
        </w:tc>
        <w:tc>
          <w:tcPr>
            <w:tcW w:w="16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园林科学研究院</w:t>
            </w:r>
          </w:p>
        </w:tc>
        <w:tc>
          <w:tcPr>
            <w:tcW w:w="11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2797.41</w:t>
            </w:r>
          </w:p>
        </w:tc>
        <w:tc>
          <w:tcPr>
            <w:tcW w:w="1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jc w:val="center"/>
        </w:trPr>
        <w:tc>
          <w:tcPr>
            <w:tcW w:w="88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kern w:val="0"/>
                <w:sz w:val="22"/>
                <w:highlight w:val="none"/>
                <w:lang w:val="en-US" w:eastAsia="zh-CN" w:bidi="ar"/>
              </w:rPr>
            </w:pPr>
            <w:r>
              <w:rPr>
                <w:rFonts w:hint="eastAsia" w:ascii="仿宋_GB2312" w:hAnsi="仿宋_GB2312" w:eastAsia="仿宋_GB2312" w:cs="仿宋_GB2312"/>
                <w:color w:val="auto"/>
                <w:kern w:val="0"/>
                <w:sz w:val="22"/>
                <w:highlight w:val="none"/>
                <w:lang w:val="en-US" w:eastAsia="zh-CN" w:bidi="ar"/>
              </w:rPr>
              <w:t>82</w:t>
            </w:r>
          </w:p>
        </w:tc>
        <w:tc>
          <w:tcPr>
            <w:tcW w:w="16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幸福大道</w:t>
            </w:r>
          </w:p>
        </w:tc>
        <w:tc>
          <w:tcPr>
            <w:tcW w:w="18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幸福大道北段南端</w:t>
            </w:r>
          </w:p>
        </w:tc>
        <w:tc>
          <w:tcPr>
            <w:tcW w:w="16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eastAsia="zh-CN" w:bidi="ar"/>
              </w:rPr>
            </w:pPr>
            <w:r>
              <w:rPr>
                <w:rFonts w:hint="eastAsia" w:ascii="仿宋_GB2312" w:hAnsi="仿宋_GB2312" w:eastAsia="仿宋_GB2312" w:cs="仿宋_GB2312"/>
                <w:color w:val="auto"/>
                <w:kern w:val="0"/>
                <w:sz w:val="22"/>
                <w:highlight w:val="none"/>
                <w:lang w:eastAsia="zh-CN" w:bidi="ar"/>
              </w:rPr>
              <w:t>白云学院东南角</w:t>
            </w:r>
          </w:p>
        </w:tc>
        <w:tc>
          <w:tcPr>
            <w:tcW w:w="11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kern w:val="0"/>
                <w:sz w:val="22"/>
                <w:highlight w:val="none"/>
                <w:lang w:val="en-US" w:eastAsia="zh-CN" w:bidi="ar"/>
              </w:rPr>
            </w:pPr>
            <w:r>
              <w:rPr>
                <w:rFonts w:hint="eastAsia" w:ascii="仿宋_GB2312" w:hAnsi="仿宋_GB2312" w:eastAsia="仿宋_GB2312" w:cs="仿宋_GB2312"/>
                <w:color w:val="auto"/>
                <w:kern w:val="0"/>
                <w:sz w:val="22"/>
                <w:highlight w:val="none"/>
                <w:lang w:val="en-US" w:eastAsia="zh-CN" w:bidi="ar"/>
              </w:rPr>
              <w:t>1200.00</w:t>
            </w:r>
          </w:p>
        </w:tc>
        <w:tc>
          <w:tcPr>
            <w:tcW w:w="1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主干路</w:t>
            </w:r>
          </w:p>
        </w:tc>
      </w:tr>
    </w:tbl>
    <w:p>
      <w:pPr>
        <w:keepNext/>
        <w:keepLines/>
        <w:pageBreakBefore w:val="0"/>
        <w:widowControl w:val="0"/>
        <w:tabs>
          <w:tab w:val="right" w:leader="dot" w:pos="9060"/>
        </w:tabs>
        <w:kinsoku/>
        <w:wordWrap/>
        <w:overflowPunct/>
        <w:topLinePunct w:val="0"/>
        <w:autoSpaceDE/>
        <w:autoSpaceDN/>
        <w:bidi w:val="0"/>
        <w:adjustRightInd/>
        <w:snapToGrid/>
        <w:spacing w:line="416" w:lineRule="auto"/>
        <w:ind w:left="0"/>
        <w:jc w:val="both"/>
        <w:textAlignment w:val="auto"/>
        <w:outlineLvl w:val="9"/>
        <w:rPr>
          <w:rFonts w:hint="eastAsia" w:ascii="仿宋_GB2312" w:hAnsi="仿宋_GB2312" w:eastAsia="仿宋_GB2312" w:cs="仿宋_GB2312"/>
          <w:color w:val="auto"/>
          <w:sz w:val="28"/>
          <w:szCs w:val="28"/>
          <w:highlight w:val="none"/>
        </w:rPr>
      </w:pPr>
    </w:p>
    <w:p>
      <w:pPr>
        <w:pStyle w:val="2"/>
        <w:tabs>
          <w:tab w:val="right" w:leader="dot" w:pos="9060"/>
        </w:tabs>
        <w:ind w:left="0" w:firstLine="562" w:firstLineChars="200"/>
        <w:jc w:val="both"/>
        <w:rPr>
          <w:rFonts w:hint="eastAsia"/>
          <w:color w:val="auto"/>
          <w:highlight w:val="none"/>
        </w:rPr>
      </w:pPr>
      <w:r>
        <w:rPr>
          <w:rFonts w:hint="eastAsia" w:ascii="仿宋_GB2312" w:hAnsi="仿宋_GB2312" w:eastAsia="仿宋_GB2312" w:cs="仿宋_GB2312"/>
          <w:color w:val="auto"/>
          <w:sz w:val="28"/>
          <w:szCs w:val="28"/>
          <w:highlight w:val="none"/>
        </w:rPr>
        <w:t>（五）标段5（荔湾区）维护道路列表</w:t>
      </w:r>
    </w:p>
    <w:tbl>
      <w:tblPr>
        <w:tblStyle w:val="20"/>
        <w:tblW w:w="0" w:type="auto"/>
        <w:tblInd w:w="0" w:type="dxa"/>
        <w:tblLayout w:type="fixed"/>
        <w:tblCellMar>
          <w:top w:w="0" w:type="dxa"/>
          <w:left w:w="0" w:type="dxa"/>
          <w:bottom w:w="0" w:type="dxa"/>
          <w:right w:w="0" w:type="dxa"/>
        </w:tblCellMar>
      </w:tblPr>
      <w:tblGrid>
        <w:gridCol w:w="857"/>
        <w:gridCol w:w="1650"/>
        <w:gridCol w:w="1800"/>
        <w:gridCol w:w="1600"/>
        <w:gridCol w:w="1184"/>
        <w:gridCol w:w="1249"/>
      </w:tblGrid>
      <w:tr>
        <w:tblPrEx>
          <w:tblCellMar>
            <w:top w:w="0" w:type="dxa"/>
            <w:left w:w="0" w:type="dxa"/>
            <w:bottom w:w="0" w:type="dxa"/>
            <w:right w:w="0" w:type="dxa"/>
          </w:tblCellMar>
        </w:tblPrEx>
        <w:trPr>
          <w:trHeight w:val="312" w:hRule="atLeast"/>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序号</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道路起点</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道路终点</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道路长度(m)</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kern w:val="0"/>
                <w:sz w:val="22"/>
                <w:highlight w:val="none"/>
                <w:lang w:bidi="ar"/>
              </w:rPr>
              <w:t>道路等级</w:t>
            </w:r>
          </w:p>
        </w:tc>
      </w:tr>
      <w:tr>
        <w:tblPrEx>
          <w:tblCellMar>
            <w:top w:w="0" w:type="dxa"/>
            <w:left w:w="0" w:type="dxa"/>
            <w:bottom w:w="0" w:type="dxa"/>
            <w:right w:w="0" w:type="dxa"/>
          </w:tblCellMar>
        </w:tblPrEx>
        <w:trPr>
          <w:trHeight w:val="312"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_GB2312" w:hAnsi="仿宋_GB2312" w:eastAsia="仿宋_GB2312" w:cs="仿宋_GB2312"/>
                <w:b/>
                <w:color w:val="auto"/>
                <w:sz w:val="22"/>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color w:val="auto"/>
                <w:sz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color w:val="auto"/>
                <w:sz w:val="22"/>
                <w:highlight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color w:val="auto"/>
                <w:sz w:val="22"/>
                <w:highlight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color w:val="auto"/>
                <w:sz w:val="22"/>
                <w:highlight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_GB2312" w:hAnsi="仿宋_GB2312" w:eastAsia="仿宋_GB2312" w:cs="仿宋_GB2312"/>
                <w:b/>
                <w:color w:val="auto"/>
                <w:sz w:val="22"/>
                <w:highlight w:val="none"/>
              </w:rPr>
            </w:pP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南岸路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黄沙大道</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东风西路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1870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黄沙大道</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六二三路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中山八路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1933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六二三路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沿江西路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黄沙大道</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1967</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中山七路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荔湾路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1210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中山八路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荔湾路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黄沙大道</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1190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康王北路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中山七路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西华路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169</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康王中路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中山七路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长寿西路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882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康王南路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长寿西路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杉木栏路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843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镇安路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六二三路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杉木栏路路口</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227</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芳村大道西</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滘口</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塞坝桥</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2065</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芳村大道中</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塞坝桥</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下市涌桥</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1865</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芳村大道东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下市涌桥</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鹤洞路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2854</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芳村大道南</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鹤洞路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东塱大街</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1924</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花地大道北</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珠江隧道上涌口</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浣花路口</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2100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15</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花地大道中</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浣花路口</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鹤洞路口</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1900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花地大道南</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鹤洞路口</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沙尾桥</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2888</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花蕾路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芳村大道</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东漖北路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879</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18</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茶滘路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东漖北路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广钢铁路边</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439</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19</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穗盐路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穗盐桥桥脚</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葵蓬涌</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690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龙溪大道</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花地大道中</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南桂城公路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6100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21</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鹤洞路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花地大道南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鹤洞桥底</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1882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东沙大道</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北起芳村大道南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观涛路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1700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西湾路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环市西路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西槎路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1607.09</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人民中路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人民南路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1110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人民南路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沿江西路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上九路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1650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喜闻路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花地大道南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玉兰路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2100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水秀一路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花涧一街</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1643.4</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主干道</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荔湾路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华贵路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东风西路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1252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29</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人民北路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西华路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中山七路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412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浣花路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东漖北路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花湾路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1216.31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浣花西路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东漖北路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广钢铁路边</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473.53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32</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增南路增南路（芳村体育中心段）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龙溪大道</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广药附三医后门</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928</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花湾路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浣花东路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冲口派出所</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340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34</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芳盈路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芳兴路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滘口汽车站油站</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450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35</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悦成路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荣兴路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花蕾路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335</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36</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东漖北路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东漖村东联酒家</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花地口</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2586</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37</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喜乐路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玉兰路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喜闻路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1145</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38</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桥中中路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双桥北路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北止河沙南路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1000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39</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流花路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东风西路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站前横路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843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泮塘路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龙津西路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北止中山八路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386</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41</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站前路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流花路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站前横路东侧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820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42</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新基路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沿江西路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西堤二马路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172.37</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西堤二马路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六二三路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530.3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44</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东漖南路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龙溪大道</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荔湾区妇幼</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1080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45</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凤西二路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龙溪大道</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南围路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704.4</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46</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桥中南路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北起双桥北路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坦尾南三巷</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1125.13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47</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信义路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长堤街珠江边</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芳村大道东</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386</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48</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站西路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西湾路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机务段立交路口</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318</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49</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环翠北路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锦鳞道</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紫荆路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1000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广州圆路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东沙大道</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广州圆东南侧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464</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51</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玉兰路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荷景路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环翠南路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650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52</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花溪路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浣花路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龙溪立交</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800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荣兴路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东漖北路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花地大道北</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339</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54</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水秀二路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江北路</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龙溪中路</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1366.36</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次干道</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55</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丰年路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黄大仙祠</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东漖北路</w:t>
            </w:r>
          </w:p>
        </w:tc>
        <w:tc>
          <w:tcPr>
            <w:tcW w:w="1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495</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56</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芳兴路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芳村大道西</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中英路</w:t>
            </w:r>
          </w:p>
        </w:tc>
        <w:tc>
          <w:tcPr>
            <w:tcW w:w="11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3900</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57</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兴东路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芳村大道西</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郭村涌</w:t>
            </w:r>
          </w:p>
        </w:tc>
        <w:tc>
          <w:tcPr>
            <w:tcW w:w="1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600</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次干路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58</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东风西</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康王路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西场立交</w:t>
            </w:r>
          </w:p>
        </w:tc>
        <w:tc>
          <w:tcPr>
            <w:tcW w:w="1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1576.00</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59</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环市西路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广园西</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西场立交</w:t>
            </w:r>
          </w:p>
        </w:tc>
        <w:tc>
          <w:tcPr>
            <w:tcW w:w="1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1971.00</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60</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沿江西路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人民南</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六二三路</w:t>
            </w:r>
          </w:p>
        </w:tc>
        <w:tc>
          <w:tcPr>
            <w:tcW w:w="1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445.00</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61</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人民高架</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人民北</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西堤二马路</w:t>
            </w:r>
          </w:p>
        </w:tc>
        <w:tc>
          <w:tcPr>
            <w:tcW w:w="1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4751.60</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62</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人民桥（荔湾）</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六二三路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河域中段</w:t>
            </w:r>
          </w:p>
        </w:tc>
        <w:tc>
          <w:tcPr>
            <w:tcW w:w="1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226.50</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63</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鹤洞大桥（荔湾）</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鹤洞路</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河域中段</w:t>
            </w:r>
          </w:p>
        </w:tc>
        <w:tc>
          <w:tcPr>
            <w:tcW w:w="1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color w:val="auto"/>
                <w:kern w:val="0"/>
                <w:sz w:val="22"/>
                <w:highlight w:val="none"/>
                <w:lang w:bidi="ar"/>
              </w:rPr>
              <w:t>1184.00</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r>
        <w:tblPrEx>
          <w:tblCellMar>
            <w:top w:w="0" w:type="dxa"/>
            <w:left w:w="0" w:type="dxa"/>
            <w:bottom w:w="0" w:type="dxa"/>
            <w:right w:w="0" w:type="dxa"/>
          </w:tblCellMar>
        </w:tblPrEx>
        <w:trPr>
          <w:trHeight w:val="23" w:hRule="atLeast"/>
        </w:trPr>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64</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内环路高架</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w:t>
            </w:r>
          </w:p>
        </w:tc>
        <w:tc>
          <w:tcPr>
            <w:tcW w:w="1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2"/>
                <w:highlight w:val="none"/>
                <w:lang w:bidi="ar"/>
              </w:rPr>
            </w:pPr>
            <w:r>
              <w:rPr>
                <w:rFonts w:hint="eastAsia" w:ascii="仿宋_GB2312" w:hAnsi="仿宋_GB2312" w:eastAsia="仿宋_GB2312" w:cs="仿宋_GB2312"/>
                <w:color w:val="auto"/>
                <w:kern w:val="0"/>
                <w:sz w:val="22"/>
                <w:highlight w:val="none"/>
                <w:lang w:bidi="ar"/>
              </w:rPr>
              <w:t>26700</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主干路</w:t>
            </w:r>
          </w:p>
        </w:tc>
      </w:tr>
    </w:tbl>
    <w:p>
      <w:pPr>
        <w:pStyle w:val="27"/>
        <w:ind w:firstLine="0" w:firstLineChars="0"/>
        <w:rPr>
          <w:rFonts w:hint="eastAsia" w:ascii="宋体" w:hAnsi="宋体" w:cs="宋体"/>
          <w:color w:val="auto"/>
          <w:highlight w:val="none"/>
        </w:rPr>
      </w:pPr>
    </w:p>
    <w:p>
      <w:pPr>
        <w:pStyle w:val="28"/>
        <w:rPr>
          <w:rFonts w:hint="eastAsia" w:ascii="宋体" w:hAnsi="宋体" w:cs="宋体"/>
          <w:color w:val="auto"/>
          <w:highlight w:val="none"/>
        </w:rPr>
      </w:pPr>
    </w:p>
    <w:p>
      <w:pPr>
        <w:rPr>
          <w:rFonts w:cs="宋体"/>
          <w:color w:val="auto"/>
          <w:sz w:val="24"/>
          <w:szCs w:val="24"/>
          <w:highlight w:val="none"/>
        </w:rPr>
      </w:pPr>
    </w:p>
    <w:p>
      <w:pPr>
        <w:pStyle w:val="9"/>
        <w:ind w:firstLine="480"/>
        <w:rPr>
          <w:rFonts w:cs="宋体"/>
          <w:color w:val="auto"/>
          <w:sz w:val="24"/>
          <w:szCs w:val="24"/>
          <w:highlight w:val="none"/>
        </w:rPr>
      </w:pPr>
    </w:p>
    <w:p>
      <w:pPr>
        <w:rPr>
          <w:rFonts w:cs="宋体"/>
          <w:color w:val="auto"/>
          <w:sz w:val="24"/>
          <w:szCs w:val="24"/>
          <w:highlight w:val="none"/>
        </w:rPr>
      </w:pPr>
    </w:p>
    <w:p>
      <w:pPr>
        <w:pStyle w:val="9"/>
        <w:ind w:firstLine="480"/>
        <w:rPr>
          <w:rFonts w:cs="宋体"/>
          <w:color w:val="auto"/>
          <w:sz w:val="24"/>
          <w:szCs w:val="24"/>
          <w:highlight w:val="none"/>
        </w:rPr>
      </w:pPr>
    </w:p>
    <w:p>
      <w:pPr>
        <w:pStyle w:val="3"/>
        <w:jc w:val="center"/>
        <w:rPr>
          <w:rFonts w:hint="default"/>
          <w:color w:val="auto"/>
          <w:highlight w:val="none"/>
        </w:rPr>
      </w:pPr>
      <w:r>
        <w:rPr>
          <w:color w:val="auto"/>
          <w:highlight w:val="none"/>
        </w:rPr>
        <w:br w:type="page"/>
      </w:r>
      <w:bookmarkStart w:id="173" w:name="_Toc4914"/>
      <w:r>
        <w:rPr>
          <w:color w:val="auto"/>
          <w:highlight w:val="none"/>
        </w:rPr>
        <w:t>第六章  图纸及勘察资料</w:t>
      </w:r>
      <w:bookmarkEnd w:id="173"/>
    </w:p>
    <w:p>
      <w:pPr>
        <w:topLinePunct/>
        <w:adjustRightInd w:val="0"/>
        <w:snapToGrid w:val="0"/>
        <w:spacing w:line="360" w:lineRule="auto"/>
        <w:jc w:val="center"/>
        <w:rPr>
          <w:rFonts w:cs="宋体"/>
          <w:snapToGrid w:val="0"/>
          <w:color w:val="auto"/>
          <w:spacing w:val="4"/>
          <w:kern w:val="0"/>
          <w:sz w:val="24"/>
          <w:szCs w:val="24"/>
          <w:highlight w:val="none"/>
        </w:rPr>
      </w:pPr>
    </w:p>
    <w:p>
      <w:pPr>
        <w:topLinePunct/>
        <w:adjustRightInd w:val="0"/>
        <w:snapToGrid w:val="0"/>
        <w:spacing w:line="360" w:lineRule="auto"/>
        <w:rPr>
          <w:rFonts w:cs="宋体"/>
          <w:snapToGrid w:val="0"/>
          <w:color w:val="auto"/>
          <w:spacing w:val="4"/>
          <w:kern w:val="0"/>
          <w:sz w:val="24"/>
          <w:szCs w:val="24"/>
          <w:highlight w:val="none"/>
        </w:rPr>
      </w:pPr>
      <w:r>
        <w:rPr>
          <w:rFonts w:hint="eastAsia" w:cs="宋体"/>
          <w:snapToGrid w:val="0"/>
          <w:color w:val="auto"/>
          <w:spacing w:val="4"/>
          <w:kern w:val="0"/>
          <w:sz w:val="24"/>
          <w:szCs w:val="24"/>
          <w:highlight w:val="none"/>
        </w:rPr>
        <w:t>注：另册。</w:t>
      </w:r>
    </w:p>
    <w:p>
      <w:pPr>
        <w:jc w:val="center"/>
        <w:rPr>
          <w:rFonts w:cs="宋体"/>
          <w:b/>
          <w:bCs/>
          <w:color w:val="auto"/>
          <w:sz w:val="28"/>
          <w:szCs w:val="28"/>
          <w:highlight w:val="none"/>
        </w:rPr>
      </w:pPr>
    </w:p>
    <w:p>
      <w:pPr>
        <w:pStyle w:val="3"/>
        <w:jc w:val="center"/>
        <w:rPr>
          <w:rFonts w:hint="default"/>
          <w:color w:val="auto"/>
          <w:highlight w:val="none"/>
        </w:rPr>
      </w:pPr>
      <w:r>
        <w:rPr>
          <w:color w:val="auto"/>
          <w:sz w:val="24"/>
          <w:szCs w:val="24"/>
          <w:highlight w:val="none"/>
        </w:rPr>
        <w:br w:type="page"/>
      </w:r>
      <w:bookmarkStart w:id="174" w:name="_Toc10386"/>
      <w:r>
        <w:rPr>
          <w:color w:val="auto"/>
          <w:highlight w:val="none"/>
        </w:rPr>
        <w:t>第七章  工程量清单</w:t>
      </w:r>
      <w:bookmarkEnd w:id="174"/>
    </w:p>
    <w:p>
      <w:pPr>
        <w:rPr>
          <w:b/>
          <w:color w:val="auto"/>
          <w:sz w:val="24"/>
          <w:szCs w:val="24"/>
          <w:highlight w:val="none"/>
        </w:rPr>
      </w:pPr>
      <w:r>
        <w:rPr>
          <w:rFonts w:hint="eastAsia"/>
          <w:color w:val="auto"/>
          <w:sz w:val="24"/>
          <w:szCs w:val="24"/>
          <w:highlight w:val="none"/>
        </w:rPr>
        <w:t>注：另册。</w:t>
      </w:r>
    </w:p>
    <w:p>
      <w:pPr>
        <w:pStyle w:val="5"/>
        <w:spacing w:after="0" w:line="360" w:lineRule="auto"/>
        <w:ind w:left="-2" w:leftChars="-1" w:firstLine="960" w:firstLineChars="400"/>
        <w:rPr>
          <w:rFonts w:ascii="宋体"/>
          <w:color w:val="auto"/>
          <w:sz w:val="24"/>
          <w:highlight w:val="none"/>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color w:val="auto"/>
          <w:highlight w:val="none"/>
        </w:rPr>
      </w:pPr>
    </w:p>
    <w:p>
      <w:pPr>
        <w:pStyle w:val="3"/>
        <w:jc w:val="center"/>
        <w:rPr>
          <w:rFonts w:hint="default"/>
          <w:color w:val="auto"/>
          <w:highlight w:val="none"/>
        </w:rPr>
      </w:pPr>
      <w:r>
        <w:rPr>
          <w:color w:val="auto"/>
          <w:sz w:val="24"/>
          <w:szCs w:val="24"/>
          <w:highlight w:val="none"/>
        </w:rPr>
        <w:br w:type="page"/>
      </w:r>
      <w:bookmarkStart w:id="175" w:name="_Toc9143"/>
      <w:r>
        <w:rPr>
          <w:color w:val="auto"/>
          <w:highlight w:val="none"/>
        </w:rPr>
        <w:t>第八章  最高投标限价</w:t>
      </w:r>
      <w:bookmarkEnd w:id="175"/>
    </w:p>
    <w:p>
      <w:pPr>
        <w:spacing w:line="360" w:lineRule="auto"/>
        <w:ind w:firstLine="480"/>
        <w:rPr>
          <w:color w:val="auto"/>
          <w:sz w:val="24"/>
          <w:szCs w:val="24"/>
          <w:highlight w:val="none"/>
        </w:rPr>
      </w:pPr>
    </w:p>
    <w:p>
      <w:pPr>
        <w:spacing w:line="600" w:lineRule="exact"/>
        <w:rPr>
          <w:color w:val="auto"/>
          <w:highlight w:val="none"/>
        </w:rPr>
      </w:pPr>
      <w:r>
        <w:rPr>
          <w:rFonts w:hint="eastAsia"/>
          <w:color w:val="auto"/>
          <w:sz w:val="24"/>
          <w:szCs w:val="24"/>
          <w:highlight w:val="none"/>
        </w:rPr>
        <w:t>注：详见《最高投标限价公布函》</w:t>
      </w:r>
    </w:p>
    <w:p>
      <w:pPr>
        <w:rPr>
          <w:color w:val="auto"/>
          <w:highlight w:val="none"/>
        </w:rPr>
      </w:pPr>
    </w:p>
    <w:p>
      <w:pPr>
        <w:rPr>
          <w:color w:val="auto"/>
          <w:highlight w:val="none"/>
        </w:rPr>
      </w:pPr>
    </w:p>
    <w:sectPr>
      <w:headerReference r:id="rId22" w:type="first"/>
      <w:footerReference r:id="rId24" w:type="first"/>
      <w:headerReference r:id="rId21" w:type="default"/>
      <w:footerReference r:id="rId23" w:type="default"/>
      <w:pgSz w:w="12240" w:h="15840"/>
      <w:pgMar w:top="1440" w:right="1803" w:bottom="1440" w:left="180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jc w:val="right"/>
      <w:rPr>
        <w:rStyle w:val="23"/>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727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14935" cy="17272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6pt;width:9.05pt;mso-position-horizontal:center;mso-position-horizontal-relative:margin;mso-wrap-style:none;z-index:251665408;mso-width-relative:page;mso-height-relative:page;" filled="f" stroked="f" coordsize="21600,21600" o:gfxdata="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OsJbQAAAAAwEAAA8AAAAAAAAAAQAgAAAAIgAA&#10;AGRycy9kb3ducmV2LnhtbFBLAQIUABQAAAAIAIdO4kBUQAhPEAIAABIEAAAOAAAAAAAAAAEAIAAA&#10;AB8BAABkcnMvZTJvRG9jLnhtbFBLBQYAAAAABgAGAFkBAAChBQAAAAA=&#10;">
              <v:fill on="f" focussize="0,0"/>
              <v:stroke on="f"/>
              <v:imagedata o:title=""/>
              <o:lock v:ext="edit" aspectratio="f"/>
              <v:textbox inset="0mm,0mm,0mm,0mm" style="mso-fit-shape-to-text:t;">
                <w:txbxContent>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4INuqQkCAAAUBAAADgAAAAAAAAABACAAAAAeAQAAZHJz&#10;L2Uyb0RvYy54bWxQSwUGAAAAAAYABgBZAQAAmQ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rPr>
        <w:rStyle w:val="23"/>
      </w:rPr>
    </w:pPr>
    <w:r>
      <w:fldChar w:fldCharType="begin"/>
    </w:r>
    <w:r>
      <w:rPr>
        <w:rStyle w:val="23"/>
      </w:rPr>
      <w:instrText xml:space="preserve">PAGE  </w:instrText>
    </w:r>
    <w:r>
      <w:fldChar w:fldCharType="separate"/>
    </w:r>
    <w:r>
      <w:rPr>
        <w:rStyle w:val="23"/>
        <w:rFonts w:hint="eastAsia"/>
      </w:rPr>
      <w:t>一</w:t>
    </w:r>
    <w:r>
      <w:rPr>
        <w:rStyle w:val="23"/>
      </w:rPr>
      <w:t>–2</w:t>
    </w:r>
    <w:r>
      <w:fldChar w:fldCharType="end"/>
    </w:r>
  </w:p>
  <w:p>
    <w:pPr>
      <w:pStyle w:val="15"/>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jc w:val="right"/>
      <w:rPr>
        <w:rStyle w:val="2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15"/>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FkosLAPAgAAEAQAAA4AAAAAAAAAAQAgAAAA&#10;HwEAAGRycy9lMm9Eb2MueG1sUEsFBgAAAAAGAAYAWQEAAKA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734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07340" cy="139700"/>
                      </a:xfrm>
                      <a:prstGeom prst="rect">
                        <a:avLst/>
                      </a:prstGeom>
                      <a:noFill/>
                      <a:ln>
                        <a:noFill/>
                      </a:ln>
                      <a:effectLst/>
                    </wps:spPr>
                    <wps:txbx>
                      <w:txbxContent>
                        <w:p>
                          <w:pPr>
                            <w:pStyle w:val="15"/>
                            <w:ind w:firstLine="392"/>
                          </w:pPr>
                          <w:r>
                            <w:fldChar w:fldCharType="begin"/>
                          </w:r>
                          <w:r>
                            <w:rPr>
                              <w:rStyle w:val="23"/>
                            </w:rPr>
                            <w:instrText xml:space="preserve"> PAGE </w:instrText>
                          </w:r>
                          <w:r>
                            <w:fldChar w:fldCharType="separate"/>
                          </w:r>
                          <w:r>
                            <w:rPr>
                              <w:rStyle w:val="23"/>
                            </w:rPr>
                            <w:t>52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24.2pt;mso-position-horizontal:center;mso-position-horizontal-relative:margin;mso-wrap-style:none;z-index:251659264;mso-width-relative:page;mso-height-relative:page;" filled="f" stroked="f" coordsize="21600,21600" o:gfxdata="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dMq8tEAAAADAQAADwAAAAAAAAABACAAAAAiAAAAZHJzL2Rvd25y&#10;ZXYueG1sUEsBAhQAFAAAAAgAh07iQC9yqAHMAQAAmQMAAA4AAAAAAAAAAQAgAAAAIAEAAGRycy9l&#10;Mm9Eb2MueG1sUEsFBgAAAAAGAAYAWQEAAF4FAAAAAA==&#10;">
              <v:fill on="f" focussize="0,0"/>
              <v:stroke on="f"/>
              <v:imagedata o:title=""/>
              <o:lock v:ext="edit" aspectratio="f"/>
              <v:textbox inset="0mm,0mm,0mm,0mm" style="mso-fit-shape-to-text:t;">
                <w:txbxContent>
                  <w:p>
                    <w:pPr>
                      <w:pStyle w:val="15"/>
                      <w:ind w:firstLine="392"/>
                    </w:pPr>
                    <w:r>
                      <w:fldChar w:fldCharType="begin"/>
                    </w:r>
                    <w:r>
                      <w:rPr>
                        <w:rStyle w:val="23"/>
                      </w:rPr>
                      <w:instrText xml:space="preserve"> PAGE </w:instrText>
                    </w:r>
                    <w:r>
                      <w:fldChar w:fldCharType="separate"/>
                    </w:r>
                    <w:r>
                      <w:rPr>
                        <w:rStyle w:val="23"/>
                      </w:rP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15"/>
                          </w:pPr>
                          <w:r>
                            <w:fldChar w:fldCharType="begin"/>
                          </w:r>
                          <w:r>
                            <w:instrText xml:space="preserve"> PAGE  \* MERGEFORMAT </w:instrText>
                          </w:r>
                          <w:r>
                            <w:fldChar w:fldCharType="separate"/>
                          </w:r>
                          <w:r>
                            <w:t>69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O9XuXg4CAAAQBAAADgAAAAAAAAABACAAAAAf&#10;AQAAZHJzL2Uyb0RvYy54bWxQSwUGAAAAAAYABgBZAQAAn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7272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14935" cy="17272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6pt;width:9.05pt;mso-position-horizontal:center;mso-position-horizontal-relative:margin;mso-wrap-style:none;z-index:251663360;mso-width-relative:page;mso-height-relative:page;" filled="f" stroked="f" coordsize="21600,21600" o:gfxdata="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s6wltAAAAADAQAADwAAAAAAAAABACAAAAAiAAAA&#10;ZHJzL2Rvd25yZXYueG1sUEsBAhQAFAAAAAgAh07iQI/Kml0PAgAAEgQAAA4AAAAAAAAAAQAgAAAA&#10;HwEAAGRycy9lMm9Eb2MueG1sUEsFBgAAAAAGAAYAWQEAAKAFAAAAAA==&#10;">
              <v:fill on="f" focussize="0,0"/>
              <v:stroke on="f"/>
              <v:imagedata o:title=""/>
              <o:lock v:ext="edit" aspectratio="f"/>
              <v:textbox inset="0mm,0mm,0mm,0mm" style="mso-fit-shape-to-text:t;">
                <w:txbxContent>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3"/>
      </w:rPr>
    </w:pPr>
    <w:r>
      <w:fldChar w:fldCharType="begin"/>
    </w:r>
    <w:r>
      <w:rPr>
        <w:rStyle w:val="23"/>
      </w:rPr>
      <w:instrText xml:space="preserve">PAGE  </w:instrText>
    </w:r>
    <w:r>
      <w:fldChar w:fldCharType="separate"/>
    </w:r>
    <w:r>
      <w:rPr>
        <w:rStyle w:val="23"/>
        <w:rFonts w:hint="eastAsia"/>
      </w:rPr>
      <w:t>一</w:t>
    </w:r>
    <w:r>
      <w:rPr>
        <w:rStyle w:val="23"/>
      </w:rPr>
      <w:t>–2</w:t>
    </w:r>
    <w:r>
      <w:fldChar w:fldCharType="end"/>
    </w:r>
  </w:p>
  <w:p>
    <w:pPr>
      <w:pStyle w:val="15"/>
      <w:ind w:right="360" w:firstLine="360"/>
      <w:jc w:val="center"/>
    </w:pP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9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i/>
        <w:iCs/>
      </w:rPr>
    </w:pPr>
    <w:r>
      <w:rPr>
        <w:rFonts w:hint="eastAsia"/>
        <w:i/>
        <w:iCs/>
      </w:rPr>
      <w:t>横枝岗路道路排水改造工程招标文件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rPr>
        <w:i/>
        <w:i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018C2"/>
    <w:multiLevelType w:val="singleLevel"/>
    <w:tmpl w:val="9C4018C2"/>
    <w:lvl w:ilvl="0" w:tentative="0">
      <w:start w:val="1"/>
      <w:numFmt w:val="decimal"/>
      <w:suff w:val="nothing"/>
      <w:lvlText w:val="（%1）"/>
      <w:lvlJc w:val="left"/>
    </w:lvl>
  </w:abstractNum>
  <w:abstractNum w:abstractNumId="1">
    <w:nsid w:val="CB38E68B"/>
    <w:multiLevelType w:val="singleLevel"/>
    <w:tmpl w:val="CB38E68B"/>
    <w:lvl w:ilvl="0" w:tentative="0">
      <w:start w:val="2"/>
      <w:numFmt w:val="chineseCounting"/>
      <w:suff w:val="nothing"/>
      <w:lvlText w:val="（%1）"/>
      <w:lvlJc w:val="left"/>
      <w:rPr>
        <w:rFonts w:hint="eastAsia"/>
      </w:rPr>
    </w:lvl>
  </w:abstractNum>
  <w:abstractNum w:abstractNumId="2">
    <w:nsid w:val="CE7CB72F"/>
    <w:multiLevelType w:val="singleLevel"/>
    <w:tmpl w:val="CE7CB72F"/>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3AD5465A"/>
    <w:multiLevelType w:val="multilevel"/>
    <w:tmpl w:val="3AD546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36AC8F"/>
    <w:multiLevelType w:val="singleLevel"/>
    <w:tmpl w:val="6236AC8F"/>
    <w:lvl w:ilvl="0" w:tentative="0">
      <w:start w:val="14"/>
      <w:numFmt w:val="decimal"/>
      <w:lvlText w:val="%1."/>
      <w:lvlJc w:val="left"/>
      <w:pPr>
        <w:tabs>
          <w:tab w:val="left" w:pos="312"/>
        </w:tabs>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NDMxZTA5NzgzYTcyZTJlNDEzMzBjYWJkNjk2YjEifQ=="/>
  </w:docVars>
  <w:rsids>
    <w:rsidRoot w:val="00172A27"/>
    <w:rsid w:val="014E2AB5"/>
    <w:rsid w:val="01AE4F39"/>
    <w:rsid w:val="023C2EC0"/>
    <w:rsid w:val="036D0006"/>
    <w:rsid w:val="042D0F2C"/>
    <w:rsid w:val="045C6A69"/>
    <w:rsid w:val="098E2225"/>
    <w:rsid w:val="0D674A6B"/>
    <w:rsid w:val="0DCC5CBF"/>
    <w:rsid w:val="11CB7FF4"/>
    <w:rsid w:val="11E04352"/>
    <w:rsid w:val="1E05210A"/>
    <w:rsid w:val="1F513E3D"/>
    <w:rsid w:val="20457022"/>
    <w:rsid w:val="22CC0344"/>
    <w:rsid w:val="231F75F7"/>
    <w:rsid w:val="247130CD"/>
    <w:rsid w:val="25123A3D"/>
    <w:rsid w:val="293561C1"/>
    <w:rsid w:val="2A1C2BC9"/>
    <w:rsid w:val="37EA54E9"/>
    <w:rsid w:val="384D5E92"/>
    <w:rsid w:val="3A8F3BCB"/>
    <w:rsid w:val="3C100752"/>
    <w:rsid w:val="3E1511E9"/>
    <w:rsid w:val="41B634FB"/>
    <w:rsid w:val="440B694C"/>
    <w:rsid w:val="474F53A8"/>
    <w:rsid w:val="49F57666"/>
    <w:rsid w:val="52466B8B"/>
    <w:rsid w:val="52AD64BD"/>
    <w:rsid w:val="55D363AB"/>
    <w:rsid w:val="564E53C4"/>
    <w:rsid w:val="565B63A2"/>
    <w:rsid w:val="56F85888"/>
    <w:rsid w:val="59FB3A08"/>
    <w:rsid w:val="5D484EDB"/>
    <w:rsid w:val="5DB010DA"/>
    <w:rsid w:val="66A87835"/>
    <w:rsid w:val="67B3A1AE"/>
    <w:rsid w:val="688248EE"/>
    <w:rsid w:val="69FD2720"/>
    <w:rsid w:val="6A49322F"/>
    <w:rsid w:val="6B1E4884"/>
    <w:rsid w:val="6C2C3FBC"/>
    <w:rsid w:val="6C494C3C"/>
    <w:rsid w:val="6CCC26BD"/>
    <w:rsid w:val="6CEE74D1"/>
    <w:rsid w:val="6D653361"/>
    <w:rsid w:val="6EA57D1D"/>
    <w:rsid w:val="6F1A5278"/>
    <w:rsid w:val="709D29A3"/>
    <w:rsid w:val="72594BA8"/>
    <w:rsid w:val="7691130A"/>
    <w:rsid w:val="77CA3F9B"/>
    <w:rsid w:val="78090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1"/>
      <w:szCs w:val="22"/>
      <w:lang w:val="en-US" w:eastAsia="zh-CN" w:bidi="ar-SA"/>
    </w:rPr>
  </w:style>
  <w:style w:type="paragraph" w:styleId="3">
    <w:name w:val="heading 1"/>
    <w:basedOn w:val="4"/>
    <w:next w:val="5"/>
    <w:qFormat/>
    <w:uiPriority w:val="0"/>
    <w:pPr>
      <w:spacing w:before="100" w:beforeAutospacing="1" w:after="100" w:afterAutospacing="1"/>
      <w:jc w:val="left"/>
      <w:outlineLvl w:val="0"/>
    </w:pPr>
    <w:rPr>
      <w:rFonts w:hint="eastAsia"/>
      <w:kern w:val="44"/>
      <w:sz w:val="48"/>
      <w:szCs w:val="48"/>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7">
    <w:name w:val="heading 3"/>
    <w:basedOn w:val="1"/>
    <w:next w:val="1"/>
    <w:qFormat/>
    <w:uiPriority w:val="0"/>
    <w:pPr>
      <w:widowControl/>
      <w:spacing w:before="100" w:beforeAutospacing="1" w:after="100" w:afterAutospacing="1"/>
      <w:jc w:val="left"/>
      <w:outlineLvl w:val="2"/>
    </w:pPr>
    <w:rPr>
      <w:kern w:val="0"/>
      <w:sz w:val="27"/>
      <w:szCs w:val="27"/>
    </w:rPr>
  </w:style>
  <w:style w:type="paragraph" w:styleId="8">
    <w:name w:val="heading 4"/>
    <w:basedOn w:val="1"/>
    <w:next w:val="1"/>
    <w:qFormat/>
    <w:uiPriority w:val="0"/>
    <w:pPr>
      <w:keepNext/>
      <w:keepLines/>
      <w:widowControl w:val="0"/>
      <w:spacing w:before="0" w:beforeLines="50" w:beforeAutospacing="0" w:after="0" w:afterLines="50" w:afterAutospacing="0" w:line="360" w:lineRule="auto"/>
      <w:ind w:left="284" w:hanging="284"/>
      <w:outlineLvl w:val="3"/>
    </w:pPr>
    <w:rPr>
      <w:rFonts w:ascii="Arial" w:hAnsi="Arial"/>
      <w:color w:val="000000"/>
      <w:sz w:val="20"/>
      <w:szCs w:val="21"/>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120" w:after="60"/>
      <w:jc w:val="center"/>
    </w:pPr>
    <w:rPr>
      <w:rFonts w:ascii="Arial" w:hAnsi="Arial"/>
      <w:b/>
      <w:kern w:val="0"/>
      <w:sz w:val="44"/>
      <w:szCs w:val="20"/>
    </w:rPr>
  </w:style>
  <w:style w:type="paragraph" w:styleId="5">
    <w:name w:val="Body Text First Indent"/>
    <w:basedOn w:val="6"/>
    <w:qFormat/>
    <w:uiPriority w:val="0"/>
    <w:pPr>
      <w:ind w:firstLine="420"/>
    </w:pPr>
    <w:rPr>
      <w:rFonts w:ascii="Times New Roman" w:hAnsi="Times New Roman"/>
    </w:rPr>
  </w:style>
  <w:style w:type="paragraph" w:styleId="6">
    <w:name w:val="Body Text"/>
    <w:basedOn w:val="1"/>
    <w:unhideWhenUsed/>
    <w:qFormat/>
    <w:uiPriority w:val="99"/>
    <w:pPr>
      <w:spacing w:after="120"/>
    </w:pPr>
    <w:rPr>
      <w:rFonts w:ascii="Calibri" w:hAnsi="Calibri"/>
      <w:kern w:val="0"/>
      <w:sz w:val="20"/>
      <w:szCs w:val="20"/>
    </w:rPr>
  </w:style>
  <w:style w:type="paragraph" w:styleId="9">
    <w:name w:val="Normal Indent"/>
    <w:basedOn w:val="1"/>
    <w:qFormat/>
    <w:uiPriority w:val="0"/>
    <w:pPr>
      <w:ind w:firstLine="420" w:firstLineChars="200"/>
    </w:pPr>
  </w:style>
  <w:style w:type="paragraph" w:styleId="10">
    <w:name w:val="annotation text"/>
    <w:basedOn w:val="1"/>
    <w:unhideWhenUsed/>
    <w:qFormat/>
    <w:uiPriority w:val="99"/>
    <w:pPr>
      <w:jc w:val="left"/>
    </w:pPr>
    <w:rPr>
      <w:rFonts w:ascii="Calibri" w:hAnsi="Calibri"/>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3">
    <w:name w:val="Plain Text"/>
    <w:basedOn w:val="1"/>
    <w:qFormat/>
    <w:uiPriority w:val="0"/>
    <w:rPr>
      <w:rFonts w:hAnsi="Courier New"/>
      <w:kern w:val="0"/>
      <w:sz w:val="20"/>
      <w:szCs w:val="20"/>
    </w:rPr>
  </w:style>
  <w:style w:type="paragraph" w:styleId="14">
    <w:name w:val="Date"/>
    <w:basedOn w:val="1"/>
    <w:next w:val="1"/>
    <w:qFormat/>
    <w:uiPriority w:val="0"/>
    <w:rPr>
      <w:rFonts w:ascii="Times New Roman" w:hAnsi="Times New Roman"/>
      <w:kern w:val="0"/>
      <w:sz w:val="20"/>
      <w:szCs w:val="20"/>
    </w:rPr>
  </w:style>
  <w:style w:type="paragraph" w:styleId="15">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9060"/>
      </w:tabs>
      <w:adjustRightInd w:val="0"/>
      <w:snapToGrid w:val="0"/>
      <w:spacing w:line="360" w:lineRule="auto"/>
      <w:jc w:val="left"/>
      <w:textAlignment w:val="baseline"/>
    </w:pPr>
    <w:rPr>
      <w:caps/>
      <w:kern w:val="0"/>
      <w:sz w:val="24"/>
      <w:szCs w:val="32"/>
    </w:rPr>
  </w:style>
  <w:style w:type="paragraph" w:styleId="18">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19">
    <w:name w:val="Normal (Web)"/>
    <w:basedOn w:val="1"/>
    <w:unhideWhenUsed/>
    <w:qFormat/>
    <w:uiPriority w:val="99"/>
    <w:pPr>
      <w:spacing w:before="100" w:beforeAutospacing="1" w:after="100" w:afterAutospacing="1"/>
      <w:jc w:val="left"/>
    </w:pPr>
    <w:rPr>
      <w:kern w:val="0"/>
      <w:sz w:val="24"/>
    </w:rPr>
  </w:style>
  <w:style w:type="character" w:styleId="22">
    <w:name w:val="Strong"/>
    <w:basedOn w:val="21"/>
    <w:qFormat/>
    <w:uiPriority w:val="0"/>
    <w:rPr>
      <w:b/>
    </w:rPr>
  </w:style>
  <w:style w:type="character" w:styleId="23">
    <w:name w:val="page number"/>
    <w:qFormat/>
    <w:uiPriority w:val="0"/>
    <w:rPr>
      <w:rFonts w:cs="Times New Roman"/>
    </w:rPr>
  </w:style>
  <w:style w:type="character" w:styleId="24">
    <w:name w:val="Hyperlink"/>
    <w:unhideWhenUsed/>
    <w:qFormat/>
    <w:uiPriority w:val="99"/>
    <w:rPr>
      <w:color w:val="000000"/>
      <w:u w:val="none"/>
    </w:rPr>
  </w:style>
  <w:style w:type="paragraph" w:customStyle="1" w:styleId="25">
    <w:name w:val="章节二"/>
    <w:basedOn w:val="1"/>
    <w:next w:val="1"/>
    <w:qFormat/>
    <w:uiPriority w:val="0"/>
    <w:pPr>
      <w:topLinePunct/>
      <w:adjustRightInd w:val="0"/>
      <w:snapToGrid w:val="0"/>
      <w:spacing w:beforeLines="50"/>
      <w:jc w:val="center"/>
      <w:outlineLvl w:val="1"/>
    </w:pPr>
    <w:rPr>
      <w:rFonts w:eastAsia="黑体"/>
      <w:b/>
      <w:spacing w:val="4"/>
      <w:kern w:val="0"/>
      <w:sz w:val="30"/>
      <w:szCs w:val="30"/>
    </w:rPr>
  </w:style>
  <w:style w:type="character" w:customStyle="1" w:styleId="26">
    <w:name w:val="标题 1 字符"/>
    <w:qFormat/>
    <w:uiPriority w:val="0"/>
    <w:rPr>
      <w:rFonts w:hint="eastAsia"/>
      <w:b/>
      <w:kern w:val="44"/>
      <w:sz w:val="48"/>
      <w:szCs w:val="48"/>
    </w:rPr>
  </w:style>
  <w:style w:type="paragraph" w:customStyle="1" w:styleId="27">
    <w:name w:val="_Style 54"/>
    <w:basedOn w:val="1"/>
    <w:next w:val="28"/>
    <w:qFormat/>
    <w:uiPriority w:val="34"/>
    <w:pPr>
      <w:ind w:firstLine="420" w:firstLineChars="200"/>
    </w:pPr>
    <w:rPr>
      <w:rFonts w:ascii="Calibri" w:hAnsi="Calibri"/>
    </w:rPr>
  </w:style>
  <w:style w:type="paragraph" w:styleId="28">
    <w:name w:val="List Paragraph"/>
    <w:basedOn w:val="1"/>
    <w:qFormat/>
    <w:uiPriority w:val="34"/>
    <w:pPr>
      <w:ind w:firstLine="420" w:firstLineChars="200"/>
    </w:pPr>
    <w:rPr>
      <w:rFonts w:ascii="Times New Roman" w:hAnsi="Times New Roman" w:eastAsia="宋体" w:cs="Times New Roman"/>
      <w:szCs w:val="20"/>
    </w:rPr>
  </w:style>
  <w:style w:type="paragraph" w:customStyle="1" w:styleId="29">
    <w:name w:val="null3"/>
    <w:hidden/>
    <w:qFormat/>
    <w:uiPriority w:val="0"/>
    <w:rPr>
      <w:rFonts w:hint="eastAsia" w:asciiTheme="minorHAnsi" w:hAnsiTheme="minorHAnsi" w:eastAsiaTheme="minorEastAsia" w:cstheme="minorBidi"/>
      <w:lang w:val="en-US" w:eastAsia="zh-Hans" w:bidi="ar-SA"/>
    </w:rPr>
  </w:style>
  <w:style w:type="paragraph" w:customStyle="1" w:styleId="30">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szCs w:val="24"/>
    </w:rPr>
  </w:style>
  <w:style w:type="paragraph" w:customStyle="1" w:styleId="31">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74593</Words>
  <Characters>80281</Characters>
  <Lines>0</Lines>
  <Paragraphs>0</Paragraphs>
  <TotalTime>0</TotalTime>
  <ScaleCrop>false</ScaleCrop>
  <LinksUpToDate>false</LinksUpToDate>
  <CharactersWithSpaces>82924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2024-11-29T15:31:00Z</dcterms:created>
  <dc:creator>Lenovo</dc:creator>
  <cp:lastModifiedBy>邹小红</cp:lastModifiedBy>
  <dcterms:modified xsi:type="dcterms:W3CDTF">2025-03-14T09:13:11Z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2950748F353F4E99B46A80EF038F9A04_13</vt:lpwstr>
  </property>
</Properties>
</file>