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default" w:ascii="宋体" w:hAnsi="宋体" w:eastAsia="宋体" w:cs="宋体"/>
          <w:b/>
          <w:bCs/>
          <w:kern w:val="44"/>
          <w:sz w:val="30"/>
          <w:szCs w:val="30"/>
          <w:highlight w:val="none"/>
          <w:lang w:val="en-US" w:eastAsia="zh-CN"/>
        </w:rPr>
      </w:pPr>
      <w:r>
        <w:rPr>
          <w:rFonts w:hint="eastAsia" w:ascii="宋体" w:hAnsi="宋体" w:eastAsia="宋体" w:cs="宋体"/>
          <w:b/>
          <w:bCs/>
          <w:kern w:val="44"/>
          <w:sz w:val="30"/>
          <w:szCs w:val="30"/>
          <w:highlight w:val="none"/>
          <w:lang w:val="en-US" w:eastAsia="zh-CN"/>
        </w:rPr>
        <w:t>附件1：</w:t>
      </w:r>
    </w:p>
    <w:p>
      <w:pPr>
        <w:pStyle w:val="3"/>
        <w:spacing w:after="240" w:line="380" w:lineRule="atLeast"/>
        <w:jc w:val="center"/>
        <w:rPr>
          <w:rFonts w:ascii="宋体" w:hAnsi="宋体"/>
          <w:b w:val="0"/>
          <w:bCs w:val="0"/>
          <w:highlight w:val="none"/>
        </w:rPr>
      </w:pPr>
      <w:bookmarkStart w:id="0" w:name="_Toc152042319"/>
      <w:bookmarkEnd w:id="0"/>
      <w:bookmarkStart w:id="1" w:name="_Toc144974511"/>
      <w:bookmarkEnd w:id="1"/>
      <w:bookmarkStart w:id="2" w:name="_Toc361508599"/>
      <w:bookmarkEnd w:id="2"/>
      <w:bookmarkStart w:id="3" w:name="_Toc152045543"/>
      <w:bookmarkEnd w:id="3"/>
      <w:bookmarkStart w:id="4" w:name="_Toc247513967"/>
      <w:bookmarkEnd w:id="4"/>
      <w:bookmarkStart w:id="5" w:name="_Toc384308224"/>
      <w:bookmarkEnd w:id="5"/>
      <w:bookmarkStart w:id="6" w:name="_Toc15242"/>
      <w:bookmarkEnd w:id="6"/>
      <w:bookmarkStart w:id="7" w:name="_Toc352691487"/>
      <w:bookmarkEnd w:id="7"/>
      <w:bookmarkStart w:id="8" w:name="_Toc369531530"/>
      <w:bookmarkEnd w:id="8"/>
      <w:bookmarkStart w:id="9" w:name="_Toc300834964"/>
      <w:bookmarkEnd w:id="9"/>
      <w:bookmarkStart w:id="10" w:name="_Toc247527568"/>
      <w:bookmarkEnd w:id="10"/>
      <w:bookmarkStart w:id="11" w:name="_Toc23516"/>
      <w:bookmarkStart w:id="12" w:name="_Toc503235805"/>
      <w:bookmarkStart w:id="13" w:name="_Toc28377"/>
      <w:bookmarkStart w:id="14" w:name="_Toc509407133"/>
      <w:r>
        <w:rPr>
          <w:rStyle w:val="21"/>
          <w:rFonts w:ascii="宋体" w:hAnsi="宋体"/>
          <w:b/>
          <w:bCs/>
          <w:sz w:val="32"/>
          <w:szCs w:val="32"/>
          <w:highlight w:val="none"/>
        </w:rPr>
        <w:t>第三章  评标办法（</w:t>
      </w:r>
      <w:r>
        <w:rPr>
          <w:rStyle w:val="21"/>
          <w:rFonts w:hint="eastAsia" w:ascii="宋体" w:hAnsi="宋体"/>
          <w:b/>
          <w:bCs/>
          <w:sz w:val="32"/>
          <w:szCs w:val="32"/>
          <w:highlight w:val="none"/>
        </w:rPr>
        <w:t>双信封</w:t>
      </w:r>
      <w:r>
        <w:rPr>
          <w:rStyle w:val="21"/>
          <w:rFonts w:hint="eastAsia" w:ascii="宋体" w:hAnsi="宋体"/>
          <w:b/>
          <w:bCs/>
          <w:sz w:val="32"/>
          <w:szCs w:val="32"/>
          <w:highlight w:val="none"/>
          <w:lang w:val="en-US" w:eastAsia="zh-CN"/>
        </w:rPr>
        <w:t>的</w:t>
      </w:r>
      <w:r>
        <w:rPr>
          <w:rStyle w:val="21"/>
          <w:rFonts w:ascii="宋体" w:hAnsi="宋体"/>
          <w:b/>
          <w:bCs/>
          <w:sz w:val="32"/>
          <w:szCs w:val="32"/>
          <w:highlight w:val="none"/>
        </w:rPr>
        <w:t>综合评</w:t>
      </w:r>
      <w:r>
        <w:rPr>
          <w:rStyle w:val="21"/>
          <w:rFonts w:hint="eastAsia" w:ascii="宋体" w:hAnsi="宋体"/>
          <w:b/>
          <w:bCs/>
          <w:sz w:val="32"/>
          <w:szCs w:val="32"/>
          <w:highlight w:val="none"/>
        </w:rPr>
        <w:t>分</w:t>
      </w:r>
      <w:r>
        <w:rPr>
          <w:rStyle w:val="21"/>
          <w:rFonts w:ascii="宋体" w:hAnsi="宋体"/>
          <w:b/>
          <w:bCs/>
          <w:sz w:val="32"/>
          <w:szCs w:val="32"/>
          <w:highlight w:val="none"/>
        </w:rPr>
        <w:t>法）</w:t>
      </w:r>
      <w:bookmarkEnd w:id="11"/>
      <w:bookmarkEnd w:id="12"/>
      <w:bookmarkEnd w:id="13"/>
      <w:bookmarkEnd w:id="14"/>
    </w:p>
    <w:p>
      <w:pPr>
        <w:pStyle w:val="4"/>
        <w:spacing w:after="0"/>
        <w:jc w:val="left"/>
        <w:rPr>
          <w:rFonts w:eastAsia="宋体"/>
          <w:i w:val="0"/>
          <w:iCs w:val="0"/>
          <w:szCs w:val="24"/>
          <w:highlight w:val="none"/>
        </w:rPr>
      </w:pPr>
      <w:bookmarkStart w:id="15" w:name="_Toc27327"/>
      <w:bookmarkStart w:id="16" w:name="_Toc503235806"/>
      <w:bookmarkStart w:id="17" w:name="_Toc509407134"/>
      <w:r>
        <w:rPr>
          <w:rStyle w:val="21"/>
          <w:b w:val="0"/>
          <w:bCs/>
          <w:i w:val="0"/>
          <w:iCs w:val="0"/>
          <w:sz w:val="24"/>
          <w:szCs w:val="24"/>
          <w:highlight w:val="none"/>
        </w:rPr>
        <w:t>评标办法前附表</w:t>
      </w:r>
      <w:bookmarkEnd w:id="15"/>
      <w:bookmarkEnd w:id="16"/>
      <w:bookmarkEnd w:id="17"/>
    </w:p>
    <w:tbl>
      <w:tblPr>
        <w:tblStyle w:val="11"/>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6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b/>
                <w:spacing w:val="4"/>
                <w:szCs w:val="21"/>
                <w:highlight w:val="none"/>
              </w:rPr>
            </w:pPr>
            <w:r>
              <w:rPr>
                <w:rFonts w:hint="eastAsia" w:ascii="宋体" w:hAnsi="宋体" w:eastAsia="宋体" w:cs="宋体"/>
                <w:b/>
                <w:spacing w:val="4"/>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280"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评标方法</w:t>
            </w:r>
          </w:p>
        </w:tc>
        <w:tc>
          <w:tcPr>
            <w:tcW w:w="6622" w:type="dxa"/>
            <w:tcBorders>
              <w:top w:val="single" w:color="auto" w:sz="4" w:space="0"/>
              <w:left w:val="single" w:color="auto" w:sz="4" w:space="0"/>
              <w:right w:val="single" w:color="auto" w:sz="4" w:space="0"/>
            </w:tcBorders>
            <w:vAlign w:val="center"/>
          </w:tcPr>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综合评分相等时，评标委员会依次按照以下优先顺序推荐中标候选人或确定中标人：</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（1）评标价低的投标人优先；</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）商务和技术得分较高的投标人优先；</w:t>
            </w:r>
          </w:p>
          <w:p>
            <w:pPr>
              <w:adjustRightInd w:val="0"/>
              <w:snapToGrid w:val="0"/>
              <w:spacing w:line="24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3</w:t>
            </w:r>
            <w:r>
              <w:rPr>
                <w:rFonts w:hint="eastAsia" w:ascii="宋体" w:hAnsi="宋体" w:eastAsia="宋体" w:cs="宋体"/>
                <w:szCs w:val="21"/>
                <w:highlight w:val="none"/>
              </w:rPr>
              <w:t>）</w:t>
            </w:r>
            <w:r>
              <w:rPr>
                <w:rFonts w:hint="eastAsia" w:ascii="宋体" w:hAnsi="宋体" w:eastAsia="宋体" w:cs="宋体"/>
                <w:szCs w:val="21"/>
                <w:highlight w:val="none"/>
                <w:lang w:val="zh-CN" w:eastAsia="zh-CN"/>
              </w:rPr>
              <w:t>评标委员会视投标人情况综合比较，投票确定其名次</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2.1.1</w:t>
            </w:r>
          </w:p>
          <w:p>
            <w:pPr>
              <w:adjustRightInd w:val="0"/>
              <w:snapToGri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2.1.3</w:t>
            </w:r>
          </w:p>
        </w:tc>
        <w:tc>
          <w:tcPr>
            <w:tcW w:w="1280"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形式评审与响应性评审标准</w:t>
            </w:r>
          </w:p>
        </w:tc>
        <w:tc>
          <w:tcPr>
            <w:tcW w:w="6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第一个信封（商务及技术文件）评审标准：</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（1）投标文件按照招标文件规定的格式、内容填写，字迹清晰可辨：</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a.投标函按招标文件规定填报了项目名称、标段号（如有）、补遗书编号（如有）、服务期限、工程质量要求及安全目标；</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b.投标文件组成齐全完整，内容均按规定填写。</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（2）投标文件上法定代表人或其委托代理人的签字、投标人的单位章盖章齐全，符合招标文件规定。</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 投标人按照招标文件的规定提供了投标保证金：</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a.投标保证金金额符合招标文件规定的金额，且投标保证金有效期不少于投标有效期；</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b.若投标保证金采用现金或支票形式提交，投标人应在招标文件规定的投标保证金递交截止时间之前，将投标保证金由投标人的基本账户转入招标人指定账户；</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w:t>
            </w:r>
            <w:r>
              <w:rPr>
                <w:rFonts w:hint="eastAsia" w:ascii="宋体" w:hAnsi="宋体" w:eastAsia="宋体" w:cs="宋体"/>
                <w:szCs w:val="21"/>
                <w:highlight w:val="none"/>
                <w:lang w:val="zh-CN" w:eastAsia="zh-CN"/>
              </w:rPr>
              <w:t>若投标保证金采用银行保函形式提交，银行保函的格式、开具保函的银行均满足招标文件要求，银行保函原件在递交投标文件时单独密封递交，其复印件装订在投标文件中</w:t>
            </w:r>
            <w:r>
              <w:rPr>
                <w:rFonts w:hint="eastAsia" w:ascii="宋体" w:hAnsi="宋体" w:eastAsia="宋体" w:cs="宋体"/>
                <w:szCs w:val="21"/>
                <w:highlight w:val="none"/>
              </w:rPr>
              <w:t>。</w:t>
            </w:r>
          </w:p>
          <w:p>
            <w:pPr>
              <w:pStyle w:val="6"/>
              <w:ind w:firstLine="420" w:firstLineChars="200"/>
              <w:rPr>
                <w:rFonts w:hint="eastAsia"/>
                <w:highlight w:val="none"/>
              </w:rPr>
            </w:pPr>
            <w:r>
              <w:rPr>
                <w:rFonts w:hint="eastAsia"/>
                <w:highlight w:val="none"/>
                <w:lang w:val="en-US" w:eastAsia="zh-CN"/>
              </w:rPr>
              <w:t>d.</w:t>
            </w:r>
            <w:r>
              <w:rPr>
                <w:rFonts w:hint="eastAsia"/>
                <w:highlight w:val="none"/>
                <w:lang w:val="zh-CN" w:eastAsia="zh-CN"/>
              </w:rPr>
              <w:t>若投标保证金采用</w:t>
            </w:r>
            <w:r>
              <w:rPr>
                <w:rFonts w:hint="eastAsia"/>
                <w:highlight w:val="none"/>
                <w:lang w:val="en-US" w:eastAsia="zh-CN"/>
              </w:rPr>
              <w:t>其他</w:t>
            </w:r>
            <w:r>
              <w:rPr>
                <w:rFonts w:hint="eastAsia"/>
                <w:highlight w:val="none"/>
                <w:lang w:val="zh-CN" w:eastAsia="zh-CN"/>
              </w:rPr>
              <w:t>形式提交，</w:t>
            </w:r>
            <w:r>
              <w:rPr>
                <w:rFonts w:hint="eastAsia"/>
                <w:highlight w:val="none"/>
                <w:lang w:val="en-US" w:eastAsia="zh-CN"/>
              </w:rPr>
              <w:t>应满足须知前附表3.4.1项的规定。</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（4）投标人法定代表人授权委托代理人签署投标文件的，须提交授权委托书，且授权人和被授权人均在授权委托书上签名，未使用印章、签名章或其他电子制版签名代替。</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（5）投标人法定代表人亲自签署投标文件的，提供了法定代表人身份证明，且法定代表人在法定代表人身份证明上签名，未使用印章、签名章或其他电子制版签名代替。</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（6）投标人未以联合体形式投标。</w:t>
            </w:r>
            <w:r>
              <w:rPr>
                <w:rFonts w:hint="eastAsia" w:ascii="宋体" w:hAnsi="宋体" w:eastAsia="宋体" w:cs="宋体"/>
                <w:i/>
                <w:iCs/>
                <w:szCs w:val="21"/>
                <w:highlight w:val="none"/>
              </w:rPr>
              <w:t>（适用于不允许联合体投标的）</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（7）同一投标人未提交两个以上不同的投标文件，但招标文件要求提交备选投标的除外。</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（8）投标文件中未出现有关投标报价的内容。</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（9）投标文件载明的招标项目完成期限未超过招标文件规定的时限。</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（10）投标文件对招标文件的实质性要求和条件作出响应。</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（11）权利义务符合招标文件规定：</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a.投标人应接受招标文件规定的风险划分原则，未提出新的风险划分办法；</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b.投标人未增加委托人的责任范围，或减少投标人义务；</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c.投标人未提出不同的支付办法；</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d.投标人对合同纠纷、事故处理办法未提出异议；</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e.投标人在投标活动中无欺诈行为；</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f.投标人未对合同条款有重要保留。</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（12）投标文件正、副本份数符合招标文件第二章“投标人须知”第3.7.4项规定。</w:t>
            </w:r>
          </w:p>
          <w:p>
            <w:pPr>
              <w:adjustRightInd w:val="0"/>
              <w:snapToGrid w:val="0"/>
              <w:spacing w:line="240" w:lineRule="auto"/>
              <w:ind w:firstLine="420" w:firstLineChars="200"/>
              <w:rPr>
                <w:rFonts w:hint="eastAsia" w:ascii="宋体" w:hAnsi="宋体" w:eastAsia="宋体" w:cs="宋体"/>
                <w:szCs w:val="21"/>
                <w:highlight w:val="none"/>
              </w:rPr>
            </w:pPr>
          </w:p>
          <w:p>
            <w:pPr>
              <w:adjustRightInd w:val="0"/>
              <w:snapToGrid w:val="0"/>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第二个信封（报价文件）评审标准：</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（1）投标文件按照招标文件规定的格式、内容填写，字迹清晰可辨，内容齐全完整：</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a.投标函按招标文件规定填报了项目名称、标段号（如有）、补遗书编号（如有）、投标</w:t>
            </w:r>
            <w:r>
              <w:rPr>
                <w:rFonts w:hint="eastAsia" w:ascii="宋体" w:hAnsi="宋体" w:eastAsia="宋体" w:cs="宋体"/>
                <w:szCs w:val="21"/>
                <w:highlight w:val="none"/>
                <w:lang w:val="en-US" w:eastAsia="zh-CN"/>
              </w:rPr>
              <w:t>总报</w:t>
            </w:r>
            <w:r>
              <w:rPr>
                <w:rFonts w:hint="eastAsia" w:ascii="宋体" w:hAnsi="宋体" w:eastAsia="宋体" w:cs="宋体"/>
                <w:szCs w:val="21"/>
                <w:highlight w:val="none"/>
              </w:rPr>
              <w:t>价（包括大写金额和小写金额）；</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b.已标价报价清单说明文字与招标文件规定一致，未进行实质性修改和删减；</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c.投标文件组成齐全完整，内容均按规定填写。</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（2）投标文件上法定代表人或其委托代理人的签字、投标人的单位章盖章齐全，符合招标文件规定。</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（3）投标报价未超过招标文件设定的最高投标限价（如有）。</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（4）投标报价的大写金额能够确定具体数值。</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（5）同一投标人未提交两个以上不同的投标报价，但招标文件要求提交备选投标的除外。</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 w:hRule="atLeast"/>
        </w:trPr>
        <w:tc>
          <w:tcPr>
            <w:tcW w:w="989"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2.1.2</w:t>
            </w:r>
          </w:p>
        </w:tc>
        <w:tc>
          <w:tcPr>
            <w:tcW w:w="1280"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资格评审标准</w:t>
            </w:r>
          </w:p>
        </w:tc>
        <w:tc>
          <w:tcPr>
            <w:tcW w:w="6622" w:type="dxa"/>
            <w:tcBorders>
              <w:top w:val="single" w:color="auto" w:sz="4" w:space="0"/>
              <w:left w:val="single" w:color="auto" w:sz="4" w:space="0"/>
              <w:right w:val="single" w:color="auto" w:sz="4" w:space="0"/>
            </w:tcBorders>
            <w:vAlign w:val="center"/>
          </w:tcPr>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（1）投标人具备有效的营业执照、资质证书</w:t>
            </w:r>
            <w:r>
              <w:rPr>
                <w:rFonts w:hint="eastAsia" w:ascii="宋体" w:hAnsi="宋体" w:cs="宋体"/>
                <w:szCs w:val="21"/>
                <w:highlight w:val="none"/>
                <w:lang w:eastAsia="zh-CN"/>
              </w:rPr>
              <w:t>（</w:t>
            </w:r>
            <w:r>
              <w:rPr>
                <w:rFonts w:hint="eastAsia" w:ascii="宋体" w:hAnsi="宋体" w:cs="宋体"/>
                <w:szCs w:val="21"/>
                <w:highlight w:val="none"/>
                <w:lang w:val="en-US" w:eastAsia="zh-CN"/>
              </w:rPr>
              <w:t>如有</w:t>
            </w:r>
            <w:r>
              <w:rPr>
                <w:rFonts w:hint="eastAsia" w:ascii="宋体" w:hAnsi="宋体" w:cs="宋体"/>
                <w:szCs w:val="21"/>
                <w:highlight w:val="none"/>
                <w:lang w:eastAsia="zh-CN"/>
              </w:rPr>
              <w:t>）</w:t>
            </w:r>
            <w:r>
              <w:rPr>
                <w:rFonts w:hint="eastAsia" w:ascii="宋体" w:hAnsi="宋体" w:eastAsia="宋体" w:cs="宋体"/>
                <w:szCs w:val="21"/>
                <w:highlight w:val="none"/>
              </w:rPr>
              <w:t>和基本账户开户许可证（如企业所在地已取消企业银行账户许可而无法提供开户许可证的，则需附上开户银行盖章的“基本存款账户信息”或“人民银行账户管理系统查询的基本账户信息截图”）。</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（2）投标人的资质等级符合招标文件规定。</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（3）投标人的类似工程业绩符合招标文件规定。</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（4）投标人的信誉符合招标文件规定。</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（5）投标人的</w:t>
            </w:r>
            <w:r>
              <w:rPr>
                <w:rFonts w:hint="eastAsia" w:ascii="宋体" w:hAnsi="宋体" w:cs="宋体"/>
                <w:szCs w:val="21"/>
                <w:highlight w:val="none"/>
                <w:lang w:val="en-US" w:eastAsia="zh-CN"/>
              </w:rPr>
              <w:t>项目负责人</w:t>
            </w:r>
            <w:r>
              <w:rPr>
                <w:rFonts w:hint="eastAsia" w:ascii="宋体" w:hAnsi="宋体" w:eastAsia="宋体" w:cs="宋体"/>
                <w:szCs w:val="21"/>
                <w:highlight w:val="none"/>
              </w:rPr>
              <w:t>（含备选，如有）资格、在岗情况符合招标文件规定，并按规定在投标文件中签字确认。</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（6）投标人的其他要求符合招标文件规定。</w:t>
            </w:r>
          </w:p>
          <w:p>
            <w:pPr>
              <w:adjustRightInd w:val="0"/>
              <w:snapToGrid w:val="0"/>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（7）投标人不存在第二章“投标人须知”第1.4.3项或第1.4.4项规定的任何一种情形。</w:t>
            </w:r>
          </w:p>
        </w:tc>
      </w:tr>
    </w:tbl>
    <w:p>
      <w:pPr>
        <w:rPr>
          <w:rFonts w:ascii="宋体" w:hAnsi="宋体" w:eastAsia="宋体"/>
          <w:highlight w:val="none"/>
        </w:rPr>
      </w:pPr>
    </w:p>
    <w:p>
      <w:pPr>
        <w:ind w:right="210" w:rightChars="100"/>
        <w:jc w:val="right"/>
        <w:rPr>
          <w:rFonts w:ascii="宋体" w:hAnsi="宋体" w:eastAsia="宋体"/>
          <w:b/>
          <w:bCs/>
          <w:highlight w:val="none"/>
        </w:rPr>
      </w:pPr>
      <w:r>
        <w:rPr>
          <w:rFonts w:ascii="宋体" w:hAnsi="宋体" w:eastAsia="宋体"/>
          <w:b/>
          <w:bCs/>
          <w:spacing w:val="4"/>
          <w:szCs w:val="21"/>
          <w:highlight w:val="none"/>
        </w:rPr>
        <w:br w:type="page"/>
      </w:r>
      <w:r>
        <w:rPr>
          <w:rFonts w:ascii="宋体" w:hAnsi="宋体" w:eastAsia="宋体"/>
          <w:spacing w:val="4"/>
          <w:szCs w:val="21"/>
          <w:highlight w:val="none"/>
        </w:rPr>
        <w:t>续上表</w:t>
      </w:r>
    </w:p>
    <w:tbl>
      <w:tblPr>
        <w:tblStyle w:val="11"/>
        <w:tblW w:w="91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9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right w:val="single" w:color="auto" w:sz="4" w:space="0"/>
            </w:tcBorders>
            <w:vAlign w:val="center"/>
          </w:tcPr>
          <w:p>
            <w:pPr>
              <w:adjustRightInd w:val="0"/>
              <w:snapToGrid w:val="0"/>
              <w:spacing w:line="360" w:lineRule="auto"/>
              <w:jc w:val="center"/>
              <w:rPr>
                <w:rFonts w:ascii="宋体" w:hAnsi="宋体" w:eastAsia="宋体" w:cs="宋体"/>
                <w:b/>
                <w:szCs w:val="21"/>
                <w:highlight w:val="none"/>
              </w:rPr>
            </w:pPr>
            <w:r>
              <w:rPr>
                <w:rFonts w:hint="eastAsia" w:ascii="宋体" w:hAnsi="宋体" w:eastAsia="宋体" w:cs="宋体"/>
                <w:b/>
                <w:szCs w:val="21"/>
                <w:highlight w:val="none"/>
              </w:rPr>
              <w:t>条款号</w:t>
            </w:r>
          </w:p>
        </w:tc>
        <w:tc>
          <w:tcPr>
            <w:tcW w:w="1280" w:type="dxa"/>
            <w:tcBorders>
              <w:top w:val="single" w:color="auto" w:sz="4" w:space="0"/>
              <w:right w:val="single" w:color="auto" w:sz="4" w:space="0"/>
            </w:tcBorders>
            <w:vAlign w:val="center"/>
          </w:tcPr>
          <w:p>
            <w:pPr>
              <w:adjustRightInd w:val="0"/>
              <w:snapToGrid w:val="0"/>
              <w:spacing w:line="360" w:lineRule="auto"/>
              <w:jc w:val="center"/>
              <w:rPr>
                <w:rFonts w:ascii="宋体" w:hAnsi="宋体" w:eastAsia="宋体" w:cs="宋体"/>
                <w:b/>
                <w:szCs w:val="21"/>
                <w:highlight w:val="none"/>
              </w:rPr>
            </w:pPr>
            <w:r>
              <w:rPr>
                <w:rFonts w:hint="eastAsia" w:ascii="宋体" w:hAnsi="宋体" w:eastAsia="宋体" w:cs="宋体"/>
                <w:b/>
                <w:szCs w:val="21"/>
                <w:highlight w:val="none"/>
              </w:rPr>
              <w:t>条款内容</w:t>
            </w:r>
          </w:p>
        </w:tc>
        <w:tc>
          <w:tcPr>
            <w:tcW w:w="6914"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eastAsia="宋体" w:cs="宋体"/>
                <w:b/>
                <w:szCs w:val="21"/>
                <w:highlight w:val="none"/>
              </w:rPr>
            </w:pPr>
            <w:r>
              <w:rPr>
                <w:rFonts w:hint="eastAsia" w:ascii="宋体" w:hAnsi="宋体" w:eastAsia="宋体" w:cs="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right w:val="single" w:color="auto" w:sz="4" w:space="0"/>
            </w:tcBorders>
            <w:vAlign w:val="center"/>
          </w:tcPr>
          <w:p>
            <w:pPr>
              <w:adjustRightInd w:val="0"/>
              <w:snapToGri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2.2.1</w:t>
            </w:r>
          </w:p>
        </w:tc>
        <w:tc>
          <w:tcPr>
            <w:tcW w:w="1280" w:type="dxa"/>
            <w:tcBorders>
              <w:top w:val="single" w:color="auto" w:sz="4" w:space="0"/>
              <w:right w:val="single" w:color="auto" w:sz="4" w:space="0"/>
            </w:tcBorders>
            <w:vAlign w:val="center"/>
          </w:tcPr>
          <w:p>
            <w:pPr>
              <w:adjustRightInd w:val="0"/>
              <w:snapToGri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分值构成</w:t>
            </w:r>
          </w:p>
          <w:p>
            <w:pPr>
              <w:adjustRightInd w:val="0"/>
              <w:snapToGrid w:val="0"/>
              <w:spacing w:line="360" w:lineRule="auto"/>
              <w:ind w:left="-105" w:leftChars="-50" w:right="-105" w:rightChars="-50"/>
              <w:jc w:val="center"/>
              <w:rPr>
                <w:rFonts w:ascii="宋体" w:hAnsi="宋体" w:eastAsia="宋体" w:cs="宋体"/>
                <w:szCs w:val="21"/>
                <w:highlight w:val="none"/>
              </w:rPr>
            </w:pPr>
            <w:r>
              <w:rPr>
                <w:rFonts w:hint="eastAsia" w:ascii="宋体" w:hAnsi="宋体" w:eastAsia="宋体" w:cs="宋体"/>
                <w:szCs w:val="21"/>
                <w:highlight w:val="none"/>
              </w:rPr>
              <w:t>（总分100分）</w:t>
            </w:r>
          </w:p>
        </w:tc>
        <w:tc>
          <w:tcPr>
            <w:tcW w:w="6914" w:type="dxa"/>
            <w:tcBorders>
              <w:top w:val="single" w:color="auto" w:sz="4" w:space="0"/>
              <w:left w:val="single" w:color="auto" w:sz="4" w:space="0"/>
              <w:right w:val="single" w:color="auto" w:sz="4" w:space="0"/>
            </w:tcBorders>
            <w:vAlign w:val="center"/>
          </w:tcPr>
          <w:p>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第一个信封（商务及技术文件）评分分值构成：</w:t>
            </w:r>
          </w:p>
          <w:p>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cs="宋体"/>
                <w:szCs w:val="21"/>
                <w:highlight w:val="none"/>
                <w:lang w:val="en-US" w:eastAsia="zh-CN"/>
              </w:rPr>
              <w:t>技术建议书</w:t>
            </w:r>
            <w:r>
              <w:rPr>
                <w:rFonts w:hint="eastAsia" w:ascii="宋体" w:hAnsi="宋体" w:eastAsia="宋体" w:cs="宋体"/>
                <w:szCs w:val="21"/>
                <w:highlight w:val="none"/>
              </w:rPr>
              <w:t>：</w:t>
            </w:r>
            <w:r>
              <w:rPr>
                <w:rFonts w:hint="eastAsia" w:ascii="宋体" w:hAnsi="宋体" w:eastAsia="宋体" w:cs="宋体"/>
                <w:szCs w:val="21"/>
                <w:highlight w:val="none"/>
                <w:u w:val="single"/>
              </w:rPr>
              <w:t>40</w:t>
            </w:r>
            <w:r>
              <w:rPr>
                <w:rFonts w:hint="eastAsia" w:ascii="宋体" w:hAnsi="宋体" w:eastAsia="宋体" w:cs="宋体"/>
                <w:szCs w:val="21"/>
                <w:highlight w:val="none"/>
              </w:rPr>
              <w:t>分</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主要人员：</w:t>
            </w:r>
            <w:r>
              <w:rPr>
                <w:rFonts w:hint="eastAsia" w:ascii="宋体" w:hAnsi="宋体" w:cs="宋体"/>
                <w:szCs w:val="21"/>
                <w:highlight w:val="none"/>
                <w:u w:val="single"/>
                <w:lang w:val="en-US" w:eastAsia="zh-CN"/>
              </w:rPr>
              <w:t>20</w:t>
            </w:r>
            <w:r>
              <w:rPr>
                <w:rFonts w:hint="eastAsia" w:ascii="宋体" w:hAnsi="宋体" w:eastAsia="宋体" w:cs="宋体"/>
                <w:szCs w:val="21"/>
                <w:highlight w:val="none"/>
              </w:rPr>
              <w:t>分</w:t>
            </w:r>
          </w:p>
          <w:p>
            <w:pPr>
              <w:adjustRightInd w:val="0"/>
              <w:snapToGrid w:val="0"/>
              <w:spacing w:line="360" w:lineRule="auto"/>
              <w:ind w:firstLine="840" w:firstLineChars="400"/>
              <w:rPr>
                <w:rFonts w:ascii="宋体" w:hAnsi="宋体" w:eastAsia="宋体" w:cs="宋体"/>
                <w:szCs w:val="21"/>
                <w:highlight w:val="none"/>
              </w:rPr>
            </w:pPr>
            <w:r>
              <w:rPr>
                <w:rFonts w:hint="eastAsia" w:ascii="宋体" w:hAnsi="宋体" w:cs="宋体"/>
                <w:szCs w:val="21"/>
                <w:highlight w:val="none"/>
                <w:lang w:val="en-US" w:eastAsia="zh-CN"/>
              </w:rPr>
              <w:t>项目负责人</w:t>
            </w:r>
            <w:r>
              <w:rPr>
                <w:rFonts w:hint="eastAsia" w:ascii="宋体" w:hAnsi="宋体" w:eastAsia="宋体" w:cs="宋体"/>
                <w:szCs w:val="21"/>
                <w:highlight w:val="none"/>
              </w:rPr>
              <w:t>：</w:t>
            </w:r>
            <w:r>
              <w:rPr>
                <w:rFonts w:hint="eastAsia" w:ascii="宋体" w:hAnsi="宋体" w:cs="宋体"/>
                <w:szCs w:val="21"/>
                <w:highlight w:val="none"/>
                <w:u w:val="single"/>
                <w:lang w:val="en-US" w:eastAsia="zh-CN"/>
              </w:rPr>
              <w:t>10</w:t>
            </w:r>
            <w:r>
              <w:rPr>
                <w:rFonts w:hint="eastAsia" w:ascii="宋体" w:hAnsi="宋体" w:eastAsia="宋体" w:cs="宋体"/>
                <w:szCs w:val="21"/>
                <w:highlight w:val="none"/>
              </w:rPr>
              <w:t>分</w:t>
            </w:r>
          </w:p>
          <w:p>
            <w:pPr>
              <w:adjustRightInd w:val="0"/>
              <w:snapToGrid w:val="0"/>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其他主要人员：</w:t>
            </w:r>
            <w:r>
              <w:rPr>
                <w:rFonts w:hint="eastAsia" w:ascii="宋体" w:hAnsi="宋体" w:cs="宋体"/>
                <w:szCs w:val="21"/>
                <w:highlight w:val="none"/>
                <w:u w:val="single"/>
                <w:lang w:val="en-US" w:eastAsia="zh-CN"/>
              </w:rPr>
              <w:t>10</w:t>
            </w:r>
            <w:r>
              <w:rPr>
                <w:rFonts w:hint="eastAsia" w:ascii="宋体" w:hAnsi="宋体" w:eastAsia="宋体" w:cs="宋体"/>
                <w:szCs w:val="21"/>
                <w:highlight w:val="none"/>
              </w:rPr>
              <w:t>分</w:t>
            </w:r>
          </w:p>
          <w:p>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其他因素：</w:t>
            </w:r>
            <w:r>
              <w:rPr>
                <w:rFonts w:hint="eastAsia" w:ascii="宋体" w:hAnsi="宋体" w:cs="宋体"/>
                <w:szCs w:val="21"/>
                <w:highlight w:val="none"/>
                <w:u w:val="single"/>
                <w:lang w:val="en-US" w:eastAsia="zh-CN"/>
              </w:rPr>
              <w:t>30</w:t>
            </w:r>
            <w:r>
              <w:rPr>
                <w:rFonts w:hint="eastAsia" w:ascii="宋体" w:hAnsi="宋体" w:eastAsia="宋体" w:cs="宋体"/>
                <w:szCs w:val="21"/>
                <w:highlight w:val="none"/>
              </w:rPr>
              <w:t>分：</w:t>
            </w:r>
          </w:p>
          <w:p>
            <w:pPr>
              <w:adjustRightInd w:val="0"/>
              <w:snapToGrid w:val="0"/>
              <w:spacing w:line="360" w:lineRule="auto"/>
              <w:ind w:firstLine="840" w:firstLineChars="400"/>
              <w:rPr>
                <w:rFonts w:ascii="宋体" w:hAnsi="宋体" w:eastAsia="宋体" w:cs="宋体"/>
                <w:szCs w:val="21"/>
                <w:highlight w:val="none"/>
              </w:rPr>
            </w:pPr>
            <w:r>
              <w:rPr>
                <w:rFonts w:hint="eastAsia" w:ascii="宋体" w:hAnsi="宋体" w:eastAsia="宋体" w:cs="宋体"/>
                <w:szCs w:val="21"/>
                <w:highlight w:val="none"/>
              </w:rPr>
              <w:t>业绩：</w:t>
            </w:r>
            <w:r>
              <w:rPr>
                <w:rFonts w:hint="eastAsia" w:ascii="宋体" w:hAnsi="宋体" w:cs="宋体"/>
                <w:szCs w:val="21"/>
                <w:highlight w:val="none"/>
                <w:u w:val="single"/>
                <w:lang w:val="en-US" w:eastAsia="zh-CN"/>
              </w:rPr>
              <w:t>20</w:t>
            </w:r>
            <w:r>
              <w:rPr>
                <w:rFonts w:hint="eastAsia" w:ascii="宋体" w:hAnsi="宋体" w:eastAsia="宋体" w:cs="宋体"/>
                <w:szCs w:val="21"/>
                <w:highlight w:val="none"/>
              </w:rPr>
              <w:t>分</w:t>
            </w:r>
          </w:p>
          <w:p>
            <w:pPr>
              <w:adjustRightInd w:val="0"/>
              <w:snapToGrid w:val="0"/>
              <w:spacing w:line="360" w:lineRule="auto"/>
              <w:ind w:firstLine="840" w:firstLineChars="400"/>
              <w:rPr>
                <w:rFonts w:hint="default" w:ascii="宋体" w:hAnsi="宋体" w:eastAsia="宋体" w:cs="宋体"/>
                <w:szCs w:val="21"/>
                <w:highlight w:val="none"/>
                <w:lang w:val="en-US" w:eastAsia="zh-CN"/>
              </w:rPr>
            </w:pPr>
            <w:r>
              <w:rPr>
                <w:rFonts w:hint="eastAsia" w:ascii="宋体" w:hAnsi="宋体" w:eastAsia="宋体" w:cs="宋体"/>
                <w:szCs w:val="21"/>
                <w:highlight w:val="none"/>
                <w:u w:val="single"/>
              </w:rPr>
              <w:t>对招标人要求的响应</w:t>
            </w:r>
            <w:r>
              <w:rPr>
                <w:rFonts w:hint="eastAsia" w:ascii="宋体" w:hAnsi="宋体" w:cs="宋体"/>
                <w:szCs w:val="21"/>
                <w:highlight w:val="none"/>
                <w:u w:val="single"/>
                <w:lang w:eastAsia="zh-CN"/>
              </w:rPr>
              <w:t>：</w:t>
            </w:r>
            <w:r>
              <w:rPr>
                <w:rFonts w:hint="eastAsia" w:ascii="宋体" w:hAnsi="宋体" w:cs="宋体"/>
                <w:szCs w:val="21"/>
                <w:highlight w:val="none"/>
                <w:u w:val="single"/>
                <w:lang w:val="en-US" w:eastAsia="zh-CN"/>
              </w:rPr>
              <w:t>5分</w:t>
            </w:r>
          </w:p>
          <w:p>
            <w:pPr>
              <w:adjustRightInd w:val="0"/>
              <w:snapToGrid w:val="0"/>
              <w:spacing w:line="360" w:lineRule="auto"/>
              <w:ind w:firstLine="840" w:firstLineChars="400"/>
              <w:rPr>
                <w:rFonts w:ascii="宋体" w:hAnsi="宋体" w:eastAsia="宋体" w:cs="宋体"/>
                <w:szCs w:val="21"/>
                <w:highlight w:val="none"/>
              </w:rPr>
            </w:pPr>
            <w:r>
              <w:rPr>
                <w:rFonts w:hint="eastAsia" w:ascii="宋体" w:hAnsi="宋体" w:eastAsia="宋体" w:cs="宋体"/>
                <w:szCs w:val="21"/>
                <w:highlight w:val="none"/>
              </w:rPr>
              <w:t xml:space="preserve">履约信誉： </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分</w:t>
            </w:r>
          </w:p>
          <w:p>
            <w:pPr>
              <w:pStyle w:val="7"/>
              <w:adjustRightInd w:val="0"/>
              <w:snapToGrid w:val="0"/>
              <w:spacing w:line="360" w:lineRule="auto"/>
              <w:ind w:firstLine="840" w:firstLineChars="400"/>
              <w:rPr>
                <w:rFonts w:hAnsi="宋体" w:cs="宋体"/>
                <w:szCs w:val="21"/>
                <w:highlight w:val="none"/>
              </w:rPr>
            </w:pPr>
            <w:r>
              <w:rPr>
                <w:rFonts w:hint="eastAsia" w:hAnsi="宋体" w:cs="宋体"/>
                <w:szCs w:val="21"/>
                <w:highlight w:val="none"/>
              </w:rPr>
              <w:t>设施设备配备：</w:t>
            </w:r>
            <w:r>
              <w:rPr>
                <w:rFonts w:hint="eastAsia" w:hAnsi="宋体" w:cs="宋体"/>
                <w:szCs w:val="21"/>
                <w:highlight w:val="none"/>
                <w:u w:val="single"/>
                <w:lang w:val="en-US" w:eastAsia="zh-CN"/>
              </w:rPr>
              <w:t>0</w:t>
            </w:r>
            <w:r>
              <w:rPr>
                <w:rFonts w:hint="eastAsia" w:hAnsi="宋体" w:cs="宋体"/>
                <w:szCs w:val="21"/>
                <w:highlight w:val="none"/>
              </w:rPr>
              <w:t>分</w:t>
            </w:r>
          </w:p>
          <w:p>
            <w:pPr>
              <w:pStyle w:val="7"/>
              <w:adjustRightInd w:val="0"/>
              <w:snapToGrid w:val="0"/>
              <w:spacing w:line="360" w:lineRule="auto"/>
              <w:ind w:firstLine="840" w:firstLineChars="400"/>
              <w:rPr>
                <w:rFonts w:hint="eastAsia" w:hAnsi="宋体" w:cs="宋体"/>
                <w:szCs w:val="21"/>
                <w:highlight w:val="none"/>
              </w:rPr>
            </w:pPr>
            <w:r>
              <w:rPr>
                <w:rFonts w:hint="eastAsia" w:hAnsi="宋体" w:cs="宋体"/>
                <w:szCs w:val="21"/>
                <w:highlight w:val="none"/>
              </w:rPr>
              <w:t>企业综合实力：</w:t>
            </w:r>
            <w:r>
              <w:rPr>
                <w:rFonts w:hint="eastAsia" w:hAnsi="宋体" w:cs="宋体"/>
                <w:szCs w:val="21"/>
                <w:highlight w:val="none"/>
                <w:u w:val="single"/>
                <w:lang w:val="en-US" w:eastAsia="zh-CN"/>
              </w:rPr>
              <w:t>0</w:t>
            </w:r>
            <w:r>
              <w:rPr>
                <w:rFonts w:hint="eastAsia" w:hAnsi="宋体" w:cs="宋体"/>
                <w:szCs w:val="21"/>
                <w:highlight w:val="none"/>
              </w:rPr>
              <w:t>分</w:t>
            </w:r>
          </w:p>
          <w:p>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第二个信封（报价文件）评分分值构成：</w:t>
            </w:r>
          </w:p>
          <w:p>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评标价：</w:t>
            </w:r>
            <w:r>
              <w:rPr>
                <w:rFonts w:hint="eastAsia" w:ascii="宋体" w:hAnsi="宋体" w:cs="宋体"/>
                <w:szCs w:val="21"/>
                <w:highlight w:val="none"/>
                <w:u w:val="single"/>
                <w:lang w:val="en-US" w:eastAsia="zh-CN"/>
              </w:rPr>
              <w:t>10</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989" w:type="dxa"/>
            <w:tcBorders>
              <w:top w:val="single" w:color="auto" w:sz="4" w:space="0"/>
              <w:right w:val="single" w:color="auto" w:sz="4" w:space="0"/>
            </w:tcBorders>
            <w:vAlign w:val="center"/>
          </w:tcPr>
          <w:p>
            <w:pPr>
              <w:adjustRightInd w:val="0"/>
              <w:snapToGri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2.2.2</w:t>
            </w:r>
          </w:p>
        </w:tc>
        <w:tc>
          <w:tcPr>
            <w:tcW w:w="1280" w:type="dxa"/>
            <w:tcBorders>
              <w:top w:val="single" w:color="auto" w:sz="4" w:space="0"/>
              <w:right w:val="single" w:color="auto" w:sz="4" w:space="0"/>
            </w:tcBorders>
            <w:vAlign w:val="center"/>
          </w:tcPr>
          <w:p>
            <w:pPr>
              <w:adjustRightInd w:val="0"/>
              <w:snapToGri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评标基准价计算方法</w:t>
            </w:r>
          </w:p>
        </w:tc>
        <w:tc>
          <w:tcPr>
            <w:tcW w:w="6914" w:type="dxa"/>
            <w:tcBorders>
              <w:top w:val="single" w:color="auto" w:sz="4" w:space="0"/>
              <w:left w:val="single" w:color="auto" w:sz="4" w:space="0"/>
              <w:right w:val="single" w:color="auto" w:sz="4" w:space="0"/>
            </w:tcBorders>
            <w:vAlign w:val="center"/>
          </w:tcPr>
          <w:p>
            <w:pPr>
              <w:spacing w:line="360" w:lineRule="auto"/>
              <w:ind w:right="124" w:rightChars="59" w:firstLine="0" w:firstLineChars="0"/>
              <w:jc w:val="both"/>
              <w:rPr>
                <w:rFonts w:hint="eastAsia" w:ascii="宋体" w:hAnsi="宋体" w:eastAsia="宋体" w:cs="宋体"/>
                <w:snapToGrid w:val="0"/>
                <w:color w:val="auto"/>
                <w:kern w:val="2"/>
                <w:sz w:val="21"/>
                <w:szCs w:val="21"/>
                <w:highlight w:val="none"/>
                <w:lang w:val="en-US" w:eastAsia="zh-CN"/>
              </w:rPr>
            </w:pPr>
            <w:r>
              <w:rPr>
                <w:rFonts w:hint="eastAsia" w:ascii="宋体" w:hAnsi="宋体" w:eastAsia="宋体" w:cs="宋体"/>
                <w:b/>
                <w:bCs/>
                <w:snapToGrid w:val="0"/>
                <w:color w:val="auto"/>
                <w:kern w:val="2"/>
                <w:sz w:val="21"/>
                <w:szCs w:val="21"/>
                <w:highlight w:val="none"/>
                <w:lang w:val="en-US"/>
              </w:rPr>
              <w:t>评标基准价的计算：</w:t>
            </w:r>
          </w:p>
          <w:p>
            <w:pPr>
              <w:spacing w:line="360" w:lineRule="auto"/>
              <w:ind w:right="124" w:rightChars="59" w:firstLine="420" w:firstLineChars="200"/>
              <w:jc w:val="both"/>
              <w:rPr>
                <w:rFonts w:hint="eastAsia" w:ascii="宋体" w:hAnsi="宋体" w:eastAsia="宋体" w:cs="宋体"/>
                <w:snapToGrid w:val="0"/>
                <w:color w:val="auto"/>
                <w:kern w:val="2"/>
                <w:sz w:val="21"/>
                <w:szCs w:val="21"/>
                <w:highlight w:val="none"/>
                <w:lang w:val="en-US"/>
              </w:rPr>
            </w:pPr>
            <w:r>
              <w:rPr>
                <w:rFonts w:hint="eastAsia" w:ascii="宋体" w:hAnsi="宋体" w:eastAsia="宋体" w:cs="宋体"/>
                <w:snapToGrid w:val="0"/>
                <w:color w:val="auto"/>
                <w:kern w:val="2"/>
                <w:sz w:val="21"/>
                <w:szCs w:val="21"/>
                <w:highlight w:val="none"/>
                <w:lang w:val="en-US"/>
              </w:rPr>
              <w:t>在开标现场，招标人将当场计算并宣布评标基准价。</w:t>
            </w:r>
          </w:p>
          <w:p>
            <w:pPr>
              <w:spacing w:line="360" w:lineRule="auto"/>
              <w:ind w:right="124" w:rightChars="59" w:firstLine="420" w:firstLineChars="200"/>
              <w:jc w:val="both"/>
              <w:rPr>
                <w:rFonts w:hint="eastAsia" w:ascii="宋体" w:hAnsi="宋体" w:eastAsia="宋体" w:cs="宋体"/>
                <w:snapToGrid w:val="0"/>
                <w:color w:val="auto"/>
                <w:kern w:val="2"/>
                <w:sz w:val="21"/>
                <w:szCs w:val="21"/>
                <w:highlight w:val="none"/>
                <w:lang w:val="en-US"/>
              </w:rPr>
            </w:pPr>
            <w:r>
              <w:rPr>
                <w:rFonts w:hint="eastAsia" w:ascii="宋体" w:hAnsi="宋体" w:eastAsia="宋体" w:cs="宋体"/>
                <w:snapToGrid w:val="0"/>
                <w:color w:val="auto"/>
                <w:kern w:val="2"/>
                <w:sz w:val="21"/>
                <w:szCs w:val="21"/>
                <w:highlight w:val="none"/>
                <w:lang w:val="en-US"/>
              </w:rPr>
              <w:t>(1)评标价的确定：</w:t>
            </w:r>
          </w:p>
          <w:p>
            <w:pPr>
              <w:spacing w:line="360" w:lineRule="auto"/>
              <w:ind w:right="124" w:rightChars="59" w:firstLine="420" w:firstLineChars="200"/>
              <w:jc w:val="both"/>
              <w:rPr>
                <w:rFonts w:hint="eastAsia" w:ascii="宋体" w:hAnsi="宋体" w:eastAsia="宋体" w:cs="宋体"/>
                <w:snapToGrid w:val="0"/>
                <w:color w:val="auto"/>
                <w:kern w:val="2"/>
                <w:sz w:val="21"/>
                <w:szCs w:val="21"/>
                <w:highlight w:val="none"/>
                <w:lang w:val="en-US"/>
              </w:rPr>
            </w:pPr>
            <w:r>
              <w:rPr>
                <w:rFonts w:hint="eastAsia" w:ascii="宋体" w:hAnsi="宋体" w:eastAsia="宋体" w:cs="宋体"/>
                <w:snapToGrid w:val="0"/>
                <w:color w:val="auto"/>
                <w:kern w:val="2"/>
                <w:sz w:val="21"/>
                <w:szCs w:val="21"/>
                <w:highlight w:val="none"/>
                <w:lang w:val="en-US"/>
              </w:rPr>
              <w:t>评标价=投标函文字报价</w:t>
            </w:r>
          </w:p>
          <w:p>
            <w:pPr>
              <w:spacing w:line="360" w:lineRule="auto"/>
              <w:ind w:right="124" w:rightChars="59" w:firstLine="420" w:firstLineChars="200"/>
              <w:jc w:val="both"/>
              <w:rPr>
                <w:rFonts w:hint="eastAsia" w:ascii="宋体" w:hAnsi="宋体" w:eastAsia="宋体" w:cs="宋体"/>
                <w:snapToGrid w:val="0"/>
                <w:color w:val="auto"/>
                <w:kern w:val="2"/>
                <w:sz w:val="21"/>
                <w:szCs w:val="21"/>
                <w:highlight w:val="none"/>
                <w:lang w:val="en-US"/>
              </w:rPr>
            </w:pPr>
            <w:r>
              <w:rPr>
                <w:rFonts w:hint="eastAsia" w:ascii="宋体" w:hAnsi="宋体" w:eastAsia="宋体" w:cs="宋体"/>
                <w:snapToGrid w:val="0"/>
                <w:color w:val="auto"/>
                <w:kern w:val="2"/>
                <w:sz w:val="21"/>
                <w:szCs w:val="21"/>
                <w:highlight w:val="none"/>
                <w:lang w:val="en-US"/>
              </w:rPr>
              <w:t>(</w:t>
            </w:r>
            <w:r>
              <w:rPr>
                <w:rFonts w:hint="eastAsia" w:ascii="宋体" w:hAnsi="宋体" w:eastAsia="宋体" w:cs="宋体"/>
                <w:snapToGrid w:val="0"/>
                <w:color w:val="auto"/>
                <w:kern w:val="2"/>
                <w:sz w:val="21"/>
                <w:szCs w:val="21"/>
                <w:highlight w:val="none"/>
                <w:lang w:val="en-US" w:eastAsia="zh-CN"/>
              </w:rPr>
              <w:t>2</w:t>
            </w:r>
            <w:r>
              <w:rPr>
                <w:rFonts w:hint="eastAsia" w:ascii="宋体" w:hAnsi="宋体" w:eastAsia="宋体" w:cs="宋体"/>
                <w:snapToGrid w:val="0"/>
                <w:color w:val="auto"/>
                <w:kern w:val="2"/>
                <w:sz w:val="21"/>
                <w:szCs w:val="21"/>
                <w:highlight w:val="none"/>
                <w:lang w:val="en-US"/>
              </w:rPr>
              <w:t>)评标基准价=</w:t>
            </w:r>
            <w:r>
              <w:rPr>
                <w:rFonts w:hint="eastAsia" w:ascii="宋体" w:hAnsi="宋体" w:eastAsia="宋体" w:cs="宋体"/>
                <w:snapToGrid w:val="0"/>
                <w:color w:val="auto"/>
                <w:kern w:val="2"/>
                <w:sz w:val="21"/>
                <w:szCs w:val="21"/>
                <w:highlight w:val="none"/>
                <w:lang w:val="en-US" w:eastAsia="zh-CN"/>
              </w:rPr>
              <w:t>最高投标限价</w:t>
            </w:r>
            <w:r>
              <w:rPr>
                <w:rFonts w:hint="eastAsia" w:ascii="宋体" w:hAnsi="宋体" w:eastAsia="宋体" w:cs="宋体"/>
                <w:snapToGrid w:val="0"/>
                <w:color w:val="auto"/>
                <w:kern w:val="2"/>
                <w:sz w:val="21"/>
                <w:szCs w:val="21"/>
                <w:highlight w:val="none"/>
                <w:lang w:val="en-US"/>
              </w:rPr>
              <w:t>×（1-下浮率）</w:t>
            </w:r>
          </w:p>
          <w:p>
            <w:pPr>
              <w:spacing w:line="360" w:lineRule="auto"/>
              <w:ind w:right="124" w:rightChars="59" w:firstLine="420" w:firstLineChars="200"/>
              <w:jc w:val="both"/>
              <w:rPr>
                <w:rFonts w:hint="eastAsia" w:ascii="宋体" w:hAnsi="宋体" w:eastAsia="宋体" w:cs="宋体"/>
                <w:snapToGrid w:val="0"/>
                <w:color w:val="auto"/>
                <w:kern w:val="2"/>
                <w:sz w:val="21"/>
                <w:szCs w:val="21"/>
                <w:highlight w:val="none"/>
                <w:lang w:val="en-US"/>
              </w:rPr>
            </w:pPr>
            <w:r>
              <w:rPr>
                <w:rFonts w:hint="eastAsia" w:ascii="宋体" w:hAnsi="宋体" w:eastAsia="宋体" w:cs="宋体"/>
                <w:snapToGrid w:val="0"/>
                <w:color w:val="auto"/>
                <w:kern w:val="2"/>
                <w:sz w:val="21"/>
                <w:szCs w:val="21"/>
                <w:highlight w:val="none"/>
                <w:lang w:val="en-US"/>
              </w:rPr>
              <w:t>下浮率在开标前在开标现场采取逐标段摇珠方式确定。摇珠操作办法如下：在下浮率摇珠</w:t>
            </w:r>
            <w:r>
              <w:rPr>
                <w:rFonts w:hint="eastAsia" w:ascii="宋体" w:hAnsi="宋体" w:eastAsia="宋体" w:cs="宋体"/>
                <w:snapToGrid w:val="0"/>
                <w:color w:val="auto"/>
                <w:kern w:val="2"/>
                <w:sz w:val="21"/>
                <w:szCs w:val="21"/>
                <w:highlight w:val="none"/>
                <w:lang w:val="en-US" w:eastAsia="zh-CN"/>
              </w:rPr>
              <w:t>区间</w:t>
            </w:r>
            <w:r>
              <w:rPr>
                <w:rFonts w:hint="eastAsia" w:ascii="宋体" w:hAnsi="宋体" w:eastAsia="宋体" w:cs="宋体"/>
                <w:snapToGrid w:val="0"/>
                <w:color w:val="auto"/>
                <w:kern w:val="2"/>
                <w:sz w:val="21"/>
                <w:szCs w:val="21"/>
                <w:highlight w:val="none"/>
                <w:lang w:val="en-US"/>
              </w:rPr>
              <w:t>范围内，以0.1%为一档次增序确定摇珠号码，</w:t>
            </w:r>
            <w:r>
              <w:rPr>
                <w:rFonts w:hint="eastAsia" w:ascii="宋体" w:hAnsi="宋体" w:eastAsia="宋体" w:cs="宋体"/>
                <w:snapToGrid w:val="0"/>
                <w:color w:val="auto"/>
                <w:kern w:val="2"/>
                <w:sz w:val="21"/>
                <w:szCs w:val="21"/>
                <w:highlight w:val="none"/>
                <w:lang w:val="en-US" w:eastAsia="zh-CN"/>
              </w:rPr>
              <w:t>共</w:t>
            </w:r>
            <w:r>
              <w:rPr>
                <w:rFonts w:hint="eastAsia" w:ascii="宋体" w:hAnsi="宋体" w:eastAsia="宋体" w:cs="宋体"/>
                <w:snapToGrid w:val="0"/>
                <w:color w:val="auto"/>
                <w:kern w:val="2"/>
                <w:sz w:val="21"/>
                <w:szCs w:val="21"/>
                <w:highlight w:val="none"/>
                <w:lang w:val="en-US"/>
              </w:rPr>
              <w:t>31个球，每个标段各一次性摇出3个球（摇出的珠不放回），摇出3个球对应的下浮率的平均值即为本标段招标的下浮率。（注：下浮率摇珠区间</w:t>
            </w:r>
            <w:r>
              <w:rPr>
                <w:rFonts w:hint="eastAsia" w:ascii="宋体" w:hAnsi="宋体" w:eastAsia="宋体" w:cs="宋体"/>
                <w:snapToGrid w:val="0"/>
                <w:color w:val="auto"/>
                <w:kern w:val="2"/>
                <w:sz w:val="21"/>
                <w:szCs w:val="21"/>
                <w:highlight w:val="none"/>
                <w:lang w:val="en-US" w:eastAsia="zh-CN"/>
              </w:rPr>
              <w:t>范围为</w:t>
            </w:r>
            <w:r>
              <w:rPr>
                <w:rFonts w:hint="eastAsia" w:ascii="宋体" w:hAnsi="宋体" w:eastAsia="宋体" w:cs="宋体"/>
                <w:snapToGrid w:val="0"/>
                <w:color w:val="auto"/>
                <w:kern w:val="2"/>
                <w:sz w:val="21"/>
                <w:szCs w:val="21"/>
                <w:highlight w:val="none"/>
                <w:lang w:val="en-US"/>
              </w:rPr>
              <w:t>0%-3%，三个下浮率的平均值四舍五入取整到0.001％）</w:t>
            </w:r>
          </w:p>
          <w:p>
            <w:pPr>
              <w:rPr>
                <w:rFonts w:hint="eastAsia" w:ascii="宋体" w:hAnsi="宋体" w:eastAsia="宋体" w:cs="宋体"/>
                <w:color w:val="auto"/>
                <w:highlight w:val="none"/>
              </w:rPr>
            </w:pPr>
          </w:p>
          <w:p>
            <w:pPr>
              <w:spacing w:line="360" w:lineRule="auto"/>
              <w:ind w:right="124" w:rightChars="59" w:firstLine="420" w:firstLineChars="200"/>
              <w:jc w:val="both"/>
              <w:rPr>
                <w:rFonts w:hint="eastAsia" w:ascii="宋体" w:hAnsi="宋体" w:eastAsia="宋体" w:cs="宋体"/>
                <w:snapToGrid w:val="0"/>
                <w:color w:val="auto"/>
                <w:kern w:val="2"/>
                <w:sz w:val="21"/>
                <w:szCs w:val="21"/>
                <w:highlight w:val="none"/>
                <w:lang w:val="en-US"/>
              </w:rPr>
            </w:pPr>
            <w:r>
              <w:rPr>
                <w:rFonts w:hint="eastAsia" w:ascii="宋体" w:hAnsi="宋体" w:eastAsia="宋体" w:cs="宋体"/>
                <w:snapToGrid w:val="0"/>
                <w:color w:val="auto"/>
                <w:spacing w:val="0"/>
                <w:kern w:val="2"/>
                <w:sz w:val="21"/>
                <w:szCs w:val="21"/>
                <w:highlight w:val="none"/>
                <w:lang w:val="en-US"/>
              </w:rPr>
              <w:t>在评标过程中，评标委员会应对招标人计算的评标基准价进行复核，存在计算错误的应予以修正并在评标报告中作出说明。除此之外，评标基准价在整个评标期间保持不变，不随任何因素发生变化。</w:t>
            </w:r>
          </w:p>
          <w:p>
            <w:pPr>
              <w:pStyle w:val="6"/>
              <w:adjustRightInd w:val="0"/>
              <w:snapToGrid w:val="0"/>
              <w:spacing w:line="336" w:lineRule="auto"/>
              <w:ind w:firstLine="420" w:firstLineChars="200"/>
              <w:rPr>
                <w:rFonts w:ascii="宋体" w:hAnsi="宋体" w:eastAsia="宋体" w:cs="宋体"/>
                <w:b/>
                <w:szCs w:val="21"/>
                <w:highlight w:val="none"/>
              </w:rPr>
            </w:pPr>
            <w:r>
              <w:rPr>
                <w:rFonts w:hint="eastAsia" w:ascii="宋体" w:hAnsi="宋体" w:eastAsia="宋体" w:cs="宋体"/>
                <w:snapToGrid w:val="0"/>
                <w:color w:val="auto"/>
                <w:kern w:val="2"/>
                <w:sz w:val="21"/>
                <w:szCs w:val="21"/>
                <w:highlight w:val="none"/>
                <w:lang w:val="en-US"/>
              </w:rPr>
              <w:t>备注：评标基准价四舍五入至个位整数</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989" w:type="dxa"/>
            <w:tcBorders>
              <w:top w:val="single" w:color="auto" w:sz="4" w:space="0"/>
              <w:right w:val="single" w:color="auto" w:sz="4" w:space="0"/>
            </w:tcBorders>
            <w:vAlign w:val="center"/>
          </w:tcPr>
          <w:p>
            <w:pPr>
              <w:adjustRightInd w:val="0"/>
              <w:snapToGrid w:val="0"/>
              <w:spacing w:line="360" w:lineRule="auto"/>
              <w:jc w:val="center"/>
              <w:rPr>
                <w:rFonts w:ascii="宋体" w:hAnsi="宋体" w:eastAsia="宋体" w:cs="宋体"/>
                <w:szCs w:val="21"/>
                <w:highlight w:val="none"/>
              </w:rPr>
            </w:pPr>
            <w:r>
              <w:rPr>
                <w:rFonts w:hint="eastAsia" w:ascii="宋体" w:hAnsi="宋体" w:eastAsia="宋体" w:cs="宋体"/>
                <w:szCs w:val="21"/>
                <w:highlight w:val="none"/>
              </w:rPr>
              <w:t>2.2.3</w:t>
            </w:r>
          </w:p>
        </w:tc>
        <w:tc>
          <w:tcPr>
            <w:tcW w:w="1280" w:type="dxa"/>
            <w:tcBorders>
              <w:top w:val="single" w:color="auto" w:sz="4" w:space="0"/>
              <w:right w:val="single" w:color="auto" w:sz="4" w:space="0"/>
            </w:tcBorders>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szCs w:val="21"/>
                <w:highlight w:val="none"/>
              </w:rPr>
              <w:t>评标价的偏差率计算公式</w:t>
            </w:r>
          </w:p>
        </w:tc>
        <w:tc>
          <w:tcPr>
            <w:tcW w:w="6914" w:type="dxa"/>
            <w:tcBorders>
              <w:top w:val="single" w:color="auto" w:sz="4" w:space="0"/>
              <w:left w:val="single" w:color="auto" w:sz="4" w:space="0"/>
              <w:right w:val="single" w:color="auto" w:sz="4" w:space="0"/>
            </w:tcBorders>
            <w:vAlign w:val="center"/>
          </w:tcPr>
          <w:p>
            <w:pPr>
              <w:adjustRightInd w:val="0"/>
              <w:snapToGrid w:val="0"/>
              <w:spacing w:line="360"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偏差率=100% ×（投标人评标价－评标基准价）/评标基准价</w:t>
            </w:r>
          </w:p>
        </w:tc>
      </w:tr>
    </w:tbl>
    <w:p>
      <w:pPr>
        <w:ind w:right="210" w:rightChars="100"/>
        <w:jc w:val="right"/>
        <w:rPr>
          <w:rFonts w:ascii="宋体" w:hAnsi="宋体" w:eastAsia="宋体"/>
          <w:highlight w:val="none"/>
        </w:rPr>
      </w:pPr>
      <w:r>
        <w:rPr>
          <w:rFonts w:ascii="宋体" w:hAnsi="宋体" w:eastAsia="宋体"/>
          <w:sz w:val="27"/>
          <w:szCs w:val="27"/>
          <w:highlight w:val="none"/>
        </w:rPr>
        <w:br w:type="page"/>
      </w:r>
      <w:r>
        <w:rPr>
          <w:rFonts w:ascii="宋体" w:hAnsi="宋体" w:eastAsia="宋体"/>
          <w:spacing w:val="4"/>
          <w:szCs w:val="21"/>
          <w:highlight w:val="none"/>
        </w:rPr>
        <w:t>续上表</w:t>
      </w:r>
    </w:p>
    <w:tbl>
      <w:tblPr>
        <w:tblStyle w:val="11"/>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173"/>
        <w:gridCol w:w="919"/>
        <w:gridCol w:w="1204"/>
        <w:gridCol w:w="851"/>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070" w:type="dxa"/>
            <w:gridSpan w:val="5"/>
            <w:tcBorders>
              <w:top w:val="single" w:color="auto" w:sz="4" w:space="0"/>
            </w:tcBorders>
            <w:vAlign w:val="top"/>
          </w:tcPr>
          <w:p>
            <w:pPr>
              <w:spacing w:line="240" w:lineRule="auto"/>
              <w:jc w:val="center"/>
              <w:rPr>
                <w:rFonts w:ascii="宋体" w:hAnsi="宋体" w:eastAsia="宋体" w:cs="宋体"/>
                <w:b/>
                <w:szCs w:val="21"/>
                <w:highlight w:val="none"/>
              </w:rPr>
            </w:pPr>
            <w:r>
              <w:rPr>
                <w:rFonts w:hint="eastAsia" w:ascii="宋体" w:hAnsi="宋体" w:eastAsia="宋体" w:cs="宋体"/>
                <w:b/>
                <w:szCs w:val="21"/>
                <w:highlight w:val="none"/>
              </w:rPr>
              <w:t>评分因素与权重分值</w:t>
            </w:r>
          </w:p>
        </w:tc>
        <w:tc>
          <w:tcPr>
            <w:tcW w:w="3821" w:type="dxa"/>
            <w:vMerge w:val="restart"/>
            <w:tcBorders>
              <w:top w:val="single" w:color="auto" w:sz="4" w:space="0"/>
            </w:tcBorders>
            <w:vAlign w:val="center"/>
          </w:tcPr>
          <w:p>
            <w:pPr>
              <w:spacing w:line="240" w:lineRule="auto"/>
              <w:jc w:val="center"/>
              <w:rPr>
                <w:rFonts w:ascii="宋体" w:hAnsi="宋体" w:eastAsia="宋体" w:cs="宋体"/>
                <w:b/>
                <w:szCs w:val="21"/>
                <w:highlight w:val="none"/>
              </w:rPr>
            </w:pPr>
            <w:r>
              <w:rPr>
                <w:rFonts w:hint="eastAsia" w:ascii="宋体" w:hAnsi="宋体" w:eastAsia="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Align w:val="center"/>
          </w:tcPr>
          <w:p>
            <w:pPr>
              <w:spacing w:line="240" w:lineRule="auto"/>
              <w:jc w:val="center"/>
              <w:rPr>
                <w:rFonts w:ascii="宋体" w:hAnsi="宋体" w:eastAsia="宋体" w:cs="宋体"/>
                <w:b/>
                <w:szCs w:val="21"/>
                <w:highlight w:val="none"/>
              </w:rPr>
            </w:pPr>
            <w:r>
              <w:rPr>
                <w:rFonts w:hint="eastAsia" w:ascii="宋体" w:hAnsi="宋体" w:eastAsia="宋体" w:cs="宋体"/>
                <w:b/>
                <w:szCs w:val="21"/>
                <w:highlight w:val="none"/>
              </w:rPr>
              <w:t>条款号</w:t>
            </w:r>
          </w:p>
        </w:tc>
        <w:tc>
          <w:tcPr>
            <w:tcW w:w="1173" w:type="dxa"/>
            <w:vAlign w:val="center"/>
          </w:tcPr>
          <w:p>
            <w:pPr>
              <w:spacing w:line="240" w:lineRule="auto"/>
              <w:jc w:val="center"/>
              <w:rPr>
                <w:rFonts w:ascii="宋体" w:hAnsi="宋体" w:eastAsia="宋体" w:cs="宋体"/>
                <w:b/>
                <w:szCs w:val="21"/>
                <w:highlight w:val="none"/>
              </w:rPr>
            </w:pPr>
            <w:r>
              <w:rPr>
                <w:rFonts w:hint="eastAsia" w:ascii="宋体" w:hAnsi="宋体" w:eastAsia="宋体" w:cs="宋体"/>
                <w:b/>
                <w:szCs w:val="21"/>
                <w:highlight w:val="none"/>
              </w:rPr>
              <w:t>评分因素</w:t>
            </w:r>
          </w:p>
        </w:tc>
        <w:tc>
          <w:tcPr>
            <w:tcW w:w="919" w:type="dxa"/>
            <w:vAlign w:val="center"/>
          </w:tcPr>
          <w:p>
            <w:pPr>
              <w:spacing w:line="240" w:lineRule="auto"/>
              <w:ind w:left="-105" w:leftChars="-50" w:right="-105" w:rightChars="-50"/>
              <w:jc w:val="center"/>
              <w:rPr>
                <w:rFonts w:ascii="宋体" w:hAnsi="宋体" w:eastAsia="宋体" w:cs="宋体"/>
                <w:b/>
                <w:szCs w:val="21"/>
                <w:highlight w:val="none"/>
              </w:rPr>
            </w:pPr>
            <w:r>
              <w:rPr>
                <w:rFonts w:hint="eastAsia" w:ascii="宋体" w:hAnsi="宋体" w:eastAsia="宋体" w:cs="宋体"/>
                <w:b/>
                <w:szCs w:val="21"/>
                <w:highlight w:val="none"/>
              </w:rPr>
              <w:t>评分因素权重分值</w:t>
            </w:r>
          </w:p>
        </w:tc>
        <w:tc>
          <w:tcPr>
            <w:tcW w:w="1204" w:type="dxa"/>
            <w:vAlign w:val="center"/>
          </w:tcPr>
          <w:p>
            <w:pPr>
              <w:spacing w:line="240" w:lineRule="auto"/>
              <w:jc w:val="center"/>
              <w:rPr>
                <w:rFonts w:ascii="宋体" w:hAnsi="宋体" w:eastAsia="宋体" w:cs="宋体"/>
                <w:b/>
                <w:szCs w:val="21"/>
                <w:highlight w:val="none"/>
              </w:rPr>
            </w:pPr>
            <w:r>
              <w:rPr>
                <w:rFonts w:hint="eastAsia" w:ascii="宋体" w:hAnsi="宋体" w:eastAsia="宋体" w:cs="宋体"/>
                <w:b/>
                <w:szCs w:val="21"/>
                <w:highlight w:val="none"/>
              </w:rPr>
              <w:t>各评分因素细分项</w:t>
            </w:r>
          </w:p>
        </w:tc>
        <w:tc>
          <w:tcPr>
            <w:tcW w:w="851" w:type="dxa"/>
            <w:vAlign w:val="center"/>
          </w:tcPr>
          <w:p>
            <w:pPr>
              <w:spacing w:line="240" w:lineRule="auto"/>
              <w:jc w:val="center"/>
              <w:rPr>
                <w:rFonts w:ascii="宋体" w:hAnsi="宋体" w:eastAsia="宋体" w:cs="宋体"/>
                <w:b/>
                <w:szCs w:val="21"/>
                <w:highlight w:val="none"/>
              </w:rPr>
            </w:pPr>
            <w:r>
              <w:rPr>
                <w:rFonts w:hint="eastAsia" w:ascii="宋体" w:hAnsi="宋体" w:eastAsia="宋体" w:cs="宋体"/>
                <w:b/>
                <w:szCs w:val="21"/>
                <w:highlight w:val="none"/>
              </w:rPr>
              <w:t>分值</w:t>
            </w:r>
          </w:p>
        </w:tc>
        <w:tc>
          <w:tcPr>
            <w:tcW w:w="3821" w:type="dxa"/>
            <w:vMerge w:val="continue"/>
            <w:vAlign w:val="top"/>
          </w:tcPr>
          <w:p>
            <w:pPr>
              <w:spacing w:line="240" w:lineRule="auto"/>
              <w:jc w:val="center"/>
              <w:rPr>
                <w:rFonts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restart"/>
            <w:vAlign w:val="center"/>
          </w:tcPr>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2.2.4</w:t>
            </w:r>
          </w:p>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1173" w:type="dxa"/>
            <w:vMerge w:val="restart"/>
            <w:vAlign w:val="center"/>
          </w:tcPr>
          <w:p>
            <w:pPr>
              <w:spacing w:line="24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技术建议书</w:t>
            </w:r>
          </w:p>
        </w:tc>
        <w:tc>
          <w:tcPr>
            <w:tcW w:w="919" w:type="dxa"/>
            <w:vMerge w:val="restart"/>
            <w:vAlign w:val="center"/>
          </w:tcPr>
          <w:p>
            <w:pPr>
              <w:spacing w:line="240" w:lineRule="auto"/>
              <w:jc w:val="center"/>
              <w:rPr>
                <w:rFonts w:ascii="宋体" w:hAnsi="宋体" w:eastAsia="宋体" w:cs="宋体"/>
                <w:szCs w:val="21"/>
                <w:highlight w:val="none"/>
                <w:u w:val="single"/>
              </w:rPr>
            </w:pPr>
            <w:r>
              <w:rPr>
                <w:rFonts w:hint="eastAsia" w:ascii="宋体" w:hAnsi="宋体" w:cs="宋体"/>
                <w:szCs w:val="21"/>
                <w:highlight w:val="none"/>
                <w:u w:val="single"/>
                <w:lang w:val="en-US" w:eastAsia="zh-CN"/>
              </w:rPr>
              <w:t>40</w:t>
            </w:r>
            <w:r>
              <w:rPr>
                <w:rFonts w:hint="eastAsia" w:ascii="宋体" w:hAnsi="宋体" w:eastAsia="宋体" w:cs="宋体"/>
                <w:szCs w:val="21"/>
                <w:highlight w:val="none"/>
              </w:rPr>
              <w:t>分</w:t>
            </w:r>
          </w:p>
        </w:tc>
        <w:tc>
          <w:tcPr>
            <w:tcW w:w="1204" w:type="dxa"/>
            <w:vAlign w:val="center"/>
          </w:tcPr>
          <w:p>
            <w:pPr>
              <w:pStyle w:val="22"/>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lang w:val="en-US" w:eastAsia="zh-CN"/>
              </w:rPr>
              <w:t>全过程造价咨询管理机构与岗位职责</w:t>
            </w:r>
          </w:p>
        </w:tc>
        <w:tc>
          <w:tcPr>
            <w:tcW w:w="851" w:type="dxa"/>
            <w:vAlign w:val="center"/>
          </w:tcPr>
          <w:p>
            <w:pPr>
              <w:spacing w:line="240" w:lineRule="auto"/>
              <w:jc w:val="center"/>
              <w:rPr>
                <w:rFonts w:hint="default" w:ascii="宋体" w:hAnsi="宋体" w:eastAsia="宋体" w:cs="宋体"/>
                <w:kern w:val="2"/>
                <w:sz w:val="21"/>
                <w:szCs w:val="21"/>
                <w:highlight w:val="none"/>
                <w:u w:val="single"/>
                <w:lang w:val="en-US" w:eastAsia="zh-CN" w:bidi="ar-SA"/>
              </w:rPr>
            </w:pPr>
            <w:r>
              <w:rPr>
                <w:rFonts w:hint="eastAsia" w:ascii="宋体" w:hAnsi="宋体" w:cs="宋体"/>
                <w:szCs w:val="21"/>
                <w:highlight w:val="none"/>
                <w:u w:val="single"/>
                <w:lang w:val="en-US" w:eastAsia="zh-CN"/>
              </w:rPr>
              <w:t>8分</w:t>
            </w:r>
          </w:p>
        </w:tc>
        <w:tc>
          <w:tcPr>
            <w:tcW w:w="3821" w:type="dxa"/>
            <w:vAlign w:val="center"/>
          </w:tcPr>
          <w:p>
            <w:pPr>
              <w:snapToGrid w:val="0"/>
              <w:ind w:firstLine="420" w:firstLineChars="200"/>
              <w:rPr>
                <w:rFonts w:hint="default" w:ascii="宋体" w:hAnsi="宋体" w:eastAsia="宋体" w:cs="Times New Roman"/>
                <w:kern w:val="2"/>
                <w:sz w:val="21"/>
                <w:szCs w:val="21"/>
                <w:highlight w:val="none"/>
                <w:lang w:val="en-US" w:eastAsia="zh-CN" w:bidi="ar-SA"/>
              </w:rPr>
            </w:pPr>
            <w:r>
              <w:rPr>
                <w:rFonts w:hint="default" w:ascii="宋体" w:hAnsi="宋体"/>
                <w:szCs w:val="21"/>
                <w:highlight w:val="none"/>
                <w:lang w:val="en-US" w:eastAsia="zh-CN"/>
              </w:rPr>
              <w:t>针对</w:t>
            </w:r>
            <w:r>
              <w:rPr>
                <w:rFonts w:hint="eastAsia" w:ascii="宋体" w:hAnsi="宋体"/>
                <w:szCs w:val="21"/>
                <w:highlight w:val="none"/>
                <w:lang w:val="en-US" w:eastAsia="zh-CN"/>
              </w:rPr>
              <w:t>全过程造价咨询</w:t>
            </w:r>
            <w:r>
              <w:rPr>
                <w:rFonts w:hint="default" w:ascii="宋体" w:hAnsi="宋体"/>
                <w:szCs w:val="21"/>
                <w:highlight w:val="none"/>
                <w:lang w:val="en-US" w:eastAsia="zh-CN"/>
              </w:rPr>
              <w:t>管理机构组织架构设置、机构领导班子岗位设置及职责、各职能部门设置及其职责、各职能部门内部岗位设置及其职责的科学合理、齐全完善及针对性进行评审：</w:t>
            </w:r>
            <w:r>
              <w:rPr>
                <w:rFonts w:hint="eastAsia" w:ascii="宋体" w:hAnsi="宋体"/>
                <w:szCs w:val="21"/>
                <w:highlight w:val="none"/>
                <w:lang w:val="en-US" w:eastAsia="zh-CN"/>
              </w:rPr>
              <w:t>优的，得(7.2，8]分</w:t>
            </w:r>
            <w:r>
              <w:rPr>
                <w:rFonts w:hint="eastAsia" w:ascii="宋体" w:hAnsi="宋体"/>
                <w:szCs w:val="21"/>
                <w:highlight w:val="none"/>
                <w:lang w:eastAsia="zh-CN"/>
              </w:rPr>
              <w:t>；</w:t>
            </w:r>
            <w:r>
              <w:rPr>
                <w:rFonts w:hint="eastAsia" w:ascii="宋体" w:hAnsi="宋体"/>
                <w:szCs w:val="21"/>
                <w:highlight w:val="none"/>
                <w:lang w:val="en-US" w:eastAsia="zh-CN"/>
              </w:rPr>
              <w:t>较好的，得(5.6，7.2]分</w:t>
            </w:r>
            <w:r>
              <w:rPr>
                <w:rFonts w:hint="eastAsia" w:ascii="宋体" w:hAnsi="宋体"/>
                <w:szCs w:val="21"/>
                <w:highlight w:val="none"/>
                <w:lang w:eastAsia="zh-CN"/>
              </w:rPr>
              <w:t>；</w:t>
            </w:r>
            <w:r>
              <w:rPr>
                <w:rFonts w:hint="eastAsia" w:ascii="宋体" w:hAnsi="宋体"/>
                <w:szCs w:val="21"/>
                <w:highlight w:val="none"/>
                <w:lang w:val="en-US" w:eastAsia="zh-CN"/>
              </w:rPr>
              <w:t>一般的，得[4.8，5.6]分</w:t>
            </w:r>
            <w:r>
              <w:rPr>
                <w:rFonts w:hint="default" w:ascii="宋体" w:hAnsi="宋体"/>
                <w:szCs w:val="21"/>
                <w:highlight w:val="none"/>
                <w:lang w:val="en-US" w:eastAsia="zh-CN"/>
              </w:rPr>
              <w:t>。没有提供</w:t>
            </w:r>
            <w:r>
              <w:rPr>
                <w:rFonts w:hint="eastAsia" w:ascii="宋体" w:hAnsi="宋体"/>
                <w:szCs w:val="21"/>
                <w:highlight w:val="none"/>
                <w:lang w:val="en-US" w:eastAsia="zh-CN"/>
              </w:rPr>
              <w:t>全过程造价咨询</w:t>
            </w:r>
            <w:r>
              <w:rPr>
                <w:rFonts w:hint="default" w:ascii="宋体" w:hAnsi="宋体"/>
                <w:szCs w:val="21"/>
                <w:highlight w:val="none"/>
                <w:lang w:val="en-US" w:eastAsia="zh-CN"/>
              </w:rPr>
              <w:t>管理机构与岗位职责的，不得分。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continue"/>
            <w:vAlign w:val="center"/>
          </w:tcPr>
          <w:p>
            <w:pPr>
              <w:spacing w:line="240" w:lineRule="auto"/>
              <w:jc w:val="center"/>
              <w:rPr>
                <w:rFonts w:hint="eastAsia" w:ascii="宋体" w:hAnsi="宋体" w:eastAsia="宋体" w:cs="宋体"/>
                <w:szCs w:val="21"/>
                <w:highlight w:val="none"/>
              </w:rPr>
            </w:pPr>
          </w:p>
        </w:tc>
        <w:tc>
          <w:tcPr>
            <w:tcW w:w="1173" w:type="dxa"/>
            <w:vMerge w:val="continue"/>
            <w:vAlign w:val="center"/>
          </w:tcPr>
          <w:p>
            <w:pPr>
              <w:spacing w:line="240" w:lineRule="auto"/>
              <w:jc w:val="center"/>
              <w:rPr>
                <w:rFonts w:hint="eastAsia" w:ascii="宋体" w:hAnsi="宋体" w:cs="宋体"/>
                <w:szCs w:val="21"/>
                <w:highlight w:val="none"/>
                <w:lang w:val="en-US" w:eastAsia="zh-CN"/>
              </w:rPr>
            </w:pPr>
          </w:p>
        </w:tc>
        <w:tc>
          <w:tcPr>
            <w:tcW w:w="919" w:type="dxa"/>
            <w:vMerge w:val="continue"/>
            <w:vAlign w:val="center"/>
          </w:tcPr>
          <w:p>
            <w:pPr>
              <w:spacing w:line="240" w:lineRule="auto"/>
              <w:jc w:val="center"/>
              <w:rPr>
                <w:rFonts w:hint="eastAsia" w:ascii="宋体" w:hAnsi="宋体" w:cs="宋体"/>
                <w:szCs w:val="21"/>
                <w:highlight w:val="none"/>
                <w:u w:val="single"/>
                <w:lang w:val="en-US" w:eastAsia="zh-CN"/>
              </w:rPr>
            </w:pPr>
          </w:p>
        </w:tc>
        <w:tc>
          <w:tcPr>
            <w:tcW w:w="1204"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对本</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全过程造价咨询</w:t>
            </w:r>
            <w:r>
              <w:rPr>
                <w:rFonts w:hint="eastAsia" w:ascii="宋体" w:hAnsi="宋体" w:eastAsia="宋体" w:cs="宋体"/>
                <w:color w:val="auto"/>
                <w:szCs w:val="21"/>
                <w:highlight w:val="none"/>
                <w:lang w:val="en-US" w:eastAsia="zh-CN"/>
              </w:rPr>
              <w:t>工作</w:t>
            </w:r>
            <w:r>
              <w:rPr>
                <w:rFonts w:hint="eastAsia" w:ascii="宋体" w:hAnsi="宋体" w:eastAsia="宋体" w:cs="宋体"/>
                <w:color w:val="auto"/>
                <w:szCs w:val="21"/>
                <w:highlight w:val="none"/>
              </w:rPr>
              <w:t>的重点难点分析及对策</w:t>
            </w:r>
          </w:p>
        </w:tc>
        <w:tc>
          <w:tcPr>
            <w:tcW w:w="851" w:type="dxa"/>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u w:val="single"/>
                <w:lang w:val="en-US" w:eastAsia="zh-CN"/>
              </w:rPr>
              <w:t>8</w:t>
            </w:r>
            <w:r>
              <w:rPr>
                <w:rFonts w:hint="eastAsia" w:ascii="宋体" w:hAnsi="宋体" w:eastAsia="宋体" w:cs="宋体"/>
                <w:color w:val="auto"/>
                <w:szCs w:val="21"/>
                <w:highlight w:val="none"/>
              </w:rPr>
              <w:t>分</w:t>
            </w:r>
          </w:p>
        </w:tc>
        <w:tc>
          <w:tcPr>
            <w:tcW w:w="3821" w:type="dxa"/>
            <w:vAlign w:val="center"/>
          </w:tcPr>
          <w:p>
            <w:pPr>
              <w:snapToGrid w:val="0"/>
              <w:ind w:firstLine="420" w:firstLineChars="200"/>
              <w:rPr>
                <w:rFonts w:hint="eastAsia" w:ascii="Times New Roman" w:hAnsi="宋体" w:eastAsia="宋体" w:cs="宋体"/>
                <w:color w:val="auto"/>
                <w:kern w:val="2"/>
                <w:sz w:val="21"/>
                <w:szCs w:val="24"/>
                <w:highlight w:val="none"/>
                <w:lang w:val="en-US" w:eastAsia="zh-CN" w:bidi="ar-SA"/>
              </w:rPr>
            </w:pPr>
            <w:r>
              <w:rPr>
                <w:rFonts w:hint="eastAsia" w:ascii="宋体" w:hAnsi="宋体"/>
                <w:color w:val="auto"/>
                <w:szCs w:val="21"/>
                <w:highlight w:val="none"/>
              </w:rPr>
              <w:t>针</w:t>
            </w:r>
            <w:r>
              <w:rPr>
                <w:rFonts w:hint="eastAsia" w:ascii="宋体" w:hAnsi="宋体" w:eastAsia="宋体" w:cs="宋体"/>
                <w:color w:val="auto"/>
                <w:szCs w:val="21"/>
                <w:highlight w:val="none"/>
              </w:rPr>
              <w:t>对本</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全过程造价咨询</w:t>
            </w:r>
            <w:r>
              <w:rPr>
                <w:rFonts w:hint="eastAsia" w:ascii="宋体" w:hAnsi="宋体" w:eastAsia="宋体" w:cs="宋体"/>
                <w:color w:val="auto"/>
                <w:szCs w:val="21"/>
                <w:highlight w:val="none"/>
                <w:lang w:val="en-US" w:eastAsia="zh-CN"/>
              </w:rPr>
              <w:t>工作</w:t>
            </w:r>
            <w:r>
              <w:rPr>
                <w:rFonts w:hint="eastAsia" w:ascii="宋体" w:hAnsi="宋体"/>
                <w:color w:val="auto"/>
                <w:szCs w:val="21"/>
                <w:highlight w:val="none"/>
              </w:rPr>
              <w:t>难点分析透彻</w:t>
            </w:r>
            <w:r>
              <w:rPr>
                <w:rFonts w:hint="eastAsia" w:ascii="宋体" w:hAnsi="宋体"/>
                <w:color w:val="auto"/>
                <w:szCs w:val="21"/>
                <w:highlight w:val="none"/>
                <w:lang w:val="en-US" w:eastAsia="zh-CN"/>
              </w:rPr>
              <w:t>程度</w:t>
            </w:r>
            <w:r>
              <w:rPr>
                <w:rFonts w:hint="eastAsia" w:ascii="宋体" w:hAnsi="宋体"/>
                <w:color w:val="auto"/>
                <w:szCs w:val="21"/>
                <w:highlight w:val="none"/>
              </w:rPr>
              <w:t>，工作重点把握准确</w:t>
            </w:r>
            <w:r>
              <w:rPr>
                <w:rFonts w:hint="eastAsia" w:ascii="宋体" w:hAnsi="宋体"/>
                <w:color w:val="auto"/>
                <w:szCs w:val="21"/>
                <w:highlight w:val="none"/>
                <w:lang w:val="en-US" w:eastAsia="zh-CN"/>
              </w:rPr>
              <w:t>程度</w:t>
            </w:r>
            <w:r>
              <w:rPr>
                <w:rFonts w:hint="eastAsia" w:ascii="宋体" w:hAnsi="宋体"/>
                <w:color w:val="auto"/>
                <w:szCs w:val="21"/>
                <w:highlight w:val="none"/>
              </w:rPr>
              <w:t>，</w:t>
            </w:r>
            <w:r>
              <w:rPr>
                <w:rFonts w:hint="eastAsia" w:ascii="宋体" w:hAnsi="宋体"/>
                <w:color w:val="auto"/>
                <w:szCs w:val="21"/>
                <w:highlight w:val="none"/>
                <w:lang w:val="en-US" w:eastAsia="zh-CN"/>
              </w:rPr>
              <w:t>采取对策措施科学合理性进行评审，优的，得(7.2，8]分；较好的，得(5.6，7.2]分；一般的，得[4.8，5.6]分</w:t>
            </w:r>
            <w:r>
              <w:rPr>
                <w:rFonts w:hint="eastAsia" w:ascii="宋体" w:hAnsi="宋体"/>
                <w:color w:val="auto"/>
                <w:szCs w:val="21"/>
                <w:highlight w:val="none"/>
              </w:rPr>
              <w:t>。</w:t>
            </w:r>
            <w:r>
              <w:rPr>
                <w:rFonts w:hint="eastAsia" w:ascii="宋体" w:hAnsi="宋体"/>
                <w:color w:val="auto"/>
                <w:szCs w:val="21"/>
                <w:highlight w:val="none"/>
                <w:lang w:val="en-US" w:eastAsia="zh-CN"/>
              </w:rPr>
              <w:t>没有提供对本工程全过程造价咨询工作的重点难点分析及对策</w:t>
            </w:r>
            <w:r>
              <w:rPr>
                <w:rFonts w:hint="eastAsia" w:ascii="宋体" w:hAnsi="宋体" w:cs="宋体"/>
                <w:color w:val="auto"/>
                <w:szCs w:val="21"/>
                <w:highlight w:val="none"/>
                <w:lang w:val="en-US" w:eastAsia="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continue"/>
            <w:vAlign w:val="center"/>
          </w:tcPr>
          <w:p>
            <w:pPr>
              <w:spacing w:line="240" w:lineRule="auto"/>
              <w:jc w:val="center"/>
              <w:rPr>
                <w:rFonts w:ascii="宋体" w:hAnsi="宋体" w:eastAsia="宋体" w:cs="宋体"/>
                <w:szCs w:val="21"/>
                <w:highlight w:val="none"/>
              </w:rPr>
            </w:pPr>
          </w:p>
        </w:tc>
        <w:tc>
          <w:tcPr>
            <w:tcW w:w="1173" w:type="dxa"/>
            <w:vMerge w:val="continue"/>
            <w:vAlign w:val="center"/>
          </w:tcPr>
          <w:p>
            <w:pPr>
              <w:spacing w:line="240" w:lineRule="auto"/>
              <w:jc w:val="center"/>
              <w:rPr>
                <w:rFonts w:ascii="宋体" w:hAnsi="宋体" w:eastAsia="宋体" w:cs="宋体"/>
                <w:szCs w:val="21"/>
                <w:highlight w:val="none"/>
              </w:rPr>
            </w:pPr>
          </w:p>
        </w:tc>
        <w:tc>
          <w:tcPr>
            <w:tcW w:w="919" w:type="dxa"/>
            <w:vMerge w:val="continue"/>
            <w:vAlign w:val="center"/>
          </w:tcPr>
          <w:p>
            <w:pPr>
              <w:spacing w:line="240" w:lineRule="auto"/>
              <w:jc w:val="right"/>
              <w:rPr>
                <w:rFonts w:ascii="宋体" w:hAnsi="宋体" w:eastAsia="宋体" w:cs="宋体"/>
                <w:szCs w:val="21"/>
                <w:highlight w:val="none"/>
                <w:u w:val="single"/>
              </w:rPr>
            </w:pPr>
          </w:p>
        </w:tc>
        <w:tc>
          <w:tcPr>
            <w:tcW w:w="1204" w:type="dxa"/>
            <w:vAlign w:val="center"/>
          </w:tcPr>
          <w:p>
            <w:pPr>
              <w:spacing w:line="240" w:lineRule="auto"/>
              <w:jc w:val="center"/>
              <w:rPr>
                <w:rFonts w:ascii="宋体" w:hAnsi="宋体" w:eastAsia="宋体" w:cs="宋体"/>
                <w:szCs w:val="21"/>
                <w:highlight w:val="none"/>
              </w:rPr>
            </w:pPr>
            <w:r>
              <w:rPr>
                <w:rFonts w:hint="eastAsia" w:ascii="宋体" w:hAnsi="宋体" w:cs="宋体"/>
                <w:szCs w:val="21"/>
                <w:highlight w:val="none"/>
                <w:lang w:val="en-US" w:eastAsia="zh-CN"/>
              </w:rPr>
              <w:t>全过程</w:t>
            </w:r>
            <w:r>
              <w:rPr>
                <w:rFonts w:hint="eastAsia" w:ascii="宋体" w:hAnsi="宋体" w:eastAsia="宋体" w:cs="宋体"/>
                <w:szCs w:val="21"/>
                <w:highlight w:val="none"/>
              </w:rPr>
              <w:t>造价咨询工作实施方案</w:t>
            </w:r>
          </w:p>
        </w:tc>
        <w:tc>
          <w:tcPr>
            <w:tcW w:w="851" w:type="dxa"/>
            <w:vAlign w:val="center"/>
          </w:tcPr>
          <w:p>
            <w:pPr>
              <w:spacing w:line="240" w:lineRule="auto"/>
              <w:jc w:val="center"/>
              <w:rPr>
                <w:rFonts w:ascii="宋体" w:hAnsi="宋体" w:eastAsia="宋体" w:cs="宋体"/>
                <w:szCs w:val="21"/>
                <w:highlight w:val="none"/>
              </w:rPr>
            </w:pPr>
            <w:r>
              <w:rPr>
                <w:rFonts w:hint="eastAsia" w:ascii="宋体" w:hAnsi="宋体" w:cs="宋体"/>
                <w:szCs w:val="21"/>
                <w:highlight w:val="none"/>
                <w:u w:val="single"/>
                <w:lang w:val="en-US" w:eastAsia="zh-CN"/>
              </w:rPr>
              <w:t>8</w:t>
            </w:r>
            <w:r>
              <w:rPr>
                <w:rFonts w:hint="eastAsia" w:ascii="宋体" w:hAnsi="宋体" w:eastAsia="宋体" w:cs="宋体"/>
                <w:szCs w:val="21"/>
                <w:highlight w:val="none"/>
              </w:rPr>
              <w:t>分</w:t>
            </w:r>
          </w:p>
        </w:tc>
        <w:tc>
          <w:tcPr>
            <w:tcW w:w="3821" w:type="dxa"/>
            <w:vAlign w:val="center"/>
          </w:tcPr>
          <w:p>
            <w:pPr>
              <w:snapToGrid w:val="0"/>
              <w:ind w:firstLine="420" w:firstLineChars="200"/>
              <w:rPr>
                <w:rFonts w:hint="default" w:hAnsi="宋体" w:eastAsia="宋体" w:cs="宋体"/>
                <w:highlight w:val="none"/>
                <w:lang w:val="en-US" w:eastAsia="zh-CN"/>
              </w:rPr>
            </w:pPr>
            <w:r>
              <w:rPr>
                <w:rFonts w:hint="eastAsia" w:ascii="宋体" w:hAnsi="宋体"/>
                <w:szCs w:val="21"/>
                <w:highlight w:val="none"/>
                <w:lang w:val="en-US" w:eastAsia="zh-CN"/>
              </w:rPr>
              <w:t>针对全过程造价咨询方案</w:t>
            </w:r>
            <w:r>
              <w:rPr>
                <w:rFonts w:hint="eastAsia" w:ascii="宋体" w:hAnsi="宋体"/>
                <w:szCs w:val="21"/>
                <w:highlight w:val="none"/>
              </w:rPr>
              <w:t>具体</w:t>
            </w:r>
            <w:r>
              <w:rPr>
                <w:rFonts w:hint="eastAsia" w:ascii="宋体" w:hAnsi="宋体"/>
                <w:szCs w:val="21"/>
                <w:highlight w:val="none"/>
                <w:lang w:val="en-US" w:eastAsia="zh-CN"/>
              </w:rPr>
              <w:t>程度</w:t>
            </w:r>
            <w:r>
              <w:rPr>
                <w:rFonts w:hint="eastAsia" w:ascii="宋体" w:hAnsi="宋体"/>
                <w:szCs w:val="21"/>
                <w:highlight w:val="none"/>
              </w:rPr>
              <w:t>、合理</w:t>
            </w:r>
            <w:r>
              <w:rPr>
                <w:rFonts w:hint="eastAsia" w:ascii="宋体" w:hAnsi="宋体"/>
                <w:szCs w:val="21"/>
                <w:highlight w:val="none"/>
                <w:lang w:val="en-US" w:eastAsia="zh-CN"/>
              </w:rPr>
              <w:t>性</w:t>
            </w:r>
            <w:r>
              <w:rPr>
                <w:rFonts w:hint="eastAsia" w:ascii="宋体" w:hAnsi="宋体"/>
                <w:szCs w:val="21"/>
                <w:highlight w:val="none"/>
              </w:rPr>
              <w:t>，可操作性，把握关键节点工作</w:t>
            </w:r>
            <w:r>
              <w:rPr>
                <w:rFonts w:hint="eastAsia" w:ascii="宋体" w:hAnsi="宋体"/>
                <w:szCs w:val="21"/>
                <w:highlight w:val="none"/>
                <w:lang w:val="en-US" w:eastAsia="zh-CN"/>
              </w:rPr>
              <w:t>的程度进行评审，优的，得(7.2，8]分；较好的，得(5.6，7.2]分；一般的，得[4.8，5.6]分。没有提供</w:t>
            </w:r>
            <w:r>
              <w:rPr>
                <w:rFonts w:hint="eastAsia" w:ascii="宋体" w:hAnsi="宋体" w:cs="宋体"/>
                <w:szCs w:val="21"/>
                <w:highlight w:val="none"/>
                <w:lang w:val="en-US" w:eastAsia="zh-CN"/>
              </w:rPr>
              <w:t>过程</w:t>
            </w:r>
            <w:r>
              <w:rPr>
                <w:rFonts w:hint="eastAsia" w:ascii="宋体" w:hAnsi="宋体" w:eastAsia="宋体" w:cs="宋体"/>
                <w:szCs w:val="21"/>
                <w:highlight w:val="none"/>
              </w:rPr>
              <w:t>造价咨询工作实施方案</w:t>
            </w:r>
            <w:r>
              <w:rPr>
                <w:rFonts w:hint="eastAsia" w:ascii="宋体" w:hAnsi="宋体" w:cs="宋体"/>
                <w:szCs w:val="21"/>
                <w:highlight w:val="none"/>
                <w:lang w:val="en-US" w:eastAsia="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continue"/>
            <w:vAlign w:val="center"/>
          </w:tcPr>
          <w:p>
            <w:pPr>
              <w:spacing w:line="240" w:lineRule="auto"/>
              <w:jc w:val="center"/>
              <w:rPr>
                <w:rFonts w:ascii="宋体" w:hAnsi="宋体" w:eastAsia="宋体" w:cs="宋体"/>
                <w:szCs w:val="21"/>
                <w:highlight w:val="none"/>
              </w:rPr>
            </w:pPr>
          </w:p>
        </w:tc>
        <w:tc>
          <w:tcPr>
            <w:tcW w:w="1173" w:type="dxa"/>
            <w:vMerge w:val="continue"/>
            <w:vAlign w:val="center"/>
          </w:tcPr>
          <w:p>
            <w:pPr>
              <w:spacing w:line="240" w:lineRule="auto"/>
              <w:jc w:val="center"/>
              <w:rPr>
                <w:rFonts w:ascii="宋体" w:hAnsi="宋体" w:eastAsia="宋体" w:cs="宋体"/>
                <w:szCs w:val="21"/>
                <w:highlight w:val="none"/>
              </w:rPr>
            </w:pPr>
          </w:p>
        </w:tc>
        <w:tc>
          <w:tcPr>
            <w:tcW w:w="919" w:type="dxa"/>
            <w:vMerge w:val="continue"/>
            <w:vAlign w:val="center"/>
          </w:tcPr>
          <w:p>
            <w:pPr>
              <w:spacing w:line="240" w:lineRule="auto"/>
              <w:jc w:val="right"/>
              <w:rPr>
                <w:rFonts w:ascii="宋体" w:hAnsi="宋体" w:eastAsia="宋体" w:cs="宋体"/>
                <w:szCs w:val="21"/>
                <w:highlight w:val="none"/>
                <w:u w:val="single"/>
              </w:rPr>
            </w:pPr>
          </w:p>
        </w:tc>
        <w:tc>
          <w:tcPr>
            <w:tcW w:w="1204" w:type="dxa"/>
            <w:vAlign w:val="center"/>
          </w:tcPr>
          <w:p>
            <w:pPr>
              <w:spacing w:line="240" w:lineRule="auto"/>
              <w:jc w:val="center"/>
              <w:rPr>
                <w:rFonts w:hint="eastAsia" w:ascii="宋体" w:hAnsi="宋体" w:eastAsia="宋体" w:cs="宋体"/>
                <w:szCs w:val="21"/>
                <w:highlight w:val="none"/>
              </w:rPr>
            </w:pPr>
            <w:r>
              <w:rPr>
                <w:rFonts w:hint="eastAsia" w:ascii="宋体" w:hAnsi="宋体" w:cs="宋体"/>
                <w:szCs w:val="21"/>
                <w:highlight w:val="none"/>
                <w:lang w:val="en-US" w:eastAsia="zh-CN"/>
              </w:rPr>
              <w:t>全过程</w:t>
            </w:r>
            <w:r>
              <w:rPr>
                <w:rFonts w:hint="eastAsia" w:ascii="宋体" w:hAnsi="宋体" w:eastAsia="宋体" w:cs="宋体"/>
                <w:szCs w:val="21"/>
                <w:highlight w:val="none"/>
              </w:rPr>
              <w:t>造价咨询工作</w:t>
            </w:r>
            <w:r>
              <w:rPr>
                <w:rFonts w:hint="eastAsia" w:ascii="宋体" w:hAnsi="宋体" w:cs="宋体"/>
                <w:szCs w:val="21"/>
                <w:highlight w:val="none"/>
                <w:lang w:val="en-US" w:eastAsia="zh-CN"/>
              </w:rPr>
              <w:t>程序与</w:t>
            </w:r>
            <w:r>
              <w:rPr>
                <w:rFonts w:hint="eastAsia" w:ascii="宋体" w:hAnsi="宋体" w:eastAsia="宋体" w:cs="宋体"/>
                <w:szCs w:val="21"/>
                <w:highlight w:val="none"/>
              </w:rPr>
              <w:t>措施</w:t>
            </w:r>
          </w:p>
        </w:tc>
        <w:tc>
          <w:tcPr>
            <w:tcW w:w="851" w:type="dxa"/>
            <w:vAlign w:val="center"/>
          </w:tcPr>
          <w:p>
            <w:pPr>
              <w:spacing w:line="240" w:lineRule="auto"/>
              <w:jc w:val="center"/>
              <w:rPr>
                <w:rFonts w:hint="eastAsia" w:ascii="宋体" w:hAnsi="宋体" w:eastAsia="宋体" w:cs="宋体"/>
                <w:szCs w:val="21"/>
                <w:highlight w:val="none"/>
                <w:u w:val="single"/>
              </w:rPr>
            </w:pPr>
            <w:r>
              <w:rPr>
                <w:rFonts w:hint="eastAsia" w:ascii="宋体" w:hAnsi="宋体" w:cs="宋体"/>
                <w:szCs w:val="21"/>
                <w:highlight w:val="none"/>
                <w:u w:val="single"/>
                <w:lang w:val="en-US" w:eastAsia="zh-CN"/>
              </w:rPr>
              <w:t>8</w:t>
            </w:r>
            <w:r>
              <w:rPr>
                <w:rFonts w:hint="eastAsia" w:ascii="宋体" w:hAnsi="宋体" w:eastAsia="宋体" w:cs="宋体"/>
                <w:szCs w:val="21"/>
                <w:highlight w:val="none"/>
              </w:rPr>
              <w:t>分</w:t>
            </w:r>
          </w:p>
        </w:tc>
        <w:tc>
          <w:tcPr>
            <w:tcW w:w="3821" w:type="dxa"/>
            <w:vAlign w:val="center"/>
          </w:tcPr>
          <w:p>
            <w:pPr>
              <w:snapToGrid w:val="0"/>
              <w:ind w:firstLine="420" w:firstLineChars="200"/>
              <w:rPr>
                <w:rFonts w:hint="default" w:hAnsi="宋体" w:eastAsia="宋体" w:cs="宋体"/>
                <w:kern w:val="2"/>
                <w:sz w:val="21"/>
                <w:szCs w:val="24"/>
                <w:highlight w:val="none"/>
                <w:lang w:val="en-US" w:eastAsia="zh-CN"/>
              </w:rPr>
            </w:pPr>
            <w:r>
              <w:rPr>
                <w:rFonts w:hint="eastAsia" w:ascii="宋体" w:hAnsi="宋体" w:cs="宋体"/>
                <w:szCs w:val="21"/>
                <w:highlight w:val="none"/>
                <w:lang w:val="en-US" w:eastAsia="zh-CN"/>
              </w:rPr>
              <w:t>针对本工程全过程造价咨询工作的程序的科学规范性，措施计划的严谨性、措施得力程度进行评审，</w:t>
            </w:r>
            <w:r>
              <w:rPr>
                <w:rFonts w:hint="eastAsia" w:ascii="宋体" w:hAnsi="宋体"/>
                <w:szCs w:val="21"/>
                <w:highlight w:val="none"/>
                <w:lang w:val="en-US" w:eastAsia="zh-CN"/>
              </w:rPr>
              <w:t>优的，得(7.2，8]分；较好的，得(5.6，7.2]分；一般的，得[4.8，5.6]分。</w:t>
            </w:r>
            <w:r>
              <w:rPr>
                <w:rFonts w:hint="eastAsia" w:ascii="宋体" w:hAnsi="宋体" w:cs="宋体"/>
                <w:szCs w:val="21"/>
                <w:highlight w:val="none"/>
                <w:lang w:val="en-US" w:eastAsia="zh-CN"/>
              </w:rPr>
              <w:t>没有提供全过程造价咨询工作的程序与措施的，不得分。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continue"/>
            <w:vAlign w:val="center"/>
          </w:tcPr>
          <w:p>
            <w:pPr>
              <w:spacing w:line="240" w:lineRule="auto"/>
              <w:jc w:val="center"/>
              <w:rPr>
                <w:rFonts w:ascii="宋体" w:hAnsi="宋体" w:eastAsia="宋体" w:cs="宋体"/>
                <w:szCs w:val="21"/>
                <w:highlight w:val="none"/>
              </w:rPr>
            </w:pPr>
          </w:p>
        </w:tc>
        <w:tc>
          <w:tcPr>
            <w:tcW w:w="1173" w:type="dxa"/>
            <w:vMerge w:val="continue"/>
            <w:vAlign w:val="center"/>
          </w:tcPr>
          <w:p>
            <w:pPr>
              <w:spacing w:line="240" w:lineRule="auto"/>
              <w:jc w:val="center"/>
              <w:rPr>
                <w:rFonts w:ascii="宋体" w:hAnsi="宋体" w:eastAsia="宋体" w:cs="宋体"/>
                <w:szCs w:val="21"/>
                <w:highlight w:val="none"/>
              </w:rPr>
            </w:pPr>
          </w:p>
        </w:tc>
        <w:tc>
          <w:tcPr>
            <w:tcW w:w="919" w:type="dxa"/>
            <w:vMerge w:val="continue"/>
            <w:vAlign w:val="center"/>
          </w:tcPr>
          <w:p>
            <w:pPr>
              <w:spacing w:line="240" w:lineRule="auto"/>
              <w:jc w:val="right"/>
              <w:rPr>
                <w:rFonts w:ascii="宋体" w:hAnsi="宋体" w:eastAsia="宋体" w:cs="宋体"/>
                <w:szCs w:val="21"/>
                <w:highlight w:val="none"/>
                <w:u w:val="single"/>
              </w:rPr>
            </w:pPr>
          </w:p>
        </w:tc>
        <w:tc>
          <w:tcPr>
            <w:tcW w:w="1204" w:type="dxa"/>
            <w:vAlign w:val="center"/>
          </w:tcPr>
          <w:p>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对本工程的建议</w:t>
            </w:r>
          </w:p>
        </w:tc>
        <w:tc>
          <w:tcPr>
            <w:tcW w:w="851" w:type="dxa"/>
            <w:vAlign w:val="center"/>
          </w:tcPr>
          <w:p>
            <w:pPr>
              <w:spacing w:line="240" w:lineRule="auto"/>
              <w:jc w:val="center"/>
              <w:rPr>
                <w:rFonts w:hint="eastAsia" w:ascii="宋体" w:hAnsi="宋体" w:eastAsia="宋体" w:cs="宋体"/>
                <w:szCs w:val="21"/>
                <w:highlight w:val="none"/>
                <w:u w:val="single"/>
              </w:rPr>
            </w:pPr>
            <w:r>
              <w:rPr>
                <w:rFonts w:hint="eastAsia" w:ascii="宋体" w:hAnsi="宋体" w:cs="宋体"/>
                <w:szCs w:val="21"/>
                <w:highlight w:val="none"/>
                <w:u w:val="single"/>
                <w:lang w:val="en-US" w:eastAsia="zh-CN"/>
              </w:rPr>
              <w:t>8</w:t>
            </w:r>
            <w:r>
              <w:rPr>
                <w:rFonts w:hint="eastAsia" w:ascii="宋体" w:hAnsi="宋体" w:eastAsia="宋体" w:cs="宋体"/>
                <w:szCs w:val="21"/>
                <w:highlight w:val="none"/>
              </w:rPr>
              <w:t>分</w:t>
            </w:r>
          </w:p>
        </w:tc>
        <w:tc>
          <w:tcPr>
            <w:tcW w:w="3821" w:type="dxa"/>
            <w:vAlign w:val="center"/>
          </w:tcPr>
          <w:p>
            <w:pPr>
              <w:snapToGrid w:val="0"/>
              <w:ind w:firstLine="420" w:firstLineChars="200"/>
              <w:rPr>
                <w:rFonts w:hint="default" w:hAnsi="宋体" w:eastAsia="宋体" w:cs="宋体"/>
                <w:kern w:val="2"/>
                <w:sz w:val="21"/>
                <w:szCs w:val="24"/>
                <w:highlight w:val="none"/>
                <w:lang w:val="en-US" w:eastAsia="zh-CN"/>
              </w:rPr>
            </w:pPr>
            <w:r>
              <w:rPr>
                <w:rFonts w:hint="eastAsia" w:ascii="宋体" w:hAnsi="宋体"/>
                <w:szCs w:val="21"/>
                <w:highlight w:val="none"/>
                <w:lang w:val="en-US" w:eastAsia="zh-CN"/>
              </w:rPr>
              <w:t>针对本工程建议的科学</w:t>
            </w:r>
            <w:r>
              <w:rPr>
                <w:rFonts w:hint="eastAsia" w:ascii="宋体" w:hAnsi="宋体"/>
                <w:szCs w:val="21"/>
                <w:highlight w:val="none"/>
              </w:rPr>
              <w:t>合理</w:t>
            </w:r>
            <w:r>
              <w:rPr>
                <w:rFonts w:hint="eastAsia" w:ascii="宋体" w:hAnsi="宋体"/>
                <w:szCs w:val="21"/>
                <w:highlight w:val="none"/>
                <w:lang w:val="en-US" w:eastAsia="zh-CN"/>
              </w:rPr>
              <w:t>性、针对性、可行性进行评审</w:t>
            </w:r>
            <w:r>
              <w:rPr>
                <w:rFonts w:hint="eastAsia" w:ascii="宋体" w:hAnsi="宋体"/>
                <w:szCs w:val="21"/>
                <w:highlight w:val="none"/>
              </w:rPr>
              <w:t>，</w:t>
            </w:r>
            <w:r>
              <w:rPr>
                <w:rFonts w:hint="eastAsia" w:ascii="宋体" w:hAnsi="宋体"/>
                <w:szCs w:val="21"/>
                <w:highlight w:val="none"/>
                <w:lang w:val="en-US" w:eastAsia="zh-CN"/>
              </w:rPr>
              <w:t>优的，得(7.2，8]分</w:t>
            </w:r>
            <w:r>
              <w:rPr>
                <w:rFonts w:hint="eastAsia" w:ascii="宋体" w:hAnsi="宋体"/>
                <w:szCs w:val="21"/>
                <w:highlight w:val="none"/>
                <w:lang w:eastAsia="zh-CN"/>
              </w:rPr>
              <w:t>；</w:t>
            </w:r>
            <w:r>
              <w:rPr>
                <w:rFonts w:hint="eastAsia" w:ascii="宋体" w:hAnsi="宋体"/>
                <w:szCs w:val="21"/>
                <w:highlight w:val="none"/>
                <w:lang w:val="en-US" w:eastAsia="zh-CN"/>
              </w:rPr>
              <w:t>较好的，得(5.6，7.2]分</w:t>
            </w:r>
            <w:r>
              <w:rPr>
                <w:rFonts w:hint="eastAsia" w:ascii="宋体" w:hAnsi="宋体"/>
                <w:szCs w:val="21"/>
                <w:highlight w:val="none"/>
                <w:lang w:eastAsia="zh-CN"/>
              </w:rPr>
              <w:t>；</w:t>
            </w:r>
            <w:r>
              <w:rPr>
                <w:rFonts w:hint="eastAsia" w:ascii="宋体" w:hAnsi="宋体"/>
                <w:szCs w:val="21"/>
                <w:highlight w:val="none"/>
                <w:lang w:val="en-US" w:eastAsia="zh-CN"/>
              </w:rPr>
              <w:t>一般的，得[4.8，5.6]分。没有提供</w:t>
            </w:r>
            <w:r>
              <w:rPr>
                <w:rFonts w:hint="eastAsia" w:ascii="宋体" w:hAnsi="宋体" w:eastAsia="宋体" w:cs="宋体"/>
                <w:szCs w:val="21"/>
                <w:highlight w:val="none"/>
              </w:rPr>
              <w:t>对本工程的建议</w:t>
            </w:r>
            <w:r>
              <w:rPr>
                <w:rFonts w:hint="eastAsia" w:ascii="宋体" w:hAnsi="宋体"/>
                <w:szCs w:val="21"/>
                <w:highlight w:val="none"/>
                <w:lang w:val="en-US" w:eastAsia="zh-CN"/>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restart"/>
            <w:vAlign w:val="center"/>
          </w:tcPr>
          <w:p>
            <w:pPr>
              <w:spacing w:line="240" w:lineRule="auto"/>
              <w:ind w:left="-92" w:leftChars="-44" w:right="-88" w:rightChars="-42"/>
              <w:jc w:val="center"/>
              <w:rPr>
                <w:rFonts w:ascii="宋体" w:hAnsi="宋体" w:eastAsia="宋体" w:cs="宋体"/>
                <w:szCs w:val="21"/>
                <w:highlight w:val="none"/>
              </w:rPr>
            </w:pPr>
            <w:r>
              <w:rPr>
                <w:rFonts w:hint="eastAsia" w:ascii="宋体" w:hAnsi="宋体" w:eastAsia="宋体" w:cs="宋体"/>
                <w:szCs w:val="21"/>
                <w:highlight w:val="none"/>
              </w:rPr>
              <w:t>2.2.4</w:t>
            </w:r>
          </w:p>
          <w:p>
            <w:pPr>
              <w:spacing w:line="240" w:lineRule="auto"/>
              <w:ind w:left="-92" w:leftChars="-44" w:right="-88" w:rightChars="-42"/>
              <w:jc w:val="center"/>
              <w:rPr>
                <w:rFonts w:ascii="宋体" w:hAnsi="宋体" w:eastAsia="宋体" w:cs="宋体"/>
                <w:szCs w:val="21"/>
                <w:highlight w:val="none"/>
              </w:rPr>
            </w:pPr>
            <w:r>
              <w:rPr>
                <w:rFonts w:hint="eastAsia" w:ascii="宋体" w:hAnsi="宋体" w:eastAsia="宋体" w:cs="宋体"/>
                <w:szCs w:val="21"/>
                <w:highlight w:val="none"/>
              </w:rPr>
              <w:t>(2)</w:t>
            </w:r>
          </w:p>
        </w:tc>
        <w:tc>
          <w:tcPr>
            <w:tcW w:w="1173" w:type="dxa"/>
            <w:vMerge w:val="restart"/>
            <w:vAlign w:val="center"/>
          </w:tcPr>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主要人员</w:t>
            </w:r>
          </w:p>
        </w:tc>
        <w:tc>
          <w:tcPr>
            <w:tcW w:w="919" w:type="dxa"/>
            <w:vMerge w:val="restart"/>
            <w:vAlign w:val="center"/>
          </w:tcPr>
          <w:p>
            <w:pPr>
              <w:spacing w:line="240" w:lineRule="auto"/>
              <w:jc w:val="center"/>
              <w:rPr>
                <w:rFonts w:ascii="宋体" w:hAnsi="宋体" w:eastAsia="宋体" w:cs="宋体"/>
                <w:szCs w:val="21"/>
                <w:highlight w:val="none"/>
              </w:rPr>
            </w:pPr>
            <w:r>
              <w:rPr>
                <w:rFonts w:hint="eastAsia" w:ascii="宋体" w:hAnsi="宋体" w:cs="宋体"/>
                <w:szCs w:val="21"/>
                <w:highlight w:val="none"/>
                <w:u w:val="single"/>
                <w:lang w:val="en-US" w:eastAsia="zh-CN"/>
              </w:rPr>
              <w:t>20</w:t>
            </w:r>
            <w:r>
              <w:rPr>
                <w:rFonts w:hint="eastAsia" w:ascii="宋体" w:hAnsi="宋体" w:eastAsia="宋体" w:cs="宋体"/>
                <w:szCs w:val="21"/>
                <w:highlight w:val="none"/>
              </w:rPr>
              <w:t>分</w:t>
            </w:r>
          </w:p>
        </w:tc>
        <w:tc>
          <w:tcPr>
            <w:tcW w:w="1204" w:type="dxa"/>
            <w:vAlign w:val="center"/>
          </w:tcPr>
          <w:p>
            <w:pPr>
              <w:spacing w:line="24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项目负责人</w:t>
            </w:r>
          </w:p>
        </w:tc>
        <w:tc>
          <w:tcPr>
            <w:tcW w:w="851" w:type="dxa"/>
            <w:vAlign w:val="center"/>
          </w:tcPr>
          <w:p>
            <w:pPr>
              <w:spacing w:line="240" w:lineRule="auto"/>
              <w:jc w:val="center"/>
              <w:rPr>
                <w:rFonts w:ascii="宋体" w:hAnsi="宋体" w:eastAsia="宋体" w:cs="宋体"/>
                <w:szCs w:val="21"/>
                <w:highlight w:val="none"/>
              </w:rPr>
            </w:pPr>
            <w:r>
              <w:rPr>
                <w:rFonts w:hint="eastAsia" w:ascii="宋体" w:hAnsi="宋体" w:cs="宋体"/>
                <w:szCs w:val="21"/>
                <w:highlight w:val="none"/>
                <w:u w:val="single"/>
                <w:lang w:val="en-US" w:eastAsia="zh-CN"/>
              </w:rPr>
              <w:t>10</w:t>
            </w:r>
            <w:r>
              <w:rPr>
                <w:rFonts w:hint="eastAsia" w:ascii="宋体" w:hAnsi="宋体" w:eastAsia="宋体" w:cs="宋体"/>
                <w:szCs w:val="21"/>
                <w:highlight w:val="none"/>
              </w:rPr>
              <w:t>分</w:t>
            </w:r>
          </w:p>
        </w:tc>
        <w:tc>
          <w:tcPr>
            <w:tcW w:w="3821" w:type="dxa"/>
            <w:vAlign w:val="center"/>
          </w:tcPr>
          <w:p>
            <w:pPr>
              <w:pStyle w:val="6"/>
              <w:numPr>
                <w:ilvl w:val="-1"/>
                <w:numId w:val="0"/>
              </w:numPr>
              <w:adjustRightInd/>
              <w:snapToGrid/>
              <w:spacing w:beforeLines="-2147483648" w:afterLines="-2147483648"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1、满足招标文件资格审查条件（项目负责人最低要求）的，得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6"/>
              <w:numPr>
                <w:ilvl w:val="-1"/>
                <w:numId w:val="0"/>
              </w:numPr>
              <w:adjustRightInd w:val="0"/>
              <w:snapToGrid w:val="0"/>
              <w:spacing w:beforeLines="0" w:afterLines="0"/>
              <w:rPr>
                <w:rFonts w:hint="eastAsia" w:ascii="宋体" w:hAnsi="宋体" w:eastAsia="宋体" w:cs="宋体"/>
                <w:color w:val="auto"/>
                <w:sz w:val="21"/>
                <w:szCs w:val="21"/>
                <w:highlight w:val="none"/>
                <w:lang w:val="en-US" w:eastAsia="zh-CN"/>
              </w:rPr>
            </w:pPr>
          </w:p>
          <w:p>
            <w:pPr>
              <w:pStyle w:val="6"/>
              <w:numPr>
                <w:ilvl w:val="-1"/>
                <w:numId w:val="0"/>
              </w:numPr>
              <w:adjustRightInd w:val="0"/>
              <w:snapToGrid w:val="0"/>
              <w:spacing w:beforeLines="0" w:afterLines="0"/>
              <w:ind w:firstLine="420" w:firstLineChars="200"/>
              <w:rPr>
                <w:rFonts w:hint="default"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2、在满足招标文件资格审查条件（项目负责人最低要求）基础上，</w:t>
            </w:r>
            <w:r>
              <w:rPr>
                <w:rFonts w:hint="eastAsia" w:cs="宋体"/>
                <w:color w:val="auto"/>
                <w:sz w:val="21"/>
                <w:szCs w:val="21"/>
                <w:highlight w:val="none"/>
                <w:lang w:val="en-US" w:eastAsia="zh-CN"/>
              </w:rPr>
              <w:t>具有高级（或以上）职称的，加1分；</w:t>
            </w:r>
            <w:r>
              <w:rPr>
                <w:rFonts w:hint="eastAsia" w:ascii="宋体" w:hAnsi="宋体" w:eastAsia="宋体" w:cs="宋体"/>
                <w:color w:val="auto"/>
                <w:sz w:val="21"/>
                <w:szCs w:val="21"/>
                <w:highlight w:val="none"/>
                <w:lang w:val="en-US" w:eastAsia="zh-CN"/>
              </w:rPr>
              <w:t>自20</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年1月1日至投标文件递交截止日,项目负责人</w:t>
            </w:r>
            <w:r>
              <w:rPr>
                <w:rFonts w:hint="eastAsia" w:cs="宋体"/>
                <w:color w:val="auto"/>
                <w:sz w:val="21"/>
                <w:szCs w:val="21"/>
                <w:highlight w:val="none"/>
                <w:lang w:val="en-US" w:eastAsia="zh-CN"/>
              </w:rPr>
              <w:t>以项目负责人身份每增加承担过1项单项工程建安费不少于人民币1亿元的水运工程的造价咨询工作的，加1分，最多加3分。本项最高得4分。</w:t>
            </w:r>
          </w:p>
          <w:p>
            <w:pPr>
              <w:pStyle w:val="23"/>
              <w:numPr>
                <w:ilvl w:val="0"/>
                <w:numId w:val="0"/>
              </w:numPr>
              <w:ind w:firstLine="420" w:firstLineChars="200"/>
              <w:jc w:val="both"/>
              <w:rPr>
                <w:rFonts w:hint="eastAsia" w:ascii="宋体" w:hAnsi="宋体" w:cs="Times New Roman"/>
                <w:b w:val="0"/>
                <w:bCs/>
                <w:sz w:val="21"/>
                <w:szCs w:val="21"/>
                <w:highlight w:val="none"/>
                <w:lang w:val="en-US" w:eastAsia="zh-CN"/>
              </w:rPr>
            </w:pPr>
            <w:r>
              <w:rPr>
                <w:rFonts w:hint="eastAsia" w:ascii="宋体" w:hAnsi="宋体" w:eastAsia="宋体" w:cs="宋体"/>
                <w:b w:val="0"/>
                <w:bCs w:val="0"/>
                <w:color w:val="auto"/>
                <w:szCs w:val="21"/>
                <w:highlight w:val="none"/>
                <w:u w:val="none"/>
                <w:lang w:val="en-US" w:eastAsia="zh-CN"/>
              </w:rPr>
              <w:t>注：</w:t>
            </w:r>
            <w:r>
              <w:rPr>
                <w:rFonts w:hint="eastAsia" w:ascii="宋体" w:hAnsi="宋体" w:cs="宋体"/>
                <w:b w:val="0"/>
                <w:bCs/>
                <w:kern w:val="2"/>
                <w:sz w:val="21"/>
                <w:szCs w:val="21"/>
                <w:highlight w:val="none"/>
                <w:u w:val="none"/>
                <w:lang w:val="en-US" w:eastAsia="zh-CN" w:bidi="ar-SA"/>
              </w:rPr>
              <w:t>①</w:t>
            </w:r>
            <w:r>
              <w:rPr>
                <w:rFonts w:hint="eastAsia" w:ascii="宋体" w:hAnsi="宋体" w:cs="Times New Roman"/>
                <w:b w:val="0"/>
                <w:bCs/>
                <w:sz w:val="21"/>
                <w:szCs w:val="21"/>
                <w:highlight w:val="none"/>
                <w:lang w:val="en-US" w:eastAsia="zh-CN"/>
              </w:rPr>
              <w:t>投标人提供的业绩包含概算编制（或审核）、预算编制（或审核）、工程量清单编制（或审核）、工程结算（或决算）编制（或审核）等中的1项或1项以上均可认定为造价咨询业绩；</w:t>
            </w:r>
          </w:p>
          <w:p>
            <w:pPr>
              <w:pStyle w:val="6"/>
              <w:numPr>
                <w:ilvl w:val="-1"/>
                <w:numId w:val="0"/>
              </w:numPr>
              <w:adjustRightInd w:val="0"/>
              <w:snapToGrid w:val="0"/>
              <w:spacing w:beforeLines="0" w:afterLines="0"/>
              <w:ind w:firstLine="420" w:firstLineChars="200"/>
              <w:rPr>
                <w:rFonts w:hint="eastAsia" w:ascii="宋体" w:hAnsi="宋体" w:cs="Times New Roman"/>
                <w:b w:val="0"/>
                <w:bCs/>
                <w:sz w:val="21"/>
                <w:szCs w:val="21"/>
                <w:highlight w:val="none"/>
                <w:lang w:val="en-US" w:eastAsia="zh-CN"/>
              </w:rPr>
            </w:pPr>
            <w:r>
              <w:rPr>
                <w:rFonts w:hint="eastAsia" w:cs="Times New Roman"/>
                <w:b w:val="0"/>
                <w:bCs/>
                <w:sz w:val="21"/>
                <w:szCs w:val="21"/>
                <w:highlight w:val="none"/>
                <w:lang w:val="en-US" w:eastAsia="zh-CN"/>
              </w:rPr>
              <w:t>②</w:t>
            </w:r>
            <w:r>
              <w:rPr>
                <w:rFonts w:hint="eastAsia" w:ascii="宋体" w:hAnsi="宋体" w:cs="Times New Roman"/>
                <w:b w:val="0"/>
                <w:bCs/>
                <w:sz w:val="21"/>
                <w:szCs w:val="21"/>
                <w:highlight w:val="none"/>
                <w:lang w:val="en-US" w:eastAsia="zh-CN"/>
              </w:rPr>
              <w:t>业绩证明材料须同时附中标通知书（如有）、合同协议书复印件，</w:t>
            </w:r>
            <w:r>
              <w:rPr>
                <w:rFonts w:hint="eastAsia" w:cs="Times New Roman"/>
                <w:b w:val="0"/>
                <w:bCs/>
                <w:sz w:val="21"/>
                <w:szCs w:val="21"/>
                <w:highlight w:val="none"/>
                <w:lang w:val="en-US" w:eastAsia="zh-CN"/>
              </w:rPr>
              <w:t>业绩认定</w:t>
            </w:r>
            <w:r>
              <w:rPr>
                <w:rFonts w:hint="eastAsia" w:ascii="宋体" w:hAnsi="宋体" w:cs="Times New Roman"/>
                <w:b w:val="0"/>
                <w:bCs/>
                <w:sz w:val="21"/>
                <w:szCs w:val="21"/>
                <w:highlight w:val="none"/>
                <w:lang w:val="en-US" w:eastAsia="zh-CN"/>
              </w:rPr>
              <w:t>时间以合同签订时间为准。如上述资料均不能反映资格审查条件和评标办法要求的各项指标要求的，业绩应补充提供项目业主或行业主管部门开具的证明材料或成果文件复印件。</w:t>
            </w:r>
          </w:p>
          <w:p>
            <w:pPr>
              <w:pStyle w:val="6"/>
              <w:numPr>
                <w:ilvl w:val="-1"/>
                <w:numId w:val="0"/>
              </w:numPr>
              <w:adjustRightInd w:val="0"/>
              <w:snapToGrid w:val="0"/>
              <w:spacing w:beforeLines="0" w:afterLines="0"/>
              <w:ind w:firstLine="420" w:firstLineChars="200"/>
              <w:rPr>
                <w:rFonts w:ascii="宋体" w:hAnsi="宋体" w:eastAsia="宋体" w:cs="宋体"/>
                <w:szCs w:val="21"/>
                <w:highlight w:val="none"/>
              </w:rPr>
            </w:pPr>
            <w:r>
              <w:rPr>
                <w:rFonts w:hint="eastAsia" w:cs="Times New Roman"/>
                <w:b w:val="0"/>
                <w:bCs/>
                <w:sz w:val="21"/>
                <w:szCs w:val="21"/>
                <w:highlight w:val="none"/>
                <w:lang w:val="en-US" w:eastAsia="zh-CN"/>
              </w:rPr>
              <w:t>③</w:t>
            </w:r>
            <w:r>
              <w:rPr>
                <w:rFonts w:hint="eastAsia" w:ascii="宋体" w:hAnsi="宋体" w:cs="Times New Roman"/>
                <w:b w:val="0"/>
                <w:bCs/>
                <w:sz w:val="21"/>
                <w:szCs w:val="21"/>
                <w:highlight w:val="none"/>
                <w:lang w:val="en-US" w:eastAsia="zh-CN"/>
              </w:rPr>
              <w:t>同一合同如包含不同标段（含不同项目）的业绩，工程建安费可进行累加，但只能作为一项业绩进行计分。同一项目不同阶段的造价咨询成果（概算或预算或结算等）不重复计分。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continue"/>
            <w:vAlign w:val="center"/>
          </w:tcPr>
          <w:p>
            <w:pPr>
              <w:spacing w:line="240" w:lineRule="auto"/>
              <w:ind w:left="-92" w:leftChars="-44" w:right="-88" w:rightChars="-42"/>
              <w:jc w:val="center"/>
              <w:rPr>
                <w:rFonts w:hint="eastAsia" w:ascii="宋体" w:hAnsi="宋体" w:eastAsia="宋体" w:cs="宋体"/>
                <w:szCs w:val="21"/>
                <w:highlight w:val="none"/>
              </w:rPr>
            </w:pPr>
          </w:p>
        </w:tc>
        <w:tc>
          <w:tcPr>
            <w:tcW w:w="1173" w:type="dxa"/>
            <w:vMerge w:val="continue"/>
            <w:vAlign w:val="center"/>
          </w:tcPr>
          <w:p>
            <w:pPr>
              <w:spacing w:line="240" w:lineRule="auto"/>
              <w:jc w:val="center"/>
              <w:rPr>
                <w:rFonts w:hint="eastAsia" w:ascii="宋体" w:hAnsi="宋体" w:eastAsia="宋体" w:cs="宋体"/>
                <w:szCs w:val="21"/>
                <w:highlight w:val="none"/>
              </w:rPr>
            </w:pPr>
          </w:p>
        </w:tc>
        <w:tc>
          <w:tcPr>
            <w:tcW w:w="919" w:type="dxa"/>
            <w:vMerge w:val="continue"/>
            <w:vAlign w:val="center"/>
          </w:tcPr>
          <w:p>
            <w:pPr>
              <w:spacing w:line="240" w:lineRule="auto"/>
              <w:jc w:val="center"/>
              <w:rPr>
                <w:rFonts w:hint="eastAsia" w:ascii="宋体" w:hAnsi="宋体" w:eastAsia="宋体" w:cs="宋体"/>
                <w:szCs w:val="21"/>
                <w:highlight w:val="none"/>
                <w:u w:val="single"/>
              </w:rPr>
            </w:pPr>
          </w:p>
        </w:tc>
        <w:tc>
          <w:tcPr>
            <w:tcW w:w="1204" w:type="dxa"/>
            <w:vAlign w:val="center"/>
          </w:tcPr>
          <w:p>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其他主要人员</w:t>
            </w:r>
          </w:p>
        </w:tc>
        <w:tc>
          <w:tcPr>
            <w:tcW w:w="851" w:type="dxa"/>
            <w:vAlign w:val="center"/>
          </w:tcPr>
          <w:p>
            <w:pPr>
              <w:spacing w:line="240" w:lineRule="auto"/>
              <w:jc w:val="center"/>
              <w:rPr>
                <w:rFonts w:hint="eastAsia" w:ascii="宋体" w:hAnsi="宋体" w:eastAsia="宋体" w:cs="宋体"/>
                <w:szCs w:val="21"/>
                <w:highlight w:val="none"/>
                <w:u w:val="single"/>
              </w:rPr>
            </w:pPr>
            <w:r>
              <w:rPr>
                <w:rFonts w:hint="eastAsia" w:ascii="宋体" w:hAnsi="宋体" w:cs="宋体"/>
                <w:szCs w:val="21"/>
                <w:highlight w:val="none"/>
                <w:lang w:val="en-US" w:eastAsia="zh-CN"/>
              </w:rPr>
              <w:t>10</w:t>
            </w:r>
            <w:r>
              <w:rPr>
                <w:rFonts w:hint="eastAsia" w:ascii="宋体" w:hAnsi="宋体" w:eastAsia="宋体" w:cs="宋体"/>
                <w:szCs w:val="21"/>
                <w:highlight w:val="none"/>
              </w:rPr>
              <w:t>分</w:t>
            </w:r>
          </w:p>
        </w:tc>
        <w:tc>
          <w:tcPr>
            <w:tcW w:w="3821" w:type="dxa"/>
            <w:vAlign w:val="center"/>
          </w:tcPr>
          <w:p>
            <w:pPr>
              <w:numPr>
                <w:ilvl w:val="0"/>
                <w:numId w:val="0"/>
              </w:numPr>
              <w:topLinePunct/>
              <w:autoSpaceDE w:val="0"/>
              <w:autoSpaceDN w:val="0"/>
              <w:adjustRightInd w:val="0"/>
              <w:snapToGrid w:val="0"/>
              <w:spacing w:line="240" w:lineRule="auto"/>
              <w:ind w:firstLine="420" w:firstLineChars="200"/>
              <w:jc w:val="left"/>
              <w:rPr>
                <w:rFonts w:hint="eastAsia" w:ascii="宋体" w:hAnsi="宋体"/>
                <w:bCs/>
                <w:szCs w:val="21"/>
                <w:highlight w:val="none"/>
                <w:lang w:val="en-US" w:eastAsia="zh-CN"/>
              </w:rPr>
            </w:pPr>
            <w:r>
              <w:rPr>
                <w:rFonts w:hint="eastAsia" w:ascii="宋体" w:hAnsi="宋体" w:eastAsia="宋体" w:cs="宋体"/>
                <w:color w:val="auto"/>
                <w:sz w:val="21"/>
                <w:szCs w:val="21"/>
                <w:highlight w:val="none"/>
                <w:u w:val="none"/>
                <w:lang w:val="en-US" w:eastAsia="zh-CN"/>
              </w:rPr>
              <w:t>1、拟投入的</w:t>
            </w:r>
            <w:r>
              <w:rPr>
                <w:rFonts w:hint="eastAsia" w:ascii="宋体" w:hAnsi="宋体" w:cs="宋体"/>
                <w:color w:val="auto"/>
                <w:sz w:val="21"/>
                <w:szCs w:val="21"/>
                <w:highlight w:val="none"/>
                <w:u w:val="none"/>
                <w:lang w:val="en-US" w:eastAsia="zh-CN"/>
              </w:rPr>
              <w:t>其他主要人员</w:t>
            </w:r>
            <w:r>
              <w:rPr>
                <w:rFonts w:hint="eastAsia" w:ascii="宋体" w:hAnsi="宋体" w:eastAsia="宋体" w:cs="宋体"/>
                <w:color w:val="auto"/>
                <w:sz w:val="21"/>
                <w:szCs w:val="21"/>
                <w:highlight w:val="none"/>
                <w:u w:val="none"/>
                <w:lang w:val="en-US" w:eastAsia="zh-CN"/>
              </w:rPr>
              <w:t>满足招标文件资格审查条件（</w:t>
            </w:r>
            <w:r>
              <w:rPr>
                <w:rFonts w:hint="eastAsia" w:ascii="宋体" w:hAnsi="宋体" w:eastAsia="宋体" w:cs="宋体"/>
                <w:bCs w:val="0"/>
                <w:color w:val="auto"/>
                <w:sz w:val="21"/>
                <w:szCs w:val="21"/>
                <w:highlight w:val="none"/>
                <w:u w:val="none"/>
                <w:lang w:val="en-US" w:eastAsia="zh-CN"/>
              </w:rPr>
              <w:t>其他主要人员</w:t>
            </w:r>
            <w:r>
              <w:rPr>
                <w:rFonts w:hint="eastAsia" w:ascii="宋体" w:hAnsi="宋体" w:eastAsia="宋体" w:cs="宋体"/>
                <w:bCs w:val="0"/>
                <w:color w:val="auto"/>
                <w:sz w:val="21"/>
                <w:szCs w:val="21"/>
                <w:highlight w:val="none"/>
                <w:u w:val="none"/>
                <w:lang w:val="en-US"/>
              </w:rPr>
              <w:t>最低要求</w:t>
            </w:r>
            <w:r>
              <w:rPr>
                <w:rFonts w:hint="eastAsia" w:ascii="宋体" w:hAnsi="宋体" w:eastAsia="宋体" w:cs="宋体"/>
                <w:color w:val="auto"/>
                <w:sz w:val="21"/>
                <w:szCs w:val="21"/>
                <w:highlight w:val="none"/>
                <w:u w:val="none"/>
                <w:lang w:val="en-US" w:eastAsia="zh-CN"/>
              </w:rPr>
              <w:t>）的，得</w:t>
            </w:r>
            <w:r>
              <w:rPr>
                <w:rFonts w:hint="eastAsia" w:ascii="宋体" w:hAnsi="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val="en-US" w:eastAsia="zh-CN"/>
              </w:rPr>
              <w:t>分；</w:t>
            </w:r>
          </w:p>
          <w:p>
            <w:pPr>
              <w:numPr>
                <w:ilvl w:val="0"/>
                <w:numId w:val="0"/>
              </w:numPr>
              <w:topLinePunct/>
              <w:autoSpaceDE w:val="0"/>
              <w:autoSpaceDN w:val="0"/>
              <w:adjustRightInd w:val="0"/>
              <w:snapToGrid w:val="0"/>
              <w:ind w:firstLine="420" w:firstLineChars="200"/>
              <w:rPr>
                <w:rFonts w:hint="eastAsia" w:ascii="宋体" w:hAnsi="宋体" w:cs="宋体"/>
                <w:b w:val="0"/>
                <w:color w:val="auto"/>
                <w:sz w:val="21"/>
                <w:szCs w:val="21"/>
                <w:highlight w:val="none"/>
                <w:lang w:val="en-US" w:eastAsia="zh-CN"/>
              </w:rPr>
            </w:pPr>
          </w:p>
          <w:p>
            <w:pPr>
              <w:numPr>
                <w:ilvl w:val="0"/>
                <w:numId w:val="0"/>
              </w:numPr>
              <w:topLinePunct/>
              <w:autoSpaceDE w:val="0"/>
              <w:autoSpaceDN w:val="0"/>
              <w:adjustRightInd w:val="0"/>
              <w:snapToGrid w:val="0"/>
              <w:ind w:firstLine="420" w:firstLineChars="200"/>
              <w:rPr>
                <w:rFonts w:hint="eastAsia" w:cs="宋体"/>
                <w:bCs w:val="0"/>
                <w:color w:val="auto"/>
                <w:kern w:val="2"/>
                <w:sz w:val="21"/>
                <w:szCs w:val="21"/>
                <w:highlight w:val="none"/>
                <w:u w:val="none"/>
                <w:lang w:val="en-US" w:eastAsia="zh-CN"/>
              </w:rPr>
            </w:pP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在满足招标文件资格审查条件</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Cs w:val="0"/>
                <w:color w:val="auto"/>
                <w:sz w:val="21"/>
                <w:szCs w:val="21"/>
                <w:highlight w:val="none"/>
                <w:u w:val="none"/>
                <w:lang w:val="en-US" w:eastAsia="zh-CN"/>
              </w:rPr>
              <w:t>其他主要人员</w:t>
            </w:r>
            <w:r>
              <w:rPr>
                <w:rFonts w:hint="eastAsia" w:ascii="宋体" w:hAnsi="宋体" w:eastAsia="宋体" w:cs="宋体"/>
                <w:bCs w:val="0"/>
                <w:color w:val="auto"/>
                <w:sz w:val="21"/>
                <w:szCs w:val="21"/>
                <w:highlight w:val="none"/>
                <w:u w:val="none"/>
                <w:lang w:val="en-US"/>
              </w:rPr>
              <w:t>最低要求</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val="0"/>
                <w:color w:val="auto"/>
                <w:sz w:val="21"/>
                <w:szCs w:val="21"/>
                <w:highlight w:val="none"/>
                <w:lang w:val="en-US" w:eastAsia="zh-CN"/>
              </w:rPr>
              <w:t>基础上</w:t>
            </w:r>
            <w:r>
              <w:rPr>
                <w:rFonts w:hint="eastAsia" w:ascii="宋体" w:hAnsi="宋体" w:cs="宋体"/>
                <w:b w:val="0"/>
                <w:color w:val="auto"/>
                <w:sz w:val="21"/>
                <w:szCs w:val="21"/>
                <w:highlight w:val="none"/>
                <w:lang w:val="en-US" w:eastAsia="zh-CN"/>
              </w:rPr>
              <w:t>：</w:t>
            </w:r>
          </w:p>
          <w:p>
            <w:pPr>
              <w:numPr>
                <w:ilvl w:val="0"/>
                <w:numId w:val="0"/>
              </w:numPr>
              <w:topLinePunct/>
              <w:autoSpaceDE w:val="0"/>
              <w:autoSpaceDN w:val="0"/>
              <w:adjustRightInd w:val="0"/>
              <w:snapToGrid w:val="0"/>
              <w:ind w:firstLine="420" w:firstLineChars="200"/>
              <w:rPr>
                <w:rFonts w:hint="eastAsia" w:ascii="宋体" w:hAnsi="宋体" w:cs="宋体"/>
                <w:b w:val="0"/>
                <w:color w:val="auto"/>
                <w:sz w:val="21"/>
                <w:szCs w:val="21"/>
                <w:highlight w:val="none"/>
                <w:lang w:val="en-US" w:eastAsia="zh-CN"/>
              </w:rPr>
            </w:pPr>
            <w:r>
              <w:rPr>
                <w:rFonts w:hint="eastAsia" w:cs="宋体"/>
                <w:bCs w:val="0"/>
                <w:color w:val="auto"/>
                <w:kern w:val="2"/>
                <w:sz w:val="21"/>
                <w:szCs w:val="21"/>
                <w:highlight w:val="none"/>
                <w:u w:val="none"/>
                <w:lang w:val="en-US" w:eastAsia="zh-CN"/>
              </w:rPr>
              <w:t>（1）投标人拟投入的</w:t>
            </w:r>
            <w:r>
              <w:rPr>
                <w:rFonts w:hint="eastAsia" w:ascii="宋体" w:hAnsi="宋体" w:cs="宋体"/>
                <w:b w:val="0"/>
                <w:color w:val="auto"/>
                <w:sz w:val="21"/>
                <w:szCs w:val="21"/>
                <w:highlight w:val="none"/>
                <w:lang w:val="en-US" w:eastAsia="zh-CN"/>
              </w:rPr>
              <w:t>造价工程师中，具有高级</w:t>
            </w:r>
            <w:r>
              <w:rPr>
                <w:rFonts w:hint="eastAsia" w:ascii="宋体" w:hAnsi="宋体" w:eastAsia="宋体" w:cs="宋体"/>
                <w:bCs w:val="0"/>
                <w:color w:val="auto"/>
                <w:kern w:val="2"/>
                <w:sz w:val="21"/>
                <w:szCs w:val="21"/>
                <w:highlight w:val="none"/>
                <w:u w:val="none"/>
                <w:lang w:val="en-US" w:eastAsia="zh-CN"/>
              </w:rPr>
              <w:t>（或以上）</w:t>
            </w:r>
            <w:r>
              <w:rPr>
                <w:rFonts w:hint="eastAsia" w:ascii="宋体" w:hAnsi="宋体" w:cs="宋体"/>
                <w:bCs w:val="0"/>
                <w:color w:val="auto"/>
                <w:kern w:val="2"/>
                <w:sz w:val="21"/>
                <w:szCs w:val="21"/>
                <w:highlight w:val="none"/>
                <w:u w:val="none"/>
                <w:lang w:val="en-US" w:eastAsia="zh-CN"/>
              </w:rPr>
              <w:t>技术</w:t>
            </w:r>
            <w:r>
              <w:rPr>
                <w:rFonts w:hint="eastAsia" w:ascii="宋体" w:hAnsi="宋体" w:cs="宋体"/>
                <w:b w:val="0"/>
                <w:color w:val="auto"/>
                <w:sz w:val="21"/>
                <w:szCs w:val="21"/>
                <w:highlight w:val="none"/>
                <w:lang w:val="en-US" w:eastAsia="zh-CN"/>
              </w:rPr>
              <w:t>职称的，每1名加0.5分，最多加2分。</w:t>
            </w:r>
          </w:p>
          <w:p>
            <w:pPr>
              <w:numPr>
                <w:ilvl w:val="0"/>
                <w:numId w:val="0"/>
              </w:numPr>
              <w:topLinePunct/>
              <w:autoSpaceDE w:val="0"/>
              <w:autoSpaceDN w:val="0"/>
              <w:adjustRightInd w:val="0"/>
              <w:snapToGrid w:val="0"/>
              <w:ind w:firstLine="420" w:firstLineChars="200"/>
              <w:jc w:val="left"/>
              <w:rPr>
                <w:rFonts w:hint="eastAsia" w:ascii="宋体" w:hAnsi="宋体" w:eastAsia="宋体" w:cs="宋体"/>
                <w:szCs w:val="21"/>
                <w:highlight w:val="none"/>
              </w:rPr>
            </w:pPr>
            <w:r>
              <w:rPr>
                <w:rFonts w:hint="eastAsia" w:cs="宋体"/>
                <w:bCs w:val="0"/>
                <w:color w:val="auto"/>
                <w:kern w:val="2"/>
                <w:sz w:val="21"/>
                <w:szCs w:val="21"/>
                <w:highlight w:val="none"/>
                <w:u w:val="none"/>
                <w:lang w:val="en-US" w:eastAsia="zh-CN"/>
              </w:rPr>
              <w:t>（2）投标人拟投入的</w:t>
            </w:r>
            <w:r>
              <w:rPr>
                <w:rFonts w:hint="eastAsia" w:ascii="宋体" w:hAnsi="宋体" w:cs="宋体"/>
                <w:b w:val="0"/>
                <w:color w:val="auto"/>
                <w:sz w:val="21"/>
                <w:szCs w:val="21"/>
                <w:highlight w:val="none"/>
                <w:lang w:val="en-US" w:eastAsia="zh-CN"/>
              </w:rPr>
              <w:t>造价工程师中</w:t>
            </w:r>
            <w:r>
              <w:rPr>
                <w:rFonts w:hint="eastAsia" w:cs="宋体"/>
                <w:bCs w:val="0"/>
                <w:color w:val="auto"/>
                <w:kern w:val="2"/>
                <w:sz w:val="21"/>
                <w:szCs w:val="21"/>
                <w:highlight w:val="none"/>
                <w:u w:val="none"/>
                <w:lang w:val="en-US" w:eastAsia="zh-CN"/>
              </w:rPr>
              <w:t>，具有有效的一级造价工程师注册证书（ 注册执业单位须与投标单位一致）的，每1名</w:t>
            </w:r>
            <w:r>
              <w:rPr>
                <w:rFonts w:hint="eastAsia" w:ascii="宋体" w:hAnsi="宋体" w:cs="宋体"/>
                <w:b w:val="0"/>
                <w:color w:val="auto"/>
                <w:sz w:val="21"/>
                <w:szCs w:val="21"/>
                <w:highlight w:val="none"/>
                <w:lang w:val="en-US" w:eastAsia="zh-CN"/>
              </w:rPr>
              <w:t>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Align w:val="center"/>
          </w:tcPr>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2.2.4</w:t>
            </w:r>
          </w:p>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(3)</w:t>
            </w:r>
          </w:p>
        </w:tc>
        <w:tc>
          <w:tcPr>
            <w:tcW w:w="1173" w:type="dxa"/>
            <w:vAlign w:val="center"/>
          </w:tcPr>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评标价</w:t>
            </w:r>
          </w:p>
        </w:tc>
        <w:tc>
          <w:tcPr>
            <w:tcW w:w="919" w:type="dxa"/>
            <w:vAlign w:val="center"/>
          </w:tcPr>
          <w:p>
            <w:pPr>
              <w:spacing w:line="240" w:lineRule="auto"/>
              <w:jc w:val="center"/>
              <w:rPr>
                <w:rFonts w:ascii="宋体" w:hAnsi="宋体" w:eastAsia="宋体" w:cs="宋体"/>
                <w:szCs w:val="21"/>
                <w:highlight w:val="none"/>
              </w:rPr>
            </w:pPr>
            <w:r>
              <w:rPr>
                <w:rFonts w:hint="eastAsia" w:ascii="宋体" w:hAnsi="宋体" w:cs="宋体"/>
                <w:szCs w:val="21"/>
                <w:highlight w:val="none"/>
                <w:u w:val="single"/>
                <w:lang w:val="en-US" w:eastAsia="zh-CN"/>
              </w:rPr>
              <w:t>10</w:t>
            </w:r>
            <w:r>
              <w:rPr>
                <w:rFonts w:hint="eastAsia" w:ascii="宋体" w:hAnsi="宋体" w:eastAsia="宋体" w:cs="宋体"/>
                <w:szCs w:val="21"/>
                <w:highlight w:val="none"/>
              </w:rPr>
              <w:t>分</w:t>
            </w:r>
          </w:p>
        </w:tc>
        <w:tc>
          <w:tcPr>
            <w:tcW w:w="5876" w:type="dxa"/>
            <w:gridSpan w:val="3"/>
            <w:vAlign w:val="top"/>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评标价得分计算公式示例：</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如果投标人的评标价&gt;评标基准价，则评标价得分＝F－偏差率×100×D1；</w:t>
            </w:r>
            <w:r>
              <w:rPr>
                <w:rFonts w:hint="eastAsia" w:ascii="宋体" w:hAnsi="宋体" w:eastAsia="宋体" w:cs="宋体"/>
                <w:color w:val="auto"/>
                <w:sz w:val="21"/>
                <w:szCs w:val="21"/>
                <w:highlight w:val="none"/>
                <w:lang w:val="en-US" w:eastAsia="zh-CN"/>
              </w:rPr>
              <w:t>D1取1</w:t>
            </w:r>
            <w:r>
              <w:rPr>
                <w:rFonts w:hint="eastAsia" w:ascii="宋体" w:hAnsi="宋体" w:eastAsia="宋体" w:cs="宋体"/>
                <w:color w:val="auto"/>
                <w:sz w:val="21"/>
                <w:szCs w:val="21"/>
                <w:highlight w:val="none"/>
              </w:rPr>
              <w:t>；</w:t>
            </w:r>
          </w:p>
          <w:p>
            <w:pPr>
              <w:spacing w:line="24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如果投标人的评标价≤评标基准价，则评标价得分＝F＋偏差率×100×D2；</w:t>
            </w:r>
            <w:r>
              <w:rPr>
                <w:rFonts w:hint="eastAsia" w:ascii="宋体" w:hAnsi="宋体" w:eastAsia="宋体" w:cs="宋体"/>
                <w:color w:val="auto"/>
                <w:sz w:val="21"/>
                <w:szCs w:val="21"/>
                <w:highlight w:val="none"/>
                <w:lang w:val="en-US" w:eastAsia="zh-CN"/>
              </w:rPr>
              <w:t>D2宜取0.5</w:t>
            </w:r>
            <w:r>
              <w:rPr>
                <w:rFonts w:hint="eastAsia" w:ascii="宋体" w:hAnsi="宋体" w:eastAsia="宋体" w:cs="宋体"/>
                <w:color w:val="auto"/>
                <w:sz w:val="21"/>
                <w:szCs w:val="21"/>
                <w:highlight w:val="none"/>
              </w:rPr>
              <w:t>。</w:t>
            </w:r>
          </w:p>
          <w:p>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其中：F是评标价所占的权重分值， </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1是评标价每高于</w:t>
            </w:r>
          </w:p>
          <w:p>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评标基准价一个百分点的扣分值， </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2 是评标价每低于评标基准价一个百分点的扣分值。</w:t>
            </w:r>
          </w:p>
          <w:p>
            <w:pPr>
              <w:spacing w:line="240" w:lineRule="auto"/>
              <w:ind w:firstLine="420" w:firstLineChars="200"/>
              <w:rPr>
                <w:rFonts w:ascii="宋体" w:hAnsi="宋体" w:eastAsia="宋体" w:cs="宋体"/>
                <w:szCs w:val="21"/>
                <w:highlight w:val="none"/>
              </w:rPr>
            </w:pPr>
            <w:r>
              <w:rPr>
                <w:rFonts w:hint="eastAsia" w:ascii="宋体" w:hAnsi="宋体" w:eastAsia="宋体" w:cs="宋体"/>
                <w:color w:val="auto"/>
                <w:sz w:val="21"/>
                <w:szCs w:val="21"/>
                <w:highlight w:val="none"/>
              </w:rPr>
              <w:t>注：评标价得分</w:t>
            </w:r>
            <w:r>
              <w:rPr>
                <w:rFonts w:hint="eastAsia" w:ascii="宋体" w:hAnsi="宋体" w:eastAsia="宋体" w:cs="宋体"/>
                <w:color w:val="auto"/>
                <w:kern w:val="2"/>
                <w:sz w:val="21"/>
                <w:szCs w:val="21"/>
                <w:highlight w:val="none"/>
                <w:lang w:val="en-US"/>
              </w:rPr>
              <w:t>计算保留小数点后四位，小数点后第五位“四舍五入”。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restart"/>
            <w:vAlign w:val="center"/>
          </w:tcPr>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2.2.4</w:t>
            </w:r>
          </w:p>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1173" w:type="dxa"/>
            <w:vMerge w:val="restart"/>
            <w:vAlign w:val="center"/>
          </w:tcPr>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其他因素</w:t>
            </w:r>
          </w:p>
        </w:tc>
        <w:tc>
          <w:tcPr>
            <w:tcW w:w="919" w:type="dxa"/>
            <w:vMerge w:val="restart"/>
            <w:vAlign w:val="center"/>
          </w:tcPr>
          <w:p>
            <w:pPr>
              <w:spacing w:line="240" w:lineRule="auto"/>
              <w:jc w:val="center"/>
              <w:rPr>
                <w:rFonts w:ascii="宋体" w:hAnsi="宋体" w:eastAsia="宋体" w:cs="宋体"/>
                <w:szCs w:val="21"/>
                <w:highlight w:val="none"/>
              </w:rPr>
            </w:pPr>
            <w:r>
              <w:rPr>
                <w:rFonts w:hint="eastAsia" w:ascii="宋体" w:hAnsi="宋体" w:cs="宋体"/>
                <w:szCs w:val="21"/>
                <w:highlight w:val="none"/>
                <w:u w:val="single"/>
                <w:lang w:val="en-US" w:eastAsia="zh-CN"/>
              </w:rPr>
              <w:t>30</w:t>
            </w:r>
            <w:r>
              <w:rPr>
                <w:rFonts w:hint="eastAsia" w:ascii="宋体" w:hAnsi="宋体" w:eastAsia="宋体" w:cs="宋体"/>
                <w:szCs w:val="21"/>
                <w:highlight w:val="none"/>
              </w:rPr>
              <w:t>分</w:t>
            </w:r>
          </w:p>
        </w:tc>
        <w:tc>
          <w:tcPr>
            <w:tcW w:w="1204" w:type="dxa"/>
            <w:vAlign w:val="center"/>
          </w:tcPr>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业绩</w:t>
            </w:r>
          </w:p>
        </w:tc>
        <w:tc>
          <w:tcPr>
            <w:tcW w:w="851" w:type="dxa"/>
            <w:vAlign w:val="center"/>
          </w:tcPr>
          <w:p>
            <w:pPr>
              <w:spacing w:line="240" w:lineRule="auto"/>
              <w:jc w:val="center"/>
              <w:rPr>
                <w:rFonts w:ascii="宋体" w:hAnsi="宋体" w:eastAsia="宋体" w:cs="宋体"/>
                <w:szCs w:val="21"/>
                <w:highlight w:val="none"/>
              </w:rPr>
            </w:pPr>
            <w:r>
              <w:rPr>
                <w:rFonts w:hint="eastAsia" w:ascii="宋体" w:hAnsi="宋体" w:cs="宋体"/>
                <w:szCs w:val="21"/>
                <w:highlight w:val="none"/>
                <w:u w:val="single"/>
                <w:lang w:val="en-US" w:eastAsia="zh-CN"/>
              </w:rPr>
              <w:t>20</w:t>
            </w:r>
            <w:r>
              <w:rPr>
                <w:rFonts w:hint="eastAsia" w:ascii="宋体" w:hAnsi="宋体" w:eastAsia="宋体" w:cs="宋体"/>
                <w:szCs w:val="21"/>
                <w:highlight w:val="none"/>
              </w:rPr>
              <w:t>分</w:t>
            </w:r>
          </w:p>
        </w:tc>
        <w:tc>
          <w:tcPr>
            <w:tcW w:w="3821" w:type="dxa"/>
            <w:vAlign w:val="top"/>
          </w:tcPr>
          <w:p>
            <w:pPr>
              <w:pStyle w:val="23"/>
              <w:numPr>
                <w:ilvl w:val="-1"/>
                <w:numId w:val="0"/>
              </w:numPr>
              <w:ind w:firstLine="420" w:firstLineChars="200"/>
              <w:jc w:val="both"/>
              <w:rPr>
                <w:rFonts w:hint="eastAsia" w:ascii="宋体" w:hAnsi="宋体" w:eastAsia="宋体" w:cs="Times New Roman"/>
                <w:b w:val="0"/>
                <w:bCs/>
                <w:color w:val="auto"/>
                <w:sz w:val="21"/>
                <w:szCs w:val="21"/>
                <w:highlight w:val="none"/>
                <w:lang w:val="en-US" w:eastAsia="zh-CN"/>
              </w:rPr>
            </w:pPr>
            <w:r>
              <w:rPr>
                <w:rFonts w:hint="eastAsia" w:ascii="宋体" w:hAnsi="宋体" w:cs="Times New Roman"/>
                <w:b w:val="0"/>
                <w:bCs/>
                <w:color w:val="auto"/>
                <w:sz w:val="21"/>
                <w:szCs w:val="21"/>
                <w:highlight w:val="none"/>
                <w:lang w:val="en-US" w:eastAsia="zh-CN"/>
              </w:rPr>
              <w:t>1、</w:t>
            </w:r>
            <w:r>
              <w:rPr>
                <w:rFonts w:hint="eastAsia" w:ascii="宋体" w:hAnsi="宋体" w:eastAsia="宋体" w:cs="Times New Roman"/>
                <w:b w:val="0"/>
                <w:bCs/>
                <w:color w:val="auto"/>
                <w:sz w:val="21"/>
                <w:szCs w:val="21"/>
                <w:highlight w:val="none"/>
                <w:lang w:val="en-US"/>
              </w:rPr>
              <w:t>满足招标文件资格审查条件（业绩最低要求）的，得</w:t>
            </w:r>
            <w:r>
              <w:rPr>
                <w:rFonts w:hint="eastAsia" w:ascii="宋体" w:hAnsi="宋体" w:eastAsia="宋体" w:cs="Times New Roman"/>
                <w:b w:val="0"/>
                <w:bCs/>
                <w:snapToGrid/>
                <w:color w:val="auto"/>
                <w:kern w:val="2"/>
                <w:sz w:val="21"/>
                <w:szCs w:val="21"/>
                <w:highlight w:val="none"/>
                <w:lang w:val="en-US"/>
              </w:rPr>
              <w:t>12</w:t>
            </w:r>
            <w:r>
              <w:rPr>
                <w:rFonts w:hint="eastAsia" w:ascii="宋体" w:hAnsi="宋体" w:eastAsia="宋体" w:cs="Times New Roman"/>
                <w:b w:val="0"/>
                <w:bCs/>
                <w:color w:val="auto"/>
                <w:sz w:val="21"/>
                <w:szCs w:val="21"/>
                <w:highlight w:val="none"/>
                <w:lang w:val="en-US"/>
              </w:rPr>
              <w:t>分；</w:t>
            </w:r>
          </w:p>
          <w:p>
            <w:pPr>
              <w:pStyle w:val="23"/>
              <w:numPr>
                <w:ilvl w:val="0"/>
                <w:numId w:val="0"/>
              </w:numPr>
              <w:jc w:val="both"/>
              <w:rPr>
                <w:rFonts w:hint="eastAsia" w:ascii="宋体" w:hAnsi="宋体"/>
                <w:b w:val="0"/>
                <w:bCs/>
                <w:szCs w:val="21"/>
                <w:highlight w:val="none"/>
                <w:lang w:val="en-US" w:eastAsia="zh-CN"/>
              </w:rPr>
            </w:pPr>
          </w:p>
          <w:p>
            <w:pPr>
              <w:pStyle w:val="23"/>
              <w:numPr>
                <w:ilvl w:val="0"/>
                <w:numId w:val="0"/>
              </w:numPr>
              <w:ind w:firstLine="420" w:firstLineChars="200"/>
              <w:jc w:val="both"/>
              <w:rPr>
                <w:rFonts w:hint="eastAsia" w:ascii="宋体" w:hAnsi="宋体" w:cs="Times New Roman"/>
                <w:b w:val="0"/>
                <w:bCs/>
                <w:sz w:val="21"/>
                <w:szCs w:val="21"/>
                <w:highlight w:val="none"/>
                <w:lang w:val="en-US" w:eastAsia="zh-CN"/>
              </w:rPr>
            </w:pPr>
            <w:r>
              <w:rPr>
                <w:rFonts w:hint="eastAsia" w:ascii="宋体" w:hAnsi="宋体"/>
                <w:b w:val="0"/>
                <w:bCs/>
                <w:szCs w:val="21"/>
                <w:highlight w:val="none"/>
                <w:lang w:val="en-US" w:eastAsia="zh-CN"/>
              </w:rPr>
              <w:t>2、在</w:t>
            </w:r>
            <w:r>
              <w:rPr>
                <w:rFonts w:hint="eastAsia" w:ascii="宋体" w:hAnsi="宋体" w:eastAsia="宋体" w:cs="Times New Roman"/>
                <w:b w:val="0"/>
                <w:bCs/>
                <w:sz w:val="21"/>
                <w:szCs w:val="21"/>
                <w:highlight w:val="none"/>
                <w:lang w:val="en-US"/>
              </w:rPr>
              <w:t>满足招标文件资格审查条件（业绩最低要求）的</w:t>
            </w:r>
            <w:r>
              <w:rPr>
                <w:rFonts w:hint="eastAsia" w:ascii="宋体" w:hAnsi="宋体" w:cs="Times New Roman"/>
                <w:b w:val="0"/>
                <w:bCs/>
                <w:sz w:val="21"/>
                <w:szCs w:val="21"/>
                <w:highlight w:val="none"/>
                <w:lang w:val="en-US" w:eastAsia="zh-CN"/>
              </w:rPr>
              <w:t>基础上：</w:t>
            </w:r>
          </w:p>
          <w:p>
            <w:pPr>
              <w:pStyle w:val="23"/>
              <w:numPr>
                <w:ilvl w:val="0"/>
                <w:numId w:val="0"/>
              </w:numPr>
              <w:ind w:firstLine="420" w:firstLineChars="200"/>
              <w:jc w:val="both"/>
              <w:rPr>
                <w:rFonts w:hint="eastAsia" w:ascii="宋体" w:hAnsi="宋体" w:cs="Times New Roman"/>
                <w:b w:val="0"/>
                <w:bCs/>
                <w:sz w:val="21"/>
                <w:szCs w:val="21"/>
                <w:highlight w:val="none"/>
                <w:lang w:val="en-US" w:eastAsia="zh-CN"/>
              </w:rPr>
            </w:pPr>
            <w:r>
              <w:rPr>
                <w:rFonts w:hint="eastAsia" w:ascii="宋体" w:hAnsi="宋体" w:cs="Times New Roman"/>
                <w:b w:val="0"/>
                <w:bCs/>
                <w:sz w:val="21"/>
                <w:szCs w:val="21"/>
                <w:highlight w:val="none"/>
              </w:rPr>
              <w:t>投标人近</w:t>
            </w:r>
            <w:r>
              <w:rPr>
                <w:rFonts w:hint="eastAsia" w:ascii="宋体" w:hAnsi="宋体" w:cs="Times New Roman"/>
                <w:b w:val="0"/>
                <w:bCs/>
                <w:sz w:val="21"/>
                <w:szCs w:val="21"/>
                <w:highlight w:val="none"/>
                <w:lang w:val="en-US" w:eastAsia="zh-CN"/>
              </w:rPr>
              <w:t>五</w:t>
            </w:r>
            <w:r>
              <w:rPr>
                <w:rFonts w:hint="eastAsia" w:ascii="宋体" w:hAnsi="宋体" w:cs="Times New Roman"/>
                <w:b w:val="0"/>
                <w:bCs/>
                <w:sz w:val="21"/>
                <w:szCs w:val="21"/>
                <w:highlight w:val="none"/>
              </w:rPr>
              <w:t>年（自20</w:t>
            </w:r>
            <w:r>
              <w:rPr>
                <w:rFonts w:hint="eastAsia" w:ascii="宋体" w:hAnsi="宋体" w:cs="Times New Roman"/>
                <w:b w:val="0"/>
                <w:bCs/>
                <w:sz w:val="21"/>
                <w:szCs w:val="21"/>
                <w:highlight w:val="none"/>
                <w:lang w:val="en-US" w:eastAsia="zh-CN"/>
              </w:rPr>
              <w:t>20</w:t>
            </w:r>
            <w:r>
              <w:rPr>
                <w:rFonts w:hint="eastAsia" w:ascii="宋体" w:hAnsi="宋体" w:cs="Times New Roman"/>
                <w:b w:val="0"/>
                <w:bCs/>
                <w:sz w:val="21"/>
                <w:szCs w:val="21"/>
                <w:highlight w:val="none"/>
              </w:rPr>
              <w:t>年1月1日至</w:t>
            </w:r>
            <w:r>
              <w:rPr>
                <w:rFonts w:hint="eastAsia" w:ascii="宋体" w:hAnsi="宋体" w:eastAsia="宋体" w:cs="Times New Roman"/>
                <w:b w:val="0"/>
                <w:bCs/>
                <w:sz w:val="21"/>
                <w:szCs w:val="21"/>
                <w:highlight w:val="none"/>
                <w:lang w:val="en-US" w:eastAsia="zh-CN"/>
              </w:rPr>
              <w:t>投标文件递交截止日</w:t>
            </w:r>
            <w:r>
              <w:rPr>
                <w:rFonts w:hint="eastAsia" w:ascii="宋体" w:hAnsi="宋体" w:cs="Times New Roman"/>
                <w:b w:val="0"/>
                <w:bCs/>
                <w:sz w:val="21"/>
                <w:szCs w:val="21"/>
                <w:highlight w:val="none"/>
                <w:lang w:val="en-US" w:eastAsia="zh-CN"/>
              </w:rPr>
              <w:t>)每增加承担过1项单项工程建安费不少于人民币1亿元的水运工程的造价咨询</w:t>
            </w:r>
            <w:r>
              <w:rPr>
                <w:rFonts w:hint="eastAsia" w:ascii="宋体" w:hAnsi="宋体" w:cs="Times New Roman"/>
                <w:b w:val="0"/>
                <w:bCs/>
                <w:sz w:val="21"/>
                <w:szCs w:val="21"/>
                <w:highlight w:val="none"/>
              </w:rPr>
              <w:t>业绩</w:t>
            </w:r>
            <w:r>
              <w:rPr>
                <w:rFonts w:hint="eastAsia" w:ascii="宋体" w:hAnsi="宋体" w:cs="Times New Roman"/>
                <w:b w:val="0"/>
                <w:bCs/>
                <w:sz w:val="21"/>
                <w:szCs w:val="21"/>
                <w:highlight w:val="none"/>
                <w:lang w:val="en-US" w:eastAsia="zh-CN"/>
              </w:rPr>
              <w:t>的，加2分，最多加8分；</w:t>
            </w:r>
          </w:p>
          <w:p>
            <w:pPr>
              <w:pStyle w:val="23"/>
              <w:numPr>
                <w:ilvl w:val="0"/>
                <w:numId w:val="0"/>
              </w:numPr>
              <w:ind w:firstLine="420" w:firstLineChars="200"/>
              <w:jc w:val="both"/>
              <w:rPr>
                <w:rFonts w:hint="eastAsia" w:ascii="宋体" w:hAnsi="宋体" w:cs="Times New Roman"/>
                <w:b w:val="0"/>
                <w:bCs/>
                <w:sz w:val="21"/>
                <w:szCs w:val="21"/>
                <w:highlight w:val="none"/>
                <w:lang w:val="en-US" w:eastAsia="zh-CN"/>
              </w:rPr>
            </w:pPr>
            <w:r>
              <w:rPr>
                <w:rFonts w:hint="eastAsia" w:ascii="宋体" w:hAnsi="宋体" w:cs="Times New Roman"/>
                <w:b w:val="0"/>
                <w:bCs/>
                <w:sz w:val="21"/>
                <w:szCs w:val="21"/>
                <w:highlight w:val="none"/>
                <w:lang w:val="en-US" w:eastAsia="zh-CN"/>
              </w:rPr>
              <w:t>注：①投标人提供的业绩包含概算编制（或审核）、预算编制（或审核）、工程量清单编制（或审核）、工程结算（或决算）编制（或审核）等中的1项或1项以上均可认定为造价咨询业绩；</w:t>
            </w:r>
          </w:p>
          <w:p>
            <w:pPr>
              <w:pStyle w:val="6"/>
              <w:numPr>
                <w:ilvl w:val="-1"/>
                <w:numId w:val="0"/>
              </w:numPr>
              <w:adjustRightInd w:val="0"/>
              <w:snapToGrid w:val="0"/>
              <w:spacing w:beforeLines="0" w:afterLines="0"/>
              <w:ind w:firstLine="420" w:firstLineChars="200"/>
              <w:rPr>
                <w:rFonts w:hint="eastAsia" w:ascii="宋体" w:hAnsi="宋体" w:cs="Times New Roman"/>
                <w:b w:val="0"/>
                <w:bCs/>
                <w:sz w:val="21"/>
                <w:szCs w:val="21"/>
                <w:highlight w:val="none"/>
                <w:lang w:val="en-US" w:eastAsia="zh-CN"/>
              </w:rPr>
            </w:pPr>
            <w:r>
              <w:rPr>
                <w:rFonts w:hint="eastAsia" w:ascii="宋体" w:hAnsi="宋体" w:cs="Times New Roman"/>
                <w:b w:val="0"/>
                <w:bCs/>
                <w:sz w:val="21"/>
                <w:szCs w:val="21"/>
                <w:highlight w:val="none"/>
                <w:lang w:val="en-US" w:eastAsia="zh-CN"/>
              </w:rPr>
              <w:t>②业绩证明材料须同时附中标通知书（如有）、合同协议书复印件，业绩认定时间以合同签订时间为准。如上述资料均不能反映资格审查条件和评标办法要求的各项指标要求的，业绩应补充提供项目业主或行业主管部门开具的证明材料或成果文件复印件。</w:t>
            </w:r>
          </w:p>
          <w:p>
            <w:pPr>
              <w:pStyle w:val="6"/>
              <w:numPr>
                <w:ilvl w:val="-1"/>
                <w:numId w:val="0"/>
              </w:numPr>
              <w:adjustRightInd w:val="0"/>
              <w:snapToGrid w:val="0"/>
              <w:spacing w:beforeLines="0" w:afterLines="0"/>
              <w:ind w:firstLine="420" w:firstLineChars="200"/>
              <w:rPr>
                <w:rFonts w:hint="default" w:ascii="宋体" w:hAnsi="宋体" w:cs="宋体"/>
                <w:b w:val="0"/>
                <w:bCs w:val="0"/>
                <w:color w:val="auto"/>
                <w:sz w:val="21"/>
                <w:szCs w:val="21"/>
                <w:highlight w:val="none"/>
                <w:u w:val="none"/>
                <w:lang w:val="en-US" w:eastAsia="zh-CN"/>
              </w:rPr>
            </w:pPr>
            <w:r>
              <w:rPr>
                <w:rFonts w:hint="eastAsia" w:cs="Times New Roman"/>
                <w:b w:val="0"/>
                <w:bCs/>
                <w:sz w:val="21"/>
                <w:szCs w:val="21"/>
                <w:highlight w:val="none"/>
                <w:lang w:val="en-US" w:eastAsia="zh-CN"/>
              </w:rPr>
              <w:t>③</w:t>
            </w:r>
            <w:r>
              <w:rPr>
                <w:rFonts w:hint="eastAsia" w:ascii="宋体" w:hAnsi="宋体" w:cs="Times New Roman"/>
                <w:b w:val="0"/>
                <w:bCs/>
                <w:sz w:val="21"/>
                <w:szCs w:val="21"/>
                <w:highlight w:val="none"/>
                <w:lang w:val="en-US" w:eastAsia="zh-CN"/>
              </w:rPr>
              <w:t>同一合同如包含不同标段（含不同项目）的业绩，工程建安费可进行累加，但只能作为一项业绩进行计分。同一项目不同阶段的造价咨询成果（概算或预算或结算等）不重复计分。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continue"/>
            <w:vAlign w:val="center"/>
          </w:tcPr>
          <w:p>
            <w:pPr>
              <w:spacing w:line="240" w:lineRule="auto"/>
              <w:jc w:val="center"/>
              <w:rPr>
                <w:rFonts w:hint="eastAsia" w:ascii="宋体" w:hAnsi="宋体" w:eastAsia="宋体" w:cs="宋体"/>
                <w:szCs w:val="21"/>
                <w:highlight w:val="none"/>
              </w:rPr>
            </w:pPr>
          </w:p>
        </w:tc>
        <w:tc>
          <w:tcPr>
            <w:tcW w:w="1173" w:type="dxa"/>
            <w:vMerge w:val="continue"/>
            <w:vAlign w:val="center"/>
          </w:tcPr>
          <w:p>
            <w:pPr>
              <w:spacing w:line="240" w:lineRule="auto"/>
              <w:jc w:val="center"/>
              <w:rPr>
                <w:rFonts w:hint="eastAsia" w:ascii="宋体" w:hAnsi="宋体" w:eastAsia="宋体" w:cs="宋体"/>
                <w:szCs w:val="21"/>
                <w:highlight w:val="none"/>
              </w:rPr>
            </w:pPr>
          </w:p>
        </w:tc>
        <w:tc>
          <w:tcPr>
            <w:tcW w:w="919" w:type="dxa"/>
            <w:vMerge w:val="continue"/>
            <w:vAlign w:val="center"/>
          </w:tcPr>
          <w:p>
            <w:pPr>
              <w:spacing w:line="240" w:lineRule="auto"/>
              <w:jc w:val="center"/>
              <w:rPr>
                <w:rFonts w:hint="eastAsia" w:ascii="宋体" w:hAnsi="宋体" w:cs="宋体"/>
                <w:szCs w:val="21"/>
                <w:highlight w:val="none"/>
                <w:u w:val="single"/>
                <w:lang w:val="en-US" w:eastAsia="zh-CN"/>
              </w:rPr>
            </w:pPr>
          </w:p>
        </w:tc>
        <w:tc>
          <w:tcPr>
            <w:tcW w:w="1204" w:type="dxa"/>
            <w:vAlign w:val="center"/>
          </w:tcPr>
          <w:p>
            <w:pPr>
              <w:spacing w:line="24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对招标人要求的响应</w:t>
            </w:r>
          </w:p>
        </w:tc>
        <w:tc>
          <w:tcPr>
            <w:tcW w:w="851" w:type="dxa"/>
            <w:vAlign w:val="center"/>
          </w:tcPr>
          <w:p>
            <w:pPr>
              <w:spacing w:line="240" w:lineRule="auto"/>
              <w:jc w:val="center"/>
              <w:rPr>
                <w:rFonts w:hint="default" w:ascii="宋体" w:hAnsi="宋体" w:cs="宋体"/>
                <w:szCs w:val="21"/>
                <w:highlight w:val="none"/>
                <w:u w:val="single"/>
                <w:lang w:val="en-US" w:eastAsia="zh-CN"/>
              </w:rPr>
            </w:pPr>
            <w:r>
              <w:rPr>
                <w:rFonts w:hint="eastAsia" w:ascii="宋体" w:hAnsi="宋体" w:cs="宋体"/>
                <w:szCs w:val="21"/>
                <w:highlight w:val="none"/>
                <w:u w:val="single"/>
                <w:lang w:val="en-US" w:eastAsia="zh-CN"/>
              </w:rPr>
              <w:t>5分</w:t>
            </w:r>
          </w:p>
        </w:tc>
        <w:tc>
          <w:tcPr>
            <w:tcW w:w="3821" w:type="dxa"/>
            <w:vAlign w:val="top"/>
          </w:tcPr>
          <w:p>
            <w:pPr>
              <w:pStyle w:val="6"/>
              <w:numPr>
                <w:ilvl w:val="-1"/>
                <w:numId w:val="0"/>
              </w:numPr>
              <w:adjustRightInd w:val="0"/>
              <w:snapToGrid w:val="0"/>
              <w:spacing w:beforeLines="0" w:afterLines="0"/>
              <w:ind w:firstLine="420" w:firstLineChars="200"/>
              <w:rPr>
                <w:rFonts w:hint="default" w:cs="Times New Roman"/>
                <w:b w:val="0"/>
                <w:bCs/>
                <w:sz w:val="21"/>
                <w:szCs w:val="21"/>
                <w:highlight w:val="none"/>
                <w:lang w:val="en-US" w:eastAsia="zh-CN"/>
              </w:rPr>
            </w:pPr>
            <w:r>
              <w:rPr>
                <w:rFonts w:hint="eastAsia" w:cs="Times New Roman"/>
                <w:b w:val="0"/>
                <w:bCs/>
                <w:sz w:val="21"/>
                <w:szCs w:val="21"/>
                <w:highlight w:val="none"/>
                <w:lang w:val="en-US" w:eastAsia="zh-CN"/>
              </w:rPr>
              <w:t>按投标文件格式提供了《及时响应招标人要求的承诺函》的，得5分，否则不得分。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continue"/>
            <w:vAlign w:val="center"/>
          </w:tcPr>
          <w:p>
            <w:pPr>
              <w:spacing w:line="240" w:lineRule="auto"/>
              <w:jc w:val="center"/>
              <w:rPr>
                <w:rFonts w:hint="eastAsia" w:ascii="宋体" w:hAnsi="宋体" w:eastAsia="宋体" w:cs="宋体"/>
                <w:szCs w:val="21"/>
                <w:highlight w:val="none"/>
              </w:rPr>
            </w:pPr>
          </w:p>
        </w:tc>
        <w:tc>
          <w:tcPr>
            <w:tcW w:w="1173" w:type="dxa"/>
            <w:vMerge w:val="continue"/>
            <w:vAlign w:val="center"/>
          </w:tcPr>
          <w:p>
            <w:pPr>
              <w:spacing w:line="240" w:lineRule="auto"/>
              <w:jc w:val="center"/>
              <w:rPr>
                <w:rFonts w:ascii="宋体" w:hAnsi="宋体" w:eastAsia="宋体" w:cs="宋体"/>
                <w:szCs w:val="21"/>
                <w:highlight w:val="none"/>
              </w:rPr>
            </w:pPr>
          </w:p>
        </w:tc>
        <w:tc>
          <w:tcPr>
            <w:tcW w:w="919" w:type="dxa"/>
            <w:vMerge w:val="continue"/>
            <w:vAlign w:val="center"/>
          </w:tcPr>
          <w:p>
            <w:pPr>
              <w:spacing w:line="240" w:lineRule="auto"/>
              <w:jc w:val="center"/>
              <w:rPr>
                <w:rFonts w:ascii="宋体" w:hAnsi="宋体" w:eastAsia="宋体" w:cs="宋体"/>
                <w:szCs w:val="21"/>
                <w:highlight w:val="none"/>
                <w:u w:val="single"/>
              </w:rPr>
            </w:pPr>
          </w:p>
        </w:tc>
        <w:tc>
          <w:tcPr>
            <w:tcW w:w="1204" w:type="dxa"/>
            <w:vAlign w:val="center"/>
          </w:tcPr>
          <w:p>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履约信誉</w:t>
            </w:r>
          </w:p>
        </w:tc>
        <w:tc>
          <w:tcPr>
            <w:tcW w:w="851" w:type="dxa"/>
            <w:vAlign w:val="center"/>
          </w:tcPr>
          <w:p>
            <w:pPr>
              <w:spacing w:line="240" w:lineRule="auto"/>
              <w:jc w:val="center"/>
              <w:rPr>
                <w:rFonts w:ascii="宋体" w:hAnsi="宋体" w:eastAsia="宋体" w:cs="宋体"/>
                <w:szCs w:val="21"/>
                <w:highlight w:val="none"/>
              </w:rPr>
            </w:pP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分</w:t>
            </w:r>
          </w:p>
        </w:tc>
        <w:tc>
          <w:tcPr>
            <w:tcW w:w="3821" w:type="dxa"/>
            <w:vAlign w:val="top"/>
          </w:tcPr>
          <w:p>
            <w:pPr>
              <w:spacing w:line="240" w:lineRule="auto"/>
              <w:rPr>
                <w:rFonts w:ascii="宋体" w:hAnsi="宋体" w:eastAsia="宋体" w:cs="宋体"/>
                <w:highlight w:val="none"/>
              </w:rPr>
            </w:pPr>
            <w:r>
              <w:rPr>
                <w:rFonts w:hint="eastAsia" w:ascii="宋体" w:hAnsi="宋体" w:eastAsia="宋体" w:cs="宋体"/>
                <w:highlight w:val="none"/>
              </w:rPr>
              <w:t>履约情况（</w:t>
            </w:r>
            <w:r>
              <w:rPr>
                <w:rFonts w:hint="eastAsia" w:ascii="宋体" w:hAnsi="宋体" w:cs="宋体"/>
                <w:highlight w:val="none"/>
                <w:lang w:val="en-US" w:eastAsia="zh-CN"/>
              </w:rPr>
              <w:t>5</w:t>
            </w:r>
            <w:r>
              <w:rPr>
                <w:rFonts w:hint="eastAsia" w:ascii="宋体" w:hAnsi="宋体" w:eastAsia="宋体" w:cs="宋体"/>
                <w:highlight w:val="none"/>
              </w:rPr>
              <w:t>分）</w:t>
            </w:r>
          </w:p>
          <w:p>
            <w:pPr>
              <w:pStyle w:val="7"/>
              <w:adjustRightInd w:val="0"/>
              <w:snapToGrid w:val="0"/>
              <w:spacing w:line="240" w:lineRule="auto"/>
              <w:ind w:right="105" w:rightChars="50" w:firstLine="420" w:firstLineChars="200"/>
              <w:rPr>
                <w:rFonts w:hint="eastAsia" w:hAnsi="宋体"/>
                <w:szCs w:val="21"/>
                <w:highlight w:val="none"/>
              </w:rPr>
            </w:pPr>
            <w:r>
              <w:rPr>
                <w:rFonts w:hint="eastAsia" w:hAnsi="宋体"/>
                <w:szCs w:val="21"/>
                <w:highlight w:val="none"/>
              </w:rPr>
              <w:t>若没出现下述情形得满分；</w:t>
            </w:r>
          </w:p>
          <w:p>
            <w:pPr>
              <w:pStyle w:val="7"/>
              <w:adjustRightInd w:val="0"/>
              <w:snapToGrid w:val="0"/>
              <w:spacing w:line="240" w:lineRule="auto"/>
              <w:ind w:left="0" w:leftChars="0" w:right="105" w:rightChars="50" w:firstLine="420" w:firstLineChars="200"/>
              <w:rPr>
                <w:rFonts w:hint="eastAsia" w:hAnsi="宋体"/>
                <w:szCs w:val="21"/>
                <w:highlight w:val="none"/>
              </w:rPr>
            </w:pPr>
            <w:r>
              <w:rPr>
                <w:rFonts w:hint="eastAsia" w:hAnsi="宋体"/>
                <w:szCs w:val="21"/>
                <w:highlight w:val="none"/>
              </w:rPr>
              <w:t>投标文件递交截止日前1年内，投标人因水运工程（含附属设施）质量、安全、履约或招标投标问题等原因被：</w:t>
            </w:r>
          </w:p>
          <w:p>
            <w:pPr>
              <w:pStyle w:val="7"/>
              <w:adjustRightInd w:val="0"/>
              <w:snapToGrid w:val="0"/>
              <w:spacing w:line="240" w:lineRule="auto"/>
              <w:ind w:firstLine="420" w:firstLineChars="200"/>
              <w:rPr>
                <w:rFonts w:hAnsi="宋体"/>
                <w:highlight w:val="none"/>
              </w:rPr>
            </w:pPr>
            <w:r>
              <w:rPr>
                <w:rFonts w:hAnsi="宋体"/>
                <w:highlight w:val="none"/>
              </w:rPr>
              <w:t>（1）交通运输部行政处罚的，扣</w:t>
            </w:r>
            <w:r>
              <w:rPr>
                <w:rFonts w:hAnsi="宋体"/>
                <w:highlight w:val="none"/>
                <w:u w:val="single"/>
              </w:rPr>
              <w:t>5</w:t>
            </w:r>
            <w:r>
              <w:rPr>
                <w:rFonts w:hAnsi="宋体"/>
                <w:highlight w:val="none"/>
              </w:rPr>
              <w:t>分/次</w:t>
            </w:r>
            <w:r>
              <w:rPr>
                <w:rFonts w:hint="eastAsia" w:hAnsi="宋体"/>
                <w:highlight w:val="none"/>
              </w:rPr>
              <w:t>。</w:t>
            </w:r>
          </w:p>
          <w:p>
            <w:pPr>
              <w:pStyle w:val="7"/>
              <w:adjustRightInd w:val="0"/>
              <w:snapToGrid w:val="0"/>
              <w:spacing w:line="240" w:lineRule="auto"/>
              <w:ind w:firstLine="420" w:firstLineChars="200"/>
              <w:rPr>
                <w:rFonts w:hint="eastAsia" w:hAnsi="宋体"/>
                <w:highlight w:val="none"/>
              </w:rPr>
            </w:pPr>
            <w:r>
              <w:rPr>
                <w:rFonts w:hAnsi="宋体"/>
                <w:highlight w:val="none"/>
              </w:rPr>
              <w:t>（2）广东省交通运输厅行政处罚的，扣</w:t>
            </w:r>
            <w:r>
              <w:rPr>
                <w:rFonts w:hint="eastAsia" w:hAnsi="宋体"/>
                <w:highlight w:val="none"/>
                <w:u w:val="single"/>
              </w:rPr>
              <w:t>3</w:t>
            </w:r>
            <w:r>
              <w:rPr>
                <w:rFonts w:hAnsi="宋体"/>
                <w:highlight w:val="none"/>
              </w:rPr>
              <w:t>分/次</w:t>
            </w:r>
            <w:r>
              <w:rPr>
                <w:rFonts w:hint="eastAsia" w:hAnsi="宋体"/>
                <w:highlight w:val="none"/>
              </w:rPr>
              <w:t>。</w:t>
            </w:r>
          </w:p>
          <w:p>
            <w:pPr>
              <w:pStyle w:val="7"/>
              <w:adjustRightInd w:val="0"/>
              <w:snapToGrid w:val="0"/>
              <w:spacing w:line="240" w:lineRule="auto"/>
              <w:ind w:firstLine="420" w:firstLineChars="200"/>
              <w:rPr>
                <w:rFonts w:hint="eastAsia" w:hAnsi="宋体"/>
                <w:highlight w:val="none"/>
              </w:rPr>
            </w:pPr>
            <w:r>
              <w:rPr>
                <w:rFonts w:hint="eastAsia" w:hAnsi="宋体"/>
                <w:spacing w:val="0"/>
                <w:szCs w:val="21"/>
                <w:highlight w:val="none"/>
                <w:u w:val="single"/>
                <w:lang w:val="en-US" w:eastAsia="zh-CN"/>
              </w:rPr>
              <w:t>（3</w:t>
            </w:r>
            <w:r>
              <w:rPr>
                <w:rFonts w:hAnsi="宋体"/>
                <w:spacing w:val="0"/>
                <w:szCs w:val="21"/>
                <w:highlight w:val="none"/>
                <w:u w:val="single"/>
                <w:lang w:val="en-US" w:eastAsia="zh-CN"/>
              </w:rPr>
              <w:t>）</w:t>
            </w:r>
            <w:r>
              <w:rPr>
                <w:rFonts w:hint="eastAsia" w:hAnsi="宋体"/>
                <w:spacing w:val="0"/>
                <w:highlight w:val="none"/>
                <w:u w:val="single"/>
                <w:lang w:val="en-US" w:eastAsia="zh-CN"/>
              </w:rPr>
              <w:t>项目所在地地级以上市交通运输行政主管部门</w:t>
            </w:r>
            <w:r>
              <w:rPr>
                <w:rFonts w:hAnsi="宋体"/>
                <w:spacing w:val="0"/>
                <w:highlight w:val="none"/>
                <w:u w:val="single"/>
                <w:lang w:val="zh-CN" w:eastAsia="zh-CN"/>
              </w:rPr>
              <w:t>行政处罚的</w:t>
            </w:r>
            <w:r>
              <w:rPr>
                <w:rFonts w:hint="eastAsia" w:hAnsi="宋体"/>
                <w:spacing w:val="0"/>
                <w:szCs w:val="21"/>
                <w:highlight w:val="none"/>
                <w:u w:val="single"/>
                <w:lang w:val="en-US" w:eastAsia="zh-CN"/>
              </w:rPr>
              <w:t>，扣1.5分/次；</w:t>
            </w:r>
          </w:p>
          <w:p>
            <w:pPr>
              <w:pStyle w:val="7"/>
              <w:adjustRightInd w:val="0"/>
              <w:snapToGrid w:val="0"/>
              <w:spacing w:line="240" w:lineRule="auto"/>
              <w:ind w:firstLine="420" w:firstLineChars="200"/>
              <w:rPr>
                <w:rFonts w:hAnsi="宋体"/>
                <w:highlight w:val="none"/>
              </w:rPr>
            </w:pPr>
            <w:r>
              <w:rPr>
                <w:rFonts w:hAnsi="宋体"/>
                <w:highlight w:val="none"/>
              </w:rPr>
              <w:t>（</w:t>
            </w:r>
            <w:r>
              <w:rPr>
                <w:rFonts w:hint="eastAsia" w:hAnsi="宋体"/>
                <w:highlight w:val="none"/>
                <w:lang w:val="en-US" w:eastAsia="zh-CN"/>
              </w:rPr>
              <w:t>4</w:t>
            </w:r>
            <w:r>
              <w:rPr>
                <w:rFonts w:hAnsi="宋体"/>
                <w:highlight w:val="none"/>
              </w:rPr>
              <w:t>）广东省交通运输厅正式约谈的，扣</w:t>
            </w:r>
            <w:r>
              <w:rPr>
                <w:rFonts w:hint="eastAsia" w:hAnsi="宋体"/>
                <w:highlight w:val="none"/>
                <w:u w:val="single"/>
              </w:rPr>
              <w:t>0.</w:t>
            </w:r>
            <w:r>
              <w:rPr>
                <w:rFonts w:hAnsi="宋体"/>
                <w:highlight w:val="none"/>
                <w:u w:val="single"/>
              </w:rPr>
              <w:t>1</w:t>
            </w:r>
            <w:r>
              <w:rPr>
                <w:rFonts w:hint="eastAsia" w:hAnsi="宋体"/>
                <w:highlight w:val="none"/>
              </w:rPr>
              <w:t>分/次。</w:t>
            </w:r>
          </w:p>
          <w:p>
            <w:pPr>
              <w:pStyle w:val="7"/>
              <w:adjustRightInd w:val="0"/>
              <w:snapToGrid w:val="0"/>
              <w:spacing w:line="240" w:lineRule="auto"/>
              <w:ind w:left="0" w:leftChars="0" w:right="105" w:rightChars="50" w:firstLine="420" w:firstLineChars="200"/>
              <w:jc w:val="both"/>
              <w:rPr>
                <w:rFonts w:hint="eastAsia" w:hAnsi="宋体"/>
                <w:szCs w:val="21"/>
                <w:highlight w:val="none"/>
              </w:rPr>
            </w:pPr>
            <w:r>
              <w:rPr>
                <w:rFonts w:hint="eastAsia" w:hAnsi="宋体"/>
                <w:szCs w:val="21"/>
                <w:highlight w:val="none"/>
              </w:rPr>
              <w:t>注：同一事项同时被多个部门行政处罚或正式约谈只按最高的扣分计算1次</w:t>
            </w:r>
            <w:r>
              <w:rPr>
                <w:rStyle w:val="14"/>
                <w:rFonts w:hAnsi="宋体"/>
                <w:szCs w:val="21"/>
                <w:highlight w:val="none"/>
              </w:rPr>
              <w:footnoteReference w:id="0"/>
            </w:r>
            <w:r>
              <w:rPr>
                <w:rFonts w:hint="eastAsia" w:hAnsi="宋体"/>
                <w:szCs w:val="21"/>
                <w:highlight w:val="none"/>
              </w:rPr>
              <w:t>。如果扣完本项分值，可以从投标人总得分中扣。以联合体形式投标的，若各联合体成员任何一方或均存在上述情形的，对联合体各成员进行累计扣分。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continue"/>
            <w:vAlign w:val="center"/>
          </w:tcPr>
          <w:p>
            <w:pPr>
              <w:spacing w:line="240" w:lineRule="auto"/>
              <w:jc w:val="center"/>
              <w:rPr>
                <w:rFonts w:hint="eastAsia" w:ascii="宋体" w:hAnsi="宋体" w:eastAsia="宋体" w:cs="宋体"/>
                <w:szCs w:val="21"/>
                <w:highlight w:val="none"/>
              </w:rPr>
            </w:pPr>
          </w:p>
        </w:tc>
        <w:tc>
          <w:tcPr>
            <w:tcW w:w="1173" w:type="dxa"/>
            <w:vMerge w:val="continue"/>
            <w:vAlign w:val="center"/>
          </w:tcPr>
          <w:p>
            <w:pPr>
              <w:spacing w:line="240" w:lineRule="auto"/>
              <w:jc w:val="center"/>
              <w:rPr>
                <w:rFonts w:ascii="宋体" w:hAnsi="宋体" w:eastAsia="宋体" w:cs="宋体"/>
                <w:szCs w:val="21"/>
                <w:highlight w:val="none"/>
              </w:rPr>
            </w:pPr>
          </w:p>
        </w:tc>
        <w:tc>
          <w:tcPr>
            <w:tcW w:w="919" w:type="dxa"/>
            <w:vMerge w:val="continue"/>
            <w:vAlign w:val="center"/>
          </w:tcPr>
          <w:p>
            <w:pPr>
              <w:spacing w:line="240" w:lineRule="auto"/>
              <w:jc w:val="center"/>
              <w:rPr>
                <w:rFonts w:ascii="宋体" w:hAnsi="宋体" w:eastAsia="宋体" w:cs="宋体"/>
                <w:szCs w:val="21"/>
                <w:highlight w:val="none"/>
                <w:u w:val="single"/>
              </w:rPr>
            </w:pPr>
          </w:p>
        </w:tc>
        <w:tc>
          <w:tcPr>
            <w:tcW w:w="1204" w:type="dxa"/>
            <w:vAlign w:val="center"/>
          </w:tcPr>
          <w:p>
            <w:pPr>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设施设备配备</w:t>
            </w:r>
          </w:p>
        </w:tc>
        <w:tc>
          <w:tcPr>
            <w:tcW w:w="851" w:type="dxa"/>
            <w:vAlign w:val="center"/>
          </w:tcPr>
          <w:p>
            <w:pPr>
              <w:spacing w:line="240" w:lineRule="auto"/>
              <w:jc w:val="center"/>
              <w:rPr>
                <w:rFonts w:hint="eastAsia" w:ascii="宋体" w:hAnsi="宋体" w:eastAsia="宋体" w:cs="宋体"/>
                <w:szCs w:val="21"/>
                <w:highlight w:val="none"/>
              </w:rPr>
            </w:pPr>
            <w:r>
              <w:rPr>
                <w:rFonts w:hint="eastAsia" w:ascii="宋体" w:hAnsi="宋体" w:cs="宋体"/>
                <w:szCs w:val="21"/>
                <w:highlight w:val="none"/>
                <w:u w:val="single"/>
                <w:lang w:val="en-US" w:eastAsia="zh-CN"/>
              </w:rPr>
              <w:t>0</w:t>
            </w:r>
            <w:r>
              <w:rPr>
                <w:rFonts w:hint="eastAsia" w:ascii="宋体" w:hAnsi="宋体" w:eastAsia="宋体" w:cs="宋体"/>
                <w:szCs w:val="21"/>
                <w:highlight w:val="none"/>
              </w:rPr>
              <w:t>分</w:t>
            </w:r>
          </w:p>
        </w:tc>
        <w:tc>
          <w:tcPr>
            <w:tcW w:w="3821" w:type="dxa"/>
            <w:vAlign w:val="center"/>
          </w:tcPr>
          <w:p>
            <w:pPr>
              <w:spacing w:line="240" w:lineRule="auto"/>
              <w:rPr>
                <w:rFonts w:hint="eastAsia" w:ascii="宋体" w:hAnsi="宋体" w:eastAsia="宋体" w:cs="宋体"/>
                <w:highlight w:val="none"/>
                <w:lang w:val="en-US" w:eastAsia="zh-CN"/>
              </w:rPr>
            </w:pPr>
            <w:r>
              <w:rPr>
                <w:rFonts w:hint="eastAsia" w:ascii="宋体" w:hAnsi="宋体" w:cs="宋体"/>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3" w:type="dxa"/>
            <w:vMerge w:val="continue"/>
            <w:vAlign w:val="center"/>
          </w:tcPr>
          <w:p>
            <w:pPr>
              <w:spacing w:line="240" w:lineRule="auto"/>
              <w:jc w:val="center"/>
              <w:rPr>
                <w:rFonts w:hint="eastAsia" w:ascii="宋体" w:hAnsi="宋体" w:eastAsia="宋体" w:cs="宋体"/>
                <w:szCs w:val="21"/>
                <w:highlight w:val="none"/>
              </w:rPr>
            </w:pPr>
          </w:p>
        </w:tc>
        <w:tc>
          <w:tcPr>
            <w:tcW w:w="1173" w:type="dxa"/>
            <w:vMerge w:val="continue"/>
            <w:vAlign w:val="center"/>
          </w:tcPr>
          <w:p>
            <w:pPr>
              <w:spacing w:line="240" w:lineRule="auto"/>
              <w:jc w:val="center"/>
              <w:rPr>
                <w:rFonts w:ascii="宋体" w:hAnsi="宋体" w:eastAsia="宋体" w:cs="宋体"/>
                <w:szCs w:val="21"/>
                <w:highlight w:val="none"/>
              </w:rPr>
            </w:pPr>
          </w:p>
        </w:tc>
        <w:tc>
          <w:tcPr>
            <w:tcW w:w="919" w:type="dxa"/>
            <w:vMerge w:val="continue"/>
            <w:vAlign w:val="center"/>
          </w:tcPr>
          <w:p>
            <w:pPr>
              <w:spacing w:line="240" w:lineRule="auto"/>
              <w:jc w:val="center"/>
              <w:rPr>
                <w:rFonts w:ascii="宋体" w:hAnsi="宋体" w:eastAsia="宋体" w:cs="宋体"/>
                <w:szCs w:val="21"/>
                <w:highlight w:val="none"/>
                <w:u w:val="single"/>
              </w:rPr>
            </w:pPr>
          </w:p>
        </w:tc>
        <w:tc>
          <w:tcPr>
            <w:tcW w:w="1204" w:type="dxa"/>
            <w:vAlign w:val="center"/>
          </w:tcPr>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u w:val="single"/>
              </w:rPr>
              <w:t>企业综合能力</w:t>
            </w:r>
          </w:p>
        </w:tc>
        <w:tc>
          <w:tcPr>
            <w:tcW w:w="851" w:type="dxa"/>
            <w:vAlign w:val="center"/>
          </w:tcPr>
          <w:p>
            <w:pPr>
              <w:spacing w:line="240" w:lineRule="auto"/>
              <w:jc w:val="center"/>
              <w:rPr>
                <w:rFonts w:hint="eastAsia" w:ascii="宋体" w:hAnsi="宋体" w:eastAsia="宋体" w:cs="宋体"/>
                <w:szCs w:val="21"/>
                <w:highlight w:val="none"/>
                <w:u w:val="single"/>
              </w:rPr>
            </w:pPr>
            <w:r>
              <w:rPr>
                <w:rFonts w:hint="eastAsia" w:ascii="宋体" w:hAnsi="宋体" w:cs="宋体"/>
                <w:szCs w:val="21"/>
                <w:highlight w:val="none"/>
                <w:u w:val="single"/>
                <w:lang w:val="en-US" w:eastAsia="zh-CN"/>
              </w:rPr>
              <w:t>0</w:t>
            </w:r>
            <w:r>
              <w:rPr>
                <w:rFonts w:hint="eastAsia" w:ascii="宋体" w:hAnsi="宋体" w:eastAsia="宋体" w:cs="宋体"/>
                <w:szCs w:val="21"/>
                <w:highlight w:val="none"/>
              </w:rPr>
              <w:t>分</w:t>
            </w:r>
          </w:p>
        </w:tc>
        <w:tc>
          <w:tcPr>
            <w:tcW w:w="3821" w:type="dxa"/>
            <w:vAlign w:val="top"/>
          </w:tcPr>
          <w:p>
            <w:pPr>
              <w:pStyle w:val="23"/>
              <w:jc w:val="left"/>
              <w:rPr>
                <w:rFonts w:hint="eastAsia" w:ascii="宋体" w:hAnsi="宋体" w:eastAsia="宋体" w:cs="宋体"/>
                <w:b w:val="0"/>
                <w:bCs w:val="0"/>
                <w:szCs w:val="21"/>
                <w:highlight w:val="none"/>
                <w:lang w:val="en-US" w:eastAsia="zh-CN"/>
              </w:rPr>
            </w:pPr>
            <w:r>
              <w:rPr>
                <w:rFonts w:hint="eastAsia" w:ascii="宋体" w:hAnsi="宋体" w:cs="宋体"/>
                <w:b w:val="0"/>
                <w:bCs w:val="0"/>
                <w:szCs w:val="21"/>
                <w:highlight w:val="none"/>
                <w:lang w:val="en-US" w:eastAsia="zh-CN"/>
              </w:rPr>
              <w:t>/</w:t>
            </w:r>
          </w:p>
        </w:tc>
      </w:tr>
    </w:tbl>
    <w:p>
      <w:pPr>
        <w:rPr>
          <w:rFonts w:ascii="宋体" w:hAnsi="宋体" w:eastAsia="宋体"/>
          <w:vanish/>
          <w:highlight w:val="none"/>
        </w:rPr>
      </w:pPr>
    </w:p>
    <w:tbl>
      <w:tblPr>
        <w:tblStyle w:val="11"/>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7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91" w:type="dxa"/>
            <w:gridSpan w:val="2"/>
            <w:vAlign w:val="top"/>
          </w:tcPr>
          <w:p>
            <w:pPr>
              <w:widowControl/>
              <w:spacing w:line="360" w:lineRule="auto"/>
              <w:jc w:val="left"/>
              <w:rPr>
                <w:rFonts w:ascii="宋体" w:hAnsi="宋体" w:eastAsia="宋体" w:cs="宋体"/>
                <w:b/>
                <w:bCs/>
                <w:szCs w:val="21"/>
                <w:highlight w:val="none"/>
              </w:rPr>
            </w:pPr>
            <w:r>
              <w:rPr>
                <w:rFonts w:hint="eastAsia" w:ascii="宋体" w:hAnsi="宋体" w:eastAsia="宋体" w:cs="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33" w:type="dxa"/>
            <w:vAlign w:val="center"/>
          </w:tcPr>
          <w:p>
            <w:pPr>
              <w:widowControl/>
              <w:spacing w:line="360" w:lineRule="auto"/>
              <w:jc w:val="center"/>
              <w:rPr>
                <w:rFonts w:ascii="宋体" w:hAnsi="宋体" w:eastAsia="宋体" w:cs="宋体"/>
                <w:szCs w:val="21"/>
                <w:highlight w:val="none"/>
              </w:rPr>
            </w:pPr>
            <w:r>
              <w:rPr>
                <w:rFonts w:hint="eastAsia" w:ascii="宋体" w:hAnsi="宋体" w:eastAsia="宋体" w:cs="宋体"/>
                <w:szCs w:val="21"/>
                <w:highlight w:val="none"/>
              </w:rPr>
              <w:t>条款号</w:t>
            </w:r>
          </w:p>
        </w:tc>
        <w:tc>
          <w:tcPr>
            <w:tcW w:w="7658" w:type="dxa"/>
            <w:vAlign w:val="center"/>
          </w:tcPr>
          <w:p>
            <w:pPr>
              <w:widowControl/>
              <w:spacing w:line="360" w:lineRule="auto"/>
              <w:jc w:val="center"/>
              <w:rPr>
                <w:rFonts w:ascii="宋体" w:hAnsi="宋体" w:eastAsia="宋体" w:cs="宋体"/>
                <w:szCs w:val="21"/>
                <w:highlight w:val="none"/>
              </w:rPr>
            </w:pPr>
            <w:r>
              <w:rPr>
                <w:rFonts w:hint="eastAsia" w:ascii="宋体" w:hAnsi="宋体" w:eastAsia="宋体" w:cs="宋体"/>
                <w:szCs w:val="21"/>
                <w:highlight w:val="none"/>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33" w:type="dxa"/>
            <w:vAlign w:val="center"/>
          </w:tcPr>
          <w:p>
            <w:pPr>
              <w:spacing w:line="240" w:lineRule="auto"/>
              <w:jc w:val="center"/>
              <w:rPr>
                <w:rFonts w:ascii="宋体" w:hAnsi="宋体" w:eastAsia="宋体" w:cs="宋体"/>
                <w:szCs w:val="21"/>
                <w:highlight w:val="none"/>
              </w:rPr>
            </w:pPr>
            <w:r>
              <w:rPr>
                <w:rFonts w:hint="eastAsia" w:ascii="宋体" w:hAnsi="宋体" w:eastAsia="宋体" w:cs="宋体"/>
                <w:szCs w:val="21"/>
                <w:highlight w:val="none"/>
              </w:rPr>
              <w:t>3.2.2</w:t>
            </w:r>
          </w:p>
        </w:tc>
        <w:tc>
          <w:tcPr>
            <w:tcW w:w="7658" w:type="dxa"/>
            <w:vAlign w:val="center"/>
          </w:tcPr>
          <w:p>
            <w:pPr>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将评标办法原文第3.2.2项修改如下：</w:t>
            </w:r>
          </w:p>
          <w:p>
            <w:pPr>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投标人的商务和技术得分分值计算保留小数点后三位，小数点后第四位“四舍五入”。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33" w:type="dxa"/>
            <w:vAlign w:val="center"/>
          </w:tcPr>
          <w:p>
            <w:pPr>
              <w:spacing w:line="240" w:lineRule="auto"/>
              <w:jc w:val="center"/>
              <w:rPr>
                <w:rFonts w:hint="eastAsia" w:ascii="宋体" w:hAnsi="宋体" w:eastAsia="宋体" w:cs="宋体"/>
                <w:szCs w:val="21"/>
                <w:highlight w:val="none"/>
              </w:rPr>
            </w:pPr>
            <w:r>
              <w:rPr>
                <w:rFonts w:hint="eastAsia" w:ascii="宋体" w:hAnsi="宋体" w:cs="宋体"/>
                <w:szCs w:val="21"/>
                <w:highlight w:val="none"/>
              </w:rPr>
              <w:t>3.2.3</w:t>
            </w:r>
          </w:p>
        </w:tc>
        <w:tc>
          <w:tcPr>
            <w:tcW w:w="7658" w:type="dxa"/>
            <w:vAlign w:val="center"/>
          </w:tcPr>
          <w:p>
            <w:pPr>
              <w:spacing w:line="240" w:lineRule="auto"/>
              <w:ind w:firstLine="420" w:firstLineChars="200"/>
              <w:rPr>
                <w:rFonts w:hint="eastAsia" w:ascii="宋体" w:hAnsi="宋体" w:eastAsia="宋体" w:cs="宋体"/>
                <w:szCs w:val="21"/>
                <w:highlight w:val="none"/>
              </w:rPr>
            </w:pPr>
            <w:r>
              <w:rPr>
                <w:rFonts w:hint="eastAsia" w:ascii="宋体" w:hAnsi="宋体" w:cs="宋体"/>
                <w:szCs w:val="21"/>
                <w:highlight w:val="none"/>
              </w:rPr>
              <w:t>将</w:t>
            </w:r>
            <w:r>
              <w:rPr>
                <w:rFonts w:hint="eastAsia" w:ascii="宋体" w:hAnsi="宋体" w:eastAsia="宋体" w:cs="宋体"/>
                <w:szCs w:val="21"/>
                <w:highlight w:val="none"/>
              </w:rPr>
              <w:t>评标办法范本原文第3.2.3项细化如下：</w:t>
            </w:r>
          </w:p>
          <w:p>
            <w:pPr>
              <w:spacing w:line="24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投标人的商务和技术得分=A+B+D。</w:t>
            </w:r>
          </w:p>
          <w:p>
            <w:pPr>
              <w:autoSpaceDE w:val="0"/>
              <w:autoSpaceDN w:val="0"/>
              <w:adjustRightInd w:val="0"/>
              <w:spacing w:line="24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投标文件评分因素</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技术建议书</w:t>
            </w:r>
            <w:r>
              <w:rPr>
                <w:rFonts w:hint="eastAsia" w:ascii="宋体" w:hAnsi="宋体" w:eastAsia="宋体" w:cs="宋体"/>
                <w:szCs w:val="21"/>
                <w:highlight w:val="none"/>
                <w:u w:val="single"/>
              </w:rPr>
              <w:t>）</w:t>
            </w:r>
            <w:r>
              <w:rPr>
                <w:rFonts w:hint="eastAsia" w:ascii="宋体" w:hAnsi="宋体" w:eastAsia="宋体" w:cs="宋体"/>
                <w:szCs w:val="21"/>
                <w:highlight w:val="none"/>
              </w:rPr>
              <w:t>细分项得分均不应低于其权重分的60%，评分低于权重分值60%的，评标委员会成员应当在评标报告中作出说明。</w:t>
            </w:r>
          </w:p>
          <w:p>
            <w:pPr>
              <w:autoSpaceDE w:val="0"/>
              <w:autoSpaceDN w:val="0"/>
              <w:adjustRightInd w:val="0"/>
              <w:spacing w:line="240" w:lineRule="auto"/>
              <w:ind w:firstLine="420"/>
              <w:rPr>
                <w:rFonts w:hint="eastAsia" w:ascii="宋体" w:hAnsi="宋体" w:eastAsia="宋体" w:cs="宋体"/>
                <w:szCs w:val="21"/>
                <w:highlight w:val="none"/>
              </w:rPr>
            </w:pPr>
            <w:r>
              <w:rPr>
                <w:rFonts w:hint="eastAsia" w:ascii="宋体" w:hAnsi="宋体" w:eastAsia="宋体" w:cs="宋体"/>
                <w:szCs w:val="21"/>
                <w:highlight w:val="none"/>
              </w:rPr>
              <w:t>评标委员会人数不少于9人单数时，计算投标人技术得分时:首先在评委技术评分中，采用取消同一评委对同一标段各投标人评分总分的差值最大的评委评分分值（当2名或以上技术评委评分总分差值最大时，应取消其中1名评委评分，具体办法如下），再对各评分因素细分项中取消一个最高、一个最低分后计算算术平均值的和为投标人的最终技术得分，平均值计算保留小数点后三位，小数点后第四位“四舍五入”。</w:t>
            </w:r>
          </w:p>
          <w:p>
            <w:pPr>
              <w:autoSpaceDE w:val="0"/>
              <w:autoSpaceDN w:val="0"/>
              <w:adjustRightInd w:val="0"/>
              <w:spacing w:line="240" w:lineRule="auto"/>
              <w:ind w:firstLine="420"/>
              <w:rPr>
                <w:rFonts w:hint="eastAsia" w:ascii="宋体" w:hAnsi="宋体" w:eastAsia="宋体" w:cs="宋体"/>
                <w:szCs w:val="21"/>
                <w:highlight w:val="none"/>
              </w:rPr>
            </w:pPr>
            <w:r>
              <w:rPr>
                <w:rFonts w:hint="eastAsia" w:ascii="宋体" w:hAnsi="宋体" w:eastAsia="宋体" w:cs="宋体"/>
                <w:szCs w:val="21"/>
                <w:highlight w:val="none"/>
              </w:rPr>
              <w:t>取消其中1名评委评分的办法一（依次按照以下流程）：（1）对比上述出现技术评分总分差值最大的评委的次分差（次分差＝某一评委技术评分总分的最高分－该评委技术评分总分的次低分），取消次分差最大的评委评分；（2）如次分差仍相同，则按随机抽取的方式选定取消1名评委评分。</w:t>
            </w:r>
          </w:p>
          <w:p>
            <w:pPr>
              <w:autoSpaceDE w:val="0"/>
              <w:autoSpaceDN w:val="0"/>
              <w:adjustRightInd w:val="0"/>
              <w:spacing w:line="24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注：如同一评委对5名投标人技术评分总分分别为：40分（最高分）、40分、39分、38分、38分（次低分）、37分、37分（最低分），则其最大差值为3分，次分差为：40分-38分=2分。</w:t>
            </w:r>
          </w:p>
          <w:p>
            <w:pPr>
              <w:autoSpaceDE w:val="0"/>
              <w:autoSpaceDN w:val="0"/>
              <w:adjustRightInd w:val="0"/>
              <w:spacing w:line="240" w:lineRule="auto"/>
              <w:ind w:firstLine="420"/>
              <w:rPr>
                <w:rFonts w:hint="eastAsia" w:ascii="宋体" w:hAnsi="宋体" w:eastAsia="宋体" w:cs="宋体"/>
                <w:szCs w:val="21"/>
                <w:highlight w:val="none"/>
              </w:rPr>
            </w:pPr>
            <w:r>
              <w:rPr>
                <w:rFonts w:hint="eastAsia" w:ascii="宋体" w:hAnsi="宋体" w:eastAsia="宋体" w:cs="宋体"/>
                <w:szCs w:val="21"/>
                <w:highlight w:val="none"/>
              </w:rPr>
              <w:t>评标委员会人数为7人时，计算投标人技术得分时:各评分因素细分项中取消一个最高、一个最低分后计算算术平均值的和为投标人的最终技术得分，平均值计算保留小数点后三位，小数点后第四位“四舍五入”。</w:t>
            </w:r>
          </w:p>
          <w:p>
            <w:pPr>
              <w:autoSpaceDE w:val="0"/>
              <w:autoSpaceDN w:val="0"/>
              <w:adjustRightInd w:val="0"/>
              <w:spacing w:line="240" w:lineRule="auto"/>
              <w:ind w:firstLine="420" w:firstLineChars="0"/>
              <w:rPr>
                <w:rFonts w:hint="eastAsia" w:ascii="宋体" w:hAnsi="宋体" w:eastAsia="宋体" w:cs="宋体"/>
                <w:szCs w:val="21"/>
                <w:highlight w:val="none"/>
              </w:rPr>
            </w:pPr>
            <w:r>
              <w:rPr>
                <w:rFonts w:hint="eastAsia" w:ascii="宋体" w:hAnsi="宋体" w:eastAsia="宋体" w:cs="宋体"/>
                <w:sz w:val="21"/>
                <w:szCs w:val="21"/>
                <w:highlight w:val="none"/>
              </w:rPr>
              <w:t>以上评标委员会人数以实际参与评审的评标委员会人数数量为准。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33" w:type="dxa"/>
            <w:vAlign w:val="center"/>
          </w:tcPr>
          <w:p>
            <w:pPr>
              <w:widowControl/>
              <w:spacing w:before="240" w:after="240" w:line="240" w:lineRule="auto"/>
              <w:jc w:val="center"/>
              <w:rPr>
                <w:rFonts w:ascii="宋体" w:hAnsi="宋体" w:eastAsia="宋体" w:cs="宋体"/>
                <w:szCs w:val="21"/>
                <w:highlight w:val="none"/>
              </w:rPr>
            </w:pPr>
            <w:r>
              <w:rPr>
                <w:rFonts w:hint="eastAsia" w:ascii="宋体" w:hAnsi="宋体" w:eastAsia="宋体" w:cs="宋体"/>
                <w:szCs w:val="21"/>
                <w:highlight w:val="none"/>
              </w:rPr>
              <w:t>3.9</w:t>
            </w:r>
          </w:p>
        </w:tc>
        <w:tc>
          <w:tcPr>
            <w:tcW w:w="7658" w:type="dxa"/>
            <w:vAlign w:val="top"/>
          </w:tcPr>
          <w:p>
            <w:pPr>
              <w:adjustRightInd w:val="0"/>
              <w:snapToGrid w:val="0"/>
              <w:spacing w:line="240" w:lineRule="auto"/>
              <w:ind w:firstLine="432" w:firstLineChars="206"/>
              <w:rPr>
                <w:rFonts w:ascii="宋体" w:hAnsi="宋体" w:eastAsia="宋体" w:cs="宋体"/>
                <w:szCs w:val="21"/>
                <w:highlight w:val="none"/>
              </w:rPr>
            </w:pPr>
            <w:r>
              <w:rPr>
                <w:rFonts w:hint="eastAsia" w:ascii="宋体" w:hAnsi="宋体" w:cs="宋体"/>
                <w:bCs/>
                <w:szCs w:val="21"/>
                <w:highlight w:val="none"/>
              </w:rPr>
              <w:t>增加3.9.3-3.9.</w:t>
            </w:r>
            <w:r>
              <w:rPr>
                <w:rFonts w:hint="eastAsia" w:ascii="宋体" w:hAnsi="宋体" w:cs="宋体"/>
                <w:bCs/>
                <w:szCs w:val="21"/>
                <w:highlight w:val="none"/>
                <w:lang w:val="en-US" w:eastAsia="zh-CN"/>
              </w:rPr>
              <w:t>6</w:t>
            </w:r>
            <w:r>
              <w:rPr>
                <w:rFonts w:hint="eastAsia" w:ascii="宋体" w:hAnsi="宋体" w:cs="宋体"/>
                <w:szCs w:val="21"/>
                <w:highlight w:val="none"/>
              </w:rPr>
              <w:t>项</w:t>
            </w:r>
            <w:r>
              <w:rPr>
                <w:rFonts w:hint="eastAsia" w:ascii="宋体" w:hAnsi="宋体" w:cs="宋体"/>
                <w:bCs/>
                <w:szCs w:val="21"/>
                <w:highlight w:val="none"/>
              </w:rPr>
              <w:t>：</w:t>
            </w:r>
          </w:p>
          <w:p>
            <w:pPr>
              <w:spacing w:line="24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3.9.</w:t>
            </w:r>
            <w:r>
              <w:rPr>
                <w:rFonts w:hint="eastAsia" w:ascii="宋体" w:hAnsi="宋体" w:cs="宋体"/>
                <w:szCs w:val="21"/>
                <w:highlight w:val="none"/>
                <w:lang w:val="en-US" w:eastAsia="zh-CN"/>
              </w:rPr>
              <w:t>3</w:t>
            </w:r>
            <w:r>
              <w:rPr>
                <w:rFonts w:hint="eastAsia" w:ascii="宋体" w:hAnsi="宋体" w:eastAsia="宋体" w:cs="宋体"/>
                <w:szCs w:val="21"/>
                <w:highlight w:val="none"/>
              </w:rPr>
              <w:t>通过第一个信封商务和技术文件评审的投标人少于3个的，评标委员会可以否决全部投标；未否决全部投标的，评标委员会应当在评标报告中阐明理由，招标人应当按照招标文件规定的程序进行第二个信封报价开标，但评标委员会在进行报价评审时仍有权否决全部投标；评标委员会未在报价文件评审时否决全部投标的，应当在评标报告中阐明理由并推荐中标候选人。</w:t>
            </w:r>
          </w:p>
          <w:p>
            <w:pPr>
              <w:spacing w:line="240" w:lineRule="auto"/>
              <w:ind w:firstLine="378" w:firstLineChars="180"/>
              <w:rPr>
                <w:rFonts w:ascii="宋体" w:hAnsi="宋体" w:eastAsia="宋体" w:cs="宋体"/>
                <w:szCs w:val="21"/>
                <w:highlight w:val="none"/>
              </w:rPr>
            </w:pPr>
            <w:r>
              <w:rPr>
                <w:rFonts w:hint="eastAsia" w:ascii="宋体" w:hAnsi="宋体" w:eastAsia="宋体" w:cs="宋体"/>
                <w:szCs w:val="21"/>
                <w:highlight w:val="none"/>
              </w:rPr>
              <w:t>3.9.</w:t>
            </w:r>
            <w:r>
              <w:rPr>
                <w:rFonts w:hint="eastAsia" w:ascii="宋体" w:hAnsi="宋体" w:cs="宋体"/>
                <w:szCs w:val="21"/>
                <w:highlight w:val="none"/>
                <w:lang w:val="en-US" w:eastAsia="zh-CN"/>
              </w:rPr>
              <w:t>4</w:t>
            </w:r>
            <w:r>
              <w:rPr>
                <w:rFonts w:hint="eastAsia" w:ascii="宋体" w:hAnsi="宋体" w:eastAsia="宋体" w:cs="宋体"/>
                <w:szCs w:val="21"/>
                <w:highlight w:val="none"/>
              </w:rPr>
              <w:t>通过第一个信封商务和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pPr>
              <w:spacing w:line="240" w:lineRule="auto"/>
              <w:ind w:firstLine="378" w:firstLineChars="180"/>
              <w:rPr>
                <w:rFonts w:ascii="宋体" w:hAnsi="宋体" w:eastAsia="宋体" w:cs="宋体"/>
                <w:szCs w:val="21"/>
                <w:highlight w:val="none"/>
              </w:rPr>
            </w:pPr>
            <w:r>
              <w:rPr>
                <w:rFonts w:hint="eastAsia" w:ascii="宋体" w:hAnsi="宋体" w:eastAsia="宋体" w:cs="宋体"/>
                <w:szCs w:val="21"/>
                <w:highlight w:val="none"/>
              </w:rPr>
              <w:t>3.9.</w:t>
            </w:r>
            <w:r>
              <w:rPr>
                <w:rFonts w:hint="eastAsia" w:ascii="宋体" w:hAnsi="宋体" w:cs="宋体"/>
                <w:szCs w:val="21"/>
                <w:highlight w:val="none"/>
                <w:lang w:val="en-US" w:eastAsia="zh-CN"/>
              </w:rPr>
              <w:t>5</w:t>
            </w:r>
            <w:r>
              <w:rPr>
                <w:rFonts w:hint="eastAsia" w:ascii="宋体" w:hAnsi="宋体" w:eastAsia="宋体" w:cs="宋体"/>
                <w:szCs w:val="21"/>
                <w:highlight w:val="none"/>
              </w:rPr>
              <w:t>如果发生无法确定推荐中标候选人的其它意外情况，评标委员会可建议招标人重新招标。</w:t>
            </w:r>
          </w:p>
          <w:p>
            <w:pPr>
              <w:spacing w:line="240" w:lineRule="auto"/>
              <w:ind w:right="0" w:rightChars="0" w:firstLine="378" w:firstLineChars="180"/>
              <w:rPr>
                <w:rFonts w:hint="eastAsia" w:ascii="宋体" w:hAnsi="宋体" w:eastAsia="宋体" w:cs="宋体"/>
                <w:sz w:val="21"/>
                <w:szCs w:val="21"/>
                <w:highlight w:val="none"/>
              </w:rPr>
            </w:pPr>
            <w:r>
              <w:rPr>
                <w:rFonts w:hint="eastAsia" w:ascii="宋体" w:hAnsi="宋体" w:eastAsia="宋体" w:cs="宋体"/>
                <w:sz w:val="21"/>
                <w:szCs w:val="21"/>
                <w:highlight w:val="none"/>
              </w:rPr>
              <w:t>3.9.</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本招标文件规定的否决投标条款包含在以下条款：</w:t>
            </w:r>
          </w:p>
          <w:p>
            <w:pPr>
              <w:spacing w:line="240" w:lineRule="auto"/>
              <w:ind w:right="0" w:rightChars="0" w:firstLine="378" w:firstLineChars="180"/>
              <w:rPr>
                <w:rFonts w:hint="eastAsia" w:ascii="宋体" w:hAnsi="宋体" w:eastAsia="宋体" w:cs="宋体"/>
                <w:sz w:val="21"/>
                <w:szCs w:val="21"/>
                <w:highlight w:val="none"/>
              </w:rPr>
            </w:pPr>
            <w:r>
              <w:rPr>
                <w:rFonts w:hint="eastAsia" w:ascii="宋体" w:hAnsi="宋体" w:eastAsia="宋体" w:cs="宋体"/>
                <w:sz w:val="21"/>
                <w:szCs w:val="21"/>
                <w:highlight w:val="none"/>
              </w:rPr>
              <w:t>（1）招标公告第3点 投标人资格要求；</w:t>
            </w:r>
          </w:p>
          <w:p>
            <w:pPr>
              <w:spacing w:line="240" w:lineRule="auto"/>
              <w:ind w:right="0" w:rightChars="0" w:firstLine="378" w:firstLineChars="18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Cs w:val="21"/>
                <w:highlight w:val="none"/>
                <w:u w:val="single"/>
              </w:rPr>
              <w:t>投标人须知1.4.3项、1.4.4项、1.12</w:t>
            </w:r>
            <w:r>
              <w:rPr>
                <w:rFonts w:hint="eastAsia" w:ascii="宋体" w:hAnsi="宋体" w:eastAsia="宋体" w:cs="宋体"/>
                <w:sz w:val="21"/>
                <w:szCs w:val="21"/>
                <w:highlight w:val="none"/>
                <w:u w:val="single"/>
              </w:rPr>
              <w:t>.2</w:t>
            </w:r>
            <w:r>
              <w:rPr>
                <w:rFonts w:hint="eastAsia" w:ascii="宋体" w:hAnsi="宋体" w:eastAsia="宋体" w:cs="宋体"/>
                <w:szCs w:val="21"/>
                <w:highlight w:val="none"/>
                <w:u w:val="single"/>
              </w:rPr>
              <w:t>项、3.4</w:t>
            </w:r>
            <w:r>
              <w:rPr>
                <w:rFonts w:hint="eastAsia" w:ascii="宋体" w:hAnsi="宋体" w:eastAsia="宋体" w:cs="宋体"/>
                <w:sz w:val="21"/>
                <w:szCs w:val="21"/>
                <w:highlight w:val="none"/>
                <w:u w:val="single"/>
              </w:rPr>
              <w:t>.2</w:t>
            </w:r>
            <w:r>
              <w:rPr>
                <w:rFonts w:hint="eastAsia" w:ascii="宋体" w:hAnsi="宋体" w:eastAsia="宋体" w:cs="宋体"/>
                <w:szCs w:val="21"/>
                <w:highlight w:val="none"/>
                <w:u w:val="single"/>
              </w:rPr>
              <w:t>项、3.5</w:t>
            </w:r>
            <w:r>
              <w:rPr>
                <w:rFonts w:hint="eastAsia" w:ascii="宋体" w:hAnsi="宋体" w:eastAsia="宋体" w:cs="宋体"/>
                <w:sz w:val="21"/>
                <w:szCs w:val="21"/>
                <w:highlight w:val="none"/>
                <w:u w:val="single"/>
              </w:rPr>
              <w:t>.8</w:t>
            </w:r>
            <w:r>
              <w:rPr>
                <w:rFonts w:hint="eastAsia" w:ascii="宋体" w:hAnsi="宋体" w:eastAsia="宋体" w:cs="宋体"/>
                <w:szCs w:val="21"/>
                <w:highlight w:val="none"/>
                <w:u w:val="single"/>
              </w:rPr>
              <w:t>项、</w:t>
            </w:r>
            <w:r>
              <w:rPr>
                <w:rFonts w:hint="eastAsia" w:ascii="宋体" w:hAnsi="宋体" w:eastAsia="宋体" w:cs="宋体"/>
                <w:sz w:val="21"/>
                <w:szCs w:val="21"/>
                <w:highlight w:val="none"/>
                <w:u w:val="single"/>
              </w:rPr>
              <w:t>3.6.1</w:t>
            </w:r>
            <w:r>
              <w:rPr>
                <w:rFonts w:hint="eastAsia" w:ascii="宋体" w:hAnsi="宋体" w:eastAsia="宋体" w:cs="宋体"/>
                <w:sz w:val="21"/>
                <w:szCs w:val="21"/>
                <w:highlight w:val="none"/>
                <w:u w:val="single"/>
                <w:lang w:val="en-US" w:eastAsia="zh-CN"/>
              </w:rPr>
              <w:t>项</w:t>
            </w:r>
            <w:r>
              <w:rPr>
                <w:rFonts w:hint="eastAsia" w:ascii="宋体" w:hAnsi="宋体" w:eastAsia="宋体" w:cs="宋体"/>
                <w:sz w:val="21"/>
                <w:szCs w:val="21"/>
                <w:highlight w:val="none"/>
                <w:u w:val="none"/>
              </w:rPr>
              <w:t>；</w:t>
            </w:r>
          </w:p>
          <w:p>
            <w:pPr>
              <w:spacing w:line="240" w:lineRule="auto"/>
              <w:ind w:firstLine="378" w:firstLineChars="180"/>
              <w:rPr>
                <w:rFonts w:ascii="宋体" w:hAnsi="宋体" w:eastAsia="宋体" w:cs="宋体"/>
                <w:szCs w:val="21"/>
                <w:highlight w:val="none"/>
              </w:rPr>
            </w:pPr>
            <w:r>
              <w:rPr>
                <w:rFonts w:hint="eastAsia" w:ascii="宋体" w:hAnsi="宋体" w:eastAsia="宋体" w:cs="宋体"/>
                <w:sz w:val="21"/>
                <w:szCs w:val="21"/>
                <w:highlight w:val="none"/>
              </w:rPr>
              <w:t>（3）本评标办法的否决条款。</w:t>
            </w:r>
          </w:p>
        </w:tc>
      </w:tr>
    </w:tbl>
    <w:p>
      <w:pPr>
        <w:widowControl/>
        <w:spacing w:before="240" w:after="240" w:line="360" w:lineRule="auto"/>
        <w:jc w:val="left"/>
        <w:rPr>
          <w:rFonts w:eastAsia="宋体"/>
          <w:b/>
          <w:bCs w:val="0"/>
          <w:i w:val="0"/>
          <w:iCs w:val="0"/>
          <w:sz w:val="24"/>
          <w:highlight w:val="none"/>
        </w:rPr>
        <w:sectPr>
          <w:footnotePr>
            <w:numRestart w:val="eachPage"/>
          </w:footnotePr>
          <w:pgSz w:w="11900" w:h="16838"/>
          <w:pgMar w:top="1417" w:right="1417" w:bottom="1417" w:left="1417" w:header="0" w:footer="669" w:gutter="0"/>
          <w:cols w:space="0" w:num="1"/>
          <w:rtlGutter w:val="0"/>
          <w:docGrid w:linePitch="312" w:charSpace="0"/>
        </w:sectPr>
      </w:pPr>
    </w:p>
    <w:p>
      <w:pPr>
        <w:widowControl/>
        <w:spacing w:before="240" w:after="240" w:line="360" w:lineRule="auto"/>
        <w:jc w:val="left"/>
        <w:rPr>
          <w:rFonts w:eastAsia="宋体"/>
          <w:b/>
          <w:bCs w:val="0"/>
          <w:i w:val="0"/>
          <w:iCs w:val="0"/>
          <w:sz w:val="24"/>
          <w:highlight w:val="none"/>
        </w:rPr>
      </w:pPr>
      <w:r>
        <w:rPr>
          <w:rFonts w:eastAsia="宋体"/>
          <w:b/>
          <w:bCs w:val="0"/>
          <w:i w:val="0"/>
          <w:iCs w:val="0"/>
          <w:sz w:val="24"/>
          <w:highlight w:val="none"/>
        </w:rPr>
        <w:t>1. 评标方法</w:t>
      </w:r>
    </w:p>
    <w:p>
      <w:pPr>
        <w:spacing w:line="360" w:lineRule="auto"/>
        <w:ind w:firstLine="480" w:firstLineChars="200"/>
        <w:rPr>
          <w:rFonts w:ascii="宋体" w:hAnsi="宋体" w:eastAsia="宋体"/>
          <w:sz w:val="24"/>
          <w:highlight w:val="none"/>
        </w:rPr>
      </w:pPr>
      <w:r>
        <w:rPr>
          <w:rFonts w:ascii="宋体" w:hAnsi="宋体" w:eastAsia="宋体"/>
          <w:sz w:val="24"/>
          <w:highlight w:val="none"/>
        </w:rPr>
        <w:t>1.1</w:t>
      </w:r>
      <w:r>
        <w:rPr>
          <w:rFonts w:hint="eastAsia" w:ascii="宋体" w:hAnsi="宋体" w:eastAsia="宋体"/>
          <w:sz w:val="24"/>
          <w:highlight w:val="none"/>
        </w:rPr>
        <w:t>评标方法</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本次评标采用双信封的综合评分法。评标委员会对满足招标文件实质性要求的投标文件，按照本章第</w:t>
      </w:r>
      <w:r>
        <w:rPr>
          <w:rFonts w:ascii="宋体" w:hAnsi="宋体" w:eastAsia="宋体"/>
          <w:sz w:val="24"/>
          <w:highlight w:val="none"/>
        </w:rPr>
        <w:t>2.2款</w:t>
      </w:r>
      <w:r>
        <w:rPr>
          <w:rFonts w:hint="eastAsia" w:ascii="宋体" w:hAnsi="宋体" w:eastAsia="宋体"/>
          <w:sz w:val="24"/>
          <w:highlight w:val="none"/>
        </w:rPr>
        <w:t>规定的评分标准进行打分，并按得分由高到低顺序推荐中标候选人，但投标报价低于其成本的除外。综合评分相等时，评标委员会应按照评标办法前附表规定的优先次序推荐中标候选人或确定中标人。</w:t>
      </w:r>
    </w:p>
    <w:p>
      <w:pPr>
        <w:spacing w:line="360" w:lineRule="auto"/>
        <w:ind w:firstLine="480" w:firstLineChars="200"/>
        <w:rPr>
          <w:rFonts w:ascii="宋体" w:hAnsi="宋体" w:eastAsia="宋体"/>
          <w:sz w:val="24"/>
          <w:highlight w:val="none"/>
        </w:rPr>
      </w:pPr>
      <w:r>
        <w:rPr>
          <w:rFonts w:ascii="宋体" w:hAnsi="宋体" w:eastAsia="宋体"/>
          <w:sz w:val="24"/>
          <w:highlight w:val="none"/>
        </w:rPr>
        <w:t>1.2</w:t>
      </w:r>
      <w:r>
        <w:rPr>
          <w:rFonts w:hint="eastAsia" w:ascii="宋体" w:hAnsi="宋体" w:eastAsia="宋体"/>
          <w:sz w:val="24"/>
          <w:highlight w:val="none"/>
        </w:rPr>
        <w:t>评标组织</w:t>
      </w:r>
    </w:p>
    <w:p>
      <w:pPr>
        <w:spacing w:line="360" w:lineRule="auto"/>
        <w:ind w:firstLine="480" w:firstLineChars="200"/>
        <w:rPr>
          <w:rFonts w:ascii="宋体" w:hAnsi="宋体" w:eastAsia="宋体"/>
          <w:sz w:val="24"/>
          <w:highlight w:val="none"/>
        </w:rPr>
      </w:pPr>
      <w:r>
        <w:rPr>
          <w:rFonts w:ascii="宋体" w:hAnsi="宋体" w:eastAsia="宋体"/>
          <w:sz w:val="24"/>
          <w:highlight w:val="none"/>
        </w:rPr>
        <w:t>1.2.1</w:t>
      </w:r>
      <w:r>
        <w:rPr>
          <w:rFonts w:hint="eastAsia" w:ascii="宋体" w:hAnsi="宋体" w:eastAsia="宋体"/>
          <w:sz w:val="24"/>
          <w:highlight w:val="none"/>
        </w:rPr>
        <w:t>协助工作组</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招标人可在评标工作开始前成立协助工作组，选派熟悉招标工作、政治素质高的人员组成，协助评标委员会工作。协助工作组人员的具体数量由招标人视评标工作量确定。</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招标人可以协助评标委员会开展下列工作并提供相关信息：</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1）根据招</w:t>
      </w:r>
      <w:r>
        <w:rPr>
          <w:rFonts w:hint="eastAsia" w:ascii="宋体" w:hAnsi="宋体" w:eastAsia="宋体"/>
          <w:sz w:val="24"/>
          <w:highlight w:val="none"/>
        </w:rPr>
        <w:t>标文件，编制评标使用的相应表格；</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2）</w:t>
      </w:r>
      <w:r>
        <w:rPr>
          <w:rFonts w:hint="eastAsia" w:ascii="宋体" w:hAnsi="宋体" w:eastAsia="宋体"/>
          <w:sz w:val="24"/>
          <w:highlight w:val="none"/>
        </w:rPr>
        <w:t>对投标报价进行算术性校核；</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3）以</w:t>
      </w:r>
      <w:r>
        <w:rPr>
          <w:rFonts w:hint="eastAsia" w:ascii="宋体" w:hAnsi="宋体" w:eastAsia="宋体"/>
          <w:sz w:val="24"/>
          <w:highlight w:val="none"/>
        </w:rPr>
        <w:t>评标标准和方法为依据，列出投标文件相对于招标文件的所有偏差，并进行归类汇总；</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4）查</w:t>
      </w:r>
      <w:r>
        <w:rPr>
          <w:rFonts w:hint="eastAsia" w:ascii="宋体" w:hAnsi="宋体" w:eastAsia="宋体"/>
          <w:sz w:val="24"/>
          <w:highlight w:val="none"/>
        </w:rPr>
        <w:t>询水运建设市场信用信息管理系统，对投标人的资质、业绩、主要人员资历和目前在岗情况、企业信用等级进行核实（如有）。</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招标人不得对投标文件作出任何评价，不得故意遗漏或者片面摘录，不得在评标委员会对所有偏差定性之前透露存有偏差的投标人名称。</w:t>
      </w:r>
    </w:p>
    <w:p>
      <w:pPr>
        <w:spacing w:line="360" w:lineRule="auto"/>
        <w:ind w:firstLine="480" w:firstLineChars="200"/>
        <w:rPr>
          <w:rFonts w:ascii="宋体" w:hAnsi="宋体" w:eastAsia="宋体"/>
          <w:sz w:val="24"/>
          <w:highlight w:val="none"/>
        </w:rPr>
      </w:pPr>
      <w:r>
        <w:rPr>
          <w:rFonts w:ascii="宋体" w:hAnsi="宋体" w:eastAsia="宋体"/>
          <w:sz w:val="24"/>
          <w:highlight w:val="none"/>
        </w:rPr>
        <w:t>1.2.2</w:t>
      </w:r>
      <w:r>
        <w:rPr>
          <w:rFonts w:hint="eastAsia" w:ascii="宋体" w:hAnsi="宋体" w:eastAsia="宋体"/>
          <w:sz w:val="24"/>
          <w:highlight w:val="none"/>
        </w:rPr>
        <w:t>评标委员会</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评标委员会由招标人按国家、广东省等的有关规定依法组建。评标委员人数参见本招标文件“投标人须知前附表第</w:t>
      </w:r>
      <w:r>
        <w:rPr>
          <w:rFonts w:ascii="宋体" w:hAnsi="宋体" w:eastAsia="宋体"/>
          <w:sz w:val="24"/>
          <w:highlight w:val="none"/>
        </w:rPr>
        <w:t>6.1.1款。</w:t>
      </w:r>
      <w:r>
        <w:rPr>
          <w:rFonts w:hint="eastAsia" w:ascii="宋体" w:hAnsi="宋体" w:eastAsia="宋体"/>
          <w:sz w:val="24"/>
          <w:highlight w:val="none"/>
        </w:rPr>
        <w:t>评标委员会的主要工作内容包括：</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1）</w:t>
      </w:r>
      <w:r>
        <w:rPr>
          <w:rFonts w:hint="eastAsia" w:ascii="宋体" w:hAnsi="宋体" w:eastAsia="宋体"/>
          <w:sz w:val="24"/>
          <w:highlight w:val="none"/>
        </w:rPr>
        <w:t>评标委员会开始评标工作之前，首先听取招标人、协助工作组关于工程情况和辅助工作的说明，并认真研读招标文件，获取评标所需的重要信息和数据；</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2）</w:t>
      </w:r>
      <w:r>
        <w:rPr>
          <w:rFonts w:hint="eastAsia" w:ascii="宋体" w:hAnsi="宋体" w:eastAsia="宋体"/>
          <w:sz w:val="24"/>
          <w:highlight w:val="none"/>
        </w:rPr>
        <w:t>对协助工作组提供的评标工作用表和评标内容进行核查。</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3）按照以下1.3款程序</w:t>
      </w:r>
      <w:r>
        <w:rPr>
          <w:rFonts w:hint="eastAsia" w:ascii="宋体" w:hAnsi="宋体" w:eastAsia="宋体"/>
          <w:sz w:val="24"/>
          <w:highlight w:val="none"/>
        </w:rPr>
        <w:t>进行各项评审工作。</w:t>
      </w:r>
    </w:p>
    <w:p>
      <w:pPr>
        <w:spacing w:line="360" w:lineRule="auto"/>
        <w:ind w:firstLine="480" w:firstLineChars="200"/>
        <w:rPr>
          <w:rFonts w:ascii="宋体" w:hAnsi="宋体" w:eastAsia="宋体"/>
          <w:sz w:val="24"/>
          <w:highlight w:val="none"/>
        </w:rPr>
      </w:pPr>
      <w:r>
        <w:rPr>
          <w:rFonts w:ascii="宋体" w:hAnsi="宋体" w:eastAsia="宋体"/>
          <w:sz w:val="24"/>
          <w:highlight w:val="none"/>
        </w:rPr>
        <w:t>1.3</w:t>
      </w:r>
      <w:r>
        <w:rPr>
          <w:rFonts w:hint="eastAsia" w:ascii="宋体" w:hAnsi="宋体" w:eastAsia="宋体"/>
          <w:sz w:val="24"/>
          <w:highlight w:val="none"/>
        </w:rPr>
        <w:t>评审工作程序</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（一）第一信封（商务及技术文件）：</w:t>
      </w:r>
    </w:p>
    <w:p>
      <w:pPr>
        <w:spacing w:line="360" w:lineRule="auto"/>
        <w:ind w:firstLine="480" w:firstLineChars="200"/>
        <w:rPr>
          <w:rFonts w:ascii="宋体" w:hAnsi="宋体" w:eastAsia="宋体"/>
          <w:sz w:val="24"/>
          <w:highlight w:val="none"/>
        </w:rPr>
      </w:pPr>
      <w:r>
        <w:rPr>
          <w:rFonts w:ascii="宋体" w:hAnsi="宋体" w:eastAsia="宋体"/>
          <w:sz w:val="24"/>
          <w:highlight w:val="none"/>
        </w:rPr>
        <w:t>l、初步</w:t>
      </w:r>
      <w:r>
        <w:rPr>
          <w:rFonts w:hint="eastAsia" w:ascii="宋体" w:hAnsi="宋体" w:eastAsia="宋体"/>
          <w:sz w:val="24"/>
          <w:highlight w:val="none"/>
        </w:rPr>
        <w:t>评审：包括形式评审与响应性评审、资格评审；</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详细评审（评审打分）：评标委员会首先对通过初步评审的投标文件第一个信封（商务及技术文件）进行详细评审，对投标人的</w:t>
      </w:r>
      <w:r>
        <w:rPr>
          <w:rFonts w:hint="eastAsia" w:ascii="宋体" w:hAnsi="宋体" w:eastAsia="宋体"/>
          <w:sz w:val="24"/>
          <w:highlight w:val="none"/>
          <w:lang w:eastAsia="zh-CN"/>
        </w:rPr>
        <w:t>技术建议书</w:t>
      </w:r>
      <w:r>
        <w:rPr>
          <w:rFonts w:hint="eastAsia" w:ascii="宋体" w:hAnsi="宋体" w:eastAsia="宋体"/>
          <w:sz w:val="24"/>
          <w:highlight w:val="none"/>
        </w:rPr>
        <w:t>、主要人员、其他因素等分别评审打分。</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（二）第二信封（报价文件）：</w:t>
      </w:r>
    </w:p>
    <w:p>
      <w:pPr>
        <w:spacing w:line="360" w:lineRule="auto"/>
        <w:ind w:firstLine="480" w:firstLineChars="200"/>
        <w:rPr>
          <w:rFonts w:ascii="宋体" w:hAnsi="宋体" w:eastAsia="宋体"/>
          <w:sz w:val="24"/>
          <w:highlight w:val="none"/>
        </w:rPr>
      </w:pPr>
      <w:r>
        <w:rPr>
          <w:rFonts w:ascii="宋体" w:hAnsi="宋体" w:eastAsia="宋体"/>
          <w:sz w:val="24"/>
          <w:highlight w:val="none"/>
        </w:rPr>
        <w:t xml:space="preserve"> 1、初步</w:t>
      </w:r>
      <w:r>
        <w:rPr>
          <w:rFonts w:hint="eastAsia" w:ascii="宋体" w:hAnsi="宋体" w:eastAsia="宋体"/>
          <w:sz w:val="24"/>
          <w:highlight w:val="none"/>
        </w:rPr>
        <w:t>评审：</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1）只有投</w:t>
      </w:r>
      <w:r>
        <w:rPr>
          <w:rFonts w:hint="eastAsia" w:ascii="宋体" w:hAnsi="宋体" w:eastAsia="宋体"/>
          <w:sz w:val="24"/>
          <w:highlight w:val="none"/>
        </w:rPr>
        <w:t>标文件第一个信封通过详细评审的投标人才能继续参加第二信封报价文件的形式评审与响应性评审；</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2）</w:t>
      </w:r>
      <w:r>
        <w:rPr>
          <w:rFonts w:hint="eastAsia" w:ascii="宋体" w:hAnsi="宋体" w:eastAsia="宋体"/>
          <w:sz w:val="24"/>
          <w:highlight w:val="none"/>
        </w:rPr>
        <w:t>报价算术性修正；</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详细评审：计算评标基准价、评标价得分及综合得分；</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（三）投标文件相关信息的核查。</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（四）</w:t>
      </w:r>
      <w:r>
        <w:rPr>
          <w:rFonts w:ascii="宋体" w:hAnsi="宋体" w:eastAsia="宋体"/>
          <w:sz w:val="24"/>
          <w:highlight w:val="none"/>
        </w:rPr>
        <w:t>投</w:t>
      </w:r>
      <w:r>
        <w:rPr>
          <w:rFonts w:hint="eastAsia" w:ascii="宋体" w:hAnsi="宋体" w:eastAsia="宋体"/>
          <w:sz w:val="24"/>
          <w:highlight w:val="none"/>
        </w:rPr>
        <w:t>标文件的澄清和说明</w:t>
      </w:r>
      <w:r>
        <w:rPr>
          <w:rFonts w:ascii="宋体" w:hAnsi="宋体" w:eastAsia="宋体"/>
          <w:sz w:val="24"/>
          <w:highlight w:val="none"/>
        </w:rPr>
        <w:t>(如有)</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（五）按评标办法规定推荐中标候选人，编写评标报告。</w:t>
      </w:r>
    </w:p>
    <w:p>
      <w:pPr>
        <w:pStyle w:val="4"/>
        <w:spacing w:after="0" w:line="360" w:lineRule="auto"/>
        <w:jc w:val="left"/>
        <w:rPr>
          <w:rFonts w:eastAsia="宋体"/>
          <w:b/>
          <w:bCs w:val="0"/>
          <w:i w:val="0"/>
          <w:iCs w:val="0"/>
          <w:highlight w:val="none"/>
        </w:rPr>
      </w:pPr>
      <w:bookmarkStart w:id="18" w:name="_Toc8009"/>
      <w:r>
        <w:rPr>
          <w:rFonts w:eastAsia="宋体"/>
          <w:b/>
          <w:bCs w:val="0"/>
          <w:i w:val="0"/>
          <w:iCs w:val="0"/>
          <w:highlight w:val="none"/>
        </w:rPr>
        <w:t>2. 评审标准</w:t>
      </w:r>
      <w:bookmarkEnd w:id="18"/>
    </w:p>
    <w:p>
      <w:pPr>
        <w:spacing w:line="360" w:lineRule="auto"/>
        <w:ind w:firstLine="480" w:firstLineChars="200"/>
        <w:rPr>
          <w:rFonts w:ascii="宋体" w:hAnsi="宋体" w:eastAsia="宋体"/>
          <w:sz w:val="24"/>
          <w:highlight w:val="none"/>
        </w:rPr>
      </w:pPr>
      <w:r>
        <w:rPr>
          <w:rFonts w:ascii="宋体" w:hAnsi="宋体" w:eastAsia="宋体"/>
          <w:sz w:val="24"/>
          <w:highlight w:val="none"/>
        </w:rPr>
        <w:t>2.1 初步评审标准</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2.1.1 形式评审标准：见评标办法前附表。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2.1.2 资格评审标准：见评标办法前附表。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2.1.3 响应性评审标准：见评标办法前附表。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2.2 分值构成与评分标准</w:t>
      </w:r>
    </w:p>
    <w:p>
      <w:pPr>
        <w:tabs>
          <w:tab w:val="left" w:pos="360"/>
        </w:tabs>
        <w:spacing w:line="360" w:lineRule="auto"/>
        <w:ind w:firstLine="480" w:firstLineChars="200"/>
        <w:rPr>
          <w:rFonts w:ascii="宋体" w:hAnsi="宋体" w:eastAsia="宋体"/>
          <w:sz w:val="24"/>
          <w:highlight w:val="none"/>
        </w:rPr>
      </w:pPr>
      <w:r>
        <w:rPr>
          <w:rFonts w:ascii="宋体" w:hAnsi="宋体" w:eastAsia="宋体"/>
          <w:sz w:val="24"/>
          <w:highlight w:val="none"/>
        </w:rPr>
        <w:t>2.2.1 分值构成</w:t>
      </w:r>
    </w:p>
    <w:p>
      <w:pPr>
        <w:spacing w:line="360" w:lineRule="auto"/>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lang w:eastAsia="zh-CN"/>
        </w:rPr>
        <w:t>技术建议书</w:t>
      </w:r>
      <w:r>
        <w:rPr>
          <w:rFonts w:ascii="宋体" w:hAnsi="宋体" w:eastAsia="宋体"/>
          <w:sz w:val="24"/>
          <w:highlight w:val="none"/>
        </w:rPr>
        <w:t>：见评标办法前附表；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主要人员</w:t>
      </w:r>
      <w:r>
        <w:rPr>
          <w:rFonts w:ascii="宋体" w:hAnsi="宋体" w:eastAsia="宋体"/>
          <w:sz w:val="24"/>
          <w:highlight w:val="none"/>
        </w:rPr>
        <w:t>：见评标办法前附表；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评标价</w:t>
      </w:r>
      <w:r>
        <w:rPr>
          <w:rFonts w:ascii="宋体" w:hAnsi="宋体" w:eastAsia="宋体"/>
          <w:sz w:val="24"/>
          <w:highlight w:val="none"/>
        </w:rPr>
        <w:t>：见评标办法前附表；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（4）其他评分因素：见评标办法前附表。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2.2.2 评标基准价计算</w:t>
      </w:r>
    </w:p>
    <w:p>
      <w:pPr>
        <w:spacing w:line="360" w:lineRule="auto"/>
        <w:ind w:firstLine="480" w:firstLineChars="200"/>
        <w:rPr>
          <w:rFonts w:ascii="宋体" w:hAnsi="宋体" w:eastAsia="宋体"/>
          <w:sz w:val="24"/>
          <w:highlight w:val="none"/>
        </w:rPr>
      </w:pPr>
      <w:r>
        <w:rPr>
          <w:rFonts w:ascii="宋体" w:hAnsi="宋体" w:eastAsia="宋体"/>
          <w:sz w:val="24"/>
          <w:highlight w:val="none"/>
        </w:rPr>
        <w:t>评标基准价计算方法：见评标办法前附表。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 xml:space="preserve">2.2.3 </w:t>
      </w:r>
      <w:r>
        <w:rPr>
          <w:rFonts w:hint="eastAsia" w:ascii="宋体" w:hAnsi="宋体" w:eastAsia="宋体"/>
          <w:sz w:val="24"/>
          <w:highlight w:val="none"/>
        </w:rPr>
        <w:t>评标价</w:t>
      </w:r>
      <w:r>
        <w:rPr>
          <w:rFonts w:ascii="宋体" w:hAnsi="宋体" w:eastAsia="宋体"/>
          <w:sz w:val="24"/>
          <w:highlight w:val="none"/>
        </w:rPr>
        <w:t>的偏差率计算</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评标价</w:t>
      </w:r>
      <w:r>
        <w:rPr>
          <w:rFonts w:ascii="宋体" w:hAnsi="宋体" w:eastAsia="宋体"/>
          <w:sz w:val="24"/>
          <w:highlight w:val="none"/>
        </w:rPr>
        <w:t>的偏差率计算公式：见评标办法前附表。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2.2.4 评分标准</w:t>
      </w:r>
    </w:p>
    <w:p>
      <w:pPr>
        <w:spacing w:line="360" w:lineRule="auto"/>
        <w:ind w:firstLine="480" w:firstLineChars="200"/>
        <w:rPr>
          <w:rFonts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lang w:eastAsia="zh-CN"/>
        </w:rPr>
        <w:t>技术建议书</w:t>
      </w:r>
      <w:r>
        <w:rPr>
          <w:rFonts w:ascii="宋体" w:hAnsi="宋体" w:eastAsia="宋体"/>
          <w:sz w:val="24"/>
          <w:highlight w:val="none"/>
        </w:rPr>
        <w:t>评分标准：见评标办法前附表；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主要人员</w:t>
      </w:r>
      <w:r>
        <w:rPr>
          <w:rFonts w:ascii="宋体" w:hAnsi="宋体" w:eastAsia="宋体"/>
          <w:sz w:val="24"/>
          <w:highlight w:val="none"/>
        </w:rPr>
        <w:t>评分标准：见评标办法前附表；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评标价</w:t>
      </w:r>
      <w:r>
        <w:rPr>
          <w:rFonts w:ascii="宋体" w:hAnsi="宋体" w:eastAsia="宋体"/>
          <w:sz w:val="24"/>
          <w:highlight w:val="none"/>
        </w:rPr>
        <w:t>评分标准：见评标办法前附表；</w:t>
      </w:r>
    </w:p>
    <w:p>
      <w:pPr>
        <w:spacing w:line="360" w:lineRule="auto"/>
        <w:ind w:firstLine="480" w:firstLineChars="200"/>
        <w:rPr>
          <w:rFonts w:ascii="宋体" w:hAnsi="宋体" w:eastAsia="宋体"/>
          <w:sz w:val="24"/>
          <w:highlight w:val="none"/>
        </w:rPr>
      </w:pPr>
      <w:r>
        <w:rPr>
          <w:rFonts w:ascii="宋体" w:hAnsi="宋体" w:eastAsia="宋体"/>
          <w:sz w:val="24"/>
          <w:highlight w:val="none"/>
        </w:rPr>
        <w:t>（4）其他因素评分标准：见评标办法前附表。</w:t>
      </w:r>
    </w:p>
    <w:p>
      <w:pPr>
        <w:pStyle w:val="4"/>
        <w:spacing w:after="0" w:line="360" w:lineRule="auto"/>
        <w:jc w:val="left"/>
        <w:rPr>
          <w:rFonts w:eastAsia="宋体"/>
          <w:b/>
          <w:bCs w:val="0"/>
          <w:i w:val="0"/>
          <w:iCs w:val="0"/>
          <w:highlight w:val="none"/>
        </w:rPr>
      </w:pPr>
      <w:bookmarkStart w:id="19" w:name="_Toc22950"/>
      <w:r>
        <w:rPr>
          <w:rFonts w:eastAsia="宋体"/>
          <w:b/>
          <w:bCs w:val="0"/>
          <w:i w:val="0"/>
          <w:iCs w:val="0"/>
          <w:highlight w:val="none"/>
        </w:rPr>
        <w:t>3. 评标程序</w:t>
      </w:r>
      <w:bookmarkEnd w:id="19"/>
    </w:p>
    <w:p>
      <w:pPr>
        <w:spacing w:line="360" w:lineRule="auto"/>
        <w:ind w:firstLine="480" w:firstLineChars="200"/>
        <w:rPr>
          <w:rFonts w:ascii="宋体" w:hAnsi="宋体" w:eastAsia="宋体"/>
          <w:sz w:val="24"/>
          <w:highlight w:val="none"/>
        </w:rPr>
      </w:pPr>
      <w:r>
        <w:rPr>
          <w:rFonts w:ascii="宋体" w:hAnsi="宋体" w:eastAsia="宋体"/>
          <w:sz w:val="24"/>
          <w:highlight w:val="none"/>
        </w:rPr>
        <w:t>3.1</w:t>
      </w:r>
      <w:r>
        <w:rPr>
          <w:rFonts w:hint="eastAsia" w:ascii="宋体" w:hAnsi="宋体" w:eastAsia="宋体"/>
          <w:sz w:val="24"/>
          <w:highlight w:val="none"/>
        </w:rPr>
        <w:t xml:space="preserve"> 第一个信封</w:t>
      </w:r>
      <w:r>
        <w:rPr>
          <w:rFonts w:ascii="宋体" w:hAnsi="宋体" w:eastAsia="宋体"/>
          <w:sz w:val="24"/>
          <w:highlight w:val="none"/>
        </w:rPr>
        <w:t>初步评审</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3.1.1 评标委员会可以要求投标人提交第二章“投标人须知”第3.5.1项至第3.5.</w:t>
      </w:r>
      <w:r>
        <w:rPr>
          <w:rFonts w:hint="eastAsia" w:ascii="宋体" w:hAnsi="宋体" w:eastAsia="宋体"/>
          <w:sz w:val="24"/>
          <w:highlight w:val="none"/>
        </w:rPr>
        <w:t>5</w:t>
      </w:r>
      <w:r>
        <w:rPr>
          <w:rFonts w:ascii="宋体" w:hAnsi="宋体" w:eastAsia="宋体"/>
          <w:sz w:val="24"/>
          <w:highlight w:val="none"/>
        </w:rPr>
        <w:t>项规定的有关证明和证件的原件，以便核验。评标委员会依据本章第2.1款规定的标准对投标文件</w:t>
      </w:r>
      <w:r>
        <w:rPr>
          <w:rFonts w:hint="eastAsia" w:ascii="宋体" w:hAnsi="宋体" w:eastAsia="宋体"/>
          <w:sz w:val="24"/>
          <w:highlight w:val="none"/>
        </w:rPr>
        <w:t>第一个信封（商务及技术文件）</w:t>
      </w:r>
      <w:r>
        <w:rPr>
          <w:rFonts w:ascii="宋体" w:hAnsi="宋体" w:eastAsia="宋体"/>
          <w:sz w:val="24"/>
          <w:highlight w:val="none"/>
        </w:rPr>
        <w:t>进行初步评审。有一项不符合评审标准的，</w:t>
      </w:r>
      <w:r>
        <w:rPr>
          <w:rFonts w:hint="eastAsia" w:ascii="宋体" w:hAnsi="宋体" w:eastAsia="宋体"/>
          <w:sz w:val="24"/>
          <w:highlight w:val="none"/>
        </w:rPr>
        <w:t>评标委员会应否决其投标</w:t>
      </w:r>
      <w:r>
        <w:rPr>
          <w:rFonts w:ascii="宋体" w:hAnsi="宋体" w:eastAsia="宋体"/>
          <w:sz w:val="24"/>
          <w:highlight w:val="none"/>
        </w:rPr>
        <w:t>。</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2 第一个信封</w:t>
      </w:r>
      <w:r>
        <w:rPr>
          <w:rFonts w:ascii="宋体" w:hAnsi="宋体" w:eastAsia="宋体"/>
          <w:sz w:val="24"/>
          <w:highlight w:val="none"/>
        </w:rPr>
        <w:t>详细评审</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2</w:t>
      </w:r>
      <w:r>
        <w:rPr>
          <w:rFonts w:ascii="宋体" w:hAnsi="宋体" w:eastAsia="宋体"/>
          <w:sz w:val="24"/>
          <w:highlight w:val="none"/>
        </w:rPr>
        <w:t>.1 评标委员会按本章第2.2款规定的量化因素和分值进行打分，并计算出</w:t>
      </w:r>
      <w:r>
        <w:rPr>
          <w:rFonts w:hint="eastAsia" w:ascii="宋体" w:hAnsi="宋体" w:eastAsia="宋体"/>
          <w:sz w:val="24"/>
          <w:highlight w:val="none"/>
        </w:rPr>
        <w:t>各投标人的商务和技术</w:t>
      </w:r>
      <w:r>
        <w:rPr>
          <w:rFonts w:ascii="宋体" w:hAnsi="宋体" w:eastAsia="宋体"/>
          <w:sz w:val="24"/>
          <w:highlight w:val="none"/>
        </w:rPr>
        <w:t>得分。</w:t>
      </w:r>
    </w:p>
    <w:p>
      <w:pPr>
        <w:spacing w:line="360" w:lineRule="auto"/>
        <w:ind w:firstLine="480" w:firstLineChars="200"/>
        <w:rPr>
          <w:rFonts w:ascii="宋体" w:hAnsi="宋体" w:eastAsia="宋体"/>
          <w:sz w:val="24"/>
          <w:highlight w:val="none"/>
        </w:rPr>
      </w:pPr>
      <w:r>
        <w:rPr>
          <w:rFonts w:ascii="宋体" w:hAnsi="宋体" w:eastAsia="宋体"/>
          <w:sz w:val="24"/>
          <w:highlight w:val="none"/>
        </w:rPr>
        <w:t>（1）按本章第2.2.4项（1）目规定的评审因素和分值对</w:t>
      </w:r>
      <w:r>
        <w:rPr>
          <w:rFonts w:hint="eastAsia" w:ascii="宋体" w:hAnsi="宋体" w:eastAsia="宋体"/>
          <w:sz w:val="24"/>
          <w:highlight w:val="none"/>
          <w:lang w:eastAsia="zh-CN"/>
        </w:rPr>
        <w:t>技术建议书</w:t>
      </w:r>
      <w:r>
        <w:rPr>
          <w:rFonts w:ascii="宋体" w:hAnsi="宋体" w:eastAsia="宋体"/>
          <w:sz w:val="24"/>
          <w:highlight w:val="none"/>
        </w:rPr>
        <w:t>部分计算出得分A；</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（2）按本章第2.2.4项（2）目规定的评审因素和分值对</w:t>
      </w:r>
      <w:r>
        <w:rPr>
          <w:rFonts w:hint="eastAsia" w:ascii="宋体" w:hAnsi="宋体" w:eastAsia="宋体"/>
          <w:sz w:val="24"/>
          <w:highlight w:val="none"/>
        </w:rPr>
        <w:t>主要人员部分</w:t>
      </w:r>
      <w:r>
        <w:rPr>
          <w:rFonts w:ascii="宋体" w:hAnsi="宋体" w:eastAsia="宋体"/>
          <w:sz w:val="24"/>
          <w:highlight w:val="none"/>
        </w:rPr>
        <w:t>计算出得分B；</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（3）按本章第2.2.4项（4）目规定的评审因素和分值对其他部分计算出得分D。</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2</w:t>
      </w:r>
      <w:r>
        <w:rPr>
          <w:rFonts w:ascii="宋体" w:hAnsi="宋体" w:eastAsia="宋体"/>
          <w:sz w:val="24"/>
          <w:highlight w:val="none"/>
        </w:rPr>
        <w:t xml:space="preserve">.2 </w:t>
      </w:r>
      <w:r>
        <w:rPr>
          <w:rFonts w:hint="eastAsia" w:ascii="宋体" w:hAnsi="宋体" w:eastAsia="宋体"/>
          <w:sz w:val="24"/>
          <w:highlight w:val="none"/>
        </w:rPr>
        <w:t>投标人的商务和技术得分</w:t>
      </w:r>
      <w:r>
        <w:rPr>
          <w:rFonts w:ascii="宋体" w:hAnsi="宋体" w:eastAsia="宋体"/>
          <w:sz w:val="24"/>
          <w:highlight w:val="none"/>
        </w:rPr>
        <w:t>分值计算保留小数点后两位，小数点后第三位“四舍五入”。</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2</w:t>
      </w:r>
      <w:r>
        <w:rPr>
          <w:rFonts w:ascii="宋体" w:hAnsi="宋体" w:eastAsia="宋体"/>
          <w:sz w:val="24"/>
          <w:highlight w:val="none"/>
        </w:rPr>
        <w:t>.3 投标人</w:t>
      </w:r>
      <w:r>
        <w:rPr>
          <w:rFonts w:hint="eastAsia" w:ascii="宋体" w:hAnsi="宋体" w:eastAsia="宋体"/>
          <w:sz w:val="24"/>
          <w:highlight w:val="none"/>
        </w:rPr>
        <w:t>的商务和技术</w:t>
      </w:r>
      <w:r>
        <w:rPr>
          <w:rFonts w:ascii="宋体" w:hAnsi="宋体" w:eastAsia="宋体"/>
          <w:sz w:val="24"/>
          <w:highlight w:val="none"/>
        </w:rPr>
        <w:t>得分=A+B+D。</w:t>
      </w:r>
      <w:r>
        <w:rPr>
          <w:rFonts w:hint="eastAsia" w:ascii="宋体" w:hAnsi="宋体" w:eastAsia="宋体"/>
          <w:sz w:val="24"/>
          <w:highlight w:val="none"/>
        </w:rPr>
        <w:t xml:space="preserve"> </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3 第二个信封开标</w:t>
      </w:r>
    </w:p>
    <w:p>
      <w:pPr>
        <w:spacing w:line="360" w:lineRule="auto"/>
        <w:ind w:firstLine="480" w:firstLineChars="200"/>
        <w:rPr>
          <w:rFonts w:ascii="宋体" w:hAnsi="宋体" w:eastAsia="宋体"/>
          <w:sz w:val="24"/>
          <w:highlight w:val="none"/>
        </w:rPr>
      </w:pPr>
      <w:r>
        <w:rPr>
          <w:rFonts w:ascii="宋体" w:hAnsi="宋体" w:eastAsia="宋体"/>
          <w:sz w:val="24"/>
          <w:highlight w:val="none"/>
        </w:rPr>
        <w:t>第一</w:t>
      </w:r>
      <w:r>
        <w:rPr>
          <w:rFonts w:hint="eastAsia" w:ascii="宋体" w:hAnsi="宋体" w:eastAsia="宋体"/>
          <w:sz w:val="24"/>
          <w:highlight w:val="none"/>
        </w:rPr>
        <w:t>个</w:t>
      </w:r>
      <w:r>
        <w:rPr>
          <w:rFonts w:ascii="宋体" w:hAnsi="宋体" w:eastAsia="宋体"/>
          <w:sz w:val="24"/>
          <w:highlight w:val="none"/>
        </w:rPr>
        <w:t>信封（商务及技术文件）评审结束后，招标人将按照</w:t>
      </w:r>
      <w:r>
        <w:rPr>
          <w:rFonts w:hint="eastAsia" w:ascii="宋体" w:hAnsi="宋体" w:eastAsia="宋体"/>
          <w:sz w:val="24"/>
          <w:highlight w:val="none"/>
        </w:rPr>
        <w:t>第二章</w:t>
      </w:r>
      <w:r>
        <w:rPr>
          <w:rFonts w:ascii="宋体" w:hAnsi="宋体" w:eastAsia="宋体"/>
          <w:sz w:val="24"/>
          <w:highlight w:val="none"/>
        </w:rPr>
        <w:t>“</w:t>
      </w:r>
      <w:r>
        <w:rPr>
          <w:rFonts w:hint="eastAsia" w:ascii="宋体" w:hAnsi="宋体" w:eastAsia="宋体"/>
          <w:sz w:val="24"/>
          <w:highlight w:val="none"/>
        </w:rPr>
        <w:t>投标</w:t>
      </w:r>
      <w:r>
        <w:rPr>
          <w:rFonts w:ascii="宋体" w:hAnsi="宋体" w:eastAsia="宋体"/>
          <w:sz w:val="24"/>
          <w:highlight w:val="none"/>
        </w:rPr>
        <w:t>人须知”</w:t>
      </w:r>
      <w:r>
        <w:rPr>
          <w:rFonts w:hint="eastAsia" w:ascii="宋体" w:hAnsi="宋体" w:eastAsia="宋体"/>
          <w:sz w:val="24"/>
          <w:highlight w:val="none"/>
        </w:rPr>
        <w:t>第5.1款</w:t>
      </w:r>
      <w:r>
        <w:rPr>
          <w:rFonts w:ascii="宋体" w:hAnsi="宋体" w:eastAsia="宋体"/>
          <w:sz w:val="24"/>
          <w:highlight w:val="none"/>
        </w:rPr>
        <w:t>规定的时间和地点</w:t>
      </w:r>
      <w:r>
        <w:rPr>
          <w:rFonts w:hint="eastAsia" w:ascii="宋体" w:hAnsi="宋体" w:eastAsia="宋体"/>
          <w:sz w:val="24"/>
          <w:highlight w:val="none"/>
        </w:rPr>
        <w:t>对</w:t>
      </w:r>
      <w:r>
        <w:rPr>
          <w:rFonts w:ascii="宋体" w:hAnsi="宋体" w:eastAsia="宋体"/>
          <w:sz w:val="24"/>
          <w:highlight w:val="none"/>
        </w:rPr>
        <w:t>通过投标文件第一</w:t>
      </w:r>
      <w:r>
        <w:rPr>
          <w:rFonts w:hint="eastAsia" w:ascii="宋体" w:hAnsi="宋体" w:eastAsia="宋体"/>
          <w:sz w:val="24"/>
          <w:highlight w:val="none"/>
        </w:rPr>
        <w:t>个</w:t>
      </w:r>
      <w:r>
        <w:rPr>
          <w:rFonts w:ascii="宋体" w:hAnsi="宋体" w:eastAsia="宋体"/>
          <w:sz w:val="24"/>
          <w:highlight w:val="none"/>
        </w:rPr>
        <w:t>信封（商务及技术文件）评审的投标</w:t>
      </w:r>
      <w:r>
        <w:rPr>
          <w:rFonts w:hint="eastAsia" w:ascii="宋体" w:hAnsi="宋体" w:eastAsia="宋体"/>
          <w:sz w:val="24"/>
          <w:highlight w:val="none"/>
        </w:rPr>
        <w:t>文件</w:t>
      </w:r>
      <w:r>
        <w:rPr>
          <w:rFonts w:ascii="宋体" w:hAnsi="宋体" w:eastAsia="宋体"/>
          <w:sz w:val="24"/>
          <w:highlight w:val="none"/>
        </w:rPr>
        <w:t>第二</w:t>
      </w:r>
      <w:r>
        <w:rPr>
          <w:rFonts w:hint="eastAsia" w:ascii="宋体" w:hAnsi="宋体" w:eastAsia="宋体"/>
          <w:sz w:val="24"/>
          <w:highlight w:val="none"/>
        </w:rPr>
        <w:t>个</w:t>
      </w:r>
      <w:r>
        <w:rPr>
          <w:rFonts w:ascii="宋体" w:hAnsi="宋体" w:eastAsia="宋体"/>
          <w:sz w:val="24"/>
          <w:highlight w:val="none"/>
        </w:rPr>
        <w:t>信封（报价</w:t>
      </w:r>
      <w:r>
        <w:rPr>
          <w:rFonts w:hint="eastAsia" w:ascii="宋体" w:hAnsi="宋体" w:eastAsia="宋体"/>
          <w:sz w:val="24"/>
          <w:highlight w:val="none"/>
        </w:rPr>
        <w:t>文件</w:t>
      </w:r>
      <w:r>
        <w:rPr>
          <w:rFonts w:ascii="宋体" w:hAnsi="宋体" w:eastAsia="宋体"/>
          <w:sz w:val="24"/>
          <w:highlight w:val="none"/>
        </w:rPr>
        <w:t>）进行开标。</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4 第二个信封</w:t>
      </w:r>
      <w:r>
        <w:rPr>
          <w:rFonts w:ascii="宋体" w:hAnsi="宋体" w:eastAsia="宋体"/>
          <w:sz w:val="24"/>
          <w:highlight w:val="none"/>
        </w:rPr>
        <w:t>初步评审</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4</w:t>
      </w:r>
      <w:r>
        <w:rPr>
          <w:rFonts w:ascii="宋体" w:hAnsi="宋体" w:eastAsia="宋体"/>
          <w:sz w:val="24"/>
          <w:highlight w:val="none"/>
        </w:rPr>
        <w:t>.1 评标委员会依据本章第2.1.1项、第2.1.3项规定的评审标准对投标文件</w:t>
      </w:r>
      <w:r>
        <w:rPr>
          <w:rFonts w:hint="eastAsia" w:ascii="宋体" w:hAnsi="宋体" w:eastAsia="宋体"/>
          <w:sz w:val="24"/>
          <w:highlight w:val="none"/>
        </w:rPr>
        <w:t>第二个信封（报价文件）</w:t>
      </w:r>
      <w:r>
        <w:rPr>
          <w:rFonts w:ascii="宋体" w:hAnsi="宋体" w:eastAsia="宋体"/>
          <w:sz w:val="24"/>
          <w:highlight w:val="none"/>
        </w:rPr>
        <w:t>进行初步评审。有一项不符合评审标准的，</w:t>
      </w:r>
      <w:r>
        <w:rPr>
          <w:rFonts w:hint="eastAsia" w:ascii="宋体" w:hAnsi="宋体" w:eastAsia="宋体"/>
          <w:sz w:val="24"/>
          <w:highlight w:val="none"/>
        </w:rPr>
        <w:t>评标委员会应否决其投标</w:t>
      </w:r>
      <w:r>
        <w:rPr>
          <w:rFonts w:ascii="宋体" w:hAnsi="宋体" w:eastAsia="宋体"/>
          <w:sz w:val="24"/>
          <w:highlight w:val="none"/>
        </w:rPr>
        <w:t>。</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4</w:t>
      </w: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 xml:space="preserve"> 投标报价有算术错误的，评标委员会按以下原则对投标报价进行修正，修正的价格经投标人书面确认后具有约束力。投标人不接受修正价格的，</w:t>
      </w:r>
      <w:r>
        <w:rPr>
          <w:rFonts w:hint="eastAsia" w:ascii="宋体" w:hAnsi="宋体" w:eastAsia="宋体"/>
          <w:sz w:val="24"/>
          <w:highlight w:val="none"/>
        </w:rPr>
        <w:t>评标委员会应否决其投标。</w:t>
      </w:r>
    </w:p>
    <w:p>
      <w:pPr>
        <w:spacing w:line="360" w:lineRule="auto"/>
        <w:ind w:firstLine="480" w:firstLineChars="200"/>
        <w:rPr>
          <w:rFonts w:ascii="宋体" w:hAnsi="宋体" w:eastAsia="宋体"/>
          <w:sz w:val="24"/>
          <w:highlight w:val="none"/>
        </w:rPr>
      </w:pPr>
      <w:r>
        <w:rPr>
          <w:rFonts w:ascii="宋体" w:hAnsi="宋体" w:eastAsia="宋体"/>
          <w:sz w:val="24"/>
          <w:highlight w:val="none"/>
        </w:rPr>
        <w:t>（1）投标文件中的大写金额与小写金额不一致的，以大写金额为准；</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（2）总价金额与依据单价计算出的结果不一致的，以单价金额为准修正总价，但单价金额小数点有明显错误的除外</w:t>
      </w:r>
      <w:r>
        <w:rPr>
          <w:rFonts w:hint="eastAsia" w:ascii="宋体" w:hAnsi="宋体" w:eastAsia="宋体"/>
          <w:sz w:val="24"/>
          <w:highlight w:val="none"/>
        </w:rPr>
        <w:t>；</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（3）当单价与数量相乘不等于合价时，以单价计算为准，如果单价有明显的小数点位置差错，应以标出的合价为准，同时对单价予以修正；</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（4）当各子目的合价累计不等于总价时，应以各子目合价累计数为准，修正总价。</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3.4.</w:t>
      </w:r>
      <w:r>
        <w:rPr>
          <w:rFonts w:ascii="宋体" w:hAnsi="宋体" w:eastAsia="宋体"/>
          <w:sz w:val="24"/>
          <w:highlight w:val="none"/>
        </w:rPr>
        <w:t>3</w:t>
      </w:r>
      <w:r>
        <w:rPr>
          <w:rFonts w:hint="eastAsia" w:ascii="宋体" w:hAnsi="宋体" w:eastAsia="宋体"/>
          <w:sz w:val="24"/>
          <w:highlight w:val="none"/>
        </w:rPr>
        <w:t xml:space="preserve"> 修正后的最终投标报价若超过最高投标限价（如有），评标委员会应否决其投标。</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3.4.</w:t>
      </w:r>
      <w:r>
        <w:rPr>
          <w:rFonts w:ascii="宋体" w:hAnsi="宋体" w:eastAsia="宋体"/>
          <w:sz w:val="24"/>
          <w:highlight w:val="none"/>
        </w:rPr>
        <w:t>4</w:t>
      </w:r>
      <w:r>
        <w:rPr>
          <w:rFonts w:hint="eastAsia" w:ascii="宋体" w:hAnsi="宋体" w:eastAsia="宋体"/>
          <w:sz w:val="24"/>
          <w:highlight w:val="none"/>
        </w:rPr>
        <w:t xml:space="preserve"> 修正后的最终投标报价仅作为签订合同的一个依据，不参与评标价得分的计算。</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5 第二个信封</w:t>
      </w:r>
      <w:r>
        <w:rPr>
          <w:rFonts w:ascii="宋体" w:hAnsi="宋体" w:eastAsia="宋体"/>
          <w:sz w:val="24"/>
          <w:highlight w:val="none"/>
        </w:rPr>
        <w:t>详细评审</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5</w:t>
      </w:r>
      <w:r>
        <w:rPr>
          <w:rFonts w:ascii="宋体" w:hAnsi="宋体" w:eastAsia="宋体"/>
          <w:sz w:val="24"/>
          <w:highlight w:val="none"/>
        </w:rPr>
        <w:t>.1 评标委员会按本章第2.2.4项（3）目规定的评审因素和分值对</w:t>
      </w:r>
      <w:r>
        <w:rPr>
          <w:rFonts w:hint="eastAsia" w:ascii="宋体" w:hAnsi="宋体" w:eastAsia="宋体"/>
          <w:sz w:val="24"/>
          <w:highlight w:val="none"/>
        </w:rPr>
        <w:t>评标价</w:t>
      </w:r>
      <w:r>
        <w:rPr>
          <w:rFonts w:ascii="宋体" w:hAnsi="宋体" w:eastAsia="宋体"/>
          <w:sz w:val="24"/>
          <w:highlight w:val="none"/>
        </w:rPr>
        <w:t>计算出得分C</w:t>
      </w:r>
      <w:r>
        <w:rPr>
          <w:rFonts w:hint="eastAsia" w:ascii="宋体" w:hAnsi="宋体" w:eastAsia="宋体"/>
          <w:sz w:val="24"/>
          <w:highlight w:val="none"/>
        </w:rPr>
        <w:t>。评标价得</w:t>
      </w:r>
      <w:r>
        <w:rPr>
          <w:rFonts w:ascii="宋体" w:hAnsi="宋体" w:eastAsia="宋体"/>
          <w:sz w:val="24"/>
          <w:highlight w:val="none"/>
        </w:rPr>
        <w:t>分分值计算保留小数点后两位，小数点后第三位“四舍五入”。</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 xml:space="preserve">3.5.2 </w:t>
      </w:r>
      <w:r>
        <w:rPr>
          <w:rFonts w:ascii="宋体" w:hAnsi="宋体" w:eastAsia="宋体"/>
          <w:sz w:val="24"/>
          <w:highlight w:val="none"/>
        </w:rPr>
        <w:t>投标人综合得分=</w:t>
      </w:r>
      <w:r>
        <w:rPr>
          <w:rFonts w:hint="eastAsia" w:ascii="宋体" w:hAnsi="宋体" w:eastAsia="宋体"/>
          <w:sz w:val="24"/>
          <w:highlight w:val="none"/>
        </w:rPr>
        <w:t>投标人的商务和技术得分</w:t>
      </w:r>
      <w:r>
        <w:rPr>
          <w:rFonts w:ascii="宋体" w:hAnsi="宋体" w:eastAsia="宋体"/>
          <w:sz w:val="24"/>
          <w:highlight w:val="none"/>
        </w:rPr>
        <w:t>+C。</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5</w:t>
      </w: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 xml:space="preserve">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6 投标文件相关信息的核查</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6</w:t>
      </w:r>
      <w:r>
        <w:rPr>
          <w:rFonts w:ascii="宋体" w:hAnsi="宋体" w:eastAsia="宋体"/>
          <w:sz w:val="24"/>
          <w:highlight w:val="none"/>
        </w:rPr>
        <w:t>.1</w:t>
      </w:r>
      <w:r>
        <w:rPr>
          <w:rFonts w:hint="eastAsia" w:ascii="宋体" w:hAnsi="宋体" w:eastAsia="宋体"/>
          <w:sz w:val="24"/>
          <w:highlight w:val="none"/>
        </w:rPr>
        <w:t xml:space="preserve"> </w:t>
      </w:r>
      <w:r>
        <w:rPr>
          <w:rStyle w:val="14"/>
          <w:rFonts w:hint="eastAsia" w:ascii="宋体" w:hAnsi="宋体" w:eastAsia="宋体" w:cs="宋体"/>
          <w:sz w:val="24"/>
          <w:highlight w:val="none"/>
        </w:rPr>
        <w:footnoteReference w:id="1"/>
      </w:r>
      <w:r>
        <w:rPr>
          <w:rFonts w:hint="eastAsia" w:ascii="宋体" w:hAnsi="宋体" w:eastAsia="宋体"/>
          <w:sz w:val="24"/>
          <w:highlight w:val="none"/>
        </w:rPr>
        <w:t>在评标过程中，评标</w:t>
      </w:r>
      <w:r>
        <w:rPr>
          <w:rFonts w:ascii="宋体" w:hAnsi="宋体" w:eastAsia="宋体"/>
          <w:sz w:val="24"/>
          <w:highlight w:val="none"/>
        </w:rPr>
        <w:t>委员会应查询</w:t>
      </w:r>
      <w:r>
        <w:rPr>
          <w:rFonts w:hint="eastAsia" w:ascii="宋体" w:hAnsi="宋体" w:eastAsia="宋体"/>
          <w:sz w:val="24"/>
          <w:highlight w:val="none"/>
        </w:rPr>
        <w:t>交通运输主管部门“水运</w:t>
      </w:r>
      <w:r>
        <w:rPr>
          <w:rFonts w:ascii="宋体" w:hAnsi="宋体" w:eastAsia="宋体"/>
          <w:sz w:val="24"/>
          <w:highlight w:val="none"/>
        </w:rPr>
        <w:t>建设市场信用信息管理系统</w:t>
      </w:r>
      <w:r>
        <w:rPr>
          <w:rFonts w:hint="eastAsia" w:ascii="宋体" w:hAnsi="宋体" w:eastAsia="宋体"/>
          <w:sz w:val="24"/>
          <w:highlight w:val="none"/>
        </w:rPr>
        <w:t>”</w:t>
      </w:r>
      <w:r>
        <w:rPr>
          <w:rFonts w:ascii="宋体" w:hAnsi="宋体" w:eastAsia="宋体"/>
          <w:sz w:val="24"/>
          <w:highlight w:val="none"/>
        </w:rPr>
        <w:t>，对</w:t>
      </w:r>
      <w:r>
        <w:rPr>
          <w:rFonts w:hint="eastAsia" w:ascii="宋体" w:hAnsi="宋体" w:eastAsia="宋体"/>
          <w:sz w:val="24"/>
          <w:highlight w:val="none"/>
        </w:rPr>
        <w:t>投标</w:t>
      </w:r>
      <w:r>
        <w:rPr>
          <w:rFonts w:ascii="宋体" w:hAnsi="宋体" w:eastAsia="宋体"/>
          <w:sz w:val="24"/>
          <w:highlight w:val="none"/>
        </w:rPr>
        <w:t>人的资质、业绩、主要人员资历和目前在岗情况、信用等级等信息进行核实。若</w:t>
      </w:r>
      <w:r>
        <w:rPr>
          <w:rFonts w:hint="eastAsia" w:ascii="宋体" w:hAnsi="宋体" w:eastAsia="宋体"/>
          <w:sz w:val="24"/>
          <w:highlight w:val="none"/>
        </w:rPr>
        <w:t>投标</w:t>
      </w:r>
      <w:r>
        <w:rPr>
          <w:rFonts w:ascii="宋体" w:hAnsi="宋体" w:eastAsia="宋体"/>
          <w:sz w:val="24"/>
          <w:highlight w:val="none"/>
        </w:rPr>
        <w:t>文件载明的信息与</w:t>
      </w:r>
      <w:r>
        <w:rPr>
          <w:rFonts w:hint="eastAsia" w:ascii="宋体" w:hAnsi="宋体" w:eastAsia="宋体"/>
          <w:sz w:val="24"/>
          <w:highlight w:val="none"/>
        </w:rPr>
        <w:t>交通运输主管部门“水运</w:t>
      </w:r>
      <w:r>
        <w:rPr>
          <w:rFonts w:ascii="宋体" w:hAnsi="宋体" w:eastAsia="宋体"/>
          <w:sz w:val="24"/>
          <w:highlight w:val="none"/>
        </w:rPr>
        <w:t>建设市场信用信息管理系统</w:t>
      </w:r>
      <w:r>
        <w:rPr>
          <w:rFonts w:hint="eastAsia" w:ascii="宋体" w:hAnsi="宋体" w:eastAsia="宋体"/>
          <w:sz w:val="24"/>
          <w:highlight w:val="none"/>
        </w:rPr>
        <w:t>”</w:t>
      </w:r>
      <w:r>
        <w:rPr>
          <w:rFonts w:ascii="宋体" w:hAnsi="宋体" w:eastAsia="宋体"/>
          <w:sz w:val="24"/>
          <w:highlight w:val="none"/>
        </w:rPr>
        <w:t>发布的信息不符，使得</w:t>
      </w:r>
      <w:r>
        <w:rPr>
          <w:rFonts w:hint="eastAsia" w:ascii="宋体" w:hAnsi="宋体" w:eastAsia="宋体"/>
          <w:sz w:val="24"/>
          <w:highlight w:val="none"/>
        </w:rPr>
        <w:t>投标</w:t>
      </w:r>
      <w:r>
        <w:rPr>
          <w:rFonts w:ascii="宋体" w:hAnsi="宋体" w:eastAsia="宋体"/>
          <w:sz w:val="24"/>
          <w:highlight w:val="none"/>
        </w:rPr>
        <w:t>人的资格条件不符合</w:t>
      </w:r>
      <w:r>
        <w:rPr>
          <w:rFonts w:hint="eastAsia" w:ascii="宋体" w:hAnsi="宋体" w:eastAsia="宋体"/>
          <w:sz w:val="24"/>
          <w:highlight w:val="none"/>
        </w:rPr>
        <w:t>招标文件</w:t>
      </w:r>
      <w:r>
        <w:rPr>
          <w:rFonts w:ascii="宋体" w:hAnsi="宋体" w:eastAsia="宋体"/>
          <w:sz w:val="24"/>
          <w:highlight w:val="none"/>
        </w:rPr>
        <w:t>规定的，评标委员会应否决其投标。</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 xml:space="preserve">3.6.2 </w:t>
      </w:r>
      <w:r>
        <w:rPr>
          <w:rFonts w:ascii="宋体" w:hAnsi="宋体" w:eastAsia="宋体"/>
          <w:sz w:val="24"/>
          <w:highlight w:val="none"/>
        </w:rPr>
        <w:t>评标委员会应对在评标过程中发现的投标人与投标人之间、投标人与招标人之间存在的串通投标的情形进行评审和认定。</w:t>
      </w:r>
      <w:r>
        <w:rPr>
          <w:rFonts w:hint="eastAsia" w:ascii="宋体" w:hAnsi="宋体" w:eastAsia="宋体"/>
          <w:sz w:val="24"/>
          <w:highlight w:val="none"/>
        </w:rPr>
        <w:t>投标人存在</w:t>
      </w:r>
      <w:r>
        <w:rPr>
          <w:rFonts w:ascii="宋体" w:hAnsi="宋体" w:eastAsia="宋体"/>
          <w:sz w:val="24"/>
          <w:highlight w:val="none"/>
        </w:rPr>
        <w:t>串通投标</w:t>
      </w:r>
      <w:r>
        <w:rPr>
          <w:rFonts w:hint="eastAsia" w:ascii="宋体" w:hAnsi="宋体" w:eastAsia="宋体"/>
          <w:sz w:val="24"/>
          <w:highlight w:val="none"/>
        </w:rPr>
        <w:t>、</w:t>
      </w:r>
      <w:r>
        <w:rPr>
          <w:rFonts w:ascii="宋体" w:hAnsi="宋体" w:eastAsia="宋体"/>
          <w:sz w:val="24"/>
          <w:highlight w:val="none"/>
        </w:rPr>
        <w:t>弄虚作假</w:t>
      </w:r>
      <w:r>
        <w:rPr>
          <w:rFonts w:hint="eastAsia" w:ascii="宋体" w:hAnsi="宋体" w:eastAsia="宋体"/>
          <w:sz w:val="24"/>
          <w:highlight w:val="none"/>
        </w:rPr>
        <w:t>、行贿等</w:t>
      </w:r>
      <w:r>
        <w:rPr>
          <w:rFonts w:ascii="宋体" w:hAnsi="宋体" w:eastAsia="宋体"/>
          <w:sz w:val="24"/>
          <w:highlight w:val="none"/>
        </w:rPr>
        <w:t>违法行为的</w:t>
      </w:r>
      <w:r>
        <w:rPr>
          <w:rFonts w:hint="eastAsia" w:ascii="宋体" w:hAnsi="宋体" w:eastAsia="宋体"/>
          <w:sz w:val="24"/>
          <w:highlight w:val="none"/>
        </w:rPr>
        <w:t>，评标委员会应否决其投标。</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有下列情形之一的，属于投标人相互串通投标：</w:t>
      </w:r>
    </w:p>
    <w:p>
      <w:pPr>
        <w:spacing w:line="360" w:lineRule="auto"/>
        <w:ind w:firstLine="480" w:firstLineChars="200"/>
        <w:rPr>
          <w:rFonts w:ascii="宋体" w:hAnsi="宋体" w:eastAsia="宋体"/>
          <w:sz w:val="24"/>
          <w:highlight w:val="none"/>
        </w:rPr>
      </w:pPr>
      <w:r>
        <w:rPr>
          <w:rFonts w:ascii="宋体" w:hAnsi="宋体" w:eastAsia="宋体"/>
          <w:sz w:val="24"/>
          <w:highlight w:val="none"/>
        </w:rPr>
        <w:t>a.投标人之间协商投标报价等投标文件的实质性内容；</w:t>
      </w:r>
    </w:p>
    <w:p>
      <w:pPr>
        <w:spacing w:line="360" w:lineRule="auto"/>
        <w:ind w:firstLine="480" w:firstLineChars="200"/>
        <w:rPr>
          <w:rFonts w:ascii="宋体" w:hAnsi="宋体" w:eastAsia="宋体"/>
          <w:sz w:val="24"/>
          <w:highlight w:val="none"/>
        </w:rPr>
      </w:pPr>
      <w:r>
        <w:rPr>
          <w:rFonts w:ascii="宋体" w:hAnsi="宋体" w:eastAsia="宋体"/>
          <w:sz w:val="24"/>
          <w:highlight w:val="none"/>
        </w:rPr>
        <w:t>b.投标人之间约定中标人；</w:t>
      </w:r>
    </w:p>
    <w:p>
      <w:pPr>
        <w:spacing w:line="360" w:lineRule="auto"/>
        <w:ind w:firstLine="480" w:firstLineChars="200"/>
        <w:rPr>
          <w:rFonts w:ascii="宋体" w:hAnsi="宋体" w:eastAsia="宋体"/>
          <w:sz w:val="24"/>
          <w:highlight w:val="none"/>
        </w:rPr>
      </w:pPr>
      <w:r>
        <w:rPr>
          <w:rFonts w:ascii="宋体" w:hAnsi="宋体" w:eastAsia="宋体"/>
          <w:sz w:val="24"/>
          <w:highlight w:val="none"/>
        </w:rPr>
        <w:t>c.投标人之间约定部分投标人放弃投标或中标；</w:t>
      </w:r>
    </w:p>
    <w:p>
      <w:pPr>
        <w:spacing w:line="360" w:lineRule="auto"/>
        <w:ind w:firstLine="480" w:firstLineChars="200"/>
        <w:rPr>
          <w:rFonts w:ascii="宋体" w:hAnsi="宋体" w:eastAsia="宋体"/>
          <w:sz w:val="24"/>
          <w:highlight w:val="none"/>
        </w:rPr>
      </w:pPr>
      <w:r>
        <w:rPr>
          <w:rFonts w:ascii="宋体" w:hAnsi="宋体" w:eastAsia="宋体"/>
          <w:sz w:val="24"/>
          <w:highlight w:val="none"/>
        </w:rPr>
        <w:t>d.属于同一集团、协会、商会等组织成员的投标人按照该组织要求协同投标；</w:t>
      </w:r>
    </w:p>
    <w:p>
      <w:pPr>
        <w:spacing w:line="360" w:lineRule="auto"/>
        <w:ind w:firstLine="480" w:firstLineChars="200"/>
        <w:rPr>
          <w:rFonts w:ascii="宋体" w:hAnsi="宋体" w:eastAsia="宋体"/>
          <w:sz w:val="24"/>
          <w:highlight w:val="none"/>
        </w:rPr>
      </w:pPr>
      <w:r>
        <w:rPr>
          <w:rFonts w:ascii="宋体" w:hAnsi="宋体" w:eastAsia="宋体"/>
          <w:sz w:val="24"/>
          <w:highlight w:val="none"/>
        </w:rPr>
        <w:t>e.投标人之间为谋取中标或排斥特定投标人而采取的其他联合行动。</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有下列情形之一的，视为投标人相互串通投标：</w:t>
      </w:r>
    </w:p>
    <w:p>
      <w:pPr>
        <w:spacing w:line="360" w:lineRule="auto"/>
        <w:ind w:firstLine="480" w:firstLineChars="200"/>
        <w:rPr>
          <w:rFonts w:ascii="宋体" w:hAnsi="宋体" w:eastAsia="宋体"/>
          <w:sz w:val="24"/>
          <w:highlight w:val="none"/>
        </w:rPr>
      </w:pPr>
      <w:r>
        <w:rPr>
          <w:rFonts w:ascii="宋体" w:hAnsi="宋体" w:eastAsia="宋体"/>
          <w:sz w:val="24"/>
          <w:highlight w:val="none"/>
        </w:rPr>
        <w:t>a.不同投标人的投标文件由同一单位或个人编制；</w:t>
      </w:r>
    </w:p>
    <w:p>
      <w:pPr>
        <w:spacing w:line="360" w:lineRule="auto"/>
        <w:ind w:firstLine="480" w:firstLineChars="200"/>
        <w:rPr>
          <w:rFonts w:ascii="宋体" w:hAnsi="宋体" w:eastAsia="宋体"/>
          <w:sz w:val="24"/>
          <w:highlight w:val="none"/>
        </w:rPr>
      </w:pPr>
      <w:r>
        <w:rPr>
          <w:rFonts w:ascii="宋体" w:hAnsi="宋体" w:eastAsia="宋体"/>
          <w:sz w:val="24"/>
          <w:highlight w:val="none"/>
        </w:rPr>
        <w:t>b.不同投标人委托同一单位或个人办理投标事宜；</w:t>
      </w:r>
    </w:p>
    <w:p>
      <w:pPr>
        <w:spacing w:line="360" w:lineRule="auto"/>
        <w:ind w:firstLine="480" w:firstLineChars="200"/>
        <w:rPr>
          <w:rFonts w:ascii="宋体" w:hAnsi="宋体" w:eastAsia="宋体"/>
          <w:sz w:val="24"/>
          <w:highlight w:val="none"/>
        </w:rPr>
      </w:pPr>
      <w:r>
        <w:rPr>
          <w:rFonts w:ascii="宋体" w:hAnsi="宋体" w:eastAsia="宋体"/>
          <w:sz w:val="24"/>
          <w:highlight w:val="none"/>
        </w:rPr>
        <w:t>c.不同投标人的投标文件载明的项目管理成员为同一人；</w:t>
      </w:r>
    </w:p>
    <w:p>
      <w:pPr>
        <w:spacing w:line="360" w:lineRule="auto"/>
        <w:ind w:firstLine="480" w:firstLineChars="200"/>
        <w:rPr>
          <w:rFonts w:ascii="宋体" w:hAnsi="宋体" w:eastAsia="宋体"/>
          <w:sz w:val="24"/>
          <w:highlight w:val="none"/>
        </w:rPr>
      </w:pPr>
      <w:r>
        <w:rPr>
          <w:rFonts w:ascii="宋体" w:hAnsi="宋体" w:eastAsia="宋体"/>
          <w:sz w:val="24"/>
          <w:highlight w:val="none"/>
        </w:rPr>
        <w:t>d.不同投标人的投标文件异常一致或投标报价呈规律性差异；</w:t>
      </w:r>
    </w:p>
    <w:p>
      <w:pPr>
        <w:spacing w:line="360" w:lineRule="auto"/>
        <w:ind w:firstLine="480" w:firstLineChars="200"/>
        <w:rPr>
          <w:rFonts w:ascii="宋体" w:hAnsi="宋体" w:eastAsia="宋体"/>
          <w:sz w:val="24"/>
          <w:highlight w:val="none"/>
        </w:rPr>
      </w:pPr>
      <w:r>
        <w:rPr>
          <w:rFonts w:ascii="宋体" w:hAnsi="宋体" w:eastAsia="宋体"/>
          <w:sz w:val="24"/>
          <w:highlight w:val="none"/>
        </w:rPr>
        <w:t>e.不同投标人的投标文件相互混装；</w:t>
      </w:r>
    </w:p>
    <w:p>
      <w:pPr>
        <w:spacing w:line="360" w:lineRule="auto"/>
        <w:ind w:firstLine="480" w:firstLineChars="200"/>
        <w:rPr>
          <w:rFonts w:ascii="宋体" w:hAnsi="宋体" w:eastAsia="宋体"/>
          <w:sz w:val="24"/>
          <w:highlight w:val="none"/>
        </w:rPr>
      </w:pPr>
      <w:r>
        <w:rPr>
          <w:rFonts w:ascii="宋体" w:hAnsi="宋体" w:eastAsia="宋体"/>
          <w:sz w:val="24"/>
          <w:highlight w:val="none"/>
        </w:rPr>
        <w:t>f.不同投标人的投标保证金从同一单位或个人的账户转出。</w:t>
      </w:r>
    </w:p>
    <w:p>
      <w:pPr>
        <w:spacing w:line="360" w:lineRule="auto"/>
        <w:ind w:firstLine="480" w:firstLineChars="200"/>
        <w:rPr>
          <w:rFonts w:hint="eastAsia" w:ascii="宋体" w:hAnsi="宋体" w:eastAsia="宋体"/>
          <w:sz w:val="24"/>
          <w:highlight w:val="none"/>
        </w:rPr>
      </w:pPr>
      <w:r>
        <w:rPr>
          <w:rFonts w:ascii="宋体" w:hAnsi="宋体" w:eastAsia="宋体"/>
          <w:sz w:val="24"/>
          <w:highlight w:val="none"/>
        </w:rPr>
        <w:t>g.</w:t>
      </w:r>
      <w:r>
        <w:rPr>
          <w:rFonts w:hint="eastAsia" w:ascii="宋体" w:hAnsi="宋体" w:eastAsia="宋体"/>
          <w:sz w:val="24"/>
          <w:highlight w:val="none"/>
        </w:rPr>
        <w:t>广东省实施《中华人民共和国招标投标法》办法第十六条规定的情形。</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有下列情形之一的，属于招标人与投标人串通投标：</w:t>
      </w:r>
    </w:p>
    <w:p>
      <w:pPr>
        <w:spacing w:line="360" w:lineRule="auto"/>
        <w:ind w:firstLine="480" w:firstLineChars="200"/>
        <w:rPr>
          <w:rFonts w:ascii="宋体" w:hAnsi="宋体" w:eastAsia="宋体"/>
          <w:sz w:val="24"/>
          <w:highlight w:val="none"/>
        </w:rPr>
      </w:pPr>
      <w:r>
        <w:rPr>
          <w:rFonts w:ascii="宋体" w:hAnsi="宋体" w:eastAsia="宋体"/>
          <w:sz w:val="24"/>
          <w:highlight w:val="none"/>
        </w:rPr>
        <w:t>a.招标人在开标前开启投标文件并将有关信息泄露给其他投标人;</w:t>
      </w:r>
    </w:p>
    <w:p>
      <w:pPr>
        <w:spacing w:line="360" w:lineRule="auto"/>
        <w:ind w:firstLine="480" w:firstLineChars="200"/>
        <w:rPr>
          <w:rFonts w:ascii="宋体" w:hAnsi="宋体" w:eastAsia="宋体"/>
          <w:sz w:val="24"/>
          <w:highlight w:val="none"/>
        </w:rPr>
      </w:pPr>
      <w:r>
        <w:rPr>
          <w:rFonts w:ascii="宋体" w:hAnsi="宋体" w:eastAsia="宋体"/>
          <w:sz w:val="24"/>
          <w:highlight w:val="none"/>
        </w:rPr>
        <w:t>b.招标人直接或间接向投标人泄露标底、评标委员会成员等信息；</w:t>
      </w:r>
    </w:p>
    <w:p>
      <w:pPr>
        <w:spacing w:line="360" w:lineRule="auto"/>
        <w:ind w:firstLine="480" w:firstLineChars="200"/>
        <w:rPr>
          <w:rFonts w:ascii="宋体" w:hAnsi="宋体" w:eastAsia="宋体"/>
          <w:sz w:val="24"/>
          <w:highlight w:val="none"/>
        </w:rPr>
      </w:pPr>
      <w:r>
        <w:rPr>
          <w:rFonts w:ascii="宋体" w:hAnsi="宋体" w:eastAsia="宋体"/>
          <w:sz w:val="24"/>
          <w:highlight w:val="none"/>
        </w:rPr>
        <w:t>c.招标人明示或暗示投标人压低或抬高投标报价；</w:t>
      </w:r>
    </w:p>
    <w:p>
      <w:pPr>
        <w:spacing w:line="360" w:lineRule="auto"/>
        <w:ind w:firstLine="480" w:firstLineChars="200"/>
        <w:rPr>
          <w:rFonts w:ascii="宋体" w:hAnsi="宋体" w:eastAsia="宋体"/>
          <w:sz w:val="24"/>
          <w:highlight w:val="none"/>
        </w:rPr>
      </w:pPr>
      <w:r>
        <w:rPr>
          <w:rFonts w:ascii="宋体" w:hAnsi="宋体" w:eastAsia="宋体"/>
          <w:sz w:val="24"/>
          <w:highlight w:val="none"/>
        </w:rPr>
        <w:t>d.招标人授意投标人撤换、修改投标文件；</w:t>
      </w:r>
    </w:p>
    <w:p>
      <w:pPr>
        <w:spacing w:line="360" w:lineRule="auto"/>
        <w:ind w:firstLine="480" w:firstLineChars="200"/>
        <w:rPr>
          <w:rFonts w:ascii="宋体" w:hAnsi="宋体" w:eastAsia="宋体"/>
          <w:sz w:val="24"/>
          <w:highlight w:val="none"/>
        </w:rPr>
      </w:pPr>
      <w:r>
        <w:rPr>
          <w:rFonts w:ascii="宋体" w:hAnsi="宋体" w:eastAsia="宋体"/>
          <w:sz w:val="24"/>
          <w:highlight w:val="none"/>
        </w:rPr>
        <w:t>e.招标人明示或暗示投标人为特定投标人中标提供方便；</w:t>
      </w:r>
    </w:p>
    <w:p>
      <w:pPr>
        <w:spacing w:line="360" w:lineRule="auto"/>
        <w:ind w:firstLine="480" w:firstLineChars="200"/>
        <w:rPr>
          <w:rFonts w:ascii="宋体" w:hAnsi="宋体" w:eastAsia="宋体"/>
          <w:sz w:val="24"/>
          <w:highlight w:val="none"/>
        </w:rPr>
      </w:pPr>
      <w:r>
        <w:rPr>
          <w:rFonts w:ascii="宋体" w:hAnsi="宋体" w:eastAsia="宋体"/>
          <w:sz w:val="24"/>
          <w:highlight w:val="none"/>
        </w:rPr>
        <w:t>f.招标人与投标人为谋求特定投标人中标而采取的其他串通行为。</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投标人有下列情形之一的，属于弄虚作假的行为：</w:t>
      </w:r>
    </w:p>
    <w:p>
      <w:pPr>
        <w:spacing w:line="360" w:lineRule="auto"/>
        <w:ind w:firstLine="480" w:firstLineChars="200"/>
        <w:rPr>
          <w:rFonts w:ascii="宋体" w:hAnsi="宋体" w:eastAsia="宋体"/>
          <w:sz w:val="24"/>
          <w:highlight w:val="none"/>
        </w:rPr>
      </w:pPr>
      <w:r>
        <w:rPr>
          <w:rFonts w:ascii="宋体" w:hAnsi="宋体" w:eastAsia="宋体"/>
          <w:sz w:val="24"/>
          <w:highlight w:val="none"/>
        </w:rPr>
        <w:t>a.使用通过受让或租借等方式获取的资格、资质证书投标</w:t>
      </w:r>
      <w:r>
        <w:rPr>
          <w:rFonts w:hint="eastAsia" w:ascii="宋体" w:hAnsi="宋体" w:eastAsia="宋体"/>
          <w:sz w:val="24"/>
          <w:highlight w:val="none"/>
        </w:rPr>
        <w:t>；</w:t>
      </w:r>
    </w:p>
    <w:p>
      <w:pPr>
        <w:spacing w:line="360" w:lineRule="auto"/>
        <w:ind w:firstLine="480" w:firstLineChars="200"/>
        <w:rPr>
          <w:rFonts w:ascii="宋体" w:hAnsi="宋体" w:eastAsia="宋体"/>
          <w:sz w:val="24"/>
          <w:highlight w:val="none"/>
        </w:rPr>
      </w:pPr>
      <w:r>
        <w:rPr>
          <w:rFonts w:ascii="宋体" w:hAnsi="宋体" w:eastAsia="宋体"/>
          <w:sz w:val="24"/>
          <w:highlight w:val="none"/>
        </w:rPr>
        <w:t>b.使用伪造、变造的许可证件；</w:t>
      </w:r>
    </w:p>
    <w:p>
      <w:pPr>
        <w:spacing w:line="360" w:lineRule="auto"/>
        <w:ind w:firstLine="480" w:firstLineChars="200"/>
        <w:rPr>
          <w:rFonts w:ascii="宋体" w:hAnsi="宋体" w:eastAsia="宋体"/>
          <w:sz w:val="24"/>
          <w:highlight w:val="none"/>
        </w:rPr>
      </w:pPr>
      <w:r>
        <w:rPr>
          <w:rFonts w:ascii="宋体" w:hAnsi="宋体" w:eastAsia="宋体"/>
          <w:sz w:val="24"/>
          <w:highlight w:val="none"/>
        </w:rPr>
        <w:t>c.提供虚假的业绩；</w:t>
      </w:r>
    </w:p>
    <w:p>
      <w:pPr>
        <w:spacing w:line="360" w:lineRule="auto"/>
        <w:ind w:firstLine="480" w:firstLineChars="200"/>
        <w:rPr>
          <w:rFonts w:ascii="宋体" w:hAnsi="宋体" w:eastAsia="宋体"/>
          <w:sz w:val="24"/>
          <w:highlight w:val="none"/>
        </w:rPr>
      </w:pPr>
      <w:r>
        <w:rPr>
          <w:rFonts w:ascii="宋体" w:hAnsi="宋体" w:eastAsia="宋体"/>
          <w:sz w:val="24"/>
          <w:highlight w:val="none"/>
        </w:rPr>
        <w:t>d.提供虚假的项目负责人或主要技术人员简历、劳动关系证明；</w:t>
      </w:r>
    </w:p>
    <w:p>
      <w:pPr>
        <w:spacing w:line="360" w:lineRule="auto"/>
        <w:ind w:firstLine="480" w:firstLineChars="200"/>
        <w:rPr>
          <w:rFonts w:ascii="宋体" w:hAnsi="宋体" w:eastAsia="宋体"/>
          <w:sz w:val="24"/>
          <w:highlight w:val="none"/>
        </w:rPr>
      </w:pPr>
      <w:r>
        <w:rPr>
          <w:rFonts w:ascii="宋体" w:hAnsi="宋体" w:eastAsia="宋体"/>
          <w:sz w:val="24"/>
          <w:highlight w:val="none"/>
        </w:rPr>
        <w:t>e.提供虚假的信用状况；</w:t>
      </w:r>
    </w:p>
    <w:p>
      <w:pPr>
        <w:spacing w:line="360" w:lineRule="auto"/>
        <w:ind w:firstLine="480" w:firstLineChars="200"/>
        <w:rPr>
          <w:rFonts w:ascii="宋体" w:hAnsi="宋体" w:eastAsia="宋体"/>
          <w:sz w:val="24"/>
          <w:highlight w:val="none"/>
        </w:rPr>
      </w:pPr>
      <w:r>
        <w:rPr>
          <w:rFonts w:ascii="宋体" w:hAnsi="宋体" w:eastAsia="宋体"/>
          <w:sz w:val="24"/>
          <w:highlight w:val="none"/>
        </w:rPr>
        <w:t>f.其他弄虚作假的行为。</w:t>
      </w:r>
    </w:p>
    <w:p>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7</w:t>
      </w:r>
      <w:r>
        <w:rPr>
          <w:rFonts w:ascii="宋体" w:hAnsi="宋体" w:eastAsia="宋体"/>
          <w:sz w:val="24"/>
          <w:highlight w:val="none"/>
        </w:rPr>
        <w:t xml:space="preserve"> 投标文件的澄清和</w:t>
      </w:r>
      <w:r>
        <w:rPr>
          <w:rFonts w:hint="eastAsia" w:ascii="宋体" w:hAnsi="宋体" w:eastAsia="宋体"/>
          <w:sz w:val="24"/>
          <w:highlight w:val="none"/>
        </w:rPr>
        <w:t>说明</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7</w:t>
      </w:r>
      <w:r>
        <w:rPr>
          <w:rFonts w:ascii="宋体" w:hAnsi="宋体" w:eastAsia="宋体"/>
          <w:sz w:val="24"/>
          <w:highlight w:val="none"/>
        </w:rPr>
        <w:t>.1</w:t>
      </w:r>
      <w:r>
        <w:rPr>
          <w:rFonts w:hint="eastAsia" w:ascii="宋体" w:hAnsi="宋体" w:eastAsia="宋体"/>
          <w:sz w:val="24"/>
          <w:highlight w:val="none"/>
        </w:rPr>
        <w:t xml:space="preserve"> </w:t>
      </w:r>
      <w:r>
        <w:rPr>
          <w:rFonts w:ascii="宋体" w:hAnsi="宋体" w:eastAsia="宋体"/>
          <w:sz w:val="24"/>
          <w:highlight w:val="none"/>
        </w:rPr>
        <w:t>在评标过程中，评标委员会可以书面形式要求投标人对投标文件中</w:t>
      </w:r>
      <w:r>
        <w:rPr>
          <w:rFonts w:hint="eastAsia" w:ascii="宋体" w:hAnsi="宋体" w:eastAsia="宋体"/>
          <w:sz w:val="24"/>
          <w:highlight w:val="none"/>
        </w:rPr>
        <w:t>含义</w:t>
      </w:r>
      <w:r>
        <w:rPr>
          <w:rFonts w:ascii="宋体" w:hAnsi="宋体" w:eastAsia="宋体"/>
          <w:sz w:val="24"/>
          <w:highlight w:val="none"/>
        </w:rPr>
        <w:t>不明确的内容</w:t>
      </w:r>
      <w:r>
        <w:rPr>
          <w:rFonts w:hint="eastAsia" w:ascii="宋体" w:hAnsi="宋体" w:eastAsia="宋体"/>
          <w:sz w:val="24"/>
          <w:highlight w:val="none"/>
        </w:rPr>
        <w:t>、明显文字或计算错误</w:t>
      </w:r>
      <w:r>
        <w:rPr>
          <w:rFonts w:ascii="宋体" w:hAnsi="宋体" w:eastAsia="宋体"/>
          <w:sz w:val="24"/>
          <w:highlight w:val="none"/>
        </w:rPr>
        <w:t>进行书面澄清或说明。评标委员会不接受投标人主动提出的澄清、说明。</w:t>
      </w:r>
      <w:r>
        <w:rPr>
          <w:rFonts w:hint="eastAsia" w:ascii="宋体" w:hAnsi="宋体" w:eastAsia="宋体"/>
          <w:sz w:val="24"/>
          <w:highlight w:val="none"/>
        </w:rPr>
        <w:t>投标人不按评标委员会要求澄清或说明的，评标委员会应否决其投标。</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7</w:t>
      </w:r>
      <w:r>
        <w:rPr>
          <w:rFonts w:ascii="宋体" w:hAnsi="宋体" w:eastAsia="宋体"/>
          <w:sz w:val="24"/>
          <w:highlight w:val="none"/>
        </w:rPr>
        <w:t>.2</w:t>
      </w:r>
      <w:r>
        <w:rPr>
          <w:rFonts w:hint="eastAsia" w:ascii="宋体" w:hAnsi="宋体" w:eastAsia="宋体"/>
          <w:sz w:val="24"/>
          <w:highlight w:val="none"/>
        </w:rPr>
        <w:t xml:space="preserve"> </w:t>
      </w:r>
      <w:r>
        <w:rPr>
          <w:rFonts w:ascii="宋体" w:hAnsi="宋体" w:eastAsia="宋体"/>
          <w:sz w:val="24"/>
          <w:highlight w:val="none"/>
        </w:rPr>
        <w:t>澄清</w:t>
      </w:r>
      <w:r>
        <w:rPr>
          <w:rFonts w:hint="eastAsia" w:ascii="宋体" w:hAnsi="宋体" w:eastAsia="宋体"/>
          <w:sz w:val="24"/>
          <w:highlight w:val="none"/>
        </w:rPr>
        <w:t>和</w:t>
      </w:r>
      <w:r>
        <w:rPr>
          <w:rFonts w:ascii="宋体" w:hAnsi="宋体" w:eastAsia="宋体"/>
          <w:sz w:val="24"/>
          <w:highlight w:val="none"/>
        </w:rPr>
        <w:t>说明不得</w:t>
      </w:r>
      <w:r>
        <w:rPr>
          <w:rFonts w:hint="eastAsia" w:ascii="宋体" w:hAnsi="宋体" w:eastAsia="宋体"/>
          <w:sz w:val="24"/>
          <w:highlight w:val="none"/>
        </w:rPr>
        <w:t>超出投标文件的范围或</w:t>
      </w:r>
      <w:r>
        <w:rPr>
          <w:rFonts w:ascii="宋体" w:hAnsi="宋体" w:eastAsia="宋体"/>
          <w:sz w:val="24"/>
          <w:highlight w:val="none"/>
        </w:rPr>
        <w:t>改变投标文件的实质性内容（算术性错误的修正除外）。投标人的书面澄清、说明属于投标文件的组成部分。</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7</w:t>
      </w:r>
      <w:r>
        <w:rPr>
          <w:rFonts w:ascii="宋体" w:hAnsi="宋体" w:eastAsia="宋体"/>
          <w:sz w:val="24"/>
          <w:highlight w:val="none"/>
        </w:rPr>
        <w:t>.3</w:t>
      </w:r>
      <w:r>
        <w:rPr>
          <w:rFonts w:hint="eastAsia" w:ascii="宋体" w:hAnsi="宋体" w:eastAsia="宋体"/>
          <w:sz w:val="24"/>
          <w:highlight w:val="none"/>
        </w:rPr>
        <w:t xml:space="preserve"> </w:t>
      </w:r>
      <w:r>
        <w:rPr>
          <w:rFonts w:ascii="宋体" w:hAnsi="宋体" w:eastAsia="宋体"/>
          <w:sz w:val="24"/>
          <w:highlight w:val="none"/>
        </w:rPr>
        <w:t>评标委员会</w:t>
      </w:r>
      <w:r>
        <w:rPr>
          <w:rFonts w:hint="eastAsia" w:ascii="宋体" w:hAnsi="宋体" w:eastAsia="宋体"/>
          <w:sz w:val="24"/>
          <w:highlight w:val="none"/>
        </w:rPr>
        <w:t>不得暗示或诱导投标人作出澄清、说明，</w:t>
      </w:r>
      <w:r>
        <w:rPr>
          <w:rFonts w:ascii="宋体" w:hAnsi="宋体" w:eastAsia="宋体"/>
          <w:sz w:val="24"/>
          <w:highlight w:val="none"/>
        </w:rPr>
        <w:t>对投标人提交的澄清、说明有疑问的，可以要求投标人进一步澄清</w:t>
      </w:r>
      <w:r>
        <w:rPr>
          <w:rFonts w:hint="eastAsia" w:ascii="宋体" w:hAnsi="宋体" w:eastAsia="宋体"/>
          <w:sz w:val="24"/>
          <w:highlight w:val="none"/>
        </w:rPr>
        <w:t>或</w:t>
      </w:r>
      <w:r>
        <w:rPr>
          <w:rFonts w:ascii="宋体" w:hAnsi="宋体" w:eastAsia="宋体"/>
          <w:sz w:val="24"/>
          <w:highlight w:val="none"/>
        </w:rPr>
        <w:t>说明，直至满足评标委员会的要求。</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3.7.4 凡超出招标文件规定的或给委托人带来未曾要求的利益的变化、偏差或其他因素在评标时不予考虑。</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3.8 不得否决投标的情形</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投标文件存在第二章“投标人须知”第1.12.3项所列情形的，均视为细微偏差，评标委员会不得否决投标人的投标，</w:t>
      </w:r>
      <w:r>
        <w:rPr>
          <w:rFonts w:ascii="宋体" w:hAnsi="宋体" w:eastAsia="宋体"/>
          <w:sz w:val="24"/>
          <w:highlight w:val="none"/>
        </w:rPr>
        <w:t>应按照</w:t>
      </w:r>
      <w:r>
        <w:rPr>
          <w:rFonts w:hint="eastAsia" w:ascii="宋体" w:hAnsi="宋体" w:eastAsia="宋体"/>
          <w:sz w:val="24"/>
          <w:highlight w:val="none"/>
        </w:rPr>
        <w:t>第二章“投标人须知”第1.12.4项规定的原则处理。</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9</w:t>
      </w:r>
      <w:r>
        <w:rPr>
          <w:rFonts w:ascii="宋体" w:hAnsi="宋体" w:eastAsia="宋体"/>
          <w:sz w:val="24"/>
          <w:highlight w:val="none"/>
        </w:rPr>
        <w:t xml:space="preserve"> 评标结果</w:t>
      </w:r>
    </w:p>
    <w:p>
      <w:pPr>
        <w:spacing w:line="360" w:lineRule="auto"/>
        <w:ind w:firstLine="480" w:firstLineChars="200"/>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9</w:t>
      </w:r>
      <w:r>
        <w:rPr>
          <w:rFonts w:ascii="宋体" w:hAnsi="宋体" w:eastAsia="宋体"/>
          <w:sz w:val="24"/>
          <w:highlight w:val="none"/>
        </w:rPr>
        <w:t>.1</w:t>
      </w:r>
      <w:r>
        <w:rPr>
          <w:rFonts w:hint="eastAsia" w:ascii="宋体" w:hAnsi="宋体" w:eastAsia="宋体"/>
          <w:sz w:val="24"/>
          <w:highlight w:val="none"/>
        </w:rPr>
        <w:t xml:space="preserve"> </w:t>
      </w:r>
      <w:r>
        <w:rPr>
          <w:rFonts w:ascii="宋体" w:hAnsi="宋体" w:eastAsia="宋体"/>
          <w:sz w:val="24"/>
          <w:highlight w:val="none"/>
        </w:rPr>
        <w:t>除第二章</w:t>
      </w:r>
      <w:r>
        <w:rPr>
          <w:rFonts w:hint="eastAsia" w:ascii="宋体" w:hAnsi="宋体" w:eastAsia="宋体"/>
          <w:sz w:val="24"/>
          <w:highlight w:val="none"/>
        </w:rPr>
        <w:t>“</w:t>
      </w:r>
      <w:r>
        <w:rPr>
          <w:rFonts w:ascii="宋体" w:hAnsi="宋体" w:eastAsia="宋体"/>
          <w:sz w:val="24"/>
          <w:highlight w:val="none"/>
        </w:rPr>
        <w:t>投标人须知</w:t>
      </w:r>
      <w:r>
        <w:rPr>
          <w:rFonts w:hint="eastAsia" w:ascii="宋体" w:hAnsi="宋体" w:eastAsia="宋体"/>
          <w:sz w:val="24"/>
          <w:highlight w:val="none"/>
        </w:rPr>
        <w:t>”</w:t>
      </w:r>
      <w:r>
        <w:rPr>
          <w:rFonts w:ascii="宋体" w:hAnsi="宋体" w:eastAsia="宋体"/>
          <w:sz w:val="24"/>
          <w:highlight w:val="none"/>
        </w:rPr>
        <w:t>前附表授权直接确定中标人外，评标委员会按照得分由高到低的顺序推荐中标候选人</w:t>
      </w:r>
      <w:r>
        <w:rPr>
          <w:rFonts w:hint="eastAsia" w:ascii="宋体" w:hAnsi="宋体" w:eastAsia="宋体"/>
          <w:sz w:val="24"/>
          <w:highlight w:val="none"/>
        </w:rPr>
        <w:t>，</w:t>
      </w:r>
      <w:r>
        <w:rPr>
          <w:rFonts w:ascii="宋体" w:hAnsi="宋体" w:eastAsia="宋体"/>
          <w:sz w:val="24"/>
          <w:highlight w:val="none"/>
        </w:rPr>
        <w:t>并标明排序。</w:t>
      </w:r>
    </w:p>
    <w:p>
      <w:pPr>
        <w:numPr>
          <w:ilvl w:val="-1"/>
          <w:numId w:val="0"/>
        </w:numPr>
        <w:spacing w:line="288" w:lineRule="auto"/>
        <w:ind w:firstLine="480" w:firstLineChars="200"/>
      </w:pPr>
      <w:r>
        <w:rPr>
          <w:rFonts w:ascii="宋体" w:hAnsi="宋体" w:eastAsia="宋体"/>
          <w:sz w:val="24"/>
          <w:highlight w:val="none"/>
        </w:rPr>
        <w:t>3.</w:t>
      </w:r>
      <w:r>
        <w:rPr>
          <w:rFonts w:hint="eastAsia" w:ascii="宋体" w:hAnsi="宋体" w:eastAsia="宋体"/>
          <w:sz w:val="24"/>
          <w:highlight w:val="none"/>
        </w:rPr>
        <w:t>9</w:t>
      </w:r>
      <w:r>
        <w:rPr>
          <w:rFonts w:ascii="宋体" w:hAnsi="宋体" w:eastAsia="宋体"/>
          <w:sz w:val="24"/>
          <w:highlight w:val="none"/>
        </w:rPr>
        <w:t>.2 评标委员会完成评标后，应向招标人提交书面评标报告。</w:t>
      </w:r>
      <w:bookmarkStart w:id="20" w:name="_GoBack"/>
      <w:bookmarkEnd w:id="20"/>
    </w:p>
    <w:sectPr>
      <w:headerReference r:id="rId4" w:type="default"/>
      <w:footerReference r:id="rId5"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97</w:t>
    </w:r>
    <w:r>
      <w:rPr>
        <w:lang w:val="zh-CN"/>
      </w:rPr>
      <w:fldChar w:fldCharType="end"/>
    </w:r>
  </w:p>
  <w:p>
    <w:pPr>
      <w:pStyle w:val="8"/>
      <w:spacing w:line="240" w:lineRule="exact"/>
      <w:ind w:right="360" w:firstLine="360"/>
      <w:jc w:val="center"/>
      <w:rPr>
        <w:rFonts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0"/>
        <w:spacing w:line="240" w:lineRule="auto"/>
        <w:ind w:firstLine="0"/>
        <w:rPr>
          <w:rFonts w:ascii="宋体" w:hAnsi="宋体"/>
        </w:rPr>
      </w:pPr>
      <w:r>
        <w:rPr>
          <w:rStyle w:val="14"/>
          <w:rFonts w:ascii="宋体" w:hAnsi="宋体"/>
          <w:vertAlign w:val="baseline"/>
        </w:rPr>
        <w:footnoteRef/>
      </w:r>
      <w:r>
        <w:rPr>
          <w:rFonts w:ascii="宋体" w:hAnsi="宋体"/>
        </w:rPr>
        <w:t xml:space="preserve"> </w:t>
      </w:r>
      <w:r>
        <w:rPr>
          <w:rFonts w:hint="eastAsia" w:ascii="宋体" w:hAnsi="宋体"/>
        </w:rPr>
        <w:t>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footnote>
  <w:footnote w:id="1">
    <w:p>
      <w:pPr>
        <w:pStyle w:val="10"/>
        <w:spacing w:line="240" w:lineRule="auto"/>
        <w:ind w:firstLine="0"/>
        <w:rPr>
          <w:rStyle w:val="14"/>
          <w:rFonts w:ascii="宋体" w:hAnsi="宋体"/>
          <w:vertAlign w:val="baseline"/>
        </w:rPr>
      </w:pPr>
      <w:r>
        <w:rPr>
          <w:rStyle w:val="14"/>
          <w:rFonts w:ascii="宋体" w:hAnsi="宋体"/>
          <w:vertAlign w:val="baseline"/>
        </w:rPr>
        <w:footnoteRef/>
      </w:r>
      <w:r>
        <w:rPr>
          <w:rStyle w:val="14"/>
          <w:rFonts w:ascii="宋体" w:hAnsi="宋体"/>
          <w:vertAlign w:val="baseline"/>
        </w:rPr>
        <w:t xml:space="preserve"> </w:t>
      </w:r>
      <w:r>
        <w:rPr>
          <w:rStyle w:val="14"/>
          <w:rFonts w:hint="eastAsia" w:ascii="宋体" w:hAnsi="宋体"/>
          <w:vertAlign w:val="baseline"/>
        </w:rPr>
        <w:t>适用于采用交通运输部“全国</w:t>
      </w:r>
      <w:r>
        <w:rPr>
          <w:rFonts w:hint="eastAsia" w:ascii="宋体" w:hAnsi="宋体"/>
        </w:rPr>
        <w:t>水运</w:t>
      </w:r>
      <w:r>
        <w:rPr>
          <w:rStyle w:val="14"/>
          <w:rFonts w:hint="eastAsia" w:ascii="宋体" w:hAnsi="宋体"/>
          <w:vertAlign w:val="baseline"/>
        </w:rPr>
        <w:t>建设市场信用信息管理系统”截图作为证明材料的情形。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val="0"/>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215B"/>
    <w:rsid w:val="0AE77571"/>
    <w:rsid w:val="16464DA6"/>
    <w:rsid w:val="1F4B7FF0"/>
    <w:rsid w:val="5BE4670B"/>
    <w:rsid w:val="6A3F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标 正文"/>
    <w:qFormat/>
    <w:uiPriority w:val="0"/>
    <w:pPr>
      <w:widowControl w:val="0"/>
      <w:ind w:firstLine="560" w:firstLineChars="200"/>
      <w:jc w:val="both"/>
    </w:pPr>
    <w:rPr>
      <w:rFonts w:ascii="Times New Roman" w:hAnsi="Times New Roman" w:eastAsia="宋体" w:cs="Times New Roman"/>
      <w:sz w:val="21"/>
      <w:lang w:val="en-US" w:eastAsia="zh-CN" w:bidi="ar-SA"/>
    </w:rPr>
  </w:style>
  <w:style w:type="paragraph" w:styleId="5">
    <w:name w:val="Body Text 3"/>
    <w:basedOn w:val="1"/>
    <w:qFormat/>
    <w:uiPriority w:val="0"/>
    <w:rPr>
      <w:rFonts w:ascii="宋体"/>
      <w:sz w:val="24"/>
      <w:szCs w:val="20"/>
    </w:rPr>
  </w:style>
  <w:style w:type="paragraph" w:styleId="6">
    <w:name w:val="Body Text"/>
    <w:basedOn w:val="1"/>
    <w:next w:val="1"/>
    <w:qFormat/>
    <w:uiPriority w:val="0"/>
    <w:rPr>
      <w:rFonts w:ascii="宋体" w:hAnsi="宋体" w:eastAsia="宋体" w:cs="宋体"/>
      <w:sz w:val="21"/>
      <w:szCs w:val="21"/>
      <w:lang w:val="zh-CN" w:eastAsia="zh-CN" w:bidi="zh-CN"/>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1"/>
    <w:qFormat/>
    <w:uiPriority w:val="0"/>
    <w:pPr>
      <w:snapToGrid w:val="0"/>
      <w:jc w:val="left"/>
    </w:pPr>
    <w:rPr>
      <w:rFonts w:ascii="宋体" w:hAnsi="宋体"/>
      <w:sz w:val="18"/>
      <w:szCs w:val="18"/>
    </w:rPr>
  </w:style>
  <w:style w:type="character" w:styleId="13">
    <w:name w:val="Hyperlink"/>
    <w:qFormat/>
    <w:uiPriority w:val="0"/>
    <w:rPr>
      <w:color w:val="000000"/>
      <w:u w:val="none"/>
    </w:rPr>
  </w:style>
  <w:style w:type="character" w:styleId="14">
    <w:name w:val="footnote reference"/>
    <w:qFormat/>
    <w:uiPriority w:val="0"/>
    <w:rPr>
      <w:vertAlign w:val="superscript"/>
    </w:rPr>
  </w:style>
  <w:style w:type="character" w:customStyle="1" w:styleId="15">
    <w:name w:val="正文文本 (2)_"/>
    <w:link w:val="16"/>
    <w:qFormat/>
    <w:locked/>
    <w:uiPriority w:val="99"/>
    <w:rPr>
      <w:rFonts w:ascii="MingLiU" w:eastAsia="MingLiU" w:cs="MingLiU"/>
      <w:spacing w:val="20"/>
      <w:sz w:val="22"/>
      <w:shd w:val="clear" w:color="auto" w:fill="FFFFFF"/>
    </w:rPr>
  </w:style>
  <w:style w:type="paragraph" w:customStyle="1" w:styleId="16">
    <w:name w:val="正文文本 (2)1"/>
    <w:basedOn w:val="1"/>
    <w:link w:val="15"/>
    <w:qFormat/>
    <w:uiPriority w:val="0"/>
    <w:pPr>
      <w:shd w:val="clear" w:color="auto" w:fill="FFFFFF"/>
      <w:spacing w:before="300" w:beforeLines="0" w:line="439" w:lineRule="exact"/>
      <w:jc w:val="distribute"/>
    </w:pPr>
    <w:rPr>
      <w:rFonts w:ascii="MingLiU" w:eastAsia="MingLiU" w:cs="MingLiU"/>
      <w:spacing w:val="20"/>
      <w:sz w:val="22"/>
      <w:shd w:val="clear" w:color="auto" w:fill="FFFFFF"/>
    </w:rPr>
  </w:style>
  <w:style w:type="paragraph" w:customStyle="1" w:styleId="17">
    <w:name w:val="CM68"/>
    <w:basedOn w:val="18"/>
    <w:next w:val="18"/>
    <w:qFormat/>
    <w:uiPriority w:val="0"/>
    <w:pPr>
      <w:spacing w:line="440" w:lineRule="atLeast"/>
    </w:pPr>
    <w:rPr>
      <w:rFonts w:cs="Times New Roman"/>
      <w:color w:val="auto"/>
    </w:r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
    <w:name w:val="CM63"/>
    <w:basedOn w:val="18"/>
    <w:next w:val="1"/>
    <w:qFormat/>
    <w:uiPriority w:val="0"/>
    <w:pPr>
      <w:spacing w:after="903" w:afterLines="0"/>
    </w:pPr>
    <w:rPr>
      <w:rFonts w:cs="Times New Roman"/>
      <w:color w:val="auto"/>
    </w:rPr>
  </w:style>
  <w:style w:type="paragraph" w:customStyle="1" w:styleId="20">
    <w:name w:val="CM65"/>
    <w:basedOn w:val="18"/>
    <w:next w:val="18"/>
    <w:qFormat/>
    <w:uiPriority w:val="0"/>
    <w:pPr>
      <w:spacing w:after="235" w:afterLines="0"/>
    </w:pPr>
    <w:rPr>
      <w:rFonts w:cs="Times New Roman"/>
      <w:color w:val="auto"/>
    </w:rPr>
  </w:style>
  <w:style w:type="character" w:customStyle="1" w:styleId="21">
    <w:name w:val="标题 1 Char1"/>
    <w:qFormat/>
    <w:locked/>
    <w:uiPriority w:val="0"/>
    <w:rPr>
      <w:b/>
      <w:bCs/>
      <w:kern w:val="44"/>
      <w:sz w:val="44"/>
      <w:szCs w:val="44"/>
    </w:rPr>
  </w:style>
  <w:style w:type="paragraph" w:customStyle="1" w:styleId="22">
    <w:name w:val="表格正文-DDDDD"/>
    <w:basedOn w:val="1"/>
    <w:qFormat/>
    <w:uiPriority w:val="0"/>
    <w:pPr>
      <w:spacing w:line="300" w:lineRule="exact"/>
      <w:jc w:val="center"/>
    </w:pPr>
    <w:rPr>
      <w:rFonts w:ascii="方正宋三简体" w:eastAsia="方正宋三简体"/>
      <w:szCs w:val="21"/>
    </w:rPr>
  </w:style>
  <w:style w:type="paragraph" w:customStyle="1" w:styleId="23">
    <w:name w:val="样式 宋体 行距: 1.5 倍行距"/>
    <w:basedOn w:val="1"/>
    <w:qFormat/>
    <w:uiPriority w:val="0"/>
    <w:pPr>
      <w:jc w:val="center"/>
    </w:pPr>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2025-03-11T14:09:00Z</dcterms:created>
  <dc:creator>ppl</dc:creator>
  <cp:lastModifiedBy>ppl</cp:lastModifiedBy>
  <dcterms:modified xsi:type="dcterms:W3CDTF">2025-03-11T14:20:15Z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93FAE608A0F8407DBFFF507A5B2186B2</vt:lpwstr>
  </property>
</Properties>
</file>