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FECA2">
      <w:pPr>
        <w:tabs>
          <w:tab w:val="center" w:pos="4153"/>
        </w:tabs>
        <w:adjustRightInd w:val="0"/>
        <w:snapToGrid w:val="0"/>
        <w:spacing w:line="360" w:lineRule="auto"/>
        <w:jc w:val="center"/>
        <w:rPr>
          <w:rFonts w:hint="eastAsia" w:ascii="宋体" w:hAnsi="宋体" w:cs="宋体"/>
          <w:b/>
          <w:bCs/>
          <w:color w:val="auto"/>
          <w:szCs w:val="21"/>
        </w:rPr>
      </w:pPr>
      <w:bookmarkStart w:id="2" w:name="_GoBack"/>
      <w:r>
        <w:rPr>
          <w:rFonts w:hint="eastAsia" w:ascii="宋体" w:hAnsi="宋体" w:cs="宋体"/>
          <w:b/>
          <w:bCs/>
          <w:color w:val="auto"/>
          <w:sz w:val="32"/>
          <w:szCs w:val="32"/>
        </w:rPr>
        <w:t>安全管理协议</w:t>
      </w:r>
    </w:p>
    <w:p w14:paraId="044C4445">
      <w:pPr>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发包人</w:t>
      </w:r>
      <w:r>
        <w:rPr>
          <w:rFonts w:hint="eastAsia" w:ascii="宋体" w:hAnsi="宋体" w:cs="宋体"/>
          <w:color w:val="auto"/>
          <w:kern w:val="24"/>
          <w:szCs w:val="21"/>
        </w:rPr>
        <w:t xml:space="preserve">： </w:t>
      </w:r>
    </w:p>
    <w:p w14:paraId="3404582E">
      <w:pPr>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承包人</w:t>
      </w:r>
      <w:r>
        <w:rPr>
          <w:rFonts w:hint="eastAsia" w:ascii="宋体" w:hAnsi="宋体" w:cs="宋体"/>
          <w:color w:val="auto"/>
          <w:kern w:val="24"/>
          <w:szCs w:val="21"/>
        </w:rPr>
        <w:t xml:space="preserve">： </w:t>
      </w:r>
    </w:p>
    <w:p w14:paraId="4046EAFF">
      <w:pPr>
        <w:adjustRightInd w:val="0"/>
        <w:snapToGrid w:val="0"/>
        <w:spacing w:line="360" w:lineRule="auto"/>
        <w:ind w:firstLine="420" w:firstLineChars="200"/>
        <w:rPr>
          <w:rFonts w:hint="eastAsia" w:ascii="宋体" w:hAnsi="宋体" w:cs="宋体"/>
          <w:color w:val="auto"/>
          <w:kern w:val="24"/>
          <w:szCs w:val="21"/>
        </w:rPr>
      </w:pPr>
    </w:p>
    <w:p w14:paraId="0EFA5738">
      <w:pPr>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为在</w:t>
      </w:r>
      <w:r>
        <w:rPr>
          <w:rFonts w:hint="eastAsia" w:ascii="宋体" w:hAnsi="宋体" w:cs="宋体"/>
          <w:color w:val="auto"/>
          <w:kern w:val="24"/>
          <w:szCs w:val="21"/>
          <w:u w:val="single"/>
        </w:rPr>
        <w:t xml:space="preserve">                          </w:t>
      </w:r>
      <w:r>
        <w:rPr>
          <w:rFonts w:hint="eastAsia" w:ascii="宋体" w:hAnsi="宋体" w:cs="宋体"/>
          <w:color w:val="auto"/>
          <w:kern w:val="24"/>
          <w:szCs w:val="21"/>
        </w:rPr>
        <w:t>工程项目的实施过程中，切实加强施工安全管理，明确双方安全责任，创造安全、高效的施工环境，本项目发包人</w:t>
      </w:r>
      <w:r>
        <w:rPr>
          <w:rFonts w:hint="eastAsia" w:ascii="宋体" w:hAnsi="宋体" w:cs="宋体"/>
          <w:color w:val="auto"/>
          <w:kern w:val="24"/>
          <w:szCs w:val="21"/>
          <w:u w:val="single"/>
        </w:rPr>
        <w:t xml:space="preserve">                  </w:t>
      </w:r>
      <w:r>
        <w:rPr>
          <w:rFonts w:hint="eastAsia" w:ascii="宋体" w:hAnsi="宋体" w:cs="宋体"/>
          <w:color w:val="auto"/>
          <w:kern w:val="24"/>
          <w:szCs w:val="21"/>
        </w:rPr>
        <w:t>（以下简称“发包人”）与承包人</w:t>
      </w:r>
      <w:r>
        <w:rPr>
          <w:rFonts w:hint="eastAsia" w:ascii="宋体" w:hAnsi="宋体" w:cs="宋体"/>
          <w:color w:val="auto"/>
          <w:kern w:val="24"/>
          <w:szCs w:val="21"/>
          <w:u w:val="single"/>
        </w:rPr>
        <w:t xml:space="preserve">                 </w:t>
      </w:r>
      <w:r>
        <w:rPr>
          <w:rFonts w:hint="eastAsia" w:ascii="宋体" w:hAnsi="宋体" w:cs="宋体"/>
          <w:color w:val="auto"/>
          <w:kern w:val="24"/>
          <w:szCs w:val="21"/>
        </w:rPr>
        <w:t xml:space="preserve">（以下简称“承包人”）经协商达成如下安全协议并共同遵守。此安全管理协议为 </w:t>
      </w:r>
      <w:r>
        <w:rPr>
          <w:rFonts w:hint="eastAsia" w:ascii="宋体" w:hAnsi="宋体" w:cs="宋体"/>
          <w:color w:val="auto"/>
          <w:kern w:val="24"/>
          <w:szCs w:val="21"/>
          <w:u w:val="single"/>
        </w:rPr>
        <w:t xml:space="preserve">                            </w:t>
      </w:r>
      <w:r>
        <w:rPr>
          <w:rFonts w:hint="eastAsia" w:ascii="宋体" w:hAnsi="宋体" w:cs="宋体"/>
          <w:color w:val="auto"/>
          <w:kern w:val="24"/>
          <w:szCs w:val="21"/>
        </w:rPr>
        <w:t xml:space="preserve"> 合同的附件，具有同样的法律效力。</w:t>
      </w:r>
    </w:p>
    <w:p w14:paraId="597AE078">
      <w:pPr>
        <w:pStyle w:val="2"/>
        <w:adjustRightInd w:val="0"/>
        <w:snapToGrid w:val="0"/>
        <w:rPr>
          <w:color w:val="auto"/>
          <w:sz w:val="28"/>
          <w:szCs w:val="28"/>
        </w:rPr>
      </w:pPr>
      <w:r>
        <w:rPr>
          <w:rFonts w:hint="eastAsia"/>
          <w:color w:val="auto"/>
          <w:sz w:val="28"/>
          <w:szCs w:val="28"/>
        </w:rPr>
        <w:t>一、总则</w:t>
      </w:r>
    </w:p>
    <w:p w14:paraId="0CDCB9F6">
      <w:pPr>
        <w:tabs>
          <w:tab w:val="left" w:pos="567"/>
          <w:tab w:val="left" w:pos="709"/>
          <w:tab w:val="left" w:pos="1134"/>
        </w:tabs>
        <w:adjustRightInd w:val="0"/>
        <w:snapToGrid w:val="0"/>
        <w:spacing w:line="360" w:lineRule="auto"/>
        <w:ind w:firstLine="420" w:firstLineChars="200"/>
        <w:rPr>
          <w:rFonts w:hint="eastAsia" w:ascii="宋体" w:hAnsi="宋体"/>
          <w:color w:val="auto"/>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olor w:val="auto"/>
          <w:szCs w:val="21"/>
        </w:rPr>
        <w:t>承包人应遵守国家、行业、项目所在地区对安全、健康、环境、文明施工所制定的法律、法规、标准、规范以及设计相关要求，同时要满足本协议对安全、健康、环境、文明施工所提出的相关要求。</w:t>
      </w:r>
    </w:p>
    <w:p w14:paraId="08C7CEE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承包人应收集和整理适用于本项目的安全文明施工、环境保护、职业健康和治安综合治理等管理中所涉及的法律、法规、标准和规范清单，并贯彻执行。</w:t>
      </w:r>
    </w:p>
    <w:p w14:paraId="571F909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w:t>
      </w:r>
      <w:r>
        <w:rPr>
          <w:rFonts w:hint="eastAsia" w:ascii="宋体" w:hAnsi="宋体" w:cs="宋体"/>
          <w:color w:val="auto"/>
          <w:kern w:val="24"/>
          <w:szCs w:val="21"/>
        </w:rPr>
        <w:t>承包人应投保建筑工程一切险或安装工程一切险、第三者责任险等（合同有约定的，按合同约定执行），承包人应依照法律规定参加工伤保险，并为其履行合同的全部员工办理工伤保险，缴纳工伤保险费，并要求分包人及由承包人为履行合同聘请的第三方依法参加工伤保险。承包人必须为从事高空、危险作业的职工以及劳动部门规定范围的职工办理意外伤害保险。</w:t>
      </w:r>
    </w:p>
    <w:p w14:paraId="634EBC0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（四）承包人应配合发包人及时办理完成质量安全监督手续。</w:t>
      </w:r>
    </w:p>
    <w:p w14:paraId="3B5146BF">
      <w:pPr>
        <w:pStyle w:val="2"/>
        <w:adjustRightInd w:val="0"/>
        <w:snapToGrid w:val="0"/>
        <w:rPr>
          <w:color w:val="auto"/>
          <w:sz w:val="28"/>
          <w:szCs w:val="28"/>
        </w:rPr>
      </w:pPr>
      <w:r>
        <w:rPr>
          <w:rFonts w:hint="eastAsia"/>
          <w:color w:val="auto"/>
          <w:sz w:val="28"/>
          <w:szCs w:val="28"/>
        </w:rPr>
        <w:t>二、安全目标</w:t>
      </w:r>
    </w:p>
    <w:p w14:paraId="232D1333">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不发生重伤及以上人员伤亡事故；</w:t>
      </w:r>
    </w:p>
    <w:p w14:paraId="7106CC2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不发生较大及以上设施、设备事故及财产损失（直接损失一次超过10万元人民币）；</w:t>
      </w:r>
    </w:p>
    <w:p w14:paraId="1EA11420">
      <w:pPr>
        <w:tabs>
          <w:tab w:val="left" w:pos="567"/>
          <w:tab w:val="left" w:pos="709"/>
          <w:tab w:val="left" w:pos="1134"/>
        </w:tabs>
        <w:adjustRightInd w:val="0"/>
        <w:snapToGrid w:val="0"/>
        <w:spacing w:line="360" w:lineRule="auto"/>
        <w:ind w:firstLine="420" w:firstLineChars="200"/>
        <w:rPr>
          <w:rFonts w:hint="eastAsia"/>
          <w:color w:val="auto"/>
          <w:szCs w:val="21"/>
        </w:rPr>
      </w:pPr>
      <w:r>
        <w:rPr>
          <w:rFonts w:hint="eastAsia"/>
          <w:color w:val="auto"/>
          <w:szCs w:val="21"/>
        </w:rPr>
        <w:t>不发生严重及以上特种设备事故；</w:t>
      </w:r>
    </w:p>
    <w:p w14:paraId="343CDF6E">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color w:val="auto"/>
          <w:szCs w:val="21"/>
        </w:rPr>
        <w:t>不发生重大及以上负全责或主要责任的交通事故；</w:t>
      </w:r>
    </w:p>
    <w:p w14:paraId="51E9B05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不发生较大及以上火灾事故；</w:t>
      </w:r>
    </w:p>
    <w:p w14:paraId="325E53E3">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不发生较大及以上突发环境事件</w:t>
      </w:r>
      <w:r>
        <w:rPr>
          <w:rFonts w:hint="eastAsia" w:ascii="宋体" w:hAnsi="宋体" w:cs="宋体"/>
          <w:color w:val="auto"/>
          <w:kern w:val="24"/>
          <w:szCs w:val="21"/>
        </w:rPr>
        <w:t>（含公共卫生事件）</w:t>
      </w:r>
      <w:r>
        <w:rPr>
          <w:rFonts w:hint="eastAsia" w:ascii="宋体" w:hAnsi="宋体" w:cs="宋体"/>
          <w:color w:val="auto"/>
          <w:kern w:val="24"/>
          <w:szCs w:val="21"/>
        </w:rPr>
        <w:t>；</w:t>
      </w:r>
    </w:p>
    <w:p w14:paraId="213D1684">
      <w:pPr>
        <w:tabs>
          <w:tab w:val="left" w:pos="567"/>
          <w:tab w:val="left" w:pos="709"/>
          <w:tab w:val="left" w:pos="1134"/>
        </w:tabs>
        <w:adjustRightInd w:val="0"/>
        <w:snapToGrid w:val="0"/>
        <w:spacing w:line="360" w:lineRule="auto"/>
        <w:ind w:firstLine="420" w:firstLineChars="200"/>
        <w:rPr>
          <w:rFonts w:hint="eastAsia"/>
          <w:color w:val="auto"/>
          <w:szCs w:val="21"/>
        </w:rPr>
      </w:pPr>
      <w:r>
        <w:rPr>
          <w:rFonts w:hint="eastAsia"/>
          <w:color w:val="auto"/>
          <w:szCs w:val="21"/>
        </w:rPr>
        <w:t>不发生集体食物中毒事件（同时5人及以上的食物中毒）；</w:t>
      </w:r>
    </w:p>
    <w:p w14:paraId="7E3DAE4E">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color w:val="auto"/>
          <w:szCs w:val="21"/>
        </w:rPr>
        <w:t>不发生治安保卫事件（构成刑事拘留及以上的事件、盗窃直接损失超过1万元人民币的事件）；</w:t>
      </w:r>
    </w:p>
    <w:p w14:paraId="2A6860D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不发生与安全生产相关的行政处罚事件；</w:t>
      </w:r>
    </w:p>
    <w:p w14:paraId="5F69386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不发生职业病。</w:t>
      </w:r>
    </w:p>
    <w:p w14:paraId="5D185967">
      <w:pPr>
        <w:pStyle w:val="2"/>
        <w:adjustRightInd w:val="0"/>
        <w:snapToGrid w:val="0"/>
        <w:rPr>
          <w:color w:val="auto"/>
          <w:sz w:val="28"/>
          <w:szCs w:val="28"/>
        </w:rPr>
      </w:pPr>
      <w:r>
        <w:rPr>
          <w:rFonts w:hint="eastAsia"/>
          <w:color w:val="auto"/>
          <w:sz w:val="28"/>
          <w:szCs w:val="28"/>
        </w:rPr>
        <w:t>三、权利与责任</w:t>
      </w:r>
    </w:p>
    <w:p w14:paraId="10EEA514">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（一）发包人的权利与责任</w:t>
      </w:r>
    </w:p>
    <w:p w14:paraId="4D03BE2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1.发包人应与承包人依法订立本安全管理协议，约定各自的安全生产管理职责，明确双方的权利和义务。</w:t>
      </w:r>
    </w:p>
    <w:p w14:paraId="34A3942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2.牵头各参建单位成立安全生产领导小组，</w:t>
      </w:r>
      <w:r>
        <w:rPr>
          <w:rFonts w:ascii="宋体" w:hAnsi="宋体" w:cs="宋体"/>
          <w:color w:val="auto"/>
          <w:kern w:val="24"/>
          <w:szCs w:val="21"/>
        </w:rPr>
        <w:t>制定项目安全生产总体目标和年度目标</w:t>
      </w:r>
      <w:r>
        <w:rPr>
          <w:rFonts w:hint="eastAsia" w:ascii="宋体" w:hAnsi="宋体" w:cs="宋体"/>
          <w:color w:val="auto"/>
          <w:kern w:val="24"/>
          <w:szCs w:val="21"/>
        </w:rPr>
        <w:t>，协调解决项目安全生产工作的重大问题。</w:t>
      </w:r>
    </w:p>
    <w:p w14:paraId="38BD72D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w:t>
      </w:r>
      <w:r>
        <w:rPr>
          <w:rFonts w:hint="eastAsia" w:ascii="宋体" w:hAnsi="宋体" w:cs="宋体"/>
          <w:color w:val="auto"/>
          <w:kern w:val="24"/>
          <w:szCs w:val="21"/>
        </w:rPr>
        <w:t>有权</w:t>
      </w:r>
      <w:r>
        <w:rPr>
          <w:rFonts w:ascii="宋体" w:hAnsi="宋体" w:cs="宋体"/>
          <w:color w:val="auto"/>
          <w:kern w:val="24"/>
          <w:szCs w:val="21"/>
        </w:rPr>
        <w:t>审查</w:t>
      </w:r>
      <w:r>
        <w:rPr>
          <w:rFonts w:hint="eastAsia" w:ascii="宋体" w:hAnsi="宋体" w:cs="宋体"/>
          <w:color w:val="auto"/>
          <w:kern w:val="24"/>
          <w:szCs w:val="21"/>
        </w:rPr>
        <w:t>承包人</w:t>
      </w:r>
      <w:r>
        <w:rPr>
          <w:rFonts w:ascii="宋体" w:hAnsi="宋体" w:cs="宋体"/>
          <w:color w:val="auto"/>
          <w:kern w:val="24"/>
          <w:szCs w:val="21"/>
        </w:rPr>
        <w:t>安全生产许可证及有关人员的</w:t>
      </w:r>
      <w:r>
        <w:rPr>
          <w:rFonts w:hint="eastAsia" w:ascii="宋体" w:hAnsi="宋体" w:cs="宋体"/>
          <w:color w:val="auto"/>
          <w:kern w:val="24"/>
          <w:szCs w:val="21"/>
        </w:rPr>
        <w:t>执</w:t>
      </w:r>
      <w:r>
        <w:rPr>
          <w:rFonts w:ascii="宋体" w:hAnsi="宋体" w:cs="宋体"/>
          <w:color w:val="auto"/>
          <w:kern w:val="24"/>
          <w:szCs w:val="21"/>
        </w:rPr>
        <w:t>业资格</w:t>
      </w:r>
      <w:r>
        <w:rPr>
          <w:rFonts w:hint="eastAsia" w:ascii="宋体" w:hAnsi="宋体" w:cs="宋体"/>
          <w:color w:val="auto"/>
          <w:kern w:val="24"/>
          <w:szCs w:val="21"/>
        </w:rPr>
        <w:t>。</w:t>
      </w:r>
    </w:p>
    <w:p w14:paraId="3C26773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4.有权组织审查重大安全技术措施。</w:t>
      </w:r>
    </w:p>
    <w:p w14:paraId="63F6D95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5.有权</w:t>
      </w:r>
      <w:r>
        <w:rPr>
          <w:rFonts w:ascii="宋体" w:hAnsi="宋体" w:cs="宋体"/>
          <w:color w:val="auto"/>
          <w:kern w:val="24"/>
          <w:szCs w:val="21"/>
        </w:rPr>
        <w:t>监督检查承包人安全生产费用使用情况</w:t>
      </w:r>
      <w:r>
        <w:rPr>
          <w:rFonts w:hint="eastAsia" w:ascii="宋体" w:hAnsi="宋体" w:cs="宋体"/>
          <w:color w:val="auto"/>
          <w:kern w:val="24"/>
          <w:szCs w:val="21"/>
        </w:rPr>
        <w:t>。</w:t>
      </w:r>
    </w:p>
    <w:p w14:paraId="334770F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6</w:t>
      </w:r>
      <w:r>
        <w:rPr>
          <w:rFonts w:ascii="宋体" w:hAnsi="宋体" w:cs="宋体"/>
          <w:color w:val="auto"/>
          <w:kern w:val="24"/>
          <w:szCs w:val="21"/>
        </w:rPr>
        <w:t>.办理安全监督手续</w:t>
      </w:r>
      <w:r>
        <w:rPr>
          <w:rFonts w:hint="eastAsia" w:ascii="宋体" w:hAnsi="宋体" w:cs="宋体"/>
          <w:color w:val="auto"/>
          <w:kern w:val="24"/>
          <w:szCs w:val="21"/>
        </w:rPr>
        <w:t>。</w:t>
      </w:r>
    </w:p>
    <w:p w14:paraId="1C52898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7</w:t>
      </w:r>
      <w:r>
        <w:rPr>
          <w:rFonts w:ascii="宋体" w:hAnsi="宋体" w:cs="宋体"/>
          <w:color w:val="auto"/>
          <w:kern w:val="24"/>
          <w:szCs w:val="21"/>
        </w:rPr>
        <w:t>.</w:t>
      </w:r>
      <w:r>
        <w:rPr>
          <w:rFonts w:hint="eastAsia" w:ascii="宋体" w:hAnsi="宋体" w:cs="宋体"/>
          <w:color w:val="auto"/>
          <w:kern w:val="24"/>
          <w:szCs w:val="21"/>
        </w:rPr>
        <w:t>有权</w:t>
      </w:r>
      <w:r>
        <w:rPr>
          <w:rFonts w:ascii="宋体" w:hAnsi="宋体" w:cs="宋体"/>
          <w:color w:val="auto"/>
          <w:kern w:val="24"/>
          <w:szCs w:val="21"/>
        </w:rPr>
        <w:t>监督检查各参建单位的安全工作</w:t>
      </w:r>
      <w:r>
        <w:rPr>
          <w:rFonts w:hint="eastAsia" w:ascii="宋体" w:hAnsi="宋体" w:cs="宋体"/>
          <w:color w:val="auto"/>
          <w:kern w:val="24"/>
          <w:szCs w:val="21"/>
        </w:rPr>
        <w:t>，组织召开安全例会，组织开展安全考核和评比。</w:t>
      </w:r>
    </w:p>
    <w:p w14:paraId="739F322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8</w:t>
      </w:r>
      <w:r>
        <w:rPr>
          <w:rFonts w:ascii="宋体" w:hAnsi="宋体" w:cs="宋体"/>
          <w:color w:val="auto"/>
          <w:kern w:val="24"/>
          <w:szCs w:val="21"/>
        </w:rPr>
        <w:t>.协助安全生产事故调查处理工作</w:t>
      </w:r>
      <w:r>
        <w:rPr>
          <w:rFonts w:hint="eastAsia" w:ascii="宋体" w:hAnsi="宋体" w:cs="宋体"/>
          <w:color w:val="auto"/>
          <w:kern w:val="24"/>
          <w:szCs w:val="21"/>
        </w:rPr>
        <w:t>。</w:t>
      </w:r>
    </w:p>
    <w:p w14:paraId="08CC94D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9</w:t>
      </w:r>
      <w:r>
        <w:rPr>
          <w:rFonts w:ascii="宋体" w:hAnsi="宋体" w:cs="宋体"/>
          <w:color w:val="auto"/>
          <w:kern w:val="24"/>
          <w:szCs w:val="21"/>
        </w:rPr>
        <w:t>.</w:t>
      </w:r>
      <w:r>
        <w:rPr>
          <w:rFonts w:hint="eastAsia" w:ascii="宋体" w:hAnsi="宋体" w:cs="宋体"/>
          <w:color w:val="auto"/>
          <w:kern w:val="24"/>
          <w:szCs w:val="21"/>
        </w:rPr>
        <w:t>在同一区域内多个单位施工且影响相互间的安全生产时，由发包人或其委托的监理单位负责组织承包人与有关单位签订安全生产责任书，明确各单位的安全责任。</w:t>
      </w:r>
    </w:p>
    <w:p w14:paraId="6D82CAF3">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10</w:t>
      </w:r>
      <w:r>
        <w:rPr>
          <w:rFonts w:hint="eastAsia" w:ascii="宋体" w:hAnsi="宋体" w:cs="宋体"/>
          <w:color w:val="auto"/>
          <w:kern w:val="24"/>
          <w:szCs w:val="21"/>
        </w:rPr>
        <w:t>.现场安全不满足安全文明施工要求或存在较多安全隐患的，经发包人或监理单位书面通知承包人在规定时间内未完成整改的，发包人有权采购或委托他人整改，所需费用由承包人承担，同时发包人有权更换承包人项目负责人及安全管理人员。</w:t>
      </w:r>
    </w:p>
    <w:p w14:paraId="458BD68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1.</w:t>
      </w:r>
      <w:r>
        <w:rPr>
          <w:rFonts w:hint="eastAsia" w:ascii="宋体" w:hAnsi="宋体" w:cs="宋体"/>
          <w:color w:val="auto"/>
          <w:kern w:val="24"/>
          <w:szCs w:val="21"/>
        </w:rPr>
        <w:t>对现场安全多次反复违规不改正的人员，发包人有权利要求清退；对现场安全管理工作问题严重的分包商，发包人有权利要求清退分包商。</w:t>
      </w:r>
    </w:p>
    <w:p w14:paraId="415E142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2.</w:t>
      </w:r>
      <w:r>
        <w:rPr>
          <w:rFonts w:hint="eastAsia" w:ascii="宋体" w:hAnsi="宋体" w:cs="宋体"/>
          <w:color w:val="auto"/>
          <w:kern w:val="24"/>
          <w:szCs w:val="21"/>
        </w:rPr>
        <w:t>当发包人确认本工程安全管理人员数量不满足合同规定、不称职或不合格，有权要求承包人增加或调换为合格人员。</w:t>
      </w:r>
    </w:p>
    <w:p w14:paraId="5F6A048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发包人的前述行为、事项不构成责任主体行为，本项目的施工安全责任均由承包人承担，承包人无权因前述甲方的行为、事项要求减轻或免除承包人的安全责任。</w:t>
      </w:r>
    </w:p>
    <w:p w14:paraId="08EAA26E">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（二）承包人安全责任</w:t>
      </w:r>
    </w:p>
    <w:p w14:paraId="219BB20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承包人应承担以下安全责任：</w:t>
      </w:r>
    </w:p>
    <w:p w14:paraId="1B519CC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1.施工中发生安全事故造成的人员伤亡、财产损失、环境污染或破坏等相关法律责任均由承包人负责。</w:t>
      </w:r>
    </w:p>
    <w:p w14:paraId="34F5D30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2.承包人</w:t>
      </w:r>
      <w:r>
        <w:rPr>
          <w:rFonts w:hint="eastAsia"/>
          <w:color w:val="auto"/>
          <w:szCs w:val="21"/>
        </w:rPr>
        <w:t>指定专人代表本单位积极参与工程安全管理，承包人</w:t>
      </w:r>
      <w:r>
        <w:rPr>
          <w:rFonts w:hint="eastAsia" w:ascii="宋体" w:hAnsi="宋体" w:cs="宋体"/>
          <w:color w:val="auto"/>
          <w:kern w:val="24"/>
          <w:szCs w:val="21"/>
        </w:rPr>
        <w:t>项目负责人对本项目的安全工作全面负责。</w:t>
      </w:r>
    </w:p>
    <w:p w14:paraId="19B0B99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3.服从发包人与监理单位对安全工作的统一协调和管理。</w:t>
      </w:r>
    </w:p>
    <w:p w14:paraId="4F7945C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4.成立安全生产领导小组，设置专职安全生产管理部门，配备满足法律法规及合同要求的专职安全管理人员。</w:t>
      </w:r>
    </w:p>
    <w:p w14:paraId="27DAD58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5.编制和落实安全生产目标计划、安全生产管理制度、施工组织设计、专项施工方案、安全技术措施计划、事故应急救援预案和安全生产费用使用计划，组织开展安全绩效考核。</w:t>
      </w:r>
    </w:p>
    <w:p w14:paraId="7B44442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6.保证安全生产条件所需资金的投入（专款专用）。</w:t>
      </w:r>
    </w:p>
    <w:p w14:paraId="5FC8E21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7.落实员工各项安全教育培训，做好安全技术交底。</w:t>
      </w:r>
    </w:p>
    <w:p w14:paraId="1AE374DE">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8.</w:t>
      </w:r>
      <w:r>
        <w:rPr>
          <w:rFonts w:hint="eastAsia" w:ascii="宋体" w:hAnsi="宋体" w:cs="宋体"/>
          <w:color w:val="auto"/>
          <w:kern w:val="24"/>
          <w:szCs w:val="21"/>
        </w:rPr>
        <w:t>制定事故应急救援预案，定期组织应急演练。</w:t>
      </w:r>
    </w:p>
    <w:p w14:paraId="03A6168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9.</w:t>
      </w:r>
      <w:r>
        <w:rPr>
          <w:rFonts w:hint="eastAsia" w:ascii="宋体" w:hAnsi="宋体" w:cs="宋体"/>
          <w:color w:val="auto"/>
          <w:kern w:val="24"/>
          <w:szCs w:val="21"/>
        </w:rPr>
        <w:t>组织安全防护设施设备、危险性较大的单项工程验收。</w:t>
      </w:r>
    </w:p>
    <w:p w14:paraId="01FC264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10.做好危险源的辨识、监控工作（包括清单、报告），组织落实重大危险源管控。</w:t>
      </w:r>
    </w:p>
    <w:p w14:paraId="4BEFEED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11.对所承担的工程开展安全检查，杜绝违章指挥、违章作业和违反劳动纪律的行为，及时发现并整改安全隐患。</w:t>
      </w:r>
    </w:p>
    <w:p w14:paraId="50C2B6F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12.依法购买</w:t>
      </w:r>
      <w:r>
        <w:rPr>
          <w:rFonts w:hint="eastAsia" w:ascii="宋体" w:hAnsi="宋体" w:cs="宋体"/>
          <w:color w:val="auto"/>
          <w:kern w:val="24"/>
          <w:szCs w:val="21"/>
        </w:rPr>
        <w:t>安全生产责任险</w:t>
      </w:r>
      <w:r>
        <w:rPr>
          <w:rFonts w:hint="eastAsia" w:ascii="宋体" w:hAnsi="宋体" w:cs="宋体"/>
          <w:color w:val="auto"/>
          <w:kern w:val="24"/>
          <w:szCs w:val="21"/>
        </w:rPr>
        <w:t>和工伤保险，为从业人员缴纳相关保险费用。</w:t>
      </w:r>
    </w:p>
    <w:p w14:paraId="2D9EA0A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13.负责项目安全生产管理资料的收集、整理、归档和上报。</w:t>
      </w:r>
    </w:p>
    <w:p w14:paraId="5664335E">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14.及时报告安全生产事故，组织或配合生产安全事故调查处理。</w:t>
      </w:r>
    </w:p>
    <w:p w14:paraId="6E106FB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15.严控工程项目分包单位现场安全管理。</w:t>
      </w:r>
    </w:p>
    <w:p w14:paraId="7FB2F34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16.</w:t>
      </w:r>
      <w:r>
        <w:rPr>
          <w:rFonts w:hint="eastAsia" w:ascii="宋体" w:hAnsi="宋体" w:cs="宋体"/>
          <w:color w:val="auto"/>
          <w:kern w:val="24"/>
          <w:szCs w:val="21"/>
        </w:rPr>
        <w:t>将租赁的设备和分包方的设备纳入本单位的安全管理范围,实施统一管理。</w:t>
      </w:r>
    </w:p>
    <w:p w14:paraId="57CB81E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7.</w:t>
      </w:r>
      <w:r>
        <w:rPr>
          <w:rFonts w:hint="eastAsia" w:ascii="宋体" w:hAnsi="宋体" w:cs="宋体"/>
          <w:color w:val="auto"/>
          <w:kern w:val="24"/>
          <w:szCs w:val="21"/>
        </w:rPr>
        <w:t>承包人应配合发包人办理开工要求的相关资料。</w:t>
      </w:r>
    </w:p>
    <w:p w14:paraId="1B94513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8.</w:t>
      </w:r>
      <w:r>
        <w:rPr>
          <w:rFonts w:hint="eastAsia"/>
          <w:color w:val="auto"/>
          <w:szCs w:val="21"/>
        </w:rPr>
        <w:t>保证分包单位的资格符合发包人的要求，对分包单位的安全实施统一协调和管理，对分包单位的安全向发包人负责；</w:t>
      </w:r>
      <w:r>
        <w:rPr>
          <w:rFonts w:hint="eastAsia" w:ascii="宋体" w:hAnsi="宋体" w:cs="宋体"/>
          <w:color w:val="auto"/>
          <w:kern w:val="24"/>
          <w:szCs w:val="21"/>
        </w:rPr>
        <w:t>在同一区域多个分包单位施工且影响相互间的安全生产时，由承包人负责组织分包单位在开始作业前签订安全生产责任书，</w:t>
      </w:r>
      <w:r>
        <w:rPr>
          <w:color w:val="auto"/>
          <w:szCs w:val="21"/>
        </w:rPr>
        <w:t>安全生产</w:t>
      </w:r>
      <w:r>
        <w:rPr>
          <w:rFonts w:hint="eastAsia" w:ascii="宋体" w:hAnsi="宋体" w:cs="宋体"/>
          <w:color w:val="auto"/>
          <w:kern w:val="24"/>
          <w:szCs w:val="21"/>
        </w:rPr>
        <w:t>责任书</w:t>
      </w:r>
      <w:r>
        <w:rPr>
          <w:color w:val="auto"/>
          <w:szCs w:val="21"/>
        </w:rPr>
        <w:t>必须</w:t>
      </w:r>
      <w:r>
        <w:rPr>
          <w:rFonts w:hint="eastAsia"/>
          <w:color w:val="auto"/>
          <w:szCs w:val="21"/>
        </w:rPr>
        <w:t>明确各自的安全生产管理职责和应当采取的安全措施，并指定专职安全生产管理人员进行安全检查与协调。承包人须在前述交叉作业实施前将各方签订的</w:t>
      </w:r>
      <w:r>
        <w:rPr>
          <w:color w:val="auto"/>
          <w:szCs w:val="21"/>
        </w:rPr>
        <w:t>安全</w:t>
      </w:r>
      <w:r>
        <w:rPr>
          <w:rFonts w:hint="eastAsia"/>
          <w:color w:val="auto"/>
          <w:szCs w:val="21"/>
        </w:rPr>
        <w:t>生产</w:t>
      </w:r>
      <w:r>
        <w:rPr>
          <w:rFonts w:hint="eastAsia" w:ascii="宋体" w:hAnsi="宋体" w:cs="宋体"/>
          <w:color w:val="auto"/>
          <w:kern w:val="24"/>
          <w:szCs w:val="21"/>
        </w:rPr>
        <w:t>责任书</w:t>
      </w:r>
      <w:r>
        <w:rPr>
          <w:rFonts w:hint="eastAsia"/>
          <w:color w:val="auto"/>
          <w:szCs w:val="21"/>
        </w:rPr>
        <w:t>报发包人备案。</w:t>
      </w:r>
    </w:p>
    <w:p w14:paraId="2CE2454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9.</w:t>
      </w:r>
      <w:r>
        <w:rPr>
          <w:rFonts w:hint="eastAsia" w:ascii="宋体" w:hAnsi="宋体" w:cs="宋体"/>
          <w:color w:val="auto"/>
          <w:kern w:val="24"/>
          <w:szCs w:val="21"/>
        </w:rPr>
        <w:t>承包人应与本单位的供应商、分包商以合同或协议的形式，规定双方安全生产的责任和义务，这些规定不得与发包人与承包人之间所签订的合同和协议相违背。</w:t>
      </w:r>
    </w:p>
    <w:p w14:paraId="30FB0B7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20.</w:t>
      </w:r>
      <w:r>
        <w:rPr>
          <w:rFonts w:hint="eastAsia" w:ascii="宋体" w:hAnsi="宋体" w:cs="宋体"/>
          <w:color w:val="auto"/>
          <w:kern w:val="24"/>
          <w:szCs w:val="21"/>
        </w:rPr>
        <w:t>其他法律法规约定的承包人安全管理责任。</w:t>
      </w:r>
    </w:p>
    <w:p w14:paraId="4301427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p>
    <w:p w14:paraId="608659C6">
      <w:pPr>
        <w:pStyle w:val="2"/>
        <w:adjustRightInd w:val="0"/>
        <w:snapToGrid w:val="0"/>
        <w:rPr>
          <w:color w:val="auto"/>
          <w:sz w:val="28"/>
          <w:szCs w:val="28"/>
        </w:rPr>
      </w:pPr>
      <w:r>
        <w:rPr>
          <w:rFonts w:hint="eastAsia"/>
          <w:color w:val="auto"/>
          <w:sz w:val="28"/>
          <w:szCs w:val="28"/>
        </w:rPr>
        <w:t>四、组织管理</w:t>
      </w:r>
    </w:p>
    <w:p w14:paraId="7CD63DB3">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（一）安全组织架构与责任</w:t>
      </w:r>
    </w:p>
    <w:p w14:paraId="1EA534D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承包人应设置专门安全生产管理部门，配备专职安全管理人员，成立项目安全生产领导小组、文明施工领导小组，由项目负责人牵头负责。</w:t>
      </w:r>
    </w:p>
    <w:p w14:paraId="033E061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承包人应建立健全全员安全生产责任制，建立“横向到边、纵向到底”项目三级安全管理网络机制，安全责任</w:t>
      </w:r>
      <w:r>
        <w:rPr>
          <w:rFonts w:ascii="宋体" w:hAnsi="宋体" w:cs="宋体"/>
          <w:color w:val="auto"/>
          <w:kern w:val="24"/>
          <w:szCs w:val="21"/>
        </w:rPr>
        <w:t>覆盖到项目部每个岗位</w:t>
      </w:r>
      <w:r>
        <w:rPr>
          <w:rFonts w:hint="eastAsia" w:ascii="宋体" w:hAnsi="宋体" w:cs="宋体"/>
          <w:color w:val="auto"/>
          <w:kern w:val="24"/>
          <w:szCs w:val="21"/>
        </w:rPr>
        <w:t>，并</w:t>
      </w:r>
      <w:r>
        <w:rPr>
          <w:rFonts w:ascii="宋体" w:hAnsi="宋体" w:cs="宋体"/>
          <w:color w:val="auto"/>
          <w:kern w:val="24"/>
          <w:szCs w:val="21"/>
        </w:rPr>
        <w:t>层层签订目标责任书</w:t>
      </w:r>
      <w:r>
        <w:rPr>
          <w:rFonts w:hint="eastAsia" w:ascii="宋体" w:hAnsi="宋体" w:cs="宋体"/>
          <w:color w:val="auto"/>
          <w:kern w:val="24"/>
          <w:szCs w:val="21"/>
        </w:rPr>
        <w:t>，落实考核。</w:t>
      </w:r>
    </w:p>
    <w:p w14:paraId="3392F92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w:t>
      </w:r>
      <w:r>
        <w:rPr>
          <w:rFonts w:hint="eastAsia" w:ascii="宋体" w:hAnsi="宋体" w:cs="宋体"/>
          <w:color w:val="auto"/>
          <w:kern w:val="24"/>
          <w:szCs w:val="21"/>
        </w:rPr>
        <w:t>承包人应成立项目突发事件应急处置领导小组、应急管理办公室、应急联络员，并报发包人备案。</w:t>
      </w:r>
    </w:p>
    <w:p w14:paraId="5026BE08">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（二）安全管理人员配备</w:t>
      </w:r>
    </w:p>
    <w:p w14:paraId="38A349F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专职安全管理人员数量及能力应满足法律法规及工程要求，有相关行政主管部门颁发的安全生产考核合格证C证。</w:t>
      </w:r>
    </w:p>
    <w:p w14:paraId="2FF5CD54">
      <w:pPr>
        <w:tabs>
          <w:tab w:val="left" w:pos="567"/>
          <w:tab w:val="left" w:pos="709"/>
          <w:tab w:val="left" w:pos="1134"/>
        </w:tabs>
        <w:adjustRightInd w:val="0"/>
        <w:snapToGrid w:val="0"/>
        <w:spacing w:line="360" w:lineRule="auto"/>
        <w:ind w:firstLine="481"/>
        <w:rPr>
          <w:rFonts w:hint="eastAsia" w:ascii="宋体" w:hAnsi="宋体" w:cs="宋体"/>
          <w:color w:val="auto"/>
          <w:kern w:val="24"/>
          <w:szCs w:val="21"/>
        </w:rPr>
      </w:pPr>
      <w:r>
        <w:rPr>
          <w:rFonts w:ascii="宋体" w:hAnsi="宋体" w:cs="宋体"/>
          <w:color w:val="auto"/>
          <w:kern w:val="24"/>
          <w:szCs w:val="21"/>
        </w:rPr>
        <w:t>2</w:t>
      </w:r>
      <w:r>
        <w:rPr>
          <w:rFonts w:hint="eastAsia" w:ascii="宋体" w:hAnsi="宋体" w:cs="宋体"/>
          <w:color w:val="auto"/>
          <w:kern w:val="24"/>
          <w:szCs w:val="21"/>
        </w:rPr>
        <w:t>.分包单位专职安全人员配置要求：专业承包单位应当配备至少1人；劳务分包单位施工人员在50人以下的，配备1名专职安全生产管理人员;50人-200人的，配备2名专职安全生产管理人员;200人及以上的，应当配备3名及以上专职安全生产管理人员；不得少于工程施工人员总人数的5‰。</w:t>
      </w:r>
    </w:p>
    <w:p w14:paraId="2A5D5AA6">
      <w:pPr>
        <w:tabs>
          <w:tab w:val="left" w:pos="567"/>
          <w:tab w:val="left" w:pos="709"/>
          <w:tab w:val="left" w:pos="1134"/>
        </w:tabs>
        <w:adjustRightInd w:val="0"/>
        <w:snapToGrid w:val="0"/>
        <w:spacing w:line="360" w:lineRule="auto"/>
        <w:ind w:firstLine="481"/>
        <w:rPr>
          <w:rFonts w:hint="eastAsia" w:ascii="宋体" w:hAnsi="宋体" w:cs="宋体"/>
          <w:color w:val="auto"/>
          <w:kern w:val="24"/>
          <w:szCs w:val="21"/>
        </w:rPr>
      </w:pPr>
      <w:r>
        <w:rPr>
          <w:rFonts w:ascii="宋体" w:hAnsi="宋体" w:cs="宋体"/>
          <w:color w:val="auto"/>
          <w:kern w:val="24"/>
          <w:szCs w:val="21"/>
        </w:rPr>
        <w:t>3</w:t>
      </w:r>
      <w:r>
        <w:rPr>
          <w:rFonts w:hint="eastAsia" w:ascii="宋体" w:hAnsi="宋体" w:cs="宋体"/>
          <w:color w:val="auto"/>
          <w:kern w:val="24"/>
          <w:szCs w:val="21"/>
        </w:rPr>
        <w:t>.承包人（分包商）项目负责人、专职安全管理人员，应按时参加发包人组织的安全生产会议。特殊情况下，项目负责人、专职安全管理人员无法出席时，应经发包人同意并安排代理人出席，无人出席者视为认同会议决议。</w:t>
      </w:r>
    </w:p>
    <w:p w14:paraId="6DA94E9C">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（三）施工安全承诺</w:t>
      </w:r>
    </w:p>
    <w:p w14:paraId="53531E8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项目进场开工前，应由承包人分管副总经理及以上人员签订施工安全承诺书，承诺内容见附件1。</w:t>
      </w:r>
    </w:p>
    <w:p w14:paraId="7359FCE6">
      <w:pPr>
        <w:pStyle w:val="3"/>
        <w:adjustRightInd w:val="0"/>
        <w:snapToGrid w:val="0"/>
        <w:spacing w:before="0" w:after="0" w:line="360" w:lineRule="auto"/>
        <w:ind w:firstLine="482" w:firstLineChars="200"/>
        <w:rPr>
          <w:color w:val="auto"/>
          <w:sz w:val="24"/>
          <w:szCs w:val="24"/>
        </w:rPr>
      </w:pPr>
      <w:r>
        <w:rPr>
          <w:rFonts w:hint="eastAsia"/>
          <w:color w:val="auto"/>
          <w:sz w:val="24"/>
          <w:szCs w:val="24"/>
        </w:rPr>
        <w:t>（四）安全会议</w:t>
      </w:r>
    </w:p>
    <w:p w14:paraId="0EFBF31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承包人项目负责人应按时参加项目周例会，项目负责人每月组织召开一次安全专题会议，专门研究项目安全生产工作，并形成会议纪要报发包人备案。</w:t>
      </w:r>
    </w:p>
    <w:p w14:paraId="1B2013E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承包人施工班组应每天召开班前班后会，班前会布置工作任务及工作中的危险源、采取的安全措施及应急处置等内容，班后会总结当天工作安全情况。</w:t>
      </w:r>
    </w:p>
    <w:p w14:paraId="43F9FB5E">
      <w:pPr>
        <w:pStyle w:val="2"/>
        <w:adjustRightInd w:val="0"/>
        <w:snapToGrid w:val="0"/>
        <w:rPr>
          <w:color w:val="auto"/>
          <w:sz w:val="28"/>
          <w:szCs w:val="28"/>
        </w:rPr>
      </w:pPr>
      <w:r>
        <w:rPr>
          <w:rFonts w:hint="eastAsia"/>
          <w:color w:val="auto"/>
          <w:sz w:val="28"/>
          <w:szCs w:val="28"/>
        </w:rPr>
        <w:t>五、制度管理</w:t>
      </w:r>
    </w:p>
    <w:p w14:paraId="3EA3AE01">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（一）安全管理制度</w:t>
      </w:r>
    </w:p>
    <w:p w14:paraId="2C62C51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承包人应当建立符合法律、法规以及本协议要求的安全生产制度（规定），其内容应包括但不限于：</w:t>
      </w:r>
      <w:r>
        <w:rPr>
          <w:rFonts w:hint="eastAsia" w:ascii="宋体" w:hAnsi="宋体"/>
          <w:color w:val="auto"/>
          <w:kern w:val="24"/>
          <w:szCs w:val="21"/>
        </w:rPr>
        <w:t>安全目标管理制度，安全会议管理制度，安全生产责任制及考核制度，安全生产承诺，安全生产费用管理制度，意外伤害保险管理制度，安全技术措施审查管理制度（包括安全技术交底及新技术、新材料、新工艺、新设备设施)，文件、记录和档案管理制度，安全风险管理制度，职业卫生、健康管理制度，用工管理、安全生产教育培训制度，班组安全活动制度，安全设施与职业病防护设施“三同时”管理制度，特种作业人员管理制度，设备设施管理制度，消防安全管理制度，施工用电安全管理制度，危险物品和重大危险源管理制度，危大工程管理制度，高风险作业管理制度，安全警示标志管理制度，安全生产考核奖惩管理制度，相关方（包括工程分包方）安全管理制度，劳动防护用品（具）管理制度，文明施工、环境保护管理制度，应急管理制度，事故管理制度</w:t>
      </w:r>
      <w:r>
        <w:rPr>
          <w:rFonts w:hint="eastAsia" w:ascii="宋体" w:hAnsi="宋体" w:cs="宋体"/>
          <w:color w:val="auto"/>
          <w:kern w:val="24"/>
          <w:szCs w:val="21"/>
        </w:rPr>
        <w:t>等。</w:t>
      </w:r>
    </w:p>
    <w:p w14:paraId="05A78930">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（二）操作规程</w:t>
      </w:r>
    </w:p>
    <w:p w14:paraId="67E6A7B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承包人应当根据工程实际需要建立适用的施工安全操作规程，应包括但不限于以下内容：木工安全操作规程、钢筋工安全操作规程、混凝土工安全操作规程、插入式振捣器安全操作规程、打桩工安全操作规程、起重指挥司索工安全操作规程、起重工安全操作规程、潜水泵安全操作规程、电工安全操作规程、架子工安全操作规程、中小施工机具（如钢筋切断机、调直机、弯曲机，切割机，锯木机）安全操作规程、电焊工安全操作规程、运输车辆司机安全操作规程、挖掘机操作规程、履带吊安全操作规程、空气压缩机安全操作规程、旋挖钻机安全操作规程等；承包人对新技术、新材料、新工艺、新设备设施投入使用前，组织编制或修订相应的安全操作规程，并确保其适宜性和有效性。所有安全操作规程必须发放到相关操作人员。</w:t>
      </w:r>
    </w:p>
    <w:p w14:paraId="127DC875">
      <w:pPr>
        <w:tabs>
          <w:tab w:val="left" w:pos="567"/>
          <w:tab w:val="left" w:pos="709"/>
          <w:tab w:val="left" w:pos="1134"/>
        </w:tabs>
        <w:adjustRightInd w:val="0"/>
        <w:snapToGrid w:val="0"/>
        <w:spacing w:line="360" w:lineRule="auto"/>
        <w:ind w:firstLine="420" w:firstLineChars="200"/>
        <w:rPr>
          <w:rFonts w:hint="eastAsia" w:ascii="宋体" w:hAnsi="宋体" w:cs="宋体"/>
          <w:strike/>
          <w:color w:val="auto"/>
          <w:kern w:val="24"/>
          <w:szCs w:val="21"/>
        </w:rPr>
      </w:pPr>
      <w:r>
        <w:rPr>
          <w:rFonts w:hint="eastAsia" w:ascii="宋体" w:hAnsi="宋体" w:cs="宋体"/>
          <w:color w:val="auto"/>
          <w:kern w:val="24"/>
          <w:szCs w:val="21"/>
        </w:rPr>
        <w:t>以上所有制度和流程应由承包人项目主要负责人组织编制，并行文正式发布，组织所有人员学习，并做好学习记录，实行动态管理，每半年进行一次检查、评估修订和印发。</w:t>
      </w:r>
    </w:p>
    <w:p w14:paraId="1AD44663">
      <w:pPr>
        <w:pStyle w:val="2"/>
        <w:adjustRightInd w:val="0"/>
        <w:snapToGrid w:val="0"/>
        <w:rPr>
          <w:color w:val="auto"/>
          <w:sz w:val="28"/>
          <w:szCs w:val="28"/>
        </w:rPr>
      </w:pPr>
      <w:r>
        <w:rPr>
          <w:rFonts w:hint="eastAsia"/>
          <w:color w:val="auto"/>
          <w:sz w:val="28"/>
          <w:szCs w:val="28"/>
        </w:rPr>
        <w:t>六、安全投入</w:t>
      </w:r>
    </w:p>
    <w:p w14:paraId="7F9D322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承包人应当建立健全安全生产费用管理制度和项目安全生产费用核算制度,明确安全生产费用使用、管理的程序、职责及权限。</w:t>
      </w:r>
    </w:p>
    <w:p w14:paraId="4243275E">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承包人开工前应编制安全生产费用使用计划，经监理单位审核，报发包人同意后执行。</w:t>
      </w:r>
    </w:p>
    <w:p w14:paraId="31E306B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w:t>
      </w:r>
      <w:r>
        <w:rPr>
          <w:rFonts w:hint="eastAsia" w:ascii="宋体" w:hAnsi="宋体" w:cs="宋体"/>
          <w:color w:val="auto"/>
          <w:szCs w:val="21"/>
        </w:rPr>
        <w:t>承包人应在申请安全措施管理费时应提供支付凭证（票据、清单、实物影像），</w:t>
      </w:r>
      <w:r>
        <w:rPr>
          <w:rFonts w:hint="eastAsia" w:ascii="宋体" w:hAnsi="宋体" w:cs="宋体"/>
          <w:color w:val="auto"/>
          <w:kern w:val="24"/>
          <w:szCs w:val="21"/>
        </w:rPr>
        <w:t>建立使用台账，台账按月统计、按年汇总，专款专用（在财务账目中单独列项备查），相关资料应每月报送监理单位、发包人进行审查，在安全生产月报中汇报安全生产费用使用情况。</w:t>
      </w:r>
    </w:p>
    <w:p w14:paraId="18B9873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w:t>
      </w:r>
      <w:r>
        <w:rPr>
          <w:rFonts w:ascii="宋体" w:hAnsi="宋体" w:cs="宋体"/>
          <w:color w:val="auto"/>
          <w:kern w:val="24"/>
          <w:szCs w:val="21"/>
        </w:rPr>
        <w:t>.</w:t>
      </w:r>
      <w:r>
        <w:rPr>
          <w:rFonts w:hint="eastAsia" w:ascii="宋体" w:hAnsi="宋体" w:cs="宋体"/>
          <w:color w:val="auto"/>
          <w:kern w:val="24"/>
          <w:szCs w:val="21"/>
        </w:rPr>
        <w:t>实行工程总承包的，总承包单位依法将工程分包给其他单位的，</w:t>
      </w:r>
      <w:r>
        <w:rPr>
          <w:rFonts w:hint="eastAsia" w:ascii="宋体" w:hAnsi="宋体" w:cs="宋体"/>
          <w:color w:val="auto"/>
          <w:kern w:val="24"/>
          <w:szCs w:val="21"/>
        </w:rPr>
        <w:t>分包合同中应明确</w:t>
      </w:r>
      <w:r>
        <w:rPr>
          <w:rFonts w:hint="eastAsia" w:ascii="宋体" w:hAnsi="宋体" w:cs="宋体"/>
          <w:color w:val="auto"/>
          <w:kern w:val="24"/>
          <w:szCs w:val="21"/>
        </w:rPr>
        <w:t>分包单位实施的安全措施及分包工程安全生产费用</w:t>
      </w:r>
      <w:r>
        <w:rPr>
          <w:rFonts w:hint="eastAsia" w:ascii="宋体" w:hAnsi="宋体" w:cs="宋体"/>
          <w:color w:val="auto"/>
          <w:kern w:val="24"/>
          <w:szCs w:val="21"/>
        </w:rPr>
        <w:t>，</w:t>
      </w:r>
      <w:r>
        <w:rPr>
          <w:rFonts w:ascii="Helvetica" w:hAnsi="Helvetica" w:cs="Helvetica"/>
          <w:color w:val="auto"/>
          <w:szCs w:val="21"/>
          <w:shd w:val="clear" w:color="auto" w:fill="FFFFFF"/>
        </w:rPr>
        <w:t>总承包单位对工程项目安全生产费用的使用负总责，分包单位对所分包工程的安全生产费用的使用负责。</w:t>
      </w:r>
    </w:p>
    <w:p w14:paraId="5363710D">
      <w:pPr>
        <w:pStyle w:val="2"/>
        <w:adjustRightInd w:val="0"/>
        <w:snapToGrid w:val="0"/>
        <w:rPr>
          <w:color w:val="auto"/>
          <w:sz w:val="28"/>
          <w:szCs w:val="28"/>
        </w:rPr>
      </w:pPr>
      <w:r>
        <w:rPr>
          <w:rFonts w:hint="eastAsia"/>
          <w:color w:val="auto"/>
          <w:sz w:val="28"/>
          <w:szCs w:val="28"/>
        </w:rPr>
        <w:t>七、人员与培训</w:t>
      </w:r>
    </w:p>
    <w:p w14:paraId="70DD87B7">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（一）现场</w:t>
      </w:r>
      <w:r>
        <w:rPr>
          <w:color w:val="auto"/>
          <w:sz w:val="24"/>
          <w:szCs w:val="24"/>
        </w:rPr>
        <w:t>人员管理</w:t>
      </w:r>
    </w:p>
    <w:p w14:paraId="745F7F3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施工作业人员进场管理至少办理以下手续：个人体检、个人实名制登记（身份证查验）、三级安全教育和考试、</w:t>
      </w:r>
      <w:r>
        <w:rPr>
          <w:rFonts w:hint="eastAsia" w:ascii="宋体" w:hAnsi="宋体" w:cs="宋体"/>
          <w:color w:val="auto"/>
          <w:szCs w:val="21"/>
        </w:rPr>
        <w:t>签订</w:t>
      </w:r>
      <w:r>
        <w:rPr>
          <w:rFonts w:hint="eastAsia" w:ascii="宋体" w:hAnsi="宋体" w:cs="宋体"/>
          <w:color w:val="auto"/>
          <w:kern w:val="24"/>
          <w:szCs w:val="21"/>
        </w:rPr>
        <w:t>用工合同及安全承诺书等。</w:t>
      </w:r>
    </w:p>
    <w:p w14:paraId="22271F5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承包人应建立项目人员进出工地登记台账，定期报监理单位审核。</w:t>
      </w:r>
    </w:p>
    <w:p w14:paraId="4AE7753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3.</w:t>
      </w:r>
      <w:r>
        <w:rPr>
          <w:rFonts w:hint="eastAsia" w:ascii="宋体" w:hAnsi="宋体" w:cs="宋体"/>
          <w:color w:val="auto"/>
          <w:kern w:val="24"/>
          <w:szCs w:val="21"/>
        </w:rPr>
        <w:t>承包人应确保所派施工人员业务水平、身体素质及精神状态等满足施工要求，严禁使用未成年和不适应现场安全施工要求的老、弱、病、残人员进行施工，且施工人员中男性年龄不得超过</w:t>
      </w:r>
      <w:r>
        <w:rPr>
          <w:rFonts w:ascii="宋体" w:hAnsi="宋体" w:cs="宋体"/>
          <w:color w:val="auto"/>
          <w:kern w:val="24"/>
          <w:szCs w:val="21"/>
        </w:rPr>
        <w:t>60</w:t>
      </w:r>
      <w:r>
        <w:rPr>
          <w:rFonts w:hint="eastAsia" w:ascii="宋体" w:hAnsi="宋体" w:cs="宋体"/>
          <w:color w:val="auto"/>
          <w:kern w:val="24"/>
          <w:szCs w:val="21"/>
        </w:rPr>
        <w:t>岁，女性不得超过</w:t>
      </w:r>
      <w:r>
        <w:rPr>
          <w:rFonts w:ascii="宋体" w:hAnsi="宋体" w:cs="宋体"/>
          <w:color w:val="auto"/>
          <w:kern w:val="24"/>
          <w:szCs w:val="21"/>
        </w:rPr>
        <w:t>55</w:t>
      </w:r>
      <w:r>
        <w:rPr>
          <w:rFonts w:hint="eastAsia" w:ascii="宋体" w:hAnsi="宋体" w:cs="宋体"/>
          <w:color w:val="auto"/>
          <w:kern w:val="24"/>
          <w:szCs w:val="21"/>
        </w:rPr>
        <w:t>岁。</w:t>
      </w:r>
    </w:p>
    <w:p w14:paraId="308765D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4.</w:t>
      </w:r>
      <w:r>
        <w:rPr>
          <w:rFonts w:hint="eastAsia" w:ascii="宋体" w:hAnsi="宋体" w:cs="宋体"/>
          <w:color w:val="auto"/>
          <w:kern w:val="24"/>
          <w:szCs w:val="21"/>
        </w:rPr>
        <w:t>对外来参观人员、不进入现场的其他临时人员，发放《现场安全告知》（包括现场平面布置图、主要危险源及其分部、消防和应急逃生、其他安全要求等），需进入现场的，承包人应讲解安全注意事项，并由专人带领。</w:t>
      </w:r>
    </w:p>
    <w:p w14:paraId="440DC95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5.</w:t>
      </w:r>
      <w:r>
        <w:rPr>
          <w:rFonts w:hint="eastAsia" w:ascii="宋体" w:hAnsi="宋体" w:cs="宋体"/>
          <w:color w:val="auto"/>
          <w:kern w:val="24"/>
          <w:szCs w:val="21"/>
        </w:rPr>
        <w:t>合理安排严控基坑内、洞室内等危险部位的作业人数。</w:t>
      </w:r>
    </w:p>
    <w:p w14:paraId="6D1EAB1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6.</w:t>
      </w:r>
      <w:r>
        <w:rPr>
          <w:rFonts w:hint="eastAsia" w:ascii="宋体" w:hAnsi="宋体" w:cs="宋体"/>
          <w:color w:val="auto"/>
          <w:kern w:val="24"/>
          <w:szCs w:val="21"/>
        </w:rPr>
        <w:t>在深基坑正式开挖前和隧道开始施工前，现场应完善人员出入门禁等监控系统，加强现场出入基坑和隧道人员的监控管理。</w:t>
      </w:r>
    </w:p>
    <w:p w14:paraId="377BF63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7.</w:t>
      </w:r>
      <w:r>
        <w:rPr>
          <w:rFonts w:hint="eastAsia" w:ascii="宋体" w:hAnsi="宋体" w:cs="宋体"/>
          <w:color w:val="auto"/>
          <w:kern w:val="24"/>
          <w:szCs w:val="21"/>
        </w:rPr>
        <w:t>进入现场安全管理人员应统一着装，或带有企业标识的防护用具，现场施工监护人员应带有监护人员的标识。</w:t>
      </w:r>
    </w:p>
    <w:p w14:paraId="67D1CAE5">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ascii="宋体" w:hAnsi="宋体" w:cs="宋体"/>
          <w:color w:val="auto"/>
          <w:kern w:val="24"/>
          <w:szCs w:val="21"/>
        </w:rPr>
        <w:t>8.</w:t>
      </w:r>
      <w:r>
        <w:rPr>
          <w:rFonts w:hint="eastAsia" w:ascii="宋体" w:hAnsi="宋体" w:cs="宋体"/>
          <w:color w:val="auto"/>
          <w:kern w:val="24"/>
          <w:szCs w:val="21"/>
        </w:rPr>
        <w:t>现场建立作业人员违章登记制度，对屡教不改的违章人员应进行清退。</w:t>
      </w:r>
    </w:p>
    <w:p w14:paraId="54A3173A">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（二）资质与培训</w:t>
      </w:r>
    </w:p>
    <w:p w14:paraId="54503634">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承包人应开工前制定本年度安全教育和培训计划，设置良好的安全教育和培训场所，建立安全教育和培训档案，实现现场施工人员三级安全教育覆盖率100%，安全考核合格率100%，主要负责人、专职安全管理人员、特种作业人员100%持证上岗。</w:t>
      </w:r>
    </w:p>
    <w:p w14:paraId="610EB7F5">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承包人项目负责人和专职安全管理人员持证上岗并定期参加继续教育，</w:t>
      </w:r>
      <w:r>
        <w:rPr>
          <w:rFonts w:ascii="宋体" w:hAnsi="宋体" w:cs="宋体"/>
          <w:color w:val="auto"/>
          <w:szCs w:val="21"/>
        </w:rPr>
        <w:t>应每年</w:t>
      </w:r>
      <w:r>
        <w:rPr>
          <w:rFonts w:hint="eastAsia" w:ascii="宋体" w:hAnsi="宋体" w:cs="宋体"/>
          <w:color w:val="auto"/>
          <w:szCs w:val="21"/>
        </w:rPr>
        <w:t>组织</w:t>
      </w:r>
      <w:r>
        <w:rPr>
          <w:rFonts w:ascii="宋体" w:hAnsi="宋体" w:cs="宋体"/>
          <w:color w:val="auto"/>
          <w:szCs w:val="21"/>
        </w:rPr>
        <w:t>项目主要负责人和项目管理人员</w:t>
      </w:r>
      <w:r>
        <w:rPr>
          <w:rFonts w:hint="eastAsia" w:ascii="宋体" w:hAnsi="宋体" w:cs="宋体"/>
          <w:color w:val="auto"/>
          <w:szCs w:val="21"/>
        </w:rPr>
        <w:t>进行</w:t>
      </w:r>
      <w:r>
        <w:rPr>
          <w:rFonts w:ascii="宋体" w:hAnsi="宋体" w:cs="宋体"/>
          <w:color w:val="auto"/>
          <w:szCs w:val="21"/>
        </w:rPr>
        <w:t>一次安全意识培训</w:t>
      </w:r>
      <w:r>
        <w:rPr>
          <w:rFonts w:hint="eastAsia" w:ascii="宋体" w:hAnsi="宋体" w:cs="宋体"/>
          <w:color w:val="auto"/>
          <w:szCs w:val="21"/>
        </w:rPr>
        <w:t>，每年应组织项目部所有人员进行两次安全知识培训。</w:t>
      </w:r>
    </w:p>
    <w:p w14:paraId="2C6EEF7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szCs w:val="21"/>
        </w:rPr>
        <w:t>3.承包人应</w:t>
      </w:r>
      <w:r>
        <w:rPr>
          <w:rFonts w:hint="eastAsia" w:ascii="宋体" w:hAnsi="宋体" w:cs="宋体"/>
          <w:color w:val="auto"/>
          <w:szCs w:val="21"/>
        </w:rPr>
        <w:t>利用“一站式”或其他系统完成人员三级安全教育等安全培训，功能包括：按一人一档要求建立管理人员和施工人员培训档案，播放培训视频，现场完成安全培训，现场考核或考试等。</w:t>
      </w:r>
    </w:p>
    <w:p w14:paraId="6D03B2D0">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ascii="宋体" w:hAnsi="宋体" w:cs="宋体"/>
          <w:color w:val="auto"/>
          <w:szCs w:val="21"/>
        </w:rPr>
        <w:t>4.</w:t>
      </w:r>
      <w:r>
        <w:rPr>
          <w:rFonts w:hint="eastAsia" w:ascii="宋体" w:hAnsi="宋体" w:cs="宋体"/>
          <w:color w:val="auto"/>
          <w:szCs w:val="21"/>
        </w:rPr>
        <w:t>承包人应向各类新进人员发放岗位安全和风险告知书，组织学习岗位相关（或同类型施工）的事故案例，做好班前安全教育，进行相关的专项培训、演练。</w:t>
      </w:r>
    </w:p>
    <w:p w14:paraId="65A6B1A7">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5.特种作业人员应按规定取得特种作业资格证书，离岗3个月以上的应经实际操作考核合格方能上岗。</w:t>
      </w:r>
    </w:p>
    <w:p w14:paraId="2DE6CC4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szCs w:val="21"/>
        </w:rPr>
        <w:t>6.承包人应将人员违章操作</w:t>
      </w:r>
      <w:r>
        <w:rPr>
          <w:rFonts w:hint="eastAsia" w:ascii="宋体" w:hAnsi="宋体" w:cs="宋体"/>
          <w:color w:val="auto"/>
          <w:kern w:val="24"/>
          <w:szCs w:val="21"/>
        </w:rPr>
        <w:t>、现场安全隐患、现场安全文明亮点的图片或视频或其他资料纳入工程例会或安全例会首要议程进行展示和学习。</w:t>
      </w:r>
    </w:p>
    <w:p w14:paraId="4DFB98F1">
      <w:pPr>
        <w:pStyle w:val="2"/>
        <w:adjustRightInd w:val="0"/>
        <w:snapToGrid w:val="0"/>
        <w:rPr>
          <w:color w:val="auto"/>
          <w:sz w:val="28"/>
          <w:szCs w:val="28"/>
        </w:rPr>
      </w:pPr>
      <w:r>
        <w:rPr>
          <w:rFonts w:hint="eastAsia"/>
          <w:color w:val="auto"/>
          <w:sz w:val="28"/>
          <w:szCs w:val="28"/>
        </w:rPr>
        <w:t>八、分包管理</w:t>
      </w:r>
    </w:p>
    <w:p w14:paraId="5D319D48">
      <w:pPr>
        <w:tabs>
          <w:tab w:val="left" w:pos="567"/>
          <w:tab w:val="left" w:pos="709"/>
        </w:tabs>
        <w:adjustRightInd w:val="0"/>
        <w:snapToGrid w:val="0"/>
        <w:spacing w:line="360" w:lineRule="auto"/>
        <w:ind w:firstLine="481"/>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工程分包应当符合工程承包合同的有关约定。合同约定不允许分包的项目，不得分包；合同约定须经监理单位事先审查及与发包人协商并取得同意才能分包的项目，在取得同意前不得分包。对工程分包的工期和进度要求、技术和质量标准不得低于工程承包合同相应的要求和标准。</w:t>
      </w:r>
    </w:p>
    <w:p w14:paraId="03776B4F">
      <w:pPr>
        <w:tabs>
          <w:tab w:val="left" w:pos="567"/>
          <w:tab w:val="left" w:pos="709"/>
        </w:tabs>
        <w:adjustRightInd w:val="0"/>
        <w:snapToGrid w:val="0"/>
        <w:spacing w:line="360" w:lineRule="auto"/>
        <w:ind w:firstLine="481"/>
        <w:rPr>
          <w:rFonts w:hint="eastAsia" w:ascii="宋体" w:hAnsi="宋体" w:cs="宋体"/>
          <w:color w:val="auto"/>
          <w:kern w:val="24"/>
          <w:szCs w:val="21"/>
        </w:rPr>
      </w:pPr>
      <w:r>
        <w:rPr>
          <w:rFonts w:hint="eastAsia"/>
          <w:color w:val="auto"/>
        </w:rPr>
        <w:t>2</w:t>
      </w:r>
      <w:r>
        <w:rPr>
          <w:color w:val="auto"/>
        </w:rPr>
        <w:t>.</w:t>
      </w:r>
      <w:r>
        <w:rPr>
          <w:rFonts w:hint="eastAsia"/>
          <w:color w:val="auto"/>
        </w:rPr>
        <w:t>分包方的资信、施工能力和技术力量应满足工程承包合同有关工程分包部分的质量、安全、技术和进度要求。</w:t>
      </w:r>
    </w:p>
    <w:p w14:paraId="2CCB9064">
      <w:pPr>
        <w:tabs>
          <w:tab w:val="left" w:pos="567"/>
          <w:tab w:val="left" w:pos="709"/>
        </w:tabs>
        <w:adjustRightInd w:val="0"/>
        <w:snapToGrid w:val="0"/>
        <w:spacing w:line="360" w:lineRule="auto"/>
        <w:ind w:firstLine="481"/>
        <w:rPr>
          <w:rFonts w:hint="eastAsia" w:ascii="宋体" w:hAnsi="宋体" w:cs="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w:t>
      </w:r>
      <w:r>
        <w:rPr>
          <w:rFonts w:hint="eastAsia" w:ascii="宋体" w:hAnsi="宋体" w:cs="宋体"/>
          <w:color w:val="auto"/>
          <w:kern w:val="24"/>
          <w:szCs w:val="21"/>
        </w:rPr>
        <w:t>工程分包必须订立有效的规范的书面形式的工程分包合同。发包人实行工程分包合同备案制度，分包合同应明确分包项目安全管理目标、指标以及各自的安全生产方面的责任、权利和义务，或依法签订安全生产管理协议，承包人对分包商的安全生产承担连带责任。</w:t>
      </w:r>
    </w:p>
    <w:p w14:paraId="4485C0D7">
      <w:pPr>
        <w:tabs>
          <w:tab w:val="left" w:pos="567"/>
          <w:tab w:val="left" w:pos="709"/>
        </w:tabs>
        <w:adjustRightInd w:val="0"/>
        <w:snapToGrid w:val="0"/>
        <w:spacing w:line="360" w:lineRule="auto"/>
        <w:ind w:firstLine="481"/>
        <w:rPr>
          <w:rFonts w:hint="eastAsia" w:ascii="宋体" w:hAnsi="宋体" w:cs="宋体"/>
          <w:color w:val="auto"/>
          <w:kern w:val="24"/>
          <w:szCs w:val="21"/>
        </w:rPr>
      </w:pPr>
      <w:r>
        <w:rPr>
          <w:rFonts w:hint="eastAsia" w:ascii="宋体" w:hAnsi="宋体" w:cs="宋体"/>
          <w:color w:val="auto"/>
          <w:kern w:val="24"/>
          <w:szCs w:val="21"/>
        </w:rPr>
        <w:t>4</w:t>
      </w:r>
      <w:r>
        <w:rPr>
          <w:rFonts w:ascii="宋体" w:hAnsi="宋体" w:cs="宋体"/>
          <w:color w:val="auto"/>
          <w:kern w:val="24"/>
          <w:szCs w:val="21"/>
        </w:rPr>
        <w:t>.</w:t>
      </w:r>
      <w:r>
        <w:rPr>
          <w:rFonts w:hint="eastAsia" w:ascii="宋体" w:hAnsi="宋体" w:cs="宋体"/>
          <w:color w:val="auto"/>
          <w:kern w:val="24"/>
          <w:szCs w:val="21"/>
        </w:rPr>
        <w:t>承包人应对其专业分包商和劳务分包（以下统称为“分包商”）实行监督式、介入式和指导式的管理，不得“分而不管”“以包代管”。承包人应对分包商资质和能力、项目安全管理机构及文件体系、安全投入、安全技术措施、人员培训、施工设备、作业安全等方面重点监管，分包所产生的安全隐患、事件、事故，以及由此造成的损失，承包人承担全部责任，并且发包人具有追偿的权利，承包人应对安全管理不满足现场要求或安全隐患频发的分包商及时清退。</w:t>
      </w:r>
    </w:p>
    <w:p w14:paraId="40E0506E">
      <w:pPr>
        <w:pStyle w:val="2"/>
        <w:adjustRightInd w:val="0"/>
        <w:snapToGrid w:val="0"/>
        <w:rPr>
          <w:color w:val="auto"/>
          <w:sz w:val="28"/>
          <w:szCs w:val="28"/>
        </w:rPr>
      </w:pPr>
      <w:r>
        <w:rPr>
          <w:rFonts w:hint="eastAsia"/>
          <w:color w:val="auto"/>
          <w:sz w:val="28"/>
          <w:szCs w:val="28"/>
        </w:rPr>
        <w:t>九、施工组织设计</w:t>
      </w:r>
    </w:p>
    <w:p w14:paraId="387AADC4">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（一）一般规定</w:t>
      </w:r>
    </w:p>
    <w:p w14:paraId="17BD621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施工阶段施工组织设计文件可分为施工组织总体设计、单位工程施工组织设计、施工方案、专项施工方案和技术交底等文件。</w:t>
      </w:r>
    </w:p>
    <w:p w14:paraId="687073D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.施工组织设计文件的编制应结合工程具体情况，内容全面，重点突出，</w:t>
      </w:r>
      <w:r>
        <w:rPr>
          <w:rFonts w:hint="eastAsia" w:ascii="宋体" w:hAnsi="宋体" w:cs="宋体"/>
          <w:color w:val="auto"/>
          <w:kern w:val="24"/>
          <w:szCs w:val="21"/>
        </w:rPr>
        <w:t>文字简练，配有必要图表，并符合档案管理相关规定。</w:t>
      </w:r>
    </w:p>
    <w:p w14:paraId="55EAE46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w:t>
      </w:r>
      <w:r>
        <w:rPr>
          <w:rFonts w:hint="eastAsia" w:ascii="宋体" w:hAnsi="宋体" w:cs="宋体"/>
          <w:color w:val="auto"/>
          <w:kern w:val="24"/>
          <w:szCs w:val="21"/>
        </w:rPr>
        <w:t>施工阶段施工组织设计文件</w:t>
      </w:r>
      <w:r>
        <w:rPr>
          <w:rFonts w:ascii="宋体" w:hAnsi="宋体" w:cs="宋体"/>
          <w:color w:val="auto"/>
          <w:kern w:val="24"/>
          <w:szCs w:val="21"/>
        </w:rPr>
        <w:t>应在</w:t>
      </w:r>
      <w:r>
        <w:rPr>
          <w:rFonts w:hint="eastAsia" w:ascii="宋体" w:hAnsi="宋体" w:cs="宋体"/>
          <w:color w:val="auto"/>
          <w:kern w:val="24"/>
          <w:szCs w:val="21"/>
        </w:rPr>
        <w:t>相关</w:t>
      </w:r>
      <w:r>
        <w:rPr>
          <w:rFonts w:ascii="宋体" w:hAnsi="宋体" w:cs="宋体"/>
          <w:color w:val="auto"/>
          <w:kern w:val="24"/>
          <w:szCs w:val="21"/>
        </w:rPr>
        <w:t>工程开工前完成编制和审批</w:t>
      </w:r>
      <w:r>
        <w:rPr>
          <w:rFonts w:hint="eastAsia" w:ascii="宋体" w:hAnsi="宋体" w:cs="宋体"/>
          <w:color w:val="auto"/>
          <w:kern w:val="24"/>
          <w:szCs w:val="21"/>
        </w:rPr>
        <w:t>。</w:t>
      </w:r>
    </w:p>
    <w:p w14:paraId="51BEE55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w:t>
      </w:r>
      <w:r>
        <w:rPr>
          <w:rFonts w:ascii="宋体" w:hAnsi="宋体" w:cs="宋体"/>
          <w:color w:val="auto"/>
          <w:kern w:val="24"/>
          <w:szCs w:val="21"/>
        </w:rPr>
        <w:t>.施工组织总</w:t>
      </w:r>
      <w:r>
        <w:rPr>
          <w:rFonts w:hint="eastAsia" w:ascii="宋体" w:hAnsi="宋体" w:cs="宋体"/>
          <w:color w:val="auto"/>
          <w:kern w:val="24"/>
          <w:szCs w:val="21"/>
        </w:rPr>
        <w:t>体</w:t>
      </w:r>
      <w:r>
        <w:rPr>
          <w:rFonts w:ascii="宋体" w:hAnsi="宋体" w:cs="宋体"/>
          <w:color w:val="auto"/>
          <w:kern w:val="24"/>
          <w:szCs w:val="21"/>
        </w:rPr>
        <w:t>设计、单位工程施工组织设计、施工方案及专项施工方</w:t>
      </w:r>
      <w:r>
        <w:rPr>
          <w:rFonts w:hint="eastAsia" w:ascii="宋体" w:hAnsi="宋体" w:cs="宋体"/>
          <w:color w:val="auto"/>
          <w:kern w:val="24"/>
          <w:szCs w:val="21"/>
        </w:rPr>
        <w:t>案应实行动态管理，并应符合下列规定：</w:t>
      </w:r>
    </w:p>
    <w:p w14:paraId="025B6F4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出现下列情况时，应对施工组织总设计、单位工程施工组织设计及时</w:t>
      </w:r>
      <w:r>
        <w:rPr>
          <w:rFonts w:hint="eastAsia" w:ascii="宋体" w:hAnsi="宋体" w:cs="宋体"/>
          <w:color w:val="auto"/>
          <w:kern w:val="24"/>
          <w:szCs w:val="21"/>
        </w:rPr>
        <w:t>进行修改或补充：</w:t>
      </w:r>
    </w:p>
    <w:p w14:paraId="2E3D4C0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1）有关法律、法规、规章、标准和规范性文件发生重大调整；</w:t>
      </w:r>
    </w:p>
    <w:p w14:paraId="6523D92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2）工程设计有重大变更；</w:t>
      </w:r>
    </w:p>
    <w:p w14:paraId="056E235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3）主要施工方法有重大调整；</w:t>
      </w:r>
    </w:p>
    <w:p w14:paraId="2B2D96F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4）主要施工资源配置有重大调整；</w:t>
      </w:r>
    </w:p>
    <w:p w14:paraId="75DCA01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5）施工环境有重大变化。</w:t>
      </w:r>
    </w:p>
    <w:p w14:paraId="207D81D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出现下列情况时，应对施工方案、专项施工方案及时进行修改或补充：</w:t>
      </w:r>
    </w:p>
    <w:p w14:paraId="7187499E">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1）工程设计变更或工程施工条件发生变化，原方案不能满足施工要</w:t>
      </w:r>
      <w:r>
        <w:rPr>
          <w:rFonts w:hint="eastAsia" w:ascii="宋体" w:hAnsi="宋体" w:cs="宋体"/>
          <w:color w:val="auto"/>
          <w:kern w:val="24"/>
          <w:szCs w:val="21"/>
        </w:rPr>
        <w:t>求；</w:t>
      </w:r>
    </w:p>
    <w:p w14:paraId="23F45AD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2）主要的施工方法、施工措施发生变化。</w:t>
      </w:r>
    </w:p>
    <w:p w14:paraId="60306DD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经修改或补充的施工组织总设计、单位工程施工组织设计、施工方案</w:t>
      </w:r>
      <w:r>
        <w:rPr>
          <w:rFonts w:hint="eastAsia" w:ascii="宋体" w:hAnsi="宋体" w:cs="宋体"/>
          <w:color w:val="auto"/>
          <w:kern w:val="24"/>
          <w:szCs w:val="21"/>
        </w:rPr>
        <w:t>和专项施工方案应按审批权限重新履行审批程序。</w:t>
      </w:r>
    </w:p>
    <w:p w14:paraId="4A06824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5.项目施工过程中，承包人应严格按已审批的施工组织设计文件组</w:t>
      </w:r>
      <w:r>
        <w:rPr>
          <w:rFonts w:hint="eastAsia" w:ascii="宋体" w:hAnsi="宋体" w:cs="宋体"/>
          <w:color w:val="auto"/>
          <w:kern w:val="24"/>
          <w:szCs w:val="21"/>
        </w:rPr>
        <w:t>织实施，并对实施情况进行检查。</w:t>
      </w:r>
    </w:p>
    <w:p w14:paraId="2CB2545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6</w:t>
      </w:r>
      <w:r>
        <w:rPr>
          <w:rFonts w:ascii="宋体" w:hAnsi="宋体" w:cs="宋体"/>
          <w:color w:val="auto"/>
          <w:kern w:val="24"/>
          <w:szCs w:val="21"/>
        </w:rPr>
        <w:t>.</w:t>
      </w:r>
      <w:r>
        <w:rPr>
          <w:rFonts w:hint="eastAsia" w:ascii="宋体" w:hAnsi="宋体" w:cs="宋体"/>
          <w:color w:val="auto"/>
          <w:kern w:val="24"/>
          <w:szCs w:val="21"/>
        </w:rPr>
        <w:t>影响工程施工安全的新技术、新工艺、新材料、新设备进入施工现场，应提供执行标准、检测报告、产品合格证，并进行专家论证或科技成果评价。</w:t>
      </w:r>
    </w:p>
    <w:p w14:paraId="2EC206E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7.施工组织设计文件应在工程竣工验收后按照相关规定归档。</w:t>
      </w:r>
    </w:p>
    <w:p w14:paraId="66548006">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（二）施工组织总体设计</w:t>
      </w:r>
    </w:p>
    <w:p w14:paraId="5A5AB8DD">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施工组织总体设计的编制与审批应符合下列规定：</w:t>
      </w:r>
    </w:p>
    <w:p w14:paraId="2DDED995">
      <w:pPr>
        <w:tabs>
          <w:tab w:val="left" w:pos="567"/>
          <w:tab w:val="left" w:pos="709"/>
          <w:tab w:val="left" w:pos="1134"/>
        </w:tabs>
        <w:adjustRightInd w:val="0"/>
        <w:snapToGrid w:val="0"/>
        <w:spacing w:line="360" w:lineRule="auto"/>
        <w:ind w:firstLine="420" w:firstLineChars="200"/>
        <w:rPr>
          <w:rFonts w:hint="eastAsia"/>
          <w:color w:val="auto"/>
        </w:rPr>
      </w:pPr>
      <w:r>
        <w:rPr>
          <w:color w:val="auto"/>
        </w:rPr>
        <w:t>1</w:t>
      </w:r>
      <w:r>
        <w:rPr>
          <w:rFonts w:hint="eastAsia"/>
          <w:color w:val="auto"/>
        </w:rPr>
        <w:t>.应由施工单位项目负责人主持编制，项目技术负责人组织编写。</w:t>
      </w:r>
    </w:p>
    <w:p w14:paraId="483FD2DB">
      <w:pPr>
        <w:tabs>
          <w:tab w:val="left" w:pos="567"/>
          <w:tab w:val="left" w:pos="709"/>
          <w:tab w:val="left" w:pos="1134"/>
        </w:tabs>
        <w:adjustRightInd w:val="0"/>
        <w:snapToGrid w:val="0"/>
        <w:spacing w:line="360" w:lineRule="auto"/>
        <w:ind w:firstLine="420" w:firstLineChars="200"/>
        <w:rPr>
          <w:rFonts w:hint="eastAsia"/>
          <w:color w:val="auto"/>
        </w:rPr>
      </w:pPr>
      <w:r>
        <w:rPr>
          <w:color w:val="auto"/>
        </w:rPr>
        <w:t>2</w:t>
      </w:r>
      <w:r>
        <w:rPr>
          <w:rFonts w:hint="eastAsia"/>
          <w:color w:val="auto"/>
        </w:rPr>
        <w:t>.应由施工单位技术负责人审批。</w:t>
      </w:r>
    </w:p>
    <w:p w14:paraId="16E14AF4">
      <w:pPr>
        <w:tabs>
          <w:tab w:val="left" w:pos="567"/>
          <w:tab w:val="left" w:pos="709"/>
          <w:tab w:val="left" w:pos="1134"/>
        </w:tabs>
        <w:adjustRightInd w:val="0"/>
        <w:snapToGrid w:val="0"/>
        <w:spacing w:line="360" w:lineRule="auto"/>
        <w:ind w:firstLine="420" w:firstLineChars="200"/>
        <w:rPr>
          <w:rFonts w:hint="eastAsia"/>
          <w:color w:val="auto"/>
        </w:rPr>
      </w:pPr>
      <w:r>
        <w:rPr>
          <w:color w:val="auto"/>
        </w:rPr>
        <w:t>3</w:t>
      </w:r>
      <w:r>
        <w:rPr>
          <w:rFonts w:hint="eastAsia"/>
          <w:color w:val="auto"/>
        </w:rPr>
        <w:t>.应报项目监理单位总监理工程师审批</w:t>
      </w:r>
      <w:r>
        <w:rPr>
          <w:rFonts w:hint="eastAsia"/>
          <w:color w:val="auto"/>
          <w:lang w:eastAsia="zh-CN"/>
        </w:rPr>
        <w:t>，</w:t>
      </w:r>
      <w:r>
        <w:rPr>
          <w:rFonts w:hint="eastAsia"/>
          <w:color w:val="auto"/>
          <w:lang w:val="en-US" w:eastAsia="zh-CN"/>
        </w:rPr>
        <w:t>审批完成后报</w:t>
      </w:r>
      <w:r>
        <w:rPr>
          <w:rFonts w:hint="eastAsia"/>
          <w:color w:val="auto"/>
        </w:rPr>
        <w:t>发包人</w:t>
      </w:r>
      <w:r>
        <w:rPr>
          <w:rStyle w:val="45"/>
          <w:rFonts w:hint="eastAsia" w:eastAsia="宋体"/>
          <w:color w:val="auto"/>
          <w:lang w:val="en-US" w:eastAsia="zh-CN"/>
        </w:rPr>
        <w:t>备案</w:t>
      </w:r>
      <w:r>
        <w:rPr>
          <w:rFonts w:hint="eastAsia"/>
          <w:color w:val="auto"/>
        </w:rPr>
        <w:t>。</w:t>
      </w:r>
    </w:p>
    <w:p w14:paraId="2D379059">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（三）单位工程施工组织设计</w:t>
      </w:r>
    </w:p>
    <w:p w14:paraId="0C1E3A35">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单位工程施工组织设计的编制与审批应符合下列规定：</w:t>
      </w:r>
    </w:p>
    <w:p w14:paraId="14AD0DDB">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1.应由施工单位项目负责人主持编制，项目技术负责人组织编写。</w:t>
      </w:r>
    </w:p>
    <w:p w14:paraId="139ADEDB">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2.应由施工单位技术负责人或其授权人审批。</w:t>
      </w:r>
    </w:p>
    <w:p w14:paraId="13DCAC1F">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3.应报项目监理单位总监理工程师审批</w:t>
      </w:r>
      <w:r>
        <w:rPr>
          <w:rFonts w:hint="eastAsia"/>
          <w:color w:val="auto"/>
          <w:lang w:eastAsia="zh-CN"/>
        </w:rPr>
        <w:t>，</w:t>
      </w:r>
      <w:r>
        <w:rPr>
          <w:rFonts w:hint="eastAsia"/>
          <w:color w:val="auto"/>
          <w:lang w:val="en-US" w:eastAsia="zh-CN"/>
        </w:rPr>
        <w:t>审批完成后报</w:t>
      </w:r>
      <w:r>
        <w:rPr>
          <w:rFonts w:hint="eastAsia"/>
          <w:color w:val="auto"/>
        </w:rPr>
        <w:t>发包人</w:t>
      </w:r>
      <w:r>
        <w:rPr>
          <w:rFonts w:hint="eastAsia"/>
          <w:color w:val="auto"/>
          <w:lang w:val="en-US" w:eastAsia="zh-CN"/>
        </w:rPr>
        <w:t>备案</w:t>
      </w:r>
      <w:r>
        <w:rPr>
          <w:rFonts w:hint="eastAsia"/>
          <w:color w:val="auto"/>
        </w:rPr>
        <w:t>。</w:t>
      </w:r>
    </w:p>
    <w:p w14:paraId="7D65FE4A">
      <w:pPr>
        <w:pStyle w:val="3"/>
        <w:adjustRightInd w:val="0"/>
        <w:snapToGrid w:val="0"/>
        <w:spacing w:before="0" w:after="0" w:line="360" w:lineRule="auto"/>
        <w:ind w:firstLine="482" w:firstLineChars="200"/>
        <w:rPr>
          <w:color w:val="auto"/>
          <w:sz w:val="24"/>
          <w:szCs w:val="24"/>
        </w:rPr>
      </w:pPr>
      <w:r>
        <w:rPr>
          <w:rFonts w:hint="eastAsia"/>
          <w:color w:val="auto"/>
          <w:sz w:val="24"/>
          <w:szCs w:val="24"/>
        </w:rPr>
        <w:t>（四）施工方案和专项施工方案</w:t>
      </w:r>
    </w:p>
    <w:p w14:paraId="71441DD9">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施工方案和专项施工方案的编制与审批应符合下列规定：</w:t>
      </w:r>
    </w:p>
    <w:p w14:paraId="7F581162">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1.施工方案应由施工单位项目技术负责人组织编制并审批；重要、复杂、特殊的分部、分项工程，其施工方案应由施工单位技术负责人或其授权人审批。</w:t>
      </w:r>
    </w:p>
    <w:p w14:paraId="5C574816">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2.专项施工方案应由施工单位项目负责人主持编制，施工单位项目技术负责人组织编写，由施工单位技术负责人审批；需要论证的专项施工方案应组织专家论证。</w:t>
      </w:r>
    </w:p>
    <w:p w14:paraId="3A5C643B">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3.专业分包工程的施工方案应由专业分包单位的项目负责人主持编制，由专业分包单位技术负责人审批，加盖分包单位印章后报总承包单位项目技术负责人审核确认。</w:t>
      </w:r>
    </w:p>
    <w:p w14:paraId="41A1392C">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4.专业分包工程的专项施工方案应由专业分包单位的项目负责人主持编制，专业分包单位的技术负责人审批，并报总承包单位技术负责人或其授权人审核确认，需要论证的专项施工方案应组织专家论证。</w:t>
      </w:r>
    </w:p>
    <w:p w14:paraId="61166048">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5.施工方案和专项施工方案应报项目监理单位总监理工程师</w:t>
      </w:r>
      <w:r>
        <w:rPr>
          <w:rFonts w:hint="eastAsia"/>
          <w:color w:val="auto"/>
          <w:lang w:val="en-US" w:eastAsia="zh-CN"/>
        </w:rPr>
        <w:t>审批</w:t>
      </w:r>
      <w:r>
        <w:rPr>
          <w:rFonts w:hint="eastAsia"/>
          <w:color w:val="auto"/>
          <w:lang w:eastAsia="zh-CN"/>
        </w:rPr>
        <w:t>，</w:t>
      </w:r>
      <w:r>
        <w:rPr>
          <w:rFonts w:hint="eastAsia"/>
          <w:color w:val="auto"/>
          <w:lang w:val="en-US" w:eastAsia="zh-CN"/>
        </w:rPr>
        <w:t>审批完成后报</w:t>
      </w:r>
      <w:r>
        <w:rPr>
          <w:rFonts w:hint="eastAsia"/>
          <w:color w:val="auto"/>
        </w:rPr>
        <w:t>发包人</w:t>
      </w:r>
      <w:r>
        <w:rPr>
          <w:rFonts w:hint="eastAsia"/>
          <w:color w:val="auto"/>
          <w:lang w:val="en-US" w:eastAsia="zh-CN"/>
        </w:rPr>
        <w:t>备案</w:t>
      </w:r>
      <w:r>
        <w:rPr>
          <w:rFonts w:hint="eastAsia"/>
          <w:color w:val="auto"/>
        </w:rPr>
        <w:t>，经专家论证的专项施工方案需发包人项目负责人签字。</w:t>
      </w:r>
    </w:p>
    <w:p w14:paraId="2FDF5DBE">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（五）安全技术交底</w:t>
      </w:r>
    </w:p>
    <w:p w14:paraId="7431326E">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安全技术交底应包括施工组织总体设计交底、单位工程施工组织设计交底、施工方案和专项施工方案交底、施工作业交底等。安全技术交底应采用书面形式并结合会议方式进行。根据需要和条件，也可采用现场演示、样板展示、图像、视频和悬挂标牌等方式进行。安全技术交底的组织实施应符合下列规定：</w:t>
      </w:r>
    </w:p>
    <w:p w14:paraId="1BC39639">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1.施工组织总体设计和单位工程施工组织设计交底应由施工单位项目负责人或施工单位项目技术负责人对项目主要管理人员进行交底。</w:t>
      </w:r>
    </w:p>
    <w:p w14:paraId="5C8A8AE2">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2.施工方案交底应由其编制人员或项目技术负责人对现场相关管理人员和作业人员进行交底。</w:t>
      </w:r>
    </w:p>
    <w:p w14:paraId="53BD58DA">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3.专项施工方案交底应由其编制人员或项目技术负责人对现场相关管理人员和作业人员进行交底，安全管理人员应参加。</w:t>
      </w:r>
    </w:p>
    <w:p w14:paraId="0B141148">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4.施工作业交底应由专业工长对专业施工班组或专业分包作业人员进行交底。</w:t>
      </w:r>
    </w:p>
    <w:p w14:paraId="16459F02">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5.两种及以上施工组织设计文件同时组织交底的，应分别予以记录。</w:t>
      </w:r>
    </w:p>
    <w:p w14:paraId="3607929C">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6.安全技术交底文件的内容应具有针对性，安全技术交底的主要内容应包括：</w:t>
      </w:r>
    </w:p>
    <w:p w14:paraId="1E578BF0">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（1）项目的施工作业点和危险点；</w:t>
      </w:r>
    </w:p>
    <w:p w14:paraId="55B24290">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（2）针对危险点的具体预防措施；</w:t>
      </w:r>
    </w:p>
    <w:p w14:paraId="3D537EA6">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（3）应注意的安全事项；</w:t>
      </w:r>
    </w:p>
    <w:p w14:paraId="2D2BEAEC">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（4）相应的安全操作规程和标准；</w:t>
      </w:r>
    </w:p>
    <w:p w14:paraId="42420B6E">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（5）发生事故后应及时采取的避难和急救措施。</w:t>
      </w:r>
    </w:p>
    <w:p w14:paraId="6A965D7E">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7.安全技术交底记录应载明交底时间、接受交底范围及人员、交底部位、交底内容等；技术交底记录应在交底现场双方签字形成。</w:t>
      </w:r>
    </w:p>
    <w:p w14:paraId="5E29B388">
      <w:pPr>
        <w:tabs>
          <w:tab w:val="left" w:pos="567"/>
          <w:tab w:val="left" w:pos="709"/>
          <w:tab w:val="left" w:pos="1134"/>
        </w:tabs>
        <w:adjustRightInd w:val="0"/>
        <w:snapToGrid w:val="0"/>
        <w:spacing w:line="360" w:lineRule="auto"/>
        <w:ind w:firstLine="420" w:firstLineChars="200"/>
        <w:rPr>
          <w:rFonts w:hint="eastAsia"/>
          <w:color w:val="auto"/>
        </w:rPr>
      </w:pPr>
      <w:r>
        <w:rPr>
          <w:rFonts w:hint="eastAsia"/>
          <w:color w:val="auto"/>
        </w:rPr>
        <w:t>8.施工过程中相应层级的施工组织设计文件有调整时，应根据调整内容对已进行的技术交底影响程度及时做出评估，必要时应重新进行安全技术交底。</w:t>
      </w:r>
    </w:p>
    <w:p w14:paraId="48360CC4">
      <w:pPr>
        <w:pStyle w:val="2"/>
        <w:adjustRightInd w:val="0"/>
        <w:snapToGrid w:val="0"/>
        <w:rPr>
          <w:color w:val="auto"/>
          <w:sz w:val="28"/>
          <w:szCs w:val="28"/>
        </w:rPr>
      </w:pPr>
      <w:r>
        <w:rPr>
          <w:rFonts w:hint="eastAsia"/>
          <w:color w:val="auto"/>
          <w:sz w:val="28"/>
          <w:szCs w:val="28"/>
        </w:rPr>
        <w:t>十、施工机具</w:t>
      </w:r>
    </w:p>
    <w:p w14:paraId="7AA09C81">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所有进场的大型施工机械、机具、危险物品，进场前应报监理单位检查、验收、备案。大型施工机械或危险物品包括但不限于：地质钻机、高速搅拌机、砼输送机、空压机、牵引电瓶车、推土机、挖掘机、车辆、气瓶、强夯机、打桩机、塔吊、汽车吊、卷扬机、焊机、钢筋加工机等。</w:t>
      </w:r>
    </w:p>
    <w:p w14:paraId="685714DA">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所有进场的大型施工机械、机具、危险物品，进场后使用之前相关资料应报监理进行检查、验收、备案。</w:t>
      </w:r>
    </w:p>
    <w:p w14:paraId="46BE2F7C">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承包人应编制和颁布设备设施管理制度、设备操作规程，加强对设备管理各个环节的过程安全控制，防止发生设备事故。大中型设备应采取“五定”、大型设备实行机长负责制。</w:t>
      </w:r>
    </w:p>
    <w:p w14:paraId="0230A963">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承包人应建立设备设施管理台帐（包括安装、验收、运行、检测检验、检查维护保养、以及报废全过程管理资料），统一造册、专人负责。租赁的设备和分包方的设备台账应纳入管理范围，租赁合同和安全协议书应存档备查。</w:t>
      </w:r>
    </w:p>
    <w:p w14:paraId="0516407E">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设备设施投入使用前应办理验收手续，经验收合格后方可使用，设备操作交接班、定期检查、维护保养、报废等应记录存档。</w:t>
      </w:r>
    </w:p>
    <w:p w14:paraId="30E66C54">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特种设备（如龙门吊等）应检测合格、办理登记与备案手续后方能投入使用，并定期进行检测，检测合格方能继续使用。</w:t>
      </w:r>
    </w:p>
    <w:p w14:paraId="0F5CE6E7">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龙门吊、搅拌站等设备设施安装的应编制专项施工方案，并由具备相关专业资质的单位或人员进行安装，安装完成办理验收手续后方能投入使用，并现场张贴验收合格等相关记录，做好设备设施标识；安排专人做好设施的检查维护保养工作；设备设施操作人员应认真填写检查和运行操作记录</w:t>
      </w:r>
    </w:p>
    <w:p w14:paraId="4EA7076F">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搅拌站料罐应有合格证，现场支撑柱焊缝应进行专业检测合格，并设置足够强度的缆风绳。</w:t>
      </w:r>
    </w:p>
    <w:p w14:paraId="2CCB6CBB">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现场配电箱、开关箱应采用定型产品，箱内应张贴巡查记录并由电工签名，箱门应挂设安全警示标志和标识牌，标明管理责任人，张贴每日巡查检查记录。</w:t>
      </w:r>
    </w:p>
    <w:p w14:paraId="09954E43">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w:t>
      </w:r>
      <w:r>
        <w:rPr>
          <w:rFonts w:ascii="宋体" w:hAnsi="宋体" w:cs="宋体"/>
          <w:color w:val="auto"/>
          <w:szCs w:val="21"/>
        </w:rPr>
        <w:t>.</w:t>
      </w:r>
      <w:r>
        <w:rPr>
          <w:rFonts w:hint="eastAsia" w:ascii="宋体" w:hAnsi="宋体" w:cs="宋体"/>
          <w:color w:val="auto"/>
          <w:szCs w:val="21"/>
        </w:rPr>
        <w:t>木加工、钢筋加工、混凝土加工场所及卷扬机械、空气压缩机、电焊机应搭设防砸防雨棚或防护罩。</w:t>
      </w:r>
    </w:p>
    <w:p w14:paraId="5102336A">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0.</w:t>
      </w:r>
      <w:r>
        <w:rPr>
          <w:rFonts w:hint="eastAsia" w:ascii="宋体" w:hAnsi="宋体" w:cs="宋体"/>
          <w:color w:val="auto"/>
          <w:szCs w:val="21"/>
        </w:rPr>
        <w:t>基坑、沉淀池的临边防护栏杆应连续、牢固，并符合相关规范标准。</w:t>
      </w:r>
    </w:p>
    <w:p w14:paraId="71AFE40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szCs w:val="21"/>
        </w:rPr>
        <w:t>1</w:t>
      </w:r>
      <w:r>
        <w:rPr>
          <w:rFonts w:ascii="宋体" w:hAnsi="宋体" w:cs="宋体"/>
          <w:color w:val="auto"/>
          <w:szCs w:val="21"/>
        </w:rPr>
        <w:t>1.</w:t>
      </w:r>
      <w:r>
        <w:rPr>
          <w:rFonts w:hint="eastAsia" w:ascii="宋体" w:hAnsi="宋体" w:cs="宋体"/>
          <w:color w:val="auto"/>
          <w:szCs w:val="21"/>
        </w:rPr>
        <w:t>地面通道、下井楼梯、隧道内人行通道应通畅、牢固、标识清楚。</w:t>
      </w:r>
    </w:p>
    <w:p w14:paraId="4D907CEE">
      <w:pPr>
        <w:pStyle w:val="2"/>
        <w:adjustRightInd w:val="0"/>
        <w:snapToGrid w:val="0"/>
        <w:rPr>
          <w:color w:val="auto"/>
          <w:sz w:val="28"/>
          <w:szCs w:val="28"/>
        </w:rPr>
      </w:pPr>
      <w:r>
        <w:rPr>
          <w:rFonts w:hint="eastAsia"/>
          <w:color w:val="auto"/>
          <w:sz w:val="28"/>
          <w:szCs w:val="28"/>
        </w:rPr>
        <w:t>十一、作业安全</w:t>
      </w:r>
    </w:p>
    <w:p w14:paraId="46743C19">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（一）项目开工管理</w:t>
      </w:r>
    </w:p>
    <w:p w14:paraId="475B79E6">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项目开工管理实行项目总体工程开工、分项工程开工审批制度。</w:t>
      </w:r>
    </w:p>
    <w:p w14:paraId="60889F9E">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2.项目总体工程开工前承包单位应满足以下条件：</w:t>
      </w:r>
    </w:p>
    <w:p w14:paraId="1115CAEB">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（1）已经建立安全生产管理机构，安全管理人员数量和资格满足法规及合同规定的开工要求，机构及人员资料已经发包人审查认可和备案。</w:t>
      </w:r>
    </w:p>
    <w:p w14:paraId="6A039DCA">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（2）已建立安全责任制，明确各类岗位的安全生产责任，且关键岗位的责任人已到岗，安全责任制文件及关键岗位责任人资料已经发包人审查认可和备案。</w:t>
      </w:r>
    </w:p>
    <w:p w14:paraId="461092CF">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（3）已建立安全责任考核制度，包括奖惩制度，安全责任考核及奖惩制度已经发包人审查认可和备案。</w:t>
      </w:r>
    </w:p>
    <w:p w14:paraId="793E632D">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（4）已建立安全培训制度、制订各工种培训科目清单和培训计划，进场人员完成安全培训和三级安全教育，并已经发包人审查认可和备案。</w:t>
      </w:r>
    </w:p>
    <w:p w14:paraId="76C40F8C">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（5）与发包人安全监管部门负责工作协调和业务联系的安全协调员已经确定，且与发包人安全监管部门建立了工作接口和业务联系渠道。</w:t>
      </w:r>
    </w:p>
    <w:p w14:paraId="2580A156">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（6）分包商及施工人员的情况。这些情况应包括活动的内容、人数、与承包人合作的历史、劳务工来源等。</w:t>
      </w:r>
    </w:p>
    <w:p w14:paraId="36B8351D">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（7）已经对列入工程概算的安全作业环境及安全施工措施所需费用（含安全管理费等）制定了合理可行的安全预算和采购计划，并已经发包人审查认可。</w:t>
      </w:r>
    </w:p>
    <w:p w14:paraId="6C8FC38D">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（8）已经为施工人员购买了适用的保险，且保险范围覆盖工伤保险或意外伤害保险。</w:t>
      </w:r>
    </w:p>
    <w:p w14:paraId="0B74AF78">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（9）已完成危害识别、风险分析及管控评估报告，并已经发包人审查认可。</w:t>
      </w:r>
    </w:p>
    <w:p w14:paraId="7BB96DCE">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（10）已完成进场施工机械、作业材料、安全工器具准备情况的报告和证明材料，已提供各类安全专用器材、仪表的清单（品种和数量），并已经发包人审查认可。</w:t>
      </w:r>
    </w:p>
    <w:p w14:paraId="0E28B446">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（11）已完成拟入场人员培训的报告，并已经发包人审查认可。</w:t>
      </w:r>
    </w:p>
    <w:p w14:paraId="39621A8C">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（12）劳动防护用品配备标准（至少包括样式、颜色）已经发包人审查认可。</w:t>
      </w:r>
    </w:p>
    <w:p w14:paraId="25AF5327">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（13）完成施工组织设计、各类专项施工方案、安全管理预案、危险源识别清单、危险源控制措施及应急处置方案等。</w:t>
      </w:r>
    </w:p>
    <w:p w14:paraId="141A060C">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（14）现场安全文明施工及安全环境包括不限于工地围挡、临时设施、五牌二图、安全警示、现场安全防护等，经监理、发包人现场查验满足现场安全开工要求。</w:t>
      </w:r>
    </w:p>
    <w:p w14:paraId="7E70AAD5">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5</w:t>
      </w:r>
      <w:r>
        <w:rPr>
          <w:rFonts w:hint="eastAsia" w:ascii="宋体" w:hAnsi="宋体" w:cs="宋体"/>
          <w:color w:val="auto"/>
          <w:szCs w:val="21"/>
        </w:rPr>
        <w:t>）施工现场应满足施工作业基本条件。</w:t>
      </w:r>
    </w:p>
    <w:p w14:paraId="4BD4BE42">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6</w:t>
      </w:r>
      <w:r>
        <w:rPr>
          <w:rFonts w:hint="eastAsia" w:ascii="宋体" w:hAnsi="宋体" w:cs="宋体"/>
          <w:color w:val="auto"/>
          <w:szCs w:val="21"/>
        </w:rPr>
        <w:t>）</w:t>
      </w:r>
      <w:r>
        <w:rPr>
          <w:rFonts w:hint="eastAsia"/>
          <w:color w:val="auto"/>
        </w:rPr>
        <w:t>施工组织总设计的编制与审批已经完成</w:t>
      </w:r>
      <w:r>
        <w:rPr>
          <w:rFonts w:hint="eastAsia" w:ascii="宋体" w:hAnsi="宋体" w:cs="宋体"/>
          <w:color w:val="auto"/>
          <w:szCs w:val="21"/>
        </w:rPr>
        <w:t>。</w:t>
      </w:r>
    </w:p>
    <w:p w14:paraId="542B7C0A">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以上资料齐备后，承包人入场开工前向监理单位提交开工申请，经审核同意后方可开工。</w:t>
      </w:r>
    </w:p>
    <w:p w14:paraId="2D7DDAB1">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（二）停工和复工管理</w:t>
      </w:r>
    </w:p>
    <w:p w14:paraId="1F912CFE">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项目建设过程中发生下列情况之一时，建设单位及单位可下达停工令：</w:t>
      </w:r>
    </w:p>
    <w:p w14:paraId="660D6490">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（1）严重违反国家相关法律法规和发包人相关管理规定；</w:t>
      </w:r>
    </w:p>
    <w:p w14:paraId="25493374">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（2）不执行设计文件和标准规范或严重偷工减料；</w:t>
      </w:r>
    </w:p>
    <w:p w14:paraId="0AC8C4EB">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（3）发现重大质量、安全隐患；</w:t>
      </w:r>
    </w:p>
    <w:p w14:paraId="10FCA489">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（4）造成重大环境污染和破坏；</w:t>
      </w:r>
    </w:p>
    <w:p w14:paraId="7CDF7F20">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（5）发生群体性事件；</w:t>
      </w:r>
    </w:p>
    <w:p w14:paraId="6419CF87">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（6）发生安全生产事故；</w:t>
      </w:r>
    </w:p>
    <w:p w14:paraId="0833D4B2">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（7）其他须停工的事件。</w:t>
      </w:r>
    </w:p>
    <w:p w14:paraId="499F5D1B">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承包人接到《工程停工令》后应及时组织落实整改；</w:t>
      </w:r>
    </w:p>
    <w:p w14:paraId="13217E8A">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按《工程停工令》指定的问题整改完成后，应由监理单位组织核查和验收，并经发包人复查合格后方可复工；</w:t>
      </w:r>
    </w:p>
    <w:p w14:paraId="73C26D7F">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节前停工和节后复工实行审批制度并符合下列要求：</w:t>
      </w:r>
    </w:p>
    <w:p w14:paraId="63B4EE09">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（1）节前停工应履行相关审批手续，并做好停工期间安全防范措施和现场节日值班安排；</w:t>
      </w:r>
    </w:p>
    <w:p w14:paraId="30CF3676">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（2）节后复工前应</w:t>
      </w:r>
      <w:r>
        <w:rPr>
          <w:rFonts w:hint="eastAsia"/>
          <w:color w:val="auto"/>
        </w:rPr>
        <w:t>开展节后复工的安全生产条件检查和安全生产教育培训并履行复工审批手续后方可复工。</w:t>
      </w:r>
    </w:p>
    <w:p w14:paraId="5F9BC217">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（三）危大工程管理</w:t>
      </w:r>
    </w:p>
    <w:p w14:paraId="55C30F0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危险性较大的分部分项工程（危大工程）施工前编制专项方案，对于超过一定规模的危险性较大的分部分项工程（超危大工程，详见住建部〔2018〕37号令），承包人应当组织专家对专项方案进行论证。</w:t>
      </w:r>
    </w:p>
    <w:p w14:paraId="56312DC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危大工程实施前，方案编制人员或者项目技术负责人应当向施工现场管理人员进行方案交底，施工现场管理人员向作业人员进行安全技术交底，并由承包人的交交底人员人和被交底人、专职安全管理人员共同签字和项目专职安全生产管理人员共同签字确认。</w:t>
      </w:r>
    </w:p>
    <w:p w14:paraId="12EAB3B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w:t>
      </w:r>
      <w:r>
        <w:rPr>
          <w:rFonts w:hint="eastAsia" w:ascii="宋体" w:hAnsi="宋体" w:cs="宋体"/>
          <w:color w:val="auto"/>
          <w:kern w:val="24"/>
          <w:szCs w:val="21"/>
        </w:rPr>
        <w:t>危大工程过程管理：</w:t>
      </w:r>
    </w:p>
    <w:p w14:paraId="5E6A756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承包人应当严格按照专项施工方案组织施工，不得擅自修改专项施工方案。因规划调整、设计变更等原因确需调整的，修改后的专项施工方案应当重新审核和论证。涉及资金或者工期调整的，发包人应当按照约定予以调整。</w:t>
      </w:r>
    </w:p>
    <w:p w14:paraId="5282A2CE">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(2）承包人应当在施工现场显著位置公告危大工程名称、施工时间和具体责任人员，并在危险区域设置安全警示标志。</w:t>
      </w:r>
    </w:p>
    <w:p w14:paraId="2B88BD4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(3）承包人应当对危大工程施工作业人员进行登记，承包人项目负责人应当在施工现场履职。</w:t>
      </w:r>
    </w:p>
    <w:p w14:paraId="72BE386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危大工程施工时，承包人安全管理人员应现场旁站；超危大工程施工时，承包人项目技术负责人应对关键工序旁站，承包人安全管理人员应现场旁站。对未按照专项施工方案施工的，应当要求立即整改，承包人项目负责人应当及时组织限期整改。</w:t>
      </w:r>
      <w:r>
        <w:rPr>
          <w:rFonts w:ascii="宋体" w:hAnsi="宋体" w:cs="宋体"/>
          <w:color w:val="auto"/>
          <w:kern w:val="24"/>
          <w:szCs w:val="21"/>
        </w:rPr>
        <w:t xml:space="preserve"> </w:t>
      </w:r>
    </w:p>
    <w:p w14:paraId="0FD77E4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(5）危大工程发生险情或者事故时，承包人应当立即采取应急处置措施。</w:t>
      </w:r>
    </w:p>
    <w:p w14:paraId="54D27A3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（6）各个分部分项工程按要求验收，下一道工序开工前需经监理单位查验现场安全作业环境，经查验合格后方可进行下一道工序。</w:t>
      </w:r>
    </w:p>
    <w:p w14:paraId="44F9562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7）超危大工程施工期间实施报告制度，承包人应及时向发包人报告专项施工方案的实施情况，包括工程实施进展、承包人项目负责人现场履职巡查、承包人安全员现场巡查、隐患排查的文字说明、相关数据、现场照片等。</w:t>
      </w:r>
    </w:p>
    <w:p w14:paraId="053D360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8</w:t>
      </w:r>
      <w:r>
        <w:rPr>
          <w:rFonts w:hint="eastAsia" w:ascii="宋体" w:hAnsi="宋体" w:cs="宋体"/>
          <w:color w:val="auto"/>
          <w:kern w:val="24"/>
          <w:szCs w:val="21"/>
        </w:rPr>
        <w:t>）承包人应当将专项施工方案及审核、专家论证、交底、现场检査、验收及整改等相关资料纳人档案管理。</w:t>
      </w:r>
    </w:p>
    <w:p w14:paraId="398D191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p>
    <w:p w14:paraId="520878D4">
      <w:pPr>
        <w:pStyle w:val="3"/>
        <w:adjustRightInd w:val="0"/>
        <w:snapToGrid w:val="0"/>
        <w:spacing w:before="0" w:after="0" w:line="360" w:lineRule="auto"/>
        <w:ind w:firstLine="482" w:firstLineChars="200"/>
        <w:rPr>
          <w:color w:val="auto"/>
          <w:sz w:val="24"/>
          <w:szCs w:val="24"/>
        </w:rPr>
      </w:pPr>
      <w:r>
        <w:rPr>
          <w:rFonts w:hint="eastAsia"/>
          <w:color w:val="auto"/>
          <w:sz w:val="24"/>
          <w:szCs w:val="24"/>
        </w:rPr>
        <w:t>（四）安全验收</w:t>
      </w:r>
    </w:p>
    <w:p w14:paraId="7639B0F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承包人对施工</w:t>
      </w:r>
      <w:r>
        <w:rPr>
          <w:rFonts w:ascii="宋体" w:hAnsi="宋体" w:cs="宋体"/>
          <w:color w:val="auto"/>
          <w:kern w:val="24"/>
          <w:szCs w:val="21"/>
        </w:rPr>
        <w:t>关键节点</w:t>
      </w:r>
      <w:r>
        <w:rPr>
          <w:rFonts w:hint="eastAsia" w:ascii="宋体" w:hAnsi="宋体" w:cs="宋体"/>
          <w:color w:val="auto"/>
          <w:kern w:val="24"/>
          <w:szCs w:val="21"/>
        </w:rPr>
        <w:t>和专项安全防护措施</w:t>
      </w:r>
      <w:r>
        <w:rPr>
          <w:rFonts w:ascii="宋体" w:hAnsi="宋体" w:cs="宋体"/>
          <w:color w:val="auto"/>
          <w:kern w:val="24"/>
          <w:szCs w:val="21"/>
        </w:rPr>
        <w:t>应组织相关单位进行</w:t>
      </w:r>
      <w:r>
        <w:rPr>
          <w:rFonts w:hint="eastAsia" w:ascii="宋体" w:hAnsi="宋体" w:cs="宋体"/>
          <w:color w:val="auto"/>
          <w:kern w:val="24"/>
          <w:szCs w:val="21"/>
        </w:rPr>
        <w:t>安全</w:t>
      </w:r>
      <w:r>
        <w:rPr>
          <w:rFonts w:ascii="宋体" w:hAnsi="宋体" w:cs="宋体"/>
          <w:color w:val="auto"/>
          <w:kern w:val="24"/>
          <w:szCs w:val="21"/>
        </w:rPr>
        <w:t>验收</w:t>
      </w:r>
      <w:r>
        <w:rPr>
          <w:rFonts w:hint="eastAsia" w:ascii="宋体" w:hAnsi="宋体" w:cs="宋体"/>
          <w:color w:val="auto"/>
          <w:kern w:val="24"/>
          <w:szCs w:val="21"/>
        </w:rPr>
        <w:t>，</w:t>
      </w:r>
      <w:r>
        <w:rPr>
          <w:rFonts w:ascii="宋体" w:hAnsi="宋体" w:cs="宋体"/>
          <w:color w:val="auto"/>
          <w:kern w:val="24"/>
          <w:szCs w:val="21"/>
        </w:rPr>
        <w:t>采取措施有效控制安全风险</w:t>
      </w:r>
      <w:r>
        <w:rPr>
          <w:rFonts w:hint="eastAsia" w:ascii="宋体" w:hAnsi="宋体" w:cs="宋体"/>
          <w:color w:val="auto"/>
          <w:kern w:val="24"/>
          <w:szCs w:val="21"/>
        </w:rPr>
        <w:t>，</w:t>
      </w:r>
      <w:r>
        <w:rPr>
          <w:rFonts w:ascii="宋体" w:hAnsi="宋体" w:cs="宋体"/>
          <w:color w:val="auto"/>
          <w:kern w:val="24"/>
          <w:szCs w:val="21"/>
        </w:rPr>
        <w:t>符合条件后方能开始下一步施工</w:t>
      </w:r>
      <w:r>
        <w:rPr>
          <w:rFonts w:hint="eastAsia" w:ascii="宋体" w:hAnsi="宋体" w:cs="宋体"/>
          <w:color w:val="auto"/>
          <w:kern w:val="24"/>
          <w:szCs w:val="21"/>
        </w:rPr>
        <w:t>。应进行安全验收的项目包括但不限于：</w:t>
      </w:r>
    </w:p>
    <w:p w14:paraId="0F040DC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（1）大型施工机具和施工机械使用前；</w:t>
      </w:r>
    </w:p>
    <w:p w14:paraId="1EACB93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（2）脚手架搭设完成后启用前；</w:t>
      </w:r>
    </w:p>
    <w:p w14:paraId="271CE47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（3）模板工程完成后启用前；</w:t>
      </w:r>
    </w:p>
    <w:p w14:paraId="4EBC4FB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（4）施工临时用电施工完成后投入使用前；</w:t>
      </w:r>
    </w:p>
    <w:p w14:paraId="66DEDDA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（5）现场文明施工有关措施布设；</w:t>
      </w:r>
    </w:p>
    <w:p w14:paraId="168B89C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（6）基坑支护工程；</w:t>
      </w:r>
    </w:p>
    <w:p w14:paraId="5243BFC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7</w:t>
      </w:r>
      <w:r>
        <w:rPr>
          <w:rFonts w:hint="eastAsia" w:ascii="宋体" w:hAnsi="宋体" w:cs="宋体"/>
          <w:color w:val="auto"/>
          <w:kern w:val="24"/>
          <w:szCs w:val="21"/>
        </w:rPr>
        <w:t>）其他专项安全措施。</w:t>
      </w:r>
    </w:p>
    <w:p w14:paraId="5FD61A8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安全验收应</w:t>
      </w:r>
      <w:r>
        <w:rPr>
          <w:rFonts w:hint="eastAsia" w:ascii="宋体" w:hAnsi="宋体" w:cs="宋体"/>
          <w:color w:val="auto"/>
          <w:szCs w:val="21"/>
        </w:rPr>
        <w:t>留存纸质验收记录，参与验收的人员应签名。</w:t>
      </w:r>
    </w:p>
    <w:p w14:paraId="74FA214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w:t>
      </w:r>
      <w:r>
        <w:rPr>
          <w:rFonts w:hint="eastAsia" w:ascii="宋体" w:hAnsi="宋体" w:cs="宋体"/>
          <w:color w:val="auto"/>
          <w:kern w:val="24"/>
          <w:szCs w:val="21"/>
        </w:rPr>
        <w:t>设备设施的验收使用</w:t>
      </w:r>
    </w:p>
    <w:p w14:paraId="376D7251">
      <w:pPr>
        <w:tabs>
          <w:tab w:val="left" w:pos="567"/>
          <w:tab w:val="left" w:pos="709"/>
          <w:tab w:val="left" w:pos="1134"/>
        </w:tabs>
        <w:adjustRightInd w:val="0"/>
        <w:snapToGrid w:val="0"/>
        <w:spacing w:line="360" w:lineRule="auto"/>
        <w:ind w:firstLine="420" w:firstLineChars="200"/>
        <w:rPr>
          <w:rFonts w:hint="eastAsia" w:ascii="宋体" w:hAnsi="宋体" w:cs="宋体"/>
          <w:b/>
          <w:i/>
          <w:color w:val="auto"/>
          <w:kern w:val="24"/>
          <w:szCs w:val="21"/>
        </w:rPr>
      </w:pPr>
      <w:r>
        <w:rPr>
          <w:rFonts w:hint="eastAsia" w:ascii="宋体" w:hAnsi="宋体" w:cs="宋体"/>
          <w:color w:val="auto"/>
          <w:kern w:val="24"/>
          <w:szCs w:val="21"/>
        </w:rPr>
        <w:t>承包人应对进场施工所用的钻机、搅拌机、砼输送机、强夯机、打桩机、塔吊、卷扬机、焊机、钢筋加工机等进行安全验收，相关的设备的合格证书、检验证书、维保记录等经监理单位验收合格后方可使用。</w:t>
      </w:r>
    </w:p>
    <w:p w14:paraId="652F5310">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（五）高风险作业管理</w:t>
      </w:r>
    </w:p>
    <w:p w14:paraId="0AD28CD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危险作业活动包括动火作业、有限空间作业、高处作业、吊装作业等，从事该活动的需要“作业许可”审批制度、现场监护管理制度，未办理作业许可审批报告、未经签发批准、未落实现场监护措施的不得实施作业，实施高风险作业前，应将相关资料报监理单位或发包人审批。</w:t>
      </w:r>
    </w:p>
    <w:p w14:paraId="7C361593">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动火作业</w:t>
      </w:r>
    </w:p>
    <w:p w14:paraId="6EEA72D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（1）承包人应制定动火审批制度，动火作业进行分级管理，现场动火作业前应办理动火审批手续，确定动火作业监护人，落实现场防火措施。</w:t>
      </w:r>
    </w:p>
    <w:p w14:paraId="567F95B3">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（2）高空进行动火作业时，若下面有可燃物、空洞、地沟等，应采取防护措施。</w:t>
      </w:r>
    </w:p>
    <w:p w14:paraId="5450CB2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（3）五级大风以上（含）天气，禁止进行露天动火作业，因生产需要确需进行动火作业时，动火作业前需做好火灾预防措施。</w:t>
      </w:r>
    </w:p>
    <w:p w14:paraId="11B1FE0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（4）动火作业应有专人监护，动火作业前应先清除动火现场及周围的易燃物品，并做好安全防火措施，在动火作业现场需配备足够的消防器材。</w:t>
      </w:r>
    </w:p>
    <w:p w14:paraId="2312594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（5）动火作业前，应检查电、气焊工具，保证安全可靠。</w:t>
      </w:r>
    </w:p>
    <w:p w14:paraId="18C20FD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（6）动火作业人员不得带病进行作业，承包人需对动火作业人员进行动火作业安全教育培训，确保动火作业人员操作规范合理。</w:t>
      </w:r>
    </w:p>
    <w:p w14:paraId="4FB3023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（7）使用气割动火作业时，氧气瓶与乙炔气瓶间距不得小于5m，二者与动火作业地点均不得小于10m。</w:t>
      </w:r>
    </w:p>
    <w:p w14:paraId="011AFCB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（8）动火作业完毕，应清理作业现场，完工30分钟后，需再次检查现场是否无残留火种，检查合格后工作人员方可离开作业现场。</w:t>
      </w:r>
    </w:p>
    <w:p w14:paraId="2DE9618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高处作业与保护</w:t>
      </w:r>
    </w:p>
    <w:p w14:paraId="7457925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（1）实施作业审批制度，承包人应对高处作业人员进行安全教育和安全技术交底。</w:t>
      </w:r>
    </w:p>
    <w:p w14:paraId="379964F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（2）高处作业人员应持证上岗。</w:t>
      </w:r>
    </w:p>
    <w:p w14:paraId="10797CD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3</w:t>
      </w:r>
      <w:r>
        <w:rPr>
          <w:rFonts w:hint="eastAsia" w:ascii="宋体" w:hAnsi="宋体" w:cs="宋体"/>
          <w:color w:val="auto"/>
          <w:kern w:val="24"/>
          <w:szCs w:val="21"/>
        </w:rPr>
        <w:t>）承包人在使用高处作业设备和防坠落保护工具前应进行检查。</w:t>
      </w:r>
    </w:p>
    <w:p w14:paraId="77269D8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4</w:t>
      </w:r>
      <w:r>
        <w:rPr>
          <w:rFonts w:hint="eastAsia" w:ascii="宋体" w:hAnsi="宋体" w:cs="宋体"/>
          <w:color w:val="auto"/>
          <w:kern w:val="24"/>
          <w:szCs w:val="21"/>
        </w:rPr>
        <w:t>）承包人应安排专人监护高处作业，监督落实相关安全措施。</w:t>
      </w:r>
    </w:p>
    <w:p w14:paraId="4EFEEEB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3.</w:t>
      </w:r>
      <w:r>
        <w:rPr>
          <w:rFonts w:hint="eastAsia" w:ascii="宋体" w:hAnsi="宋体" w:cs="宋体"/>
          <w:color w:val="auto"/>
          <w:kern w:val="24"/>
          <w:szCs w:val="21"/>
        </w:rPr>
        <w:t>有限空间作业</w:t>
      </w:r>
    </w:p>
    <w:p w14:paraId="5E90F3F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（1）实施作业审批及监护制度，承包人应编制在有限空间内作业的规程。</w:t>
      </w:r>
    </w:p>
    <w:p w14:paraId="2D08139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（2）承包人评估和监控有限空间内的空气质量，特别是监控氧气和易燃气体的比例。承包人应为检测人员提供监控设备，监控设备需经常检查保证合格有效，检查记录需存档备案。</w:t>
      </w:r>
    </w:p>
    <w:p w14:paraId="5BA9A1E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（3）承包人应确保其进行有限空间作业的员工都接受过有关有限空间危害的培训，严格遵守有限空间作业规程。</w:t>
      </w:r>
    </w:p>
    <w:p w14:paraId="5663D54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（4）在每次进入有限空间前，承包人都应确保：</w:t>
      </w:r>
    </w:p>
    <w:p w14:paraId="1C4EE99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1）使用合格的通风设备净化有限空间内的空气，并须持续为有限空间提供新鲜空气；</w:t>
      </w:r>
    </w:p>
    <w:p w14:paraId="785969A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2）所有电气设备都应为安全电压或防爆设备，或电气设备都装有接地故障断路器进行漏电保护；</w:t>
      </w:r>
    </w:p>
    <w:p w14:paraId="3FF632D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3）在有限空间作业前须提前设置好安全出入口；</w:t>
      </w:r>
    </w:p>
    <w:p w14:paraId="39021573">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4）制定在有限空间内作业时发生事故的营救计划；</w:t>
      </w:r>
    </w:p>
    <w:p w14:paraId="5A956E8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5）隔离所有外部气体污染源。</w:t>
      </w:r>
    </w:p>
    <w:p w14:paraId="73AE189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（5）承包人应确保负责安全监视的人员接受过合格的培训，掌握在有限空间内发生紧急事故后的应急处置办法。</w:t>
      </w:r>
    </w:p>
    <w:p w14:paraId="3FC1372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（6）承包人应在工作人员进入有限空间工作前成立紧急情况营救组，并确保作业人员知道在发生安全事故时如何进行应急处置。</w:t>
      </w:r>
    </w:p>
    <w:p w14:paraId="5FA9DFF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（7）承包人不得允许任何人在没有获得许可证的情况下进入有限空间。进入有限空间内作业前需将许可证贴在有限空间的明显位置，所有进出有限空间的作业人员都应在登记簿上签字备案。</w:t>
      </w:r>
    </w:p>
    <w:p w14:paraId="66F803F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w:t>
      </w:r>
      <w:r>
        <w:rPr>
          <w:rFonts w:ascii="宋体" w:hAnsi="宋体" w:cs="宋体"/>
          <w:color w:val="auto"/>
          <w:kern w:val="24"/>
          <w:szCs w:val="21"/>
        </w:rPr>
        <w:t>.</w:t>
      </w:r>
      <w:r>
        <w:rPr>
          <w:rFonts w:hint="eastAsia" w:ascii="宋体" w:hAnsi="宋体" w:cs="宋体"/>
          <w:color w:val="auto"/>
          <w:kern w:val="24"/>
          <w:szCs w:val="21"/>
        </w:rPr>
        <w:t>起重吊装作业</w:t>
      </w:r>
    </w:p>
    <w:p w14:paraId="416AF7C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（1）实施作业审批制度，承包人应监控起重机的作业以确保起重作业符合规定或规范要求。</w:t>
      </w:r>
    </w:p>
    <w:p w14:paraId="7894E15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（2）对于一体化设备等大型设备的吊装，承包人应按照规定落实相关安全措施。</w:t>
      </w:r>
    </w:p>
    <w:p w14:paraId="0B8F901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（3）承包人需指派具有丰富经验和资格的工程师负责起重机的使用管理。</w:t>
      </w:r>
    </w:p>
    <w:p w14:paraId="0CECDC5E">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（4）承包人应确保设备操作人员均接受过相应的安全培训，清楚自己在操作设备时的责任。</w:t>
      </w:r>
    </w:p>
    <w:p w14:paraId="6EC2E5E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（5）承包人使用的所有起重机都应有详细的使用检查记录，并备案存档。</w:t>
      </w:r>
    </w:p>
    <w:p w14:paraId="15B066C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（6）承包人应确保机器的操作人员每天对机器进行检查，司索人员对吊索具进行检查，不得使用有危险的机器和吊索具。</w:t>
      </w:r>
    </w:p>
    <w:p w14:paraId="1160E3E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（7）承包人应在起重机清楚标明机器的额定起重能力。</w:t>
      </w:r>
    </w:p>
    <w:p w14:paraId="0EAB416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（8）所有吊索具都应进行妥善保管。</w:t>
      </w:r>
    </w:p>
    <w:p w14:paraId="353AAD6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（9）承包人应确保工作人员清楚在操作起重机时，起重机与高压线的距离不得小于最低安全距离。</w:t>
      </w:r>
    </w:p>
    <w:p w14:paraId="709CBE7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（10）承包人应确保在起重机臂杆半径范围内有设置路障，以防人员接触或被起重机撞击。</w:t>
      </w:r>
    </w:p>
    <w:p w14:paraId="2B9AA9FE">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（11）起重作业吊装，应落实现场旁站指挥。</w:t>
      </w:r>
    </w:p>
    <w:p w14:paraId="25B30EFA">
      <w:pPr>
        <w:pStyle w:val="3"/>
        <w:adjustRightInd w:val="0"/>
        <w:snapToGrid w:val="0"/>
        <w:spacing w:before="0" w:after="0" w:line="360" w:lineRule="auto"/>
        <w:ind w:firstLine="482" w:firstLineChars="200"/>
        <w:rPr>
          <w:color w:val="auto"/>
          <w:sz w:val="24"/>
          <w:szCs w:val="24"/>
        </w:rPr>
      </w:pPr>
      <w:r>
        <w:rPr>
          <w:rFonts w:hint="eastAsia"/>
          <w:color w:val="auto"/>
          <w:sz w:val="24"/>
          <w:szCs w:val="24"/>
        </w:rPr>
        <w:t>（六）</w:t>
      </w:r>
      <w:r>
        <w:rPr>
          <w:color w:val="auto"/>
          <w:sz w:val="24"/>
          <w:szCs w:val="24"/>
        </w:rPr>
        <w:t>消防管理</w:t>
      </w:r>
    </w:p>
    <w:p w14:paraId="3E0DA0A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承包人应当建立消防安全责任制度，确定消防安全责任人，制定用火、用电、使用易燃易爆材料等各项消防安全管理制度和操作规程，设置消防通道、消防水源，配备消防设施和灭火器材，并在施工现场入口处设置明显标志，履行法律、法规规定的消防安全职责。</w:t>
      </w:r>
    </w:p>
    <w:p w14:paraId="6A8E9BF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承包人应提供作业所需的火灾保护和消防设施及器材，消防设施及器材应按照相关规定要求进行检查、维修、更换，承包人应培训其员工能够正确使用消防设施及器材。</w:t>
      </w:r>
    </w:p>
    <w:p w14:paraId="4F7F65B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w:t>
      </w:r>
      <w:r>
        <w:rPr>
          <w:rFonts w:hint="eastAsia" w:ascii="宋体" w:hAnsi="宋体" w:cs="宋体"/>
          <w:color w:val="auto"/>
          <w:kern w:val="24"/>
          <w:szCs w:val="21"/>
        </w:rPr>
        <w:t>承包人应在所有出入口设置明显的疏散指示标志，保证出入口都有充足的照明。承包人应确保所有紧急照明设备处于完好状态，确保疏散通道畅通。</w:t>
      </w:r>
    </w:p>
    <w:p w14:paraId="74C1BA1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4.</w:t>
      </w:r>
      <w:r>
        <w:rPr>
          <w:rFonts w:hint="eastAsia" w:ascii="宋体" w:hAnsi="宋体" w:cs="宋体"/>
          <w:color w:val="auto"/>
          <w:kern w:val="24"/>
          <w:szCs w:val="21"/>
        </w:rPr>
        <w:t>承包人应在危险区域设置合适的警示标志，确保所有危险区域的出入口通畅。</w:t>
      </w:r>
    </w:p>
    <w:p w14:paraId="14C3F477">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（七）典型工程安全管理要求</w:t>
      </w:r>
    </w:p>
    <w:p w14:paraId="4991F24E">
      <w:pPr>
        <w:tabs>
          <w:tab w:val="left" w:pos="567"/>
          <w:tab w:val="left" w:pos="709"/>
          <w:tab w:val="left" w:pos="1134"/>
        </w:tabs>
        <w:adjustRightInd w:val="0"/>
        <w:snapToGrid w:val="0"/>
        <w:spacing w:line="360" w:lineRule="auto"/>
        <w:ind w:firstLine="420" w:firstLineChars="200"/>
        <w:rPr>
          <w:rFonts w:hint="eastAsia" w:ascii="宋体" w:hAnsi="宋体" w:cs="宋体"/>
          <w:b/>
          <w:color w:val="auto"/>
          <w:kern w:val="24"/>
          <w:szCs w:val="21"/>
        </w:rPr>
      </w:pPr>
      <w:r>
        <w:rPr>
          <w:rFonts w:hint="eastAsia" w:ascii="宋体" w:hAnsi="宋体" w:cs="宋体"/>
          <w:b/>
          <w:color w:val="auto"/>
          <w:kern w:val="24"/>
          <w:szCs w:val="21"/>
        </w:rPr>
        <w:t>1</w:t>
      </w:r>
      <w:r>
        <w:rPr>
          <w:rFonts w:ascii="宋体" w:hAnsi="宋体" w:cs="宋体"/>
          <w:b/>
          <w:color w:val="auto"/>
          <w:kern w:val="24"/>
          <w:szCs w:val="21"/>
        </w:rPr>
        <w:t>.</w:t>
      </w:r>
      <w:r>
        <w:rPr>
          <w:rFonts w:hint="eastAsia" w:ascii="宋体" w:hAnsi="宋体" w:cs="宋体"/>
          <w:b/>
          <w:color w:val="auto"/>
          <w:kern w:val="24"/>
          <w:szCs w:val="21"/>
        </w:rPr>
        <w:t>脚手架搭设</w:t>
      </w:r>
    </w:p>
    <w:p w14:paraId="1B3373C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（1）承包人应编制脚手架使用规程，并保证使用符合规范要求的脚手架材料来进行搭建。</w:t>
      </w:r>
    </w:p>
    <w:p w14:paraId="1752051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（2）脚手架平台应用厚木板或金属板全面支撑，脚手架四周都应有符合标准的护栏保护。</w:t>
      </w:r>
      <w:r>
        <w:rPr>
          <w:rFonts w:hint="eastAsia"/>
          <w:color w:val="auto"/>
          <w:szCs w:val="21"/>
        </w:rPr>
        <w:t>如果护拦最高点到平台距离达到1.2米以上，应安装中央护拦和10厘米脚板。</w:t>
      </w:r>
    </w:p>
    <w:p w14:paraId="0A59A60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（3）如有员工需在脚手架下作业或行走的情况，承包人在安装脚手架的时候应在脚手架架台与脚手架围栏顶部之间安装网栏，并在架台下安装厚木板。</w:t>
      </w:r>
    </w:p>
    <w:p w14:paraId="35CE652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承包人应制作符合发包人要求的脚手架标牌系统。使用红标表明脚手架处于建设中或脚手架已破损；黄色表明脚手架已建好，但仍存在危险；绿色表明脚手架已建好并符合安全标准。</w:t>
      </w:r>
    </w:p>
    <w:p w14:paraId="469AEE6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4</w:t>
      </w:r>
      <w:r>
        <w:rPr>
          <w:rFonts w:hint="eastAsia" w:ascii="宋体" w:hAnsi="宋体" w:cs="宋体"/>
          <w:color w:val="auto"/>
          <w:kern w:val="24"/>
          <w:szCs w:val="21"/>
        </w:rPr>
        <w:t>）承包人在安装调整脚手架时，应由具备脚手架搭设资格的专业人员的进行搭建。搭建前应先向发包人递交此脚手架搭建者的资格证书复印件进行备案，并在确保搭建脚手架的位置地面硬化程度符合标准后方可进行搭建。在使用脚手架前应对脚手架进行仔细检查并将检查结果存档备案。使用脚手架后，应每天对脚手架进行检查，并做好记录的存档备案工作。</w:t>
      </w:r>
    </w:p>
    <w:p w14:paraId="15F4901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5</w:t>
      </w:r>
      <w:r>
        <w:rPr>
          <w:rFonts w:hint="eastAsia" w:ascii="宋体" w:hAnsi="宋体" w:cs="宋体"/>
          <w:color w:val="auto"/>
          <w:kern w:val="24"/>
          <w:szCs w:val="21"/>
        </w:rPr>
        <w:t>）脚手架遇到六级以上大风、雨雪天气或停用超过一个月或其它对脚手架有重大影响事件发生时须经由搭建脚手架资格的专业人员重新检查，满足安全要求后才可继续使用。</w:t>
      </w:r>
    </w:p>
    <w:p w14:paraId="7AC4F08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6</w:t>
      </w:r>
      <w:r>
        <w:rPr>
          <w:rFonts w:hint="eastAsia" w:ascii="宋体" w:hAnsi="宋体" w:cs="宋体"/>
          <w:color w:val="auto"/>
          <w:kern w:val="24"/>
          <w:szCs w:val="21"/>
        </w:rPr>
        <w:t>）承包人应设置通往脚手架各层的安全出入口。应对脚手架平台出入口进行保护以避免出现坠落事故。</w:t>
      </w:r>
      <w:r>
        <w:rPr>
          <w:rFonts w:hint="eastAsia"/>
          <w:color w:val="auto"/>
          <w:szCs w:val="21"/>
        </w:rPr>
        <w:t>如需搭建高度超过24米的落地式脚手架，承包人应让有搭建资格的专业工程师来设计搭建。</w:t>
      </w:r>
    </w:p>
    <w:p w14:paraId="7DD5BD0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7</w:t>
      </w:r>
      <w:r>
        <w:rPr>
          <w:rFonts w:hint="eastAsia" w:ascii="宋体" w:hAnsi="宋体" w:cs="宋体"/>
          <w:color w:val="auto"/>
          <w:kern w:val="24"/>
          <w:szCs w:val="21"/>
        </w:rPr>
        <w:t>）承包人应对脚手架使用员工进行安全培训、安全交底。</w:t>
      </w:r>
    </w:p>
    <w:p w14:paraId="50AFC28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8</w:t>
      </w:r>
      <w:r>
        <w:rPr>
          <w:rFonts w:hint="eastAsia" w:ascii="宋体" w:hAnsi="宋体" w:cs="宋体"/>
          <w:color w:val="auto"/>
          <w:kern w:val="24"/>
          <w:szCs w:val="21"/>
        </w:rPr>
        <w:t xml:space="preserve">）作业人员上下应有专用通道，不得攀爬架体。 </w:t>
      </w:r>
    </w:p>
    <w:p w14:paraId="3121F203">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深基坑开挖和支护</w:t>
      </w:r>
    </w:p>
    <w:p w14:paraId="6037511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 xml:space="preserve">（1）承包人应编制深基坑开挖和支护、深基坑降水专项施工方案，并按要求组织专家论证审查，按照相关规定完善专项方案，并组织做好安全技术交底工作。 </w:t>
      </w:r>
    </w:p>
    <w:p w14:paraId="24C00A3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（2）土方开挖前，承包人应确认地下管线的埋置深度、位置及防护要求后，制定防护措施，土方开挖时，承包人应对相邻建（构）筑物、道路的沉降和位移情况进行观测。</w:t>
      </w:r>
    </w:p>
    <w:p w14:paraId="619EF623">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承包人应作好施工区域内临时排水系统规划，临时排水不得破坏相邻建（构）筑物的地基和挖、填土方的边坡。在地形、地质条件复杂，可能发生滑坡、坍塌的地段挖方时，应由设计单位确定排水方案。场地周围出现地表水汇流、排泻或地下水管渗漏时，承包人应组织排水，对基坑采取保护措施。开挖低于地下水位的基坑，承包人应合理选用降水措施降低地下水位。</w:t>
      </w:r>
    </w:p>
    <w:p w14:paraId="1E67166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（4）基坑边堆置各类建筑材料的，应按规定距离堆置。</w:t>
      </w:r>
    </w:p>
    <w:p w14:paraId="05A6E6E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 xml:space="preserve">（5）基坑作业时，承包人应在施工方案中确定攀登设施及专用通道，作业人员不得攀爬模板、脚手架等临时设施。 </w:t>
      </w:r>
    </w:p>
    <w:p w14:paraId="79EC2C0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（6）机械开挖土方时，作业人员不得进入机械作业范围内进行清理。</w:t>
      </w:r>
    </w:p>
    <w:p w14:paraId="6FA2ABA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（7）承包人应采取措施防止地面水流入基坑内造成边坡塌方或土体破坏。基坑开挖后，应及时进行地下结构和安装工程施工，基坑开挖或回填应连续进行。在施工过程中，应随时检查坑壁的稳定情况。</w:t>
      </w:r>
    </w:p>
    <w:p w14:paraId="7E44644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8</w:t>
      </w:r>
      <w:r>
        <w:rPr>
          <w:rFonts w:hint="eastAsia" w:ascii="宋体" w:hAnsi="宋体" w:cs="宋体"/>
          <w:color w:val="auto"/>
          <w:kern w:val="24"/>
          <w:szCs w:val="21"/>
        </w:rPr>
        <w:t>）基坑施工及模板作业时，承包人应指定专人指挥、监护，出现位移、开裂及渗漏时，应立即停止施工，将作业人员撤离作业现场，待险情排除后，方可作业。</w:t>
      </w:r>
    </w:p>
    <w:p w14:paraId="5673F766">
      <w:pPr>
        <w:tabs>
          <w:tab w:val="left" w:pos="567"/>
          <w:tab w:val="left" w:pos="709"/>
          <w:tab w:val="left" w:pos="1134"/>
        </w:tabs>
        <w:adjustRightInd w:val="0"/>
        <w:snapToGrid w:val="0"/>
        <w:spacing w:line="360" w:lineRule="auto"/>
        <w:ind w:firstLine="420" w:firstLineChars="200"/>
        <w:rPr>
          <w:rFonts w:hint="eastAsia" w:ascii="宋体" w:hAnsi="宋体" w:cs="宋体"/>
          <w:b/>
          <w:color w:val="auto"/>
          <w:kern w:val="24"/>
          <w:szCs w:val="21"/>
        </w:rPr>
      </w:pPr>
      <w:r>
        <w:rPr>
          <w:rFonts w:hint="eastAsia" w:ascii="宋体" w:hAnsi="宋体" w:cs="宋体"/>
          <w:b/>
          <w:color w:val="auto"/>
          <w:kern w:val="24"/>
          <w:szCs w:val="21"/>
        </w:rPr>
        <w:t>3</w:t>
      </w:r>
      <w:r>
        <w:rPr>
          <w:rFonts w:ascii="宋体" w:hAnsi="宋体" w:cs="宋体"/>
          <w:b/>
          <w:color w:val="auto"/>
          <w:kern w:val="24"/>
          <w:szCs w:val="21"/>
        </w:rPr>
        <w:t>.</w:t>
      </w:r>
      <w:r>
        <w:rPr>
          <w:rFonts w:hint="eastAsia" w:ascii="宋体" w:hAnsi="宋体" w:cs="宋体"/>
          <w:b/>
          <w:color w:val="auto"/>
          <w:kern w:val="24"/>
          <w:szCs w:val="21"/>
        </w:rPr>
        <w:t>坠落保护</w:t>
      </w:r>
    </w:p>
    <w:p w14:paraId="54AC066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（1）承包人应编制坠落预防与保护规程，应确保防坠落保护设备的安全与有效，如脚手架、载人设备等。</w:t>
      </w:r>
    </w:p>
    <w:p w14:paraId="439FE42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（2）承包人应在使用防坠落保护设备前对设备进行检查。</w:t>
      </w:r>
    </w:p>
    <w:p w14:paraId="347981D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（3）承包人应为工作或行走在离地面2米及以上无防护设施的员工，提供安全带进行防坠落保护，防坠落保护器具应符合国家标准。</w:t>
      </w:r>
    </w:p>
    <w:p w14:paraId="41697F2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承包人在开始工作前，应先根据现场实际情况确认使用哪种工作方式来保证无坠落事故的发生。应由具有合格索具安装资格的人员进行索具的安装和维修。安全绳只能用抓绳器垂直连接到救生索上，不可使用打结、系艇索钩或绕绳的方式连接安全绳和救生索。水平救生索应在腰身高处设置打结。</w:t>
      </w:r>
    </w:p>
    <w:p w14:paraId="387A0EE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w:t>
      </w:r>
      <w:r>
        <w:rPr>
          <w:rFonts w:hint="eastAsia"/>
          <w:color w:val="auto"/>
          <w:szCs w:val="21"/>
        </w:rPr>
        <w:t>承包人应要求其人员在不能保持3点接触的梯子上工作时系好安全带。</w:t>
      </w:r>
    </w:p>
    <w:p w14:paraId="6718766A">
      <w:pPr>
        <w:tabs>
          <w:tab w:val="left" w:pos="567"/>
          <w:tab w:val="left" w:pos="709"/>
          <w:tab w:val="left" w:pos="1134"/>
        </w:tabs>
        <w:adjustRightInd w:val="0"/>
        <w:snapToGrid w:val="0"/>
        <w:spacing w:line="360" w:lineRule="auto"/>
        <w:ind w:firstLine="420" w:firstLineChars="200"/>
        <w:rPr>
          <w:rFonts w:hint="eastAsia" w:ascii="宋体" w:hAnsi="宋体" w:cs="宋体"/>
          <w:b/>
          <w:color w:val="auto"/>
          <w:kern w:val="24"/>
          <w:szCs w:val="21"/>
        </w:rPr>
      </w:pPr>
      <w:r>
        <w:rPr>
          <w:rFonts w:hint="eastAsia" w:ascii="宋体" w:hAnsi="宋体" w:cs="宋体"/>
          <w:b/>
          <w:color w:val="auto"/>
          <w:kern w:val="24"/>
          <w:szCs w:val="21"/>
        </w:rPr>
        <w:t>4</w:t>
      </w:r>
      <w:r>
        <w:rPr>
          <w:rFonts w:ascii="宋体" w:hAnsi="宋体" w:cs="宋体"/>
          <w:b/>
          <w:color w:val="auto"/>
          <w:kern w:val="24"/>
          <w:szCs w:val="21"/>
        </w:rPr>
        <w:t>.</w:t>
      </w:r>
      <w:r>
        <w:rPr>
          <w:rFonts w:hint="eastAsia" w:ascii="宋体" w:hAnsi="宋体" w:cs="宋体"/>
          <w:b/>
          <w:color w:val="auto"/>
          <w:kern w:val="24"/>
          <w:szCs w:val="21"/>
        </w:rPr>
        <w:t>出入管理与治安保卫</w:t>
      </w:r>
    </w:p>
    <w:p w14:paraId="0026DA1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（1）承包人应指定保卫工作的负责人，建立相应的岗位责任制。</w:t>
      </w:r>
    </w:p>
    <w:p w14:paraId="2C4B6B1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（2）承包人应识别重点保卫对象，并建立相应的保卫方案。</w:t>
      </w:r>
    </w:p>
    <w:p w14:paraId="7C256D1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（3）承包人应按规定办理人员和物资的出、入场证件。</w:t>
      </w:r>
    </w:p>
    <w:p w14:paraId="352F8FF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（4）承包人应对工地进行连续围蔽，设置门禁系统和视频监控系统，对工地进出的人员和车辆以及物资进行核查。</w:t>
      </w:r>
    </w:p>
    <w:p w14:paraId="0773310D">
      <w:pPr>
        <w:tabs>
          <w:tab w:val="left" w:pos="567"/>
          <w:tab w:val="left" w:pos="709"/>
          <w:tab w:val="left" w:pos="1134"/>
        </w:tabs>
        <w:adjustRightInd w:val="0"/>
        <w:snapToGrid w:val="0"/>
        <w:spacing w:line="360" w:lineRule="auto"/>
        <w:ind w:firstLine="420" w:firstLineChars="200"/>
        <w:rPr>
          <w:rFonts w:hint="eastAsia" w:ascii="宋体" w:hAnsi="宋体" w:cs="宋体"/>
          <w:b/>
          <w:color w:val="auto"/>
          <w:kern w:val="24"/>
          <w:szCs w:val="21"/>
        </w:rPr>
      </w:pPr>
      <w:r>
        <w:rPr>
          <w:rFonts w:hint="eastAsia" w:ascii="宋体" w:hAnsi="宋体" w:cs="宋体"/>
          <w:b/>
          <w:color w:val="auto"/>
          <w:kern w:val="24"/>
          <w:szCs w:val="21"/>
        </w:rPr>
        <w:t>5</w:t>
      </w:r>
      <w:r>
        <w:rPr>
          <w:rFonts w:ascii="宋体" w:hAnsi="宋体" w:cs="宋体"/>
          <w:b/>
          <w:color w:val="auto"/>
          <w:kern w:val="24"/>
          <w:szCs w:val="21"/>
        </w:rPr>
        <w:t>.</w:t>
      </w:r>
      <w:r>
        <w:rPr>
          <w:rFonts w:hint="eastAsia" w:ascii="宋体" w:hAnsi="宋体" w:cs="宋体"/>
          <w:b/>
          <w:color w:val="auto"/>
          <w:kern w:val="24"/>
          <w:szCs w:val="21"/>
        </w:rPr>
        <w:t>危险品与化学品</w:t>
      </w:r>
    </w:p>
    <w:p w14:paraId="30BF481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（1）承包人应按相关法规和发包人的安全管理协议编制危险物品和化学品管理制度</w:t>
      </w:r>
      <w:r>
        <w:rPr>
          <w:rFonts w:hint="eastAsia"/>
          <w:color w:val="auto"/>
          <w:szCs w:val="21"/>
        </w:rPr>
        <w:t>，并报发包人及监理单位备案</w:t>
      </w:r>
      <w:r>
        <w:rPr>
          <w:rFonts w:hint="eastAsia" w:ascii="宋体" w:hAnsi="宋体" w:cs="宋体"/>
          <w:color w:val="auto"/>
          <w:kern w:val="24"/>
          <w:szCs w:val="21"/>
        </w:rPr>
        <w:t>。该制度须包括如何运输、存放、使用、检查、处理危险物品和化学品。</w:t>
      </w:r>
    </w:p>
    <w:p w14:paraId="059CB01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（2）承包人运送任何危险物品和化学品去工地现场都应事先通知发包人的安全管理部门，并向发包人提供危险物品和化学品的材料清单和安全数据表。</w:t>
      </w:r>
      <w:r>
        <w:rPr>
          <w:rFonts w:hint="eastAsia"/>
          <w:color w:val="auto"/>
          <w:szCs w:val="21"/>
        </w:rPr>
        <w:t>未提供材料安全数据表，未经发包人批准，危险物品和化学品不得运送进入施工场地。</w:t>
      </w:r>
    </w:p>
    <w:p w14:paraId="09497BA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（3）承包人需与危险物品和化学品供应单位签订供应和服务合同，合同应包含安全责任条款</w:t>
      </w:r>
      <w:r>
        <w:rPr>
          <w:rFonts w:hint="eastAsia"/>
          <w:color w:val="auto"/>
          <w:szCs w:val="21"/>
        </w:rPr>
        <w:t>，这些条款需符合发包人的安全管理要求和安全技术规范</w:t>
      </w:r>
      <w:r>
        <w:rPr>
          <w:rFonts w:hint="eastAsia" w:ascii="宋体" w:hAnsi="宋体" w:cs="宋体"/>
          <w:color w:val="auto"/>
          <w:kern w:val="24"/>
          <w:szCs w:val="21"/>
        </w:rPr>
        <w:t>。</w:t>
      </w:r>
    </w:p>
    <w:p w14:paraId="2E6EF03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承包人员工培训应包括以危险物品和化学品为主题的内容，确保员工能够认识并正确使用和防范危险物品和化学品。承包人还应对参与使用任何特殊危险物品和化学品的工作人员进行特殊危险品和化学品的培训。培训后应做好记录并存档备案。</w:t>
      </w:r>
    </w:p>
    <w:p w14:paraId="5BC4A0E3">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承包人使用危险物品和化学品时，应建立满足安全标准的专用临时储存设施，并在存储设施周围设置消防器等应急设施，在存储危险品和化学物品的设施上贴上明显的警示标签，禁止在施工场地内建立临时油库，但可以划定专门加油工作区域。</w:t>
      </w:r>
    </w:p>
    <w:p w14:paraId="3B013B2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（6）承包人在危险物品和化学品的转移过程中，应为所转移的危险品和化学品贴上明显的警示标签，并对所贴标签进行检查、记录、存档。</w:t>
      </w:r>
    </w:p>
    <w:p w14:paraId="5C63EE9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（7）承包人应定期根据实际情况更新危险品清单，并提供给发包人的安全管理部门备案。</w:t>
      </w:r>
    </w:p>
    <w:p w14:paraId="3B7A1ECF">
      <w:pPr>
        <w:tabs>
          <w:tab w:val="left" w:pos="567"/>
          <w:tab w:val="left" w:pos="709"/>
          <w:tab w:val="left" w:pos="1134"/>
        </w:tabs>
        <w:adjustRightInd w:val="0"/>
        <w:snapToGrid w:val="0"/>
        <w:spacing w:line="360" w:lineRule="auto"/>
        <w:ind w:firstLine="420" w:firstLineChars="200"/>
        <w:rPr>
          <w:rFonts w:hint="eastAsia" w:ascii="宋体" w:hAnsi="宋体" w:cs="宋体"/>
          <w:b/>
          <w:color w:val="auto"/>
          <w:kern w:val="24"/>
          <w:szCs w:val="21"/>
        </w:rPr>
      </w:pPr>
      <w:r>
        <w:rPr>
          <w:rFonts w:hint="eastAsia" w:ascii="宋体" w:hAnsi="宋体" w:cs="宋体"/>
          <w:b/>
          <w:color w:val="auto"/>
          <w:kern w:val="24"/>
          <w:szCs w:val="21"/>
        </w:rPr>
        <w:t>6</w:t>
      </w:r>
      <w:r>
        <w:rPr>
          <w:rFonts w:ascii="宋体" w:hAnsi="宋体" w:cs="宋体"/>
          <w:b/>
          <w:color w:val="auto"/>
          <w:kern w:val="24"/>
          <w:szCs w:val="21"/>
        </w:rPr>
        <w:t>.</w:t>
      </w:r>
      <w:r>
        <w:rPr>
          <w:rFonts w:hint="eastAsia" w:ascii="宋体" w:hAnsi="宋体" w:cs="宋体"/>
          <w:b/>
          <w:color w:val="auto"/>
          <w:kern w:val="24"/>
          <w:szCs w:val="21"/>
        </w:rPr>
        <w:t>载人平台管理</w:t>
      </w:r>
    </w:p>
    <w:p w14:paraId="51273163">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（1）承包人在使用任何载人平台前都应通知监理单位。承包人应编制载人平台操作规程，并提交给监理单位进行备案存档。工作程序应包括但不限于员工培训、起重前会议、起重试验和平台检查。</w:t>
      </w:r>
    </w:p>
    <w:p w14:paraId="6861C03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（2）由承包人提供的载人平台（吊篮）应满足规范要求</w:t>
      </w:r>
      <w:r>
        <w:rPr>
          <w:rFonts w:hint="eastAsia"/>
          <w:color w:val="auto"/>
          <w:szCs w:val="21"/>
        </w:rPr>
        <w:t>，由具有丰富搭建经验的工作人员进行搭建</w:t>
      </w:r>
      <w:r>
        <w:rPr>
          <w:rFonts w:hint="eastAsia" w:ascii="宋体" w:hAnsi="宋体" w:cs="宋体"/>
          <w:color w:val="auto"/>
          <w:kern w:val="24"/>
          <w:szCs w:val="21"/>
        </w:rPr>
        <w:t>。载人平台上应标有可承载最大重量的标志，搭载重量不得高于最大重量。</w:t>
      </w:r>
    </w:p>
    <w:p w14:paraId="19FD4B0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如监理单位批准使用起重机载人吊篮，承包人在使用前均需检查起重机是否安全合格，如吊钩滑轮组与起重臂滑轮组之间的碰撞装置和吊钩锁定装置运行是否良好。载人吊篮下方区域应使用路障带隔离并设置明显的警示标示。</w:t>
      </w:r>
    </w:p>
    <w:p w14:paraId="69BB2C5E">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（4）承包人应提供正确的方法以确保起重机操作员和载人平台中的员工可进行沟通。载人平台内员工应系全身索具，索具应附着在设计好的锚点上。</w:t>
      </w:r>
    </w:p>
    <w:p w14:paraId="33DEE932">
      <w:pPr>
        <w:tabs>
          <w:tab w:val="left" w:pos="567"/>
          <w:tab w:val="left" w:pos="709"/>
          <w:tab w:val="left" w:pos="1134"/>
        </w:tabs>
        <w:adjustRightInd w:val="0"/>
        <w:snapToGrid w:val="0"/>
        <w:spacing w:line="360" w:lineRule="auto"/>
        <w:ind w:firstLine="420" w:firstLineChars="200"/>
        <w:rPr>
          <w:rFonts w:hint="eastAsia" w:ascii="宋体" w:hAnsi="宋体" w:cs="宋体"/>
          <w:b/>
          <w:color w:val="auto"/>
          <w:kern w:val="24"/>
          <w:szCs w:val="21"/>
        </w:rPr>
      </w:pPr>
      <w:r>
        <w:rPr>
          <w:rFonts w:hint="eastAsia" w:ascii="宋体" w:hAnsi="宋体" w:cs="宋体"/>
          <w:b/>
          <w:color w:val="auto"/>
          <w:kern w:val="24"/>
          <w:szCs w:val="21"/>
        </w:rPr>
        <w:t>7</w:t>
      </w:r>
      <w:r>
        <w:rPr>
          <w:rFonts w:ascii="宋体" w:hAnsi="宋体" w:cs="宋体"/>
          <w:b/>
          <w:color w:val="auto"/>
          <w:kern w:val="24"/>
          <w:szCs w:val="21"/>
        </w:rPr>
        <w:t>.</w:t>
      </w:r>
      <w:r>
        <w:rPr>
          <w:rFonts w:hint="eastAsia" w:ascii="宋体" w:hAnsi="宋体" w:cs="宋体"/>
          <w:b/>
          <w:color w:val="auto"/>
          <w:kern w:val="24"/>
          <w:szCs w:val="21"/>
        </w:rPr>
        <w:t>车辆操作</w:t>
      </w:r>
    </w:p>
    <w:p w14:paraId="1CCB64E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（1）承包人应确保所提供的车辆符合安全使用的要求。</w:t>
      </w:r>
    </w:p>
    <w:p w14:paraId="08F0026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承包人应确认所有驾驶机动车辆的人员都持有相应的驾驶证。凡是涉及重型货车、危险品运输车辆，应按照国家要求建立相关的信息管理与监控系统，按照国家要求做好驾驶人员的资质管理。驾驶机动车辆的人员不得带病驾驶，驾驶人员需遵守道路交通规定和工地行车要求，严禁酒后驾驶、疲劳驾驶。</w:t>
      </w:r>
    </w:p>
    <w:p w14:paraId="40F0BD2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（3）所有驾驶人员驾驶时均需系好安全带，严禁其它无关车辆进入施工现场，所有出入施工现场的车辆需持有汽车出入证方可进出。</w:t>
      </w:r>
    </w:p>
    <w:p w14:paraId="00E4E4E1">
      <w:pPr>
        <w:pStyle w:val="2"/>
        <w:adjustRightInd w:val="0"/>
        <w:snapToGrid w:val="0"/>
        <w:rPr>
          <w:color w:val="auto"/>
          <w:sz w:val="28"/>
          <w:szCs w:val="28"/>
        </w:rPr>
      </w:pPr>
      <w:r>
        <w:rPr>
          <w:rFonts w:hint="eastAsia"/>
          <w:color w:val="auto"/>
          <w:sz w:val="28"/>
          <w:szCs w:val="28"/>
        </w:rPr>
        <w:t>十二、风险管控</w:t>
      </w:r>
    </w:p>
    <w:p w14:paraId="6A2395DA">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（一）安全风险分级管控</w:t>
      </w:r>
    </w:p>
    <w:p w14:paraId="5E4B223A">
      <w:pPr>
        <w:tabs>
          <w:tab w:val="left" w:pos="567"/>
          <w:tab w:val="left" w:pos="709"/>
          <w:tab w:val="left" w:pos="1134"/>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承包人应在正式开工前组织技术人员对工程存在的安全风险进行辨识，并形成安全风险库、重大危险源清单和防控台帐。</w:t>
      </w:r>
    </w:p>
    <w:p w14:paraId="24A0B899">
      <w:pPr>
        <w:tabs>
          <w:tab w:val="left" w:pos="567"/>
          <w:tab w:val="left" w:pos="709"/>
          <w:tab w:val="left" w:pos="1134"/>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重大危险源、安全风险应进行现场公示，相关部位张贴安全警示标志。</w:t>
      </w:r>
    </w:p>
    <w:p w14:paraId="3CEE38E1">
      <w:pPr>
        <w:tabs>
          <w:tab w:val="left" w:pos="567"/>
          <w:tab w:val="left" w:pos="709"/>
          <w:tab w:val="left" w:pos="1134"/>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承包人应制定安全风险分级管控措施，并进行动态管理，确保风险可控。</w:t>
      </w:r>
    </w:p>
    <w:p w14:paraId="1E453108">
      <w:pPr>
        <w:tabs>
          <w:tab w:val="left" w:pos="567"/>
          <w:tab w:val="left" w:pos="709"/>
          <w:tab w:val="left" w:pos="1134"/>
        </w:tabs>
        <w:adjustRightInd w:val="0"/>
        <w:snapToGrid w:val="0"/>
        <w:spacing w:line="360" w:lineRule="auto"/>
        <w:ind w:firstLine="420" w:firstLineChars="200"/>
        <w:rPr>
          <w:rFonts w:hint="eastAsia" w:ascii="宋体" w:hAnsi="宋体" w:cs="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承包人应</w:t>
      </w:r>
      <w:r>
        <w:rPr>
          <w:rFonts w:hint="eastAsia" w:ascii="宋体" w:hAnsi="宋体" w:cs="宋体"/>
          <w:color w:val="auto"/>
          <w:szCs w:val="21"/>
        </w:rPr>
        <w:t>制定项目重大危险源管理要求，明确重大危险源管理的责任部门和责任人，对重大危险源的安全状况进行定期检查、评估和监控，建立台账。</w:t>
      </w:r>
    </w:p>
    <w:p w14:paraId="5E48E884">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（二）隐患排查治理</w:t>
      </w:r>
    </w:p>
    <w:p w14:paraId="34AF514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承包人应制定安全检查制度。</w:t>
      </w:r>
    </w:p>
    <w:p w14:paraId="1343069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承包人各级人员及项目部相关人员现场检查频次应符合下列要求：</w:t>
      </w:r>
    </w:p>
    <w:p w14:paraId="48E56AB3">
      <w:pPr>
        <w:tabs>
          <w:tab w:val="left" w:pos="426"/>
          <w:tab w:val="left" w:pos="709"/>
          <w:tab w:val="left" w:pos="1134"/>
        </w:tabs>
        <w:adjustRightInd w:val="0"/>
        <w:snapToGrid w:val="0"/>
        <w:spacing w:line="360" w:lineRule="auto"/>
        <w:ind w:left="420" w:leftChars="200" w:firstLine="4" w:firstLineChars="2"/>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1</w:t>
      </w:r>
      <w:r>
        <w:rPr>
          <w:rFonts w:hint="eastAsia" w:ascii="宋体" w:hAnsi="宋体" w:cs="宋体"/>
          <w:color w:val="auto"/>
          <w:kern w:val="24"/>
          <w:szCs w:val="21"/>
        </w:rPr>
        <w:t>）承包人分管安全领导每</w:t>
      </w:r>
      <w:r>
        <w:rPr>
          <w:rFonts w:ascii="宋体" w:hAnsi="宋体" w:cs="宋体"/>
          <w:color w:val="auto"/>
          <w:kern w:val="24"/>
          <w:szCs w:val="21"/>
        </w:rPr>
        <w:t>半年</w:t>
      </w:r>
      <w:r>
        <w:rPr>
          <w:rFonts w:hint="eastAsia" w:ascii="宋体" w:hAnsi="宋体" w:cs="宋体"/>
          <w:color w:val="auto"/>
          <w:kern w:val="24"/>
          <w:szCs w:val="21"/>
        </w:rPr>
        <w:t>不少于</w:t>
      </w:r>
      <w:r>
        <w:rPr>
          <w:rFonts w:ascii="宋体" w:hAnsi="宋体" w:cs="宋体"/>
          <w:color w:val="auto"/>
          <w:kern w:val="24"/>
          <w:szCs w:val="21"/>
        </w:rPr>
        <w:t>1</w:t>
      </w:r>
      <w:r>
        <w:rPr>
          <w:rFonts w:hint="eastAsia" w:ascii="宋体" w:hAnsi="宋体" w:cs="宋体"/>
          <w:color w:val="auto"/>
          <w:kern w:val="24"/>
          <w:szCs w:val="21"/>
        </w:rPr>
        <w:t>次（适用于投资额≥5</w:t>
      </w:r>
      <w:r>
        <w:rPr>
          <w:rFonts w:ascii="宋体" w:hAnsi="宋体" w:cs="宋体"/>
          <w:color w:val="auto"/>
          <w:kern w:val="24"/>
          <w:szCs w:val="21"/>
        </w:rPr>
        <w:t>000</w:t>
      </w:r>
      <w:r>
        <w:rPr>
          <w:rFonts w:hint="eastAsia" w:ascii="宋体" w:hAnsi="宋体" w:cs="宋体"/>
          <w:color w:val="auto"/>
          <w:kern w:val="24"/>
          <w:szCs w:val="21"/>
        </w:rPr>
        <w:t>万元的工程项目）；</w:t>
      </w:r>
    </w:p>
    <w:p w14:paraId="4D4D105C">
      <w:pPr>
        <w:tabs>
          <w:tab w:val="left" w:pos="426"/>
          <w:tab w:val="left" w:pos="709"/>
          <w:tab w:val="left" w:pos="1134"/>
        </w:tabs>
        <w:adjustRightInd w:val="0"/>
        <w:snapToGrid w:val="0"/>
        <w:spacing w:line="360" w:lineRule="auto"/>
        <w:ind w:left="420" w:leftChars="200" w:firstLine="4" w:firstLineChars="2"/>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2</w:t>
      </w:r>
      <w:r>
        <w:rPr>
          <w:rFonts w:hint="eastAsia" w:ascii="宋体" w:hAnsi="宋体" w:cs="宋体"/>
          <w:color w:val="auto"/>
          <w:kern w:val="24"/>
          <w:szCs w:val="21"/>
        </w:rPr>
        <w:t>）承包人安全管理部门每</w:t>
      </w:r>
      <w:r>
        <w:rPr>
          <w:rFonts w:ascii="宋体" w:hAnsi="宋体" w:cs="宋体"/>
          <w:color w:val="auto"/>
          <w:kern w:val="24"/>
          <w:szCs w:val="21"/>
        </w:rPr>
        <w:t>季度</w:t>
      </w:r>
      <w:r>
        <w:rPr>
          <w:rFonts w:hint="eastAsia" w:ascii="宋体" w:hAnsi="宋体" w:cs="宋体"/>
          <w:color w:val="auto"/>
          <w:kern w:val="24"/>
          <w:szCs w:val="21"/>
        </w:rPr>
        <w:t>不少于</w:t>
      </w:r>
      <w:r>
        <w:rPr>
          <w:rFonts w:ascii="宋体" w:hAnsi="宋体" w:cs="宋体"/>
          <w:color w:val="auto"/>
          <w:kern w:val="24"/>
          <w:szCs w:val="21"/>
        </w:rPr>
        <w:t>1</w:t>
      </w:r>
      <w:r>
        <w:rPr>
          <w:rFonts w:hint="eastAsia" w:ascii="宋体" w:hAnsi="宋体" w:cs="宋体"/>
          <w:color w:val="auto"/>
          <w:kern w:val="24"/>
          <w:szCs w:val="21"/>
        </w:rPr>
        <w:t>次（适用于投资额≥5</w:t>
      </w:r>
      <w:r>
        <w:rPr>
          <w:rFonts w:ascii="宋体" w:hAnsi="宋体" w:cs="宋体"/>
          <w:color w:val="auto"/>
          <w:kern w:val="24"/>
          <w:szCs w:val="21"/>
        </w:rPr>
        <w:t>000</w:t>
      </w:r>
      <w:r>
        <w:rPr>
          <w:rFonts w:hint="eastAsia" w:ascii="宋体" w:hAnsi="宋体" w:cs="宋体"/>
          <w:color w:val="auto"/>
          <w:kern w:val="24"/>
          <w:szCs w:val="21"/>
        </w:rPr>
        <w:t>万元的工程项目）；</w:t>
      </w:r>
    </w:p>
    <w:p w14:paraId="56E88076">
      <w:pPr>
        <w:tabs>
          <w:tab w:val="left" w:pos="567"/>
          <w:tab w:val="left" w:pos="709"/>
          <w:tab w:val="left" w:pos="1134"/>
        </w:tabs>
        <w:adjustRightInd w:val="0"/>
        <w:snapToGrid w:val="0"/>
        <w:spacing w:line="360" w:lineRule="auto"/>
        <w:ind w:left="430" w:leftChars="205"/>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3</w:t>
      </w:r>
      <w:r>
        <w:rPr>
          <w:rFonts w:hint="eastAsia" w:ascii="宋体" w:hAnsi="宋体" w:cs="宋体"/>
          <w:color w:val="auto"/>
          <w:kern w:val="24"/>
          <w:szCs w:val="21"/>
        </w:rPr>
        <w:t>）项目负责人和项目技术负责人每周不少于</w:t>
      </w:r>
      <w:r>
        <w:rPr>
          <w:rFonts w:ascii="宋体" w:hAnsi="宋体" w:cs="宋体"/>
          <w:color w:val="auto"/>
          <w:kern w:val="24"/>
          <w:szCs w:val="21"/>
        </w:rPr>
        <w:t>1</w:t>
      </w:r>
      <w:r>
        <w:rPr>
          <w:rFonts w:hint="eastAsia" w:ascii="宋体" w:hAnsi="宋体" w:cs="宋体"/>
          <w:color w:val="auto"/>
          <w:kern w:val="24"/>
          <w:szCs w:val="21"/>
        </w:rPr>
        <w:t>次；</w:t>
      </w:r>
    </w:p>
    <w:p w14:paraId="300E9A2F">
      <w:pPr>
        <w:tabs>
          <w:tab w:val="left" w:pos="567"/>
          <w:tab w:val="left" w:pos="709"/>
          <w:tab w:val="left" w:pos="1134"/>
        </w:tabs>
        <w:adjustRightInd w:val="0"/>
        <w:snapToGrid w:val="0"/>
        <w:spacing w:line="360" w:lineRule="auto"/>
        <w:ind w:left="430" w:leftChars="205"/>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4</w:t>
      </w:r>
      <w:r>
        <w:rPr>
          <w:rFonts w:hint="eastAsia" w:ascii="宋体" w:hAnsi="宋体" w:cs="宋体"/>
          <w:color w:val="auto"/>
          <w:kern w:val="24"/>
          <w:szCs w:val="21"/>
        </w:rPr>
        <w:t>）项目安全总监（分管安全负责人）和项目生产经理（分管生产负责人）每</w:t>
      </w:r>
      <w:r>
        <w:rPr>
          <w:rFonts w:ascii="宋体" w:hAnsi="宋体" w:cs="宋体"/>
          <w:color w:val="auto"/>
          <w:kern w:val="24"/>
          <w:szCs w:val="21"/>
        </w:rPr>
        <w:t>周</w:t>
      </w:r>
      <w:r>
        <w:rPr>
          <w:rFonts w:hint="eastAsia" w:ascii="宋体" w:hAnsi="宋体" w:cs="宋体"/>
          <w:color w:val="auto"/>
          <w:kern w:val="24"/>
          <w:szCs w:val="21"/>
        </w:rPr>
        <w:t>不少于</w:t>
      </w:r>
      <w:r>
        <w:rPr>
          <w:rFonts w:ascii="宋体" w:hAnsi="宋体" w:cs="宋体"/>
          <w:color w:val="auto"/>
          <w:kern w:val="24"/>
          <w:szCs w:val="21"/>
        </w:rPr>
        <w:t>2</w:t>
      </w:r>
      <w:r>
        <w:rPr>
          <w:rFonts w:hint="eastAsia" w:ascii="宋体" w:hAnsi="宋体" w:cs="宋体"/>
          <w:color w:val="auto"/>
          <w:kern w:val="24"/>
          <w:szCs w:val="21"/>
        </w:rPr>
        <w:t>次；</w:t>
      </w:r>
    </w:p>
    <w:p w14:paraId="1D0075EF">
      <w:pPr>
        <w:tabs>
          <w:tab w:val="left" w:pos="567"/>
          <w:tab w:val="left" w:pos="709"/>
          <w:tab w:val="left" w:pos="1134"/>
        </w:tabs>
        <w:adjustRightInd w:val="0"/>
        <w:snapToGrid w:val="0"/>
        <w:spacing w:line="360" w:lineRule="auto"/>
        <w:ind w:left="430" w:leftChars="205"/>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5</w:t>
      </w:r>
      <w:r>
        <w:rPr>
          <w:rFonts w:hint="eastAsia" w:ascii="宋体" w:hAnsi="宋体" w:cs="宋体"/>
          <w:color w:val="auto"/>
          <w:kern w:val="24"/>
          <w:szCs w:val="21"/>
        </w:rPr>
        <w:t>）项目专职安全管理人员每周不少于</w:t>
      </w:r>
      <w:r>
        <w:rPr>
          <w:rFonts w:ascii="宋体" w:hAnsi="宋体" w:cs="宋体"/>
          <w:color w:val="auto"/>
          <w:kern w:val="24"/>
          <w:szCs w:val="21"/>
        </w:rPr>
        <w:t>3</w:t>
      </w:r>
      <w:r>
        <w:rPr>
          <w:rFonts w:hint="eastAsia" w:ascii="宋体" w:hAnsi="宋体" w:cs="宋体"/>
          <w:color w:val="auto"/>
          <w:kern w:val="24"/>
          <w:szCs w:val="21"/>
        </w:rPr>
        <w:t>次；</w:t>
      </w:r>
    </w:p>
    <w:p w14:paraId="1445F051">
      <w:pPr>
        <w:tabs>
          <w:tab w:val="left" w:pos="567"/>
          <w:tab w:val="left" w:pos="709"/>
          <w:tab w:val="left" w:pos="1134"/>
        </w:tabs>
        <w:adjustRightInd w:val="0"/>
        <w:snapToGrid w:val="0"/>
        <w:spacing w:line="360" w:lineRule="auto"/>
        <w:ind w:left="428" w:leftChars="204"/>
        <w:rPr>
          <w:rFonts w:hint="eastAsia" w:ascii="宋体" w:hAnsi="宋体" w:cs="宋体"/>
          <w:color w:val="auto"/>
          <w:kern w:val="24"/>
          <w:szCs w:val="21"/>
        </w:rPr>
      </w:pPr>
      <w:r>
        <w:rPr>
          <w:rFonts w:hint="eastAsia" w:ascii="宋体" w:hAnsi="宋体" w:cs="宋体"/>
          <w:color w:val="auto"/>
          <w:kern w:val="24"/>
          <w:szCs w:val="21"/>
        </w:rPr>
        <w:t>（</w:t>
      </w:r>
      <w:r>
        <w:rPr>
          <w:rFonts w:ascii="宋体" w:hAnsi="宋体" w:cs="宋体"/>
          <w:color w:val="auto"/>
          <w:kern w:val="24"/>
          <w:szCs w:val="21"/>
        </w:rPr>
        <w:t>6</w:t>
      </w:r>
      <w:r>
        <w:rPr>
          <w:rFonts w:hint="eastAsia" w:ascii="宋体" w:hAnsi="宋体" w:cs="宋体"/>
          <w:color w:val="auto"/>
          <w:kern w:val="24"/>
          <w:szCs w:val="21"/>
        </w:rPr>
        <w:t>）安全检查频率除满足上述要求外，还应根据现场情况或发包人的要求增加。</w:t>
      </w:r>
    </w:p>
    <w:p w14:paraId="3E4BDAB6">
      <w:pPr>
        <w:tabs>
          <w:tab w:val="left" w:pos="567"/>
          <w:tab w:val="left" w:pos="709"/>
          <w:tab w:val="left" w:pos="1134"/>
        </w:tabs>
        <w:adjustRightInd w:val="0"/>
        <w:snapToGrid w:val="0"/>
        <w:spacing w:line="360" w:lineRule="auto"/>
        <w:ind w:firstLine="420" w:firstLineChars="200"/>
        <w:rPr>
          <w:rFonts w:hint="eastAsia" w:ascii="宋体" w:hAnsi="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w:t>
      </w:r>
      <w:r>
        <w:rPr>
          <w:rFonts w:hint="eastAsia" w:ascii="宋体" w:hAnsi="宋体" w:cs="宋体"/>
          <w:color w:val="auto"/>
          <w:kern w:val="24"/>
          <w:szCs w:val="21"/>
        </w:rPr>
        <w:t>承包人</w:t>
      </w:r>
      <w:r>
        <w:rPr>
          <w:rFonts w:hint="eastAsia" w:ascii="宋体" w:hAnsi="宋体"/>
          <w:color w:val="auto"/>
          <w:kern w:val="24"/>
          <w:szCs w:val="21"/>
        </w:rPr>
        <w:t>的项目负责人</w:t>
      </w:r>
      <w:r>
        <w:rPr>
          <w:rFonts w:hint="eastAsia" w:ascii="宋体" w:hAnsi="宋体"/>
          <w:color w:val="auto"/>
          <w:kern w:val="24"/>
          <w:szCs w:val="21"/>
        </w:rPr>
        <w:t>、项目技术负责人、项目副经理和项目安全总监轮流值班</w:t>
      </w:r>
      <w:r>
        <w:rPr>
          <w:rFonts w:hint="eastAsia" w:ascii="宋体" w:hAnsi="宋体"/>
          <w:color w:val="auto"/>
          <w:kern w:val="24"/>
          <w:szCs w:val="21"/>
        </w:rPr>
        <w:t>，并对施工现场进行检查，及时处理发现的问题，</w:t>
      </w:r>
      <w:r>
        <w:rPr>
          <w:rFonts w:hint="eastAsia" w:ascii="宋体" w:hAnsi="宋体"/>
          <w:bCs/>
          <w:color w:val="auto"/>
          <w:kern w:val="24"/>
          <w:szCs w:val="21"/>
        </w:rPr>
        <w:t>领导带班检查不能代替日常安全检查。</w:t>
      </w:r>
    </w:p>
    <w:p w14:paraId="5359320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w:t>
      </w:r>
      <w:r>
        <w:rPr>
          <w:rFonts w:ascii="宋体" w:hAnsi="宋体" w:cs="宋体"/>
          <w:color w:val="auto"/>
          <w:kern w:val="24"/>
          <w:szCs w:val="21"/>
        </w:rPr>
        <w:t>.</w:t>
      </w:r>
      <w:r>
        <w:rPr>
          <w:rFonts w:hint="eastAsia" w:ascii="宋体" w:hAnsi="宋体" w:cs="宋体"/>
          <w:color w:val="auto"/>
          <w:kern w:val="24"/>
          <w:szCs w:val="21"/>
        </w:rPr>
        <w:t>安全检查中发现的隐患要按定人员、定时间、定责任、定标准、定措施的“五定”原则进行整改，做到闭环管理。</w:t>
      </w:r>
    </w:p>
    <w:p w14:paraId="46F7623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w:t>
      </w:r>
      <w:r>
        <w:rPr>
          <w:rFonts w:ascii="宋体" w:hAnsi="宋体" w:cs="宋体"/>
          <w:color w:val="auto"/>
          <w:kern w:val="24"/>
          <w:szCs w:val="21"/>
        </w:rPr>
        <w:t>.</w:t>
      </w:r>
      <w:r>
        <w:rPr>
          <w:rFonts w:hint="eastAsia" w:ascii="宋体" w:hAnsi="宋体" w:cs="宋体"/>
          <w:color w:val="auto"/>
          <w:kern w:val="24"/>
          <w:szCs w:val="21"/>
        </w:rPr>
        <w:t>对于重大隐患，承包人立即停工整改，并提交重大隐患整治报告报监理单位审批，整改情况通过监理单位和发包人的验收后方能复工。</w:t>
      </w:r>
    </w:p>
    <w:p w14:paraId="5933259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6</w:t>
      </w:r>
      <w:r>
        <w:rPr>
          <w:rFonts w:ascii="宋体" w:hAnsi="宋体" w:cs="宋体"/>
          <w:color w:val="auto"/>
          <w:kern w:val="24"/>
          <w:szCs w:val="21"/>
        </w:rPr>
        <w:t>.</w:t>
      </w:r>
      <w:r>
        <w:rPr>
          <w:rFonts w:hint="eastAsia" w:ascii="宋体" w:hAnsi="宋体" w:cs="宋体"/>
          <w:color w:val="auto"/>
          <w:kern w:val="24"/>
          <w:szCs w:val="21"/>
        </w:rPr>
        <w:t>安全检查记录应存档备查。</w:t>
      </w:r>
    </w:p>
    <w:p w14:paraId="494F2B43">
      <w:pPr>
        <w:pStyle w:val="2"/>
        <w:adjustRightInd w:val="0"/>
        <w:snapToGrid w:val="0"/>
        <w:rPr>
          <w:color w:val="auto"/>
          <w:sz w:val="28"/>
          <w:szCs w:val="28"/>
        </w:rPr>
      </w:pPr>
      <w:r>
        <w:rPr>
          <w:rFonts w:hint="eastAsia"/>
          <w:color w:val="auto"/>
          <w:sz w:val="28"/>
          <w:szCs w:val="28"/>
        </w:rPr>
        <w:t>十三、文明施工、职业健康与环保</w:t>
      </w:r>
    </w:p>
    <w:p w14:paraId="096738CB">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（一）文明施工</w:t>
      </w:r>
    </w:p>
    <w:p w14:paraId="548C317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施工现场总体布置合理、有序，材料、设备堆放有序，机具停放整齐，管理到位。</w:t>
      </w:r>
    </w:p>
    <w:p w14:paraId="60086D3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施工道路日常维修养护及时，无散落物、不扬尘，道路无严重破损；施工现场排水畅通，无严重积水，无泥浆、污水、废水等外流或堵塞等现象发生；建筑垃圾集中堆放管理并及时清运，无燃烧建筑垃圾及有害物质等现象发生；夜间施工照明布置合理，光线良好。</w:t>
      </w:r>
    </w:p>
    <w:p w14:paraId="5D2F69E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w:t>
      </w:r>
      <w:r>
        <w:rPr>
          <w:rFonts w:hint="eastAsia" w:ascii="宋体" w:hAnsi="宋体" w:cs="宋体"/>
          <w:color w:val="auto"/>
          <w:kern w:val="24"/>
          <w:szCs w:val="21"/>
        </w:rPr>
        <w:t>承包人应为其员工提供干净、卫生的饮用水，应为其员工提供清洁的冲凉房和厕所，并保证每天进行清扫，创造良好的生活环境。</w:t>
      </w:r>
    </w:p>
    <w:p w14:paraId="6E4A7C65">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（二）有毒有害场所和岗位</w:t>
      </w:r>
    </w:p>
    <w:p w14:paraId="014E5FF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承包人应在有毒有害作业区域设置警示标志和说明，并设置相应的职业病防护设施。</w:t>
      </w:r>
    </w:p>
    <w:p w14:paraId="7A445DA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2.</w:t>
      </w:r>
      <w:r>
        <w:rPr>
          <w:rFonts w:hint="eastAsia" w:ascii="宋体" w:hAnsi="宋体" w:cs="宋体"/>
          <w:color w:val="auto"/>
          <w:kern w:val="24"/>
          <w:szCs w:val="21"/>
        </w:rPr>
        <w:t>承包人应确保使用有毒、有害物品的作业场所与生活区、辅助生产区分开，作业场所不应住人；将有害作业与无害作业分开，高毒工作场所与其他工作场所隔离。</w:t>
      </w:r>
    </w:p>
    <w:p w14:paraId="4C83034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3.</w:t>
      </w:r>
      <w:r>
        <w:rPr>
          <w:rFonts w:hint="eastAsia" w:ascii="宋体" w:hAnsi="宋体" w:cs="宋体"/>
          <w:color w:val="auto"/>
          <w:kern w:val="24"/>
          <w:szCs w:val="21"/>
        </w:rPr>
        <w:t>承包人应对可能发生急性职业危害的有毒、有害工作场所，应设置检验报警装置，制定应急预案，配置现场急救用品、设备，设置应急撤离通道和必要的泄险区，定期检查监测。</w:t>
      </w:r>
    </w:p>
    <w:p w14:paraId="550BC82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color w:val="auto"/>
        </w:rPr>
        <w:t>4</w:t>
      </w:r>
      <w:r>
        <w:rPr>
          <w:color w:val="auto"/>
        </w:rPr>
        <w:t>.</w:t>
      </w:r>
      <w:r>
        <w:rPr>
          <w:rFonts w:hint="eastAsia" w:ascii="宋体" w:hAnsi="宋体" w:cs="宋体"/>
          <w:color w:val="auto"/>
          <w:kern w:val="24"/>
          <w:szCs w:val="21"/>
        </w:rPr>
        <w:t>承包人</w:t>
      </w:r>
      <w:r>
        <w:rPr>
          <w:color w:val="auto"/>
        </w:rPr>
        <w:t>对从事可能导致职业危害的从业人员，</w:t>
      </w:r>
      <w:r>
        <w:rPr>
          <w:rFonts w:hint="eastAsia"/>
          <w:color w:val="auto"/>
        </w:rPr>
        <w:t>应</w:t>
      </w:r>
      <w:r>
        <w:rPr>
          <w:color w:val="auto"/>
        </w:rPr>
        <w:t>按规定组织上岗前、在岗期间和离岗前职业健康检查，建立、健全职业卫生档案和健康监护档案。</w:t>
      </w:r>
    </w:p>
    <w:p w14:paraId="6CF910B4">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（三）劳动保护</w:t>
      </w:r>
    </w:p>
    <w:p w14:paraId="7B4D439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承包人应为其所有员工和施工人员配发与其岗位工作匹配的、质量合格的、功能完好的个人防护用品，并监督检查员工正确使用，不得以任何发放福利的形式替代个人防护用品的发放。</w:t>
      </w:r>
    </w:p>
    <w:p w14:paraId="0B84245E">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承包人员工使用的个人防护用品应符合国家标准，有3C认证、生产许可证、安全标志证书、合格证，并保证个人防护用品在保质期内。</w:t>
      </w:r>
    </w:p>
    <w:p w14:paraId="3C97F94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w:t>
      </w:r>
      <w:r>
        <w:rPr>
          <w:rFonts w:hint="eastAsia" w:ascii="宋体" w:hAnsi="宋体" w:cs="宋体"/>
          <w:color w:val="auto"/>
          <w:kern w:val="24"/>
          <w:szCs w:val="21"/>
        </w:rPr>
        <w:t>承包人应佩戴统一样式的个人保护用品，严禁使用劣质劳动防护用品，在施工现场严禁员工赤膊、赤脚、穿拖鞋、凉鞋、短裤等行为。</w:t>
      </w:r>
    </w:p>
    <w:p w14:paraId="619824E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w:t>
      </w:r>
      <w:r>
        <w:rPr>
          <w:rFonts w:ascii="宋体" w:hAnsi="宋体" w:cs="宋体"/>
          <w:color w:val="auto"/>
          <w:kern w:val="24"/>
          <w:szCs w:val="21"/>
        </w:rPr>
        <w:t>.</w:t>
      </w:r>
      <w:r>
        <w:rPr>
          <w:rFonts w:hint="eastAsia" w:ascii="宋体" w:hAnsi="宋体" w:cs="宋体"/>
          <w:color w:val="auto"/>
          <w:kern w:val="24"/>
          <w:szCs w:val="21"/>
        </w:rPr>
        <w:t>外来人员进入施工场地时，承包人需要求其戴好安全帽等个人防护用品后方可进入施工现场</w:t>
      </w:r>
      <w:r>
        <w:rPr>
          <w:rFonts w:hint="eastAsia"/>
          <w:color w:val="auto"/>
          <w:szCs w:val="21"/>
        </w:rPr>
        <w:t>，外来人员未按要求做好防护工作而造成伤亡事故的，承包人需负全责</w:t>
      </w:r>
      <w:r>
        <w:rPr>
          <w:rFonts w:hint="eastAsia" w:ascii="宋体" w:hAnsi="宋体" w:cs="宋体"/>
          <w:color w:val="auto"/>
          <w:kern w:val="24"/>
          <w:szCs w:val="21"/>
        </w:rPr>
        <w:t>。</w:t>
      </w:r>
    </w:p>
    <w:p w14:paraId="1AE9362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w:t>
      </w:r>
      <w:r>
        <w:rPr>
          <w:rFonts w:ascii="宋体" w:hAnsi="宋体" w:cs="宋体"/>
          <w:color w:val="auto"/>
          <w:kern w:val="24"/>
          <w:szCs w:val="21"/>
        </w:rPr>
        <w:t>.</w:t>
      </w:r>
      <w:r>
        <w:rPr>
          <w:rFonts w:hint="eastAsia" w:ascii="宋体" w:hAnsi="宋体" w:cs="宋体"/>
          <w:color w:val="auto"/>
          <w:kern w:val="24"/>
          <w:szCs w:val="21"/>
        </w:rPr>
        <w:t>承包人应遵守适用的职业健康法律规定和合同约定（包括对雇用、健康、安全、福利等方面的规定），负责现场实施过程中其人员的职业健康和保护。</w:t>
      </w:r>
    </w:p>
    <w:p w14:paraId="47293B0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6</w:t>
      </w:r>
      <w:r>
        <w:rPr>
          <w:rFonts w:ascii="宋体" w:hAnsi="宋体" w:cs="宋体"/>
          <w:color w:val="auto"/>
          <w:kern w:val="24"/>
          <w:szCs w:val="21"/>
        </w:rPr>
        <w:t>.</w:t>
      </w:r>
      <w:r>
        <w:rPr>
          <w:rFonts w:hint="eastAsia" w:ascii="宋体" w:hAnsi="宋体" w:cs="宋体"/>
          <w:color w:val="auto"/>
          <w:kern w:val="24"/>
          <w:szCs w:val="21"/>
        </w:rPr>
        <w:t>承包人应遵守适用的劳动法规，保护其雇用人员的合法休假权等合法权益，并为其现场人员提供劳动保护用品、防护器具、防暑降温用品、必要的现场食宿条件和安全生产设施；</w:t>
      </w:r>
    </w:p>
    <w:p w14:paraId="4E9160E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7</w:t>
      </w:r>
      <w:r>
        <w:rPr>
          <w:rFonts w:ascii="宋体" w:hAnsi="宋体" w:cs="宋体"/>
          <w:color w:val="auto"/>
          <w:kern w:val="24"/>
          <w:szCs w:val="21"/>
        </w:rPr>
        <w:t>.</w:t>
      </w:r>
      <w:r>
        <w:rPr>
          <w:rFonts w:hint="eastAsia" w:ascii="宋体" w:hAnsi="宋体" w:cs="宋体"/>
          <w:color w:val="auto"/>
          <w:kern w:val="24"/>
          <w:szCs w:val="21"/>
        </w:rPr>
        <w:t>承包人应对其施工人员进行相关作业的职业健康检查、职业健康知识培训、危险及危害因素交底、安全操作规程交底、采取有效措施，按规定提供防止人身伤害的保护用具；建立职业健康检查、职业卫生教育和培训档案，如实记录职业卫生教育和培训的时间、内容、参加人员以及考核结果等台帐。</w:t>
      </w:r>
    </w:p>
    <w:p w14:paraId="7C234EF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8.</w:t>
      </w:r>
      <w:r>
        <w:rPr>
          <w:rFonts w:hint="eastAsia" w:ascii="宋体" w:hAnsi="宋体" w:cs="宋体"/>
          <w:color w:val="auto"/>
          <w:kern w:val="24"/>
          <w:szCs w:val="21"/>
        </w:rPr>
        <w:t>承包人应采取卫生防疫措施，配备急救设施，保持食堂的饮食卫生，保持住地及其周围的环境卫生，维护施工人员的健康。</w:t>
      </w:r>
    </w:p>
    <w:p w14:paraId="15EEA91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9</w:t>
      </w:r>
      <w:r>
        <w:rPr>
          <w:rFonts w:ascii="宋体" w:hAnsi="宋体" w:cs="宋体"/>
          <w:color w:val="auto"/>
          <w:kern w:val="24"/>
          <w:szCs w:val="21"/>
        </w:rPr>
        <w:t>.</w:t>
      </w:r>
      <w:r>
        <w:rPr>
          <w:rFonts w:hint="eastAsia" w:ascii="宋体" w:hAnsi="宋体" w:cs="宋体"/>
          <w:color w:val="auto"/>
          <w:kern w:val="24"/>
          <w:szCs w:val="21"/>
        </w:rPr>
        <w:t>承包人应要求其特殊作业员工在工作时佩戴好带有侧翼防罩的安全眼镜，安全眼镜应符合国家标准。承包人应监督其员工是否有佩戴好护眼用具，如发现有不符合要求的情况应立即让员工按要求佩戴好护眼用具。从事研磨和抛光作业的员工应佩戴面罩。</w:t>
      </w:r>
    </w:p>
    <w:p w14:paraId="152655D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10．焊接工在进行焊接时应佩戴安全帽和焊接防护面罩，其焊接防护面罩质量须达到国家标准。在焊接作业时应使用焊接屏风，避免其他员工受到焊接弧射线的危害，在作业条件不具备时，应立即停止作业。</w:t>
      </w:r>
    </w:p>
    <w:p w14:paraId="1E50C85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11．参与现场工作的承包人员工应穿好合格的安全鞋。</w:t>
      </w:r>
    </w:p>
    <w:p w14:paraId="49022B4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12．承包人员工培训指南中应有介绍员工权利的内容，包括领取个人劳保用品。</w:t>
      </w:r>
    </w:p>
    <w:p w14:paraId="38E268E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13．处理化学物品或有害物质的员工应按照化学品生产厂家的要求，穿戴好合适的个人劳保用品。</w:t>
      </w:r>
    </w:p>
    <w:p w14:paraId="6424BB2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14．只要有危害听力的情况，承包人都应提供符合国标的听力保护用具，并帮助其员工正确佩戴好听力保护用具。</w:t>
      </w:r>
    </w:p>
    <w:p w14:paraId="49A1442A">
      <w:pPr>
        <w:pStyle w:val="3"/>
        <w:adjustRightInd w:val="0"/>
        <w:snapToGrid w:val="0"/>
        <w:spacing w:before="0" w:after="0" w:line="360" w:lineRule="auto"/>
        <w:ind w:firstLine="480" w:firstLineChars="200"/>
        <w:rPr>
          <w:b w:val="0"/>
          <w:color w:val="auto"/>
          <w:sz w:val="24"/>
          <w:szCs w:val="24"/>
        </w:rPr>
      </w:pPr>
      <w:r>
        <w:rPr>
          <w:rFonts w:hint="eastAsia"/>
          <w:b w:val="0"/>
          <w:color w:val="auto"/>
          <w:sz w:val="24"/>
          <w:szCs w:val="24"/>
        </w:rPr>
        <w:t>（四）环境保护</w:t>
      </w:r>
    </w:p>
    <w:p w14:paraId="5B611E3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承包人应做好现场环境保护工作，施工过程中的泥浆、废水、废料、建筑垃圾等严禁乱排滥放，应按照办理，严格控制现场的噪声、粉尘污染。</w:t>
      </w:r>
    </w:p>
    <w:p w14:paraId="1EF8C67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环境危害因素监测应符合地方政府环保部门有关要求。</w:t>
      </w:r>
    </w:p>
    <w:p w14:paraId="1EDEA131">
      <w:pPr>
        <w:pStyle w:val="2"/>
        <w:adjustRightInd w:val="0"/>
        <w:snapToGrid w:val="0"/>
        <w:rPr>
          <w:color w:val="auto"/>
          <w:sz w:val="28"/>
          <w:szCs w:val="28"/>
        </w:rPr>
      </w:pPr>
      <w:r>
        <w:rPr>
          <w:rFonts w:hint="eastAsia"/>
          <w:color w:val="auto"/>
          <w:sz w:val="28"/>
          <w:szCs w:val="28"/>
        </w:rPr>
        <w:t>十四、应急与事故管理</w:t>
      </w:r>
    </w:p>
    <w:p w14:paraId="55739C5D">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（一）应急管理</w:t>
      </w:r>
    </w:p>
    <w:p w14:paraId="4AED510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承包人应当根据工程实际需要建立适用的突发事件应急处置预案，包括但不限于：综合应急预案，自然灾害处置预案（如防风防汛应急预案，地质灾害应急预案），社会事件处置预案（如信访维稳应急预案），公共卫生事件处置预案（突发食物中毒应急预案），生产安全事故应急预案（如火灾应急预案、有限空间作业应急预案），针对安全风险较大的重点场所（设施）制定现场处置方案，并编制重点岗位、人员应急处置卡。</w:t>
      </w:r>
    </w:p>
    <w:p w14:paraId="15903C64">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承包人应当制定生产安全事故应急救援预案，并与发包人、上级单位和工程所在地相关部门的预案相衔接。</w:t>
      </w:r>
    </w:p>
    <w:p w14:paraId="7BCB0666">
      <w:pPr>
        <w:tabs>
          <w:tab w:val="left" w:pos="567"/>
          <w:tab w:val="left" w:pos="709"/>
          <w:tab w:val="left" w:pos="1134"/>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承包人须建立相应可靠的应急管理组织机构，明确应急处理流程，以便能迅速处理突发事件。</w:t>
      </w:r>
    </w:p>
    <w:p w14:paraId="580D43B1">
      <w:pPr>
        <w:tabs>
          <w:tab w:val="left" w:pos="567"/>
          <w:tab w:val="left" w:pos="709"/>
          <w:tab w:val="left" w:pos="1134"/>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承包人应根据应急预案，准备应急响应所需要的物资、器材、药品，如紧急排水设备，医学急救器材等，并且应设置安全的应急集合点。</w:t>
      </w:r>
    </w:p>
    <w:p w14:paraId="2C7FAA8B">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w:t>
      </w:r>
      <w:r>
        <w:rPr>
          <w:rFonts w:ascii="宋体" w:hAnsi="宋体" w:cs="宋体"/>
          <w:color w:val="auto"/>
          <w:kern w:val="24"/>
          <w:szCs w:val="21"/>
        </w:rPr>
        <w:t>.</w:t>
      </w:r>
      <w:r>
        <w:rPr>
          <w:rFonts w:hint="eastAsia" w:ascii="宋体" w:hAnsi="宋体" w:cs="宋体"/>
          <w:color w:val="auto"/>
          <w:kern w:val="24"/>
          <w:szCs w:val="21"/>
        </w:rPr>
        <w:t>承包人应制定本单位的应急预案演练计划，每年至少组织一次综合应急预案演练或者专项应急预案演练，每半年至少组织一次现场处置方案演练。承包人对员工的培训和应急演练都应记录存档。</w:t>
      </w:r>
    </w:p>
    <w:p w14:paraId="0C38DF85">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（二）事故管理</w:t>
      </w:r>
    </w:p>
    <w:p w14:paraId="02FAE79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承包人应依据国家法律法规的规定，建立安全生产异常事件和事故报告管理制度，事故发生后，立即向监理单位和发包人报告，并按要求报地方安全生产监督管理部门。</w:t>
      </w:r>
    </w:p>
    <w:p w14:paraId="2EA3D47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在工地发生重大安全事故时，承包人应积极进行恰当的事故抢险，阻止事态扩大或蔓延，并避免带来二次事故。</w:t>
      </w:r>
    </w:p>
    <w:p w14:paraId="7693419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3</w:t>
      </w:r>
      <w:r>
        <w:rPr>
          <w:rFonts w:ascii="宋体" w:hAnsi="宋体" w:cs="宋体"/>
          <w:color w:val="auto"/>
          <w:kern w:val="24"/>
          <w:szCs w:val="21"/>
        </w:rPr>
        <w:t>.</w:t>
      </w:r>
      <w:r>
        <w:rPr>
          <w:rFonts w:hint="eastAsia" w:ascii="宋体" w:hAnsi="宋体" w:cs="宋体"/>
          <w:color w:val="auto"/>
          <w:kern w:val="24"/>
          <w:szCs w:val="21"/>
        </w:rPr>
        <w:t>事故或事件按照“四不放过”原则进行处理，举一反三消除类似事故安全隐患，完善安全管理。</w:t>
      </w:r>
    </w:p>
    <w:p w14:paraId="0EADC01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w:t>
      </w:r>
      <w:r>
        <w:rPr>
          <w:rFonts w:ascii="宋体" w:hAnsi="宋体" w:cs="宋体"/>
          <w:color w:val="auto"/>
          <w:kern w:val="24"/>
          <w:szCs w:val="21"/>
        </w:rPr>
        <w:t>.</w:t>
      </w:r>
      <w:r>
        <w:rPr>
          <w:rFonts w:hint="eastAsia" w:ascii="宋体" w:hAnsi="宋体" w:cs="宋体"/>
          <w:color w:val="auto"/>
          <w:kern w:val="24"/>
          <w:szCs w:val="21"/>
        </w:rPr>
        <w:t>承包人应积极配合发包人进行事故事件原因调查分析与处理，并根据发包人要求进行整改。</w:t>
      </w:r>
    </w:p>
    <w:p w14:paraId="3993AC1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5</w:t>
      </w:r>
      <w:r>
        <w:rPr>
          <w:rFonts w:ascii="宋体" w:hAnsi="宋体" w:cs="宋体"/>
          <w:color w:val="auto"/>
          <w:kern w:val="24"/>
          <w:szCs w:val="21"/>
        </w:rPr>
        <w:t>.</w:t>
      </w:r>
      <w:r>
        <w:rPr>
          <w:rFonts w:hint="eastAsia" w:ascii="宋体" w:hAnsi="宋体" w:cs="宋体"/>
          <w:color w:val="auto"/>
          <w:kern w:val="24"/>
          <w:szCs w:val="21"/>
        </w:rPr>
        <w:t>承包人应开展事故案例警示教育活动，认真吸取事故教训，落实防范和整改措施，防止类似事故再次发生。</w:t>
      </w:r>
    </w:p>
    <w:p w14:paraId="4FCBE5A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6.</w:t>
      </w:r>
      <w:r>
        <w:rPr>
          <w:rFonts w:hint="eastAsia" w:ascii="宋体" w:hAnsi="宋体" w:cs="宋体"/>
          <w:color w:val="auto"/>
          <w:kern w:val="24"/>
          <w:szCs w:val="21"/>
        </w:rPr>
        <w:t>承包人应建立事故事件档案和事故事件管理台账。</w:t>
      </w:r>
    </w:p>
    <w:p w14:paraId="7CD07BC9">
      <w:pPr>
        <w:pStyle w:val="2"/>
        <w:adjustRightInd w:val="0"/>
        <w:snapToGrid w:val="0"/>
        <w:rPr>
          <w:color w:val="auto"/>
          <w:sz w:val="28"/>
          <w:szCs w:val="28"/>
        </w:rPr>
      </w:pPr>
      <w:r>
        <w:rPr>
          <w:rFonts w:hint="eastAsia"/>
          <w:color w:val="auto"/>
          <w:sz w:val="28"/>
          <w:szCs w:val="28"/>
        </w:rPr>
        <w:t>十五、违约责任及考核</w:t>
      </w:r>
    </w:p>
    <w:p w14:paraId="761BA41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【合同金额不大的项目，务必根据实际情况调整违约金标准，避免无法执行】</w:t>
      </w:r>
    </w:p>
    <w:p w14:paraId="3CD480F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承包人违约考核分四类：安全生产事故考核、日常安全检查考核、月度安全考核、年度信用考核。</w:t>
      </w:r>
    </w:p>
    <w:p w14:paraId="251BECAE">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lang w:val="en-US" w:eastAsia="zh-CN"/>
        </w:rPr>
        <w:t>以下考核条款若与本项目施工总承包合同相关条款有冲突的，按违约处罚更严格的条款执行。</w:t>
      </w:r>
    </w:p>
    <w:p w14:paraId="1A2B8B39">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（一）安全生产事故考核</w:t>
      </w:r>
    </w:p>
    <w:p w14:paraId="396CD20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1.</w:t>
      </w:r>
      <w:r>
        <w:rPr>
          <w:rFonts w:hint="eastAsia" w:ascii="宋体" w:hAnsi="宋体" w:cs="宋体"/>
          <w:color w:val="auto"/>
          <w:kern w:val="24"/>
          <w:szCs w:val="21"/>
        </w:rPr>
        <w:t>施工期间发生生产安全事故，承包人依照《中华人民共和国安全生产法》《建设工程安全生产管理条例》（国务院令第</w:t>
      </w:r>
      <w:r>
        <w:rPr>
          <w:rFonts w:ascii="宋体" w:hAnsi="宋体" w:cs="宋体"/>
          <w:color w:val="auto"/>
          <w:kern w:val="24"/>
          <w:szCs w:val="21"/>
        </w:rPr>
        <w:t>393号）等安全生产相关法律法规承担责任与赔偿损失外，还应当承担以下违约责任：发生一般事故，承包人向发包人支付150万元/次的违约金；发生较大事故，承包人向发包人支付500万元/次的违约金；发生重大事故，承包人向发包人支付1000万/次的违约金；发生特别重大事故，承包人向发包人支付2000万/次的违约金。同时，发包人有权报请主管部门认定不良行为。</w:t>
      </w:r>
      <w:r>
        <w:rPr>
          <w:rFonts w:hint="eastAsia" w:ascii="宋体" w:hAnsi="宋体" w:cs="宋体"/>
          <w:color w:val="auto"/>
          <w:kern w:val="24"/>
          <w:szCs w:val="21"/>
        </w:rPr>
        <w:t>事故等级的界定按照《生产安全事故报告和调查处理条例》（国务院令第493号）执行。</w:t>
      </w:r>
    </w:p>
    <w:p w14:paraId="37A6EB30">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2.施工期间发生安全</w:t>
      </w:r>
      <w:r>
        <w:rPr>
          <w:rFonts w:hint="eastAsia" w:ascii="宋体" w:hAnsi="宋体" w:cs="宋体"/>
          <w:color w:val="auto"/>
          <w:kern w:val="24"/>
          <w:szCs w:val="21"/>
        </w:rPr>
        <w:t>事件</w:t>
      </w:r>
      <w:r>
        <w:rPr>
          <w:rFonts w:ascii="宋体" w:hAnsi="宋体" w:cs="宋体"/>
          <w:color w:val="auto"/>
          <w:kern w:val="24"/>
          <w:szCs w:val="21"/>
        </w:rPr>
        <w:t>造成人员轻伤的</w:t>
      </w:r>
      <w:r>
        <w:rPr>
          <w:rFonts w:hint="eastAsia" w:ascii="宋体" w:hAnsi="宋体" w:cs="宋体"/>
          <w:color w:val="auto"/>
          <w:kern w:val="24"/>
          <w:szCs w:val="21"/>
        </w:rPr>
        <w:t>，</w:t>
      </w:r>
      <w:r>
        <w:rPr>
          <w:rFonts w:ascii="宋体" w:hAnsi="宋体" w:cs="宋体"/>
          <w:color w:val="auto"/>
          <w:kern w:val="24"/>
          <w:szCs w:val="21"/>
        </w:rPr>
        <w:t>发包人有权要求承包人另外支付安全违约金5万元/人次，造成人员重伤的，承包人需支付安全违约金50万元/人次。发生事故隐瞒不报的，按前述标准加倍扣收。</w:t>
      </w:r>
      <w:r>
        <w:rPr>
          <w:rFonts w:hint="eastAsia" w:ascii="宋体" w:hAnsi="宋体" w:cs="宋体"/>
          <w:color w:val="auto"/>
          <w:kern w:val="24"/>
          <w:szCs w:val="21"/>
        </w:rPr>
        <w:t>死亡、</w:t>
      </w:r>
      <w:r>
        <w:rPr>
          <w:rFonts w:ascii="宋体" w:hAnsi="宋体" w:cs="宋体"/>
          <w:color w:val="auto"/>
          <w:kern w:val="24"/>
          <w:szCs w:val="21"/>
        </w:rPr>
        <w:t>重伤和轻伤的界定按照《企业职工伤亡事故分类标准》（GB6441—86）执行。如构成生产安全事故的，还应按本条第一款承担违约责任。</w:t>
      </w:r>
    </w:p>
    <w:p w14:paraId="37FFD63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3.因发生生产安全事故、涉险事故或产生事故隐患，被媒体传播造成严重社会负面影响，或导致发包人及其上级单位被政府有关部门通报、约谈、批评或函告警示的，以及因施工不当被有关部门责令停工等情形对发包人造成严重不利影响的，承包人应支付违约金200万元/次</w:t>
      </w:r>
      <w:r>
        <w:rPr>
          <w:rFonts w:hint="eastAsia" w:ascii="宋体" w:hAnsi="宋体" w:cs="宋体"/>
          <w:color w:val="auto"/>
          <w:kern w:val="24"/>
          <w:szCs w:val="21"/>
        </w:rPr>
        <w:t>。</w:t>
      </w:r>
    </w:p>
    <w:p w14:paraId="7CA1DE3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4.</w:t>
      </w:r>
      <w:r>
        <w:rPr>
          <w:rFonts w:hint="eastAsia" w:ascii="宋体" w:hAnsi="宋体" w:cs="宋体"/>
          <w:color w:val="auto"/>
          <w:kern w:val="24"/>
          <w:szCs w:val="21"/>
        </w:rPr>
        <w:t>发生较大及以上机械设备事故、较大及以上火灾事故、较大及以上突发环境事件（含公共卫生事件）的，承包人应支付安全违约金</w:t>
      </w:r>
      <w:r>
        <w:rPr>
          <w:rFonts w:ascii="宋体" w:hAnsi="宋体" w:cs="宋体"/>
          <w:color w:val="auto"/>
          <w:kern w:val="24"/>
          <w:szCs w:val="21"/>
        </w:rPr>
        <w:t>2</w:t>
      </w:r>
      <w:r>
        <w:rPr>
          <w:rFonts w:hint="eastAsia" w:ascii="宋体" w:hAnsi="宋体" w:cs="宋体"/>
          <w:color w:val="auto"/>
          <w:kern w:val="24"/>
          <w:szCs w:val="21"/>
        </w:rPr>
        <w:t>0万元/次。</w:t>
      </w:r>
    </w:p>
    <w:p w14:paraId="23A9554F">
      <w:pPr>
        <w:tabs>
          <w:tab w:val="left" w:pos="567"/>
          <w:tab w:val="left" w:pos="709"/>
          <w:tab w:val="left" w:pos="1134"/>
        </w:tabs>
        <w:adjustRightInd w:val="0"/>
        <w:snapToGrid w:val="0"/>
        <w:spacing w:line="360" w:lineRule="auto"/>
        <w:ind w:firstLine="420" w:firstLineChars="200"/>
        <w:rPr>
          <w:rFonts w:hint="default" w:ascii="宋体" w:hAnsi="宋体" w:cs="宋体" w:eastAsiaTheme="minorEastAsia"/>
          <w:color w:val="auto"/>
          <w:kern w:val="24"/>
          <w:szCs w:val="21"/>
          <w:lang w:val="en-US" w:eastAsia="zh-CN"/>
        </w:rPr>
      </w:pPr>
      <w:r>
        <w:rPr>
          <w:rFonts w:ascii="宋体" w:hAnsi="宋体" w:cs="宋体"/>
          <w:color w:val="auto"/>
          <w:kern w:val="24"/>
          <w:szCs w:val="21"/>
        </w:rPr>
        <w:t>5.</w:t>
      </w:r>
      <w:r>
        <w:rPr>
          <w:rFonts w:hint="eastAsia" w:ascii="宋体" w:hAnsi="宋体" w:cs="宋体"/>
          <w:color w:val="auto"/>
          <w:kern w:val="24"/>
          <w:szCs w:val="21"/>
        </w:rPr>
        <w:t>发生安全生产事故时，还将在月度安全考核中进行扣分处理（扣分标准为：亡人事故扣1</w:t>
      </w:r>
      <w:r>
        <w:rPr>
          <w:rFonts w:ascii="宋体" w:hAnsi="宋体" w:cs="宋体"/>
          <w:color w:val="auto"/>
          <w:kern w:val="24"/>
          <w:szCs w:val="21"/>
        </w:rPr>
        <w:t>00</w:t>
      </w:r>
      <w:r>
        <w:rPr>
          <w:rFonts w:hint="eastAsia" w:ascii="宋体" w:hAnsi="宋体" w:cs="宋体"/>
          <w:color w:val="auto"/>
          <w:kern w:val="24"/>
          <w:szCs w:val="21"/>
        </w:rPr>
        <w:t>分，</w:t>
      </w:r>
      <w:r>
        <w:rPr>
          <w:rFonts w:hint="eastAsia" w:ascii="宋体" w:hAnsi="宋体" w:cs="宋体"/>
          <w:color w:val="auto"/>
          <w:kern w:val="24"/>
          <w:szCs w:val="21"/>
        </w:rPr>
        <w:t>人员重伤事故扣</w:t>
      </w:r>
      <w:r>
        <w:rPr>
          <w:rFonts w:ascii="宋体" w:hAnsi="宋体" w:cs="宋体"/>
          <w:color w:val="auto"/>
          <w:kern w:val="24"/>
          <w:szCs w:val="21"/>
        </w:rPr>
        <w:t>40</w:t>
      </w:r>
      <w:r>
        <w:rPr>
          <w:rFonts w:hint="eastAsia" w:ascii="宋体" w:hAnsi="宋体" w:cs="宋体"/>
          <w:color w:val="auto"/>
          <w:kern w:val="24"/>
          <w:szCs w:val="21"/>
        </w:rPr>
        <w:t>分</w:t>
      </w:r>
      <w:r>
        <w:rPr>
          <w:rFonts w:hint="eastAsia" w:ascii="宋体" w:hAnsi="宋体" w:cs="宋体"/>
          <w:color w:val="auto"/>
          <w:kern w:val="24"/>
          <w:szCs w:val="21"/>
        </w:rPr>
        <w:t>），并通报和约谈承包人或其上级领导。</w:t>
      </w:r>
    </w:p>
    <w:p w14:paraId="4CC54A55">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（二）日常安全检查考核</w:t>
      </w:r>
    </w:p>
    <w:p w14:paraId="311E2AF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1</w:t>
      </w:r>
      <w:r>
        <w:rPr>
          <w:rFonts w:ascii="宋体" w:hAnsi="宋体" w:cs="宋体"/>
          <w:color w:val="auto"/>
          <w:kern w:val="24"/>
          <w:szCs w:val="21"/>
        </w:rPr>
        <w:t>.</w:t>
      </w:r>
      <w:r>
        <w:rPr>
          <w:rFonts w:hint="eastAsia" w:ascii="宋体" w:hAnsi="宋体" w:cs="宋体"/>
          <w:color w:val="auto"/>
          <w:kern w:val="24"/>
          <w:szCs w:val="21"/>
        </w:rPr>
        <w:t>监理单位、发包人、上级单位（粤海水务、粤海集团、地方政府部门等）对检查过程中发现人的不安全行为、物的不安全状态、环境缺陷和管理缺陷等安全隐患进行考核扣分、扣款，具体标准如下表：</w:t>
      </w:r>
    </w:p>
    <w:p w14:paraId="65CDC5E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附表</w:t>
      </w:r>
      <w:r>
        <w:rPr>
          <w:rFonts w:ascii="宋体" w:hAnsi="宋体" w:cs="宋体"/>
          <w:color w:val="auto"/>
          <w:kern w:val="24"/>
          <w:szCs w:val="21"/>
        </w:rPr>
        <w:t>1</w:t>
      </w:r>
      <w:r>
        <w:rPr>
          <w:rFonts w:hint="eastAsia" w:ascii="宋体" w:hAnsi="宋体" w:cs="宋体"/>
          <w:color w:val="auto"/>
          <w:kern w:val="24"/>
          <w:szCs w:val="21"/>
        </w:rPr>
        <w:t>安全问题的扣分扣款依据</w:t>
      </w:r>
    </w:p>
    <w:tbl>
      <w:tblPr>
        <w:tblStyle w:val="39"/>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30"/>
        <w:gridCol w:w="1748"/>
        <w:gridCol w:w="726"/>
        <w:gridCol w:w="4806"/>
      </w:tblGrid>
      <w:tr w14:paraId="5CC5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32" w:type="pct"/>
            <w:gridSpan w:val="2"/>
            <w:tcBorders>
              <w:top w:val="single" w:color="auto" w:sz="4" w:space="0"/>
              <w:left w:val="single" w:color="auto" w:sz="4" w:space="0"/>
              <w:bottom w:val="single" w:color="auto" w:sz="4" w:space="0"/>
              <w:right w:val="single" w:color="auto" w:sz="4" w:space="0"/>
            </w:tcBorders>
            <w:vAlign w:val="center"/>
          </w:tcPr>
          <w:p w14:paraId="221F488D">
            <w:pPr>
              <w:autoSpaceDE w:val="0"/>
              <w:autoSpaceDN w:val="0"/>
              <w:adjustRightInd w:val="0"/>
              <w:snapToGrid w:val="0"/>
              <w:jc w:val="center"/>
              <w:rPr>
                <w:rFonts w:hint="eastAsia" w:ascii="宋体" w:hAnsi="宋体" w:cs="仿宋_GB2312"/>
                <w:b/>
                <w:color w:val="auto"/>
                <w:szCs w:val="21"/>
              </w:rPr>
            </w:pPr>
            <w:r>
              <w:rPr>
                <w:rFonts w:hint="eastAsia" w:ascii="宋体" w:hAnsi="宋体" w:cs="仿宋_GB2312"/>
                <w:b/>
                <w:color w:val="auto"/>
                <w:szCs w:val="21"/>
              </w:rPr>
              <w:t>风险/隐患等级</w:t>
            </w:r>
          </w:p>
        </w:tc>
        <w:tc>
          <w:tcPr>
            <w:tcW w:w="1001" w:type="pct"/>
            <w:tcBorders>
              <w:top w:val="single" w:color="auto" w:sz="4" w:space="0"/>
              <w:left w:val="single" w:color="auto" w:sz="4" w:space="0"/>
              <w:bottom w:val="single" w:color="auto" w:sz="4" w:space="0"/>
              <w:right w:val="single" w:color="auto" w:sz="4" w:space="0"/>
            </w:tcBorders>
            <w:vAlign w:val="center"/>
          </w:tcPr>
          <w:p w14:paraId="73E442C9">
            <w:pPr>
              <w:autoSpaceDE w:val="0"/>
              <w:autoSpaceDN w:val="0"/>
              <w:adjustRightInd w:val="0"/>
              <w:snapToGrid w:val="0"/>
              <w:jc w:val="center"/>
              <w:rPr>
                <w:rFonts w:hint="eastAsia" w:ascii="宋体" w:hAnsi="宋体" w:cs="仿宋_GB2312"/>
                <w:b/>
                <w:color w:val="auto"/>
                <w:szCs w:val="21"/>
              </w:rPr>
            </w:pPr>
            <w:r>
              <w:rPr>
                <w:rFonts w:hint="eastAsia" w:ascii="宋体" w:hAnsi="宋体" w:cs="宋体"/>
                <w:b/>
                <w:bCs/>
                <w:color w:val="auto"/>
                <w:kern w:val="0"/>
                <w:szCs w:val="21"/>
              </w:rPr>
              <w:t>扣款参考范围</w:t>
            </w:r>
          </w:p>
        </w:tc>
        <w:tc>
          <w:tcPr>
            <w:tcW w:w="416" w:type="pct"/>
            <w:tcBorders>
              <w:top w:val="single" w:color="auto" w:sz="4" w:space="0"/>
              <w:left w:val="single" w:color="auto" w:sz="4" w:space="0"/>
              <w:bottom w:val="single" w:color="auto" w:sz="4" w:space="0"/>
              <w:right w:val="single" w:color="auto" w:sz="4" w:space="0"/>
            </w:tcBorders>
          </w:tcPr>
          <w:p w14:paraId="18FA9ABA">
            <w:pPr>
              <w:autoSpaceDE w:val="0"/>
              <w:autoSpaceDN w:val="0"/>
              <w:adjustRightInd w:val="0"/>
              <w:snapToGrid w:val="0"/>
              <w:jc w:val="center"/>
              <w:rPr>
                <w:rFonts w:hint="eastAsia" w:ascii="宋体" w:hAnsi="宋体" w:cs="仿宋_GB2312"/>
                <w:b/>
                <w:color w:val="auto"/>
                <w:szCs w:val="21"/>
              </w:rPr>
            </w:pPr>
            <w:r>
              <w:rPr>
                <w:rFonts w:hint="eastAsia" w:ascii="宋体" w:hAnsi="宋体" w:cs="仿宋_GB2312"/>
                <w:b/>
                <w:color w:val="auto"/>
                <w:szCs w:val="21"/>
              </w:rPr>
              <w:t>扣分</w:t>
            </w:r>
          </w:p>
        </w:tc>
        <w:tc>
          <w:tcPr>
            <w:tcW w:w="2751" w:type="pct"/>
            <w:tcBorders>
              <w:top w:val="single" w:color="auto" w:sz="4" w:space="0"/>
              <w:left w:val="single" w:color="auto" w:sz="4" w:space="0"/>
              <w:bottom w:val="single" w:color="auto" w:sz="4" w:space="0"/>
              <w:right w:val="single" w:color="auto" w:sz="4" w:space="0"/>
            </w:tcBorders>
            <w:vAlign w:val="center"/>
          </w:tcPr>
          <w:p w14:paraId="773C5F23">
            <w:pPr>
              <w:autoSpaceDE w:val="0"/>
              <w:autoSpaceDN w:val="0"/>
              <w:adjustRightInd w:val="0"/>
              <w:snapToGrid w:val="0"/>
              <w:jc w:val="center"/>
              <w:rPr>
                <w:rFonts w:hint="eastAsia" w:ascii="宋体" w:hAnsi="宋体" w:cs="仿宋_GB2312"/>
                <w:b/>
                <w:color w:val="auto"/>
                <w:szCs w:val="21"/>
              </w:rPr>
            </w:pPr>
            <w:r>
              <w:rPr>
                <w:rFonts w:hint="eastAsia" w:ascii="宋体" w:hAnsi="宋体" w:cs="仿宋_GB2312"/>
                <w:b/>
                <w:color w:val="auto"/>
                <w:szCs w:val="21"/>
              </w:rPr>
              <w:t>说明</w:t>
            </w:r>
          </w:p>
        </w:tc>
      </w:tr>
      <w:tr w14:paraId="49C4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0BF2505F">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A级</w:t>
            </w:r>
          </w:p>
        </w:tc>
        <w:tc>
          <w:tcPr>
            <w:tcW w:w="418" w:type="pct"/>
            <w:tcBorders>
              <w:top w:val="single" w:color="auto" w:sz="4" w:space="0"/>
              <w:left w:val="single" w:color="auto" w:sz="4" w:space="0"/>
              <w:bottom w:val="single" w:color="auto" w:sz="4" w:space="0"/>
              <w:right w:val="single" w:color="auto" w:sz="4" w:space="0"/>
            </w:tcBorders>
            <w:vAlign w:val="center"/>
          </w:tcPr>
          <w:p w14:paraId="169F0879">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重大</w:t>
            </w:r>
          </w:p>
        </w:tc>
        <w:tc>
          <w:tcPr>
            <w:tcW w:w="1001" w:type="pct"/>
            <w:tcBorders>
              <w:top w:val="single" w:color="auto" w:sz="4" w:space="0"/>
              <w:left w:val="single" w:color="auto" w:sz="4" w:space="0"/>
              <w:bottom w:val="single" w:color="auto" w:sz="4" w:space="0"/>
              <w:right w:val="single" w:color="auto" w:sz="4" w:space="0"/>
            </w:tcBorders>
            <w:vAlign w:val="center"/>
          </w:tcPr>
          <w:p w14:paraId="17609811">
            <w:pPr>
              <w:autoSpaceDE w:val="0"/>
              <w:autoSpaceDN w:val="0"/>
              <w:adjustRightInd w:val="0"/>
              <w:snapToGrid w:val="0"/>
              <w:jc w:val="center"/>
              <w:rPr>
                <w:rFonts w:hint="eastAsia" w:ascii="宋体" w:hAnsi="宋体" w:cs="宋体"/>
                <w:bCs/>
                <w:color w:val="auto"/>
                <w:kern w:val="0"/>
                <w:szCs w:val="21"/>
              </w:rPr>
            </w:pPr>
            <w:r>
              <w:rPr>
                <w:rFonts w:ascii="宋体" w:hAnsi="宋体" w:cs="宋体"/>
                <w:color w:val="auto"/>
                <w:kern w:val="0"/>
                <w:szCs w:val="21"/>
              </w:rPr>
              <w:t>20000-40000</w:t>
            </w:r>
            <w:r>
              <w:rPr>
                <w:rFonts w:hint="eastAsia" w:ascii="宋体" w:hAnsi="宋体" w:cs="宋体"/>
                <w:color w:val="auto"/>
                <w:kern w:val="0"/>
                <w:szCs w:val="21"/>
              </w:rPr>
              <w:t>元</w:t>
            </w:r>
          </w:p>
        </w:tc>
        <w:tc>
          <w:tcPr>
            <w:tcW w:w="416" w:type="pct"/>
            <w:tcBorders>
              <w:top w:val="single" w:color="auto" w:sz="4" w:space="0"/>
              <w:left w:val="single" w:color="auto" w:sz="4" w:space="0"/>
              <w:bottom w:val="single" w:color="auto" w:sz="4" w:space="0"/>
              <w:right w:val="single" w:color="auto" w:sz="4" w:space="0"/>
            </w:tcBorders>
          </w:tcPr>
          <w:p w14:paraId="08E7B72C">
            <w:pPr>
              <w:autoSpaceDE w:val="0"/>
              <w:autoSpaceDN w:val="0"/>
              <w:adjustRightInd w:val="0"/>
              <w:snapToGrid w:val="0"/>
              <w:jc w:val="center"/>
              <w:rPr>
                <w:rFonts w:hint="eastAsia" w:ascii="宋体" w:hAnsi="宋体" w:cs="仿宋_GB2312"/>
                <w:b/>
                <w:color w:val="auto"/>
                <w:szCs w:val="21"/>
              </w:rPr>
            </w:pPr>
            <w:r>
              <w:rPr>
                <w:rFonts w:ascii="Microsoft JhengHei Light" w:hAnsi="Microsoft JhengHei Light" w:eastAsia="Microsoft JhengHei Light"/>
                <w:color w:val="auto"/>
                <w:szCs w:val="21"/>
              </w:rPr>
              <w:t>5</w:t>
            </w:r>
            <w:r>
              <w:rPr>
                <w:rFonts w:hint="eastAsia" w:ascii="Microsoft JhengHei Light" w:hAnsi="Microsoft JhengHei Light" w:eastAsia="Microsoft JhengHei Light"/>
                <w:color w:val="auto"/>
                <w:szCs w:val="21"/>
              </w:rPr>
              <w:t>~</w:t>
            </w:r>
            <w:r>
              <w:rPr>
                <w:rFonts w:ascii="Microsoft JhengHei Light" w:hAnsi="Microsoft JhengHei Light" w:eastAsia="Microsoft JhengHei Light"/>
                <w:color w:val="auto"/>
                <w:szCs w:val="21"/>
              </w:rPr>
              <w:t>10</w:t>
            </w:r>
          </w:p>
        </w:tc>
        <w:tc>
          <w:tcPr>
            <w:tcW w:w="2751" w:type="pct"/>
            <w:tcBorders>
              <w:top w:val="single" w:color="auto" w:sz="4" w:space="0"/>
              <w:left w:val="single" w:color="auto" w:sz="4" w:space="0"/>
              <w:bottom w:val="single" w:color="auto" w:sz="4" w:space="0"/>
              <w:right w:val="single" w:color="auto" w:sz="4" w:space="0"/>
            </w:tcBorders>
            <w:vAlign w:val="center"/>
          </w:tcPr>
          <w:p w14:paraId="2F89FB38">
            <w:pPr>
              <w:autoSpaceDE w:val="0"/>
              <w:autoSpaceDN w:val="0"/>
              <w:adjustRightInd w:val="0"/>
              <w:snapToGrid w:val="0"/>
              <w:jc w:val="center"/>
              <w:rPr>
                <w:rFonts w:hint="eastAsia" w:ascii="宋体" w:hAnsi="宋体" w:cs="仿宋_GB2312"/>
                <w:b/>
                <w:color w:val="auto"/>
                <w:szCs w:val="21"/>
              </w:rPr>
            </w:pPr>
            <w:r>
              <w:rPr>
                <w:rFonts w:hint="eastAsia" w:ascii="宋体" w:hAnsi="宋体"/>
                <w:color w:val="auto"/>
                <w:szCs w:val="21"/>
              </w:rPr>
              <w:t>达到国家有关规定要求的重大危险源和重大安全隐患标准，或内部评级达到重大级的风险/隐患</w:t>
            </w:r>
          </w:p>
        </w:tc>
      </w:tr>
      <w:tr w14:paraId="5567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056A68AC">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B级</w:t>
            </w:r>
          </w:p>
        </w:tc>
        <w:tc>
          <w:tcPr>
            <w:tcW w:w="418" w:type="pct"/>
            <w:tcBorders>
              <w:top w:val="single" w:color="auto" w:sz="4" w:space="0"/>
              <w:left w:val="single" w:color="auto" w:sz="4" w:space="0"/>
              <w:bottom w:val="single" w:color="auto" w:sz="4" w:space="0"/>
              <w:right w:val="single" w:color="auto" w:sz="4" w:space="0"/>
            </w:tcBorders>
            <w:vAlign w:val="center"/>
          </w:tcPr>
          <w:p w14:paraId="5F30F856">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重大</w:t>
            </w:r>
          </w:p>
        </w:tc>
        <w:tc>
          <w:tcPr>
            <w:tcW w:w="1001" w:type="pct"/>
            <w:tcBorders>
              <w:top w:val="single" w:color="auto" w:sz="4" w:space="0"/>
              <w:left w:val="single" w:color="auto" w:sz="4" w:space="0"/>
              <w:bottom w:val="single" w:color="auto" w:sz="4" w:space="0"/>
              <w:right w:val="single" w:color="auto" w:sz="4" w:space="0"/>
            </w:tcBorders>
            <w:vAlign w:val="center"/>
          </w:tcPr>
          <w:p w14:paraId="6AD2DB0B">
            <w:pPr>
              <w:autoSpaceDE w:val="0"/>
              <w:autoSpaceDN w:val="0"/>
              <w:adjustRightInd w:val="0"/>
              <w:snapToGrid w:val="0"/>
              <w:jc w:val="center"/>
              <w:rPr>
                <w:rFonts w:hint="eastAsia" w:ascii="宋体" w:hAnsi="宋体" w:cs="宋体"/>
                <w:bCs/>
                <w:color w:val="auto"/>
                <w:kern w:val="0"/>
                <w:szCs w:val="21"/>
              </w:rPr>
            </w:pPr>
            <w:r>
              <w:rPr>
                <w:rFonts w:ascii="宋体" w:hAnsi="宋体" w:cs="宋体"/>
                <w:color w:val="auto"/>
                <w:kern w:val="0"/>
                <w:szCs w:val="21"/>
              </w:rPr>
              <w:t>10000-20000</w:t>
            </w:r>
            <w:r>
              <w:rPr>
                <w:rFonts w:hint="eastAsia" w:ascii="宋体" w:hAnsi="宋体" w:cs="宋体"/>
                <w:color w:val="auto"/>
                <w:kern w:val="0"/>
                <w:szCs w:val="21"/>
              </w:rPr>
              <w:t>元</w:t>
            </w:r>
          </w:p>
        </w:tc>
        <w:tc>
          <w:tcPr>
            <w:tcW w:w="416" w:type="pct"/>
            <w:tcBorders>
              <w:top w:val="single" w:color="auto" w:sz="4" w:space="0"/>
              <w:left w:val="single" w:color="auto" w:sz="4" w:space="0"/>
              <w:bottom w:val="single" w:color="auto" w:sz="4" w:space="0"/>
              <w:right w:val="single" w:color="auto" w:sz="4" w:space="0"/>
            </w:tcBorders>
          </w:tcPr>
          <w:p w14:paraId="170E2D34">
            <w:pPr>
              <w:autoSpaceDE w:val="0"/>
              <w:autoSpaceDN w:val="0"/>
              <w:adjustRightInd w:val="0"/>
              <w:snapToGrid w:val="0"/>
              <w:jc w:val="center"/>
              <w:rPr>
                <w:rFonts w:hint="eastAsia" w:ascii="宋体" w:hAnsi="宋体" w:cs="仿宋_GB2312"/>
                <w:b/>
                <w:color w:val="auto"/>
                <w:szCs w:val="21"/>
              </w:rPr>
            </w:pPr>
            <w:r>
              <w:rPr>
                <w:rFonts w:ascii="Microsoft JhengHei Light" w:hAnsi="Microsoft JhengHei Light" w:eastAsia="Microsoft JhengHei Light"/>
                <w:color w:val="auto"/>
                <w:szCs w:val="21"/>
              </w:rPr>
              <w:t>3</w:t>
            </w:r>
            <w:r>
              <w:rPr>
                <w:rFonts w:hint="eastAsia" w:ascii="Microsoft JhengHei Light" w:hAnsi="Microsoft JhengHei Light" w:eastAsia="Microsoft JhengHei Light"/>
                <w:color w:val="auto"/>
                <w:szCs w:val="21"/>
              </w:rPr>
              <w:t>~</w:t>
            </w:r>
            <w:r>
              <w:rPr>
                <w:rFonts w:ascii="Microsoft JhengHei Light" w:hAnsi="Microsoft JhengHei Light" w:eastAsia="Microsoft JhengHei Light"/>
                <w:color w:val="auto"/>
                <w:szCs w:val="21"/>
              </w:rPr>
              <w:t>4</w:t>
            </w:r>
          </w:p>
        </w:tc>
        <w:tc>
          <w:tcPr>
            <w:tcW w:w="2751" w:type="pct"/>
            <w:tcBorders>
              <w:top w:val="single" w:color="auto" w:sz="4" w:space="0"/>
              <w:left w:val="single" w:color="auto" w:sz="4" w:space="0"/>
              <w:bottom w:val="single" w:color="auto" w:sz="4" w:space="0"/>
              <w:right w:val="single" w:color="auto" w:sz="4" w:space="0"/>
            </w:tcBorders>
            <w:vAlign w:val="center"/>
          </w:tcPr>
          <w:p w14:paraId="2C883619">
            <w:pPr>
              <w:autoSpaceDE w:val="0"/>
              <w:autoSpaceDN w:val="0"/>
              <w:adjustRightInd w:val="0"/>
              <w:snapToGrid w:val="0"/>
              <w:jc w:val="center"/>
              <w:rPr>
                <w:rFonts w:hint="eastAsia" w:ascii="宋体" w:hAnsi="宋体" w:cs="仿宋_GB2312"/>
                <w:b/>
                <w:color w:val="auto"/>
                <w:szCs w:val="21"/>
              </w:rPr>
            </w:pPr>
            <w:r>
              <w:rPr>
                <w:rFonts w:hint="eastAsia" w:ascii="宋体" w:hAnsi="宋体"/>
                <w:color w:val="auto"/>
                <w:szCs w:val="21"/>
              </w:rPr>
              <w:t>重大安全风险/隐患</w:t>
            </w:r>
          </w:p>
        </w:tc>
      </w:tr>
      <w:tr w14:paraId="76FE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0F5157C0">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C级</w:t>
            </w:r>
          </w:p>
        </w:tc>
        <w:tc>
          <w:tcPr>
            <w:tcW w:w="418" w:type="pct"/>
            <w:tcBorders>
              <w:top w:val="single" w:color="auto" w:sz="4" w:space="0"/>
              <w:left w:val="single" w:color="auto" w:sz="4" w:space="0"/>
              <w:bottom w:val="single" w:color="auto" w:sz="4" w:space="0"/>
              <w:right w:val="single" w:color="auto" w:sz="4" w:space="0"/>
            </w:tcBorders>
            <w:vAlign w:val="center"/>
          </w:tcPr>
          <w:p w14:paraId="6C26D4CC">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较大</w:t>
            </w:r>
          </w:p>
        </w:tc>
        <w:tc>
          <w:tcPr>
            <w:tcW w:w="1001" w:type="pct"/>
            <w:tcBorders>
              <w:top w:val="single" w:color="auto" w:sz="4" w:space="0"/>
              <w:left w:val="single" w:color="auto" w:sz="4" w:space="0"/>
              <w:bottom w:val="single" w:color="auto" w:sz="4" w:space="0"/>
              <w:right w:val="single" w:color="auto" w:sz="4" w:space="0"/>
            </w:tcBorders>
            <w:vAlign w:val="center"/>
          </w:tcPr>
          <w:p w14:paraId="141A3BDE">
            <w:pPr>
              <w:autoSpaceDE w:val="0"/>
              <w:autoSpaceDN w:val="0"/>
              <w:adjustRightInd w:val="0"/>
              <w:snapToGrid w:val="0"/>
              <w:jc w:val="center"/>
              <w:rPr>
                <w:rFonts w:hint="eastAsia" w:ascii="宋体" w:hAnsi="宋体" w:cs="宋体"/>
                <w:bCs/>
                <w:color w:val="auto"/>
                <w:kern w:val="0"/>
                <w:szCs w:val="21"/>
              </w:rPr>
            </w:pPr>
            <w:r>
              <w:rPr>
                <w:rFonts w:ascii="宋体" w:hAnsi="宋体" w:cs="宋体"/>
                <w:color w:val="auto"/>
                <w:kern w:val="0"/>
                <w:szCs w:val="21"/>
              </w:rPr>
              <w:t>500-2000</w:t>
            </w:r>
            <w:r>
              <w:rPr>
                <w:rFonts w:hint="eastAsia" w:ascii="宋体" w:hAnsi="宋体" w:cs="宋体"/>
                <w:color w:val="auto"/>
                <w:kern w:val="0"/>
                <w:szCs w:val="21"/>
              </w:rPr>
              <w:t>元</w:t>
            </w:r>
          </w:p>
        </w:tc>
        <w:tc>
          <w:tcPr>
            <w:tcW w:w="416" w:type="pct"/>
            <w:tcBorders>
              <w:top w:val="single" w:color="auto" w:sz="4" w:space="0"/>
              <w:left w:val="single" w:color="auto" w:sz="4" w:space="0"/>
              <w:bottom w:val="single" w:color="auto" w:sz="4" w:space="0"/>
              <w:right w:val="single" w:color="auto" w:sz="4" w:space="0"/>
            </w:tcBorders>
          </w:tcPr>
          <w:p w14:paraId="25D6C69B">
            <w:pPr>
              <w:autoSpaceDE w:val="0"/>
              <w:autoSpaceDN w:val="0"/>
              <w:adjustRightInd w:val="0"/>
              <w:snapToGrid w:val="0"/>
              <w:jc w:val="center"/>
              <w:rPr>
                <w:rFonts w:hint="eastAsia" w:ascii="宋体" w:hAnsi="宋体" w:cs="仿宋_GB2312"/>
                <w:b/>
                <w:color w:val="auto"/>
                <w:szCs w:val="21"/>
              </w:rPr>
            </w:pPr>
            <w:r>
              <w:rPr>
                <w:rFonts w:hint="eastAsia" w:ascii="Microsoft JhengHei Light" w:hAnsi="Microsoft JhengHei Light" w:eastAsia="Microsoft JhengHei Light"/>
                <w:color w:val="auto"/>
                <w:szCs w:val="21"/>
              </w:rPr>
              <w:t>2</w:t>
            </w:r>
          </w:p>
        </w:tc>
        <w:tc>
          <w:tcPr>
            <w:tcW w:w="2751" w:type="pct"/>
            <w:tcBorders>
              <w:top w:val="single" w:color="auto" w:sz="4" w:space="0"/>
              <w:left w:val="single" w:color="auto" w:sz="4" w:space="0"/>
              <w:bottom w:val="single" w:color="auto" w:sz="4" w:space="0"/>
              <w:right w:val="single" w:color="auto" w:sz="4" w:space="0"/>
            </w:tcBorders>
            <w:vAlign w:val="center"/>
          </w:tcPr>
          <w:p w14:paraId="42D91556">
            <w:pPr>
              <w:autoSpaceDE w:val="0"/>
              <w:autoSpaceDN w:val="0"/>
              <w:adjustRightInd w:val="0"/>
              <w:snapToGrid w:val="0"/>
              <w:jc w:val="center"/>
              <w:rPr>
                <w:rFonts w:hint="eastAsia" w:ascii="宋体" w:hAnsi="宋体" w:cs="仿宋_GB2312"/>
                <w:b/>
                <w:color w:val="auto"/>
                <w:szCs w:val="21"/>
              </w:rPr>
            </w:pPr>
            <w:r>
              <w:rPr>
                <w:rFonts w:hint="eastAsia" w:ascii="宋体" w:hAnsi="宋体"/>
                <w:color w:val="auto"/>
                <w:szCs w:val="21"/>
              </w:rPr>
              <w:t>较大安全风险/隐患</w:t>
            </w:r>
          </w:p>
        </w:tc>
      </w:tr>
      <w:tr w14:paraId="0C84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3B0CB913">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D级</w:t>
            </w:r>
          </w:p>
        </w:tc>
        <w:tc>
          <w:tcPr>
            <w:tcW w:w="418" w:type="pct"/>
            <w:tcBorders>
              <w:top w:val="single" w:color="auto" w:sz="4" w:space="0"/>
              <w:left w:val="single" w:color="auto" w:sz="4" w:space="0"/>
              <w:bottom w:val="single" w:color="auto" w:sz="4" w:space="0"/>
              <w:right w:val="single" w:color="auto" w:sz="4" w:space="0"/>
            </w:tcBorders>
            <w:vAlign w:val="center"/>
          </w:tcPr>
          <w:p w14:paraId="79755C52">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一般</w:t>
            </w:r>
          </w:p>
        </w:tc>
        <w:tc>
          <w:tcPr>
            <w:tcW w:w="1001" w:type="pct"/>
            <w:tcBorders>
              <w:top w:val="single" w:color="auto" w:sz="4" w:space="0"/>
              <w:left w:val="single" w:color="auto" w:sz="4" w:space="0"/>
              <w:bottom w:val="single" w:color="auto" w:sz="4" w:space="0"/>
              <w:right w:val="single" w:color="auto" w:sz="4" w:space="0"/>
            </w:tcBorders>
            <w:vAlign w:val="center"/>
          </w:tcPr>
          <w:p w14:paraId="0A432A93">
            <w:pPr>
              <w:autoSpaceDE w:val="0"/>
              <w:autoSpaceDN w:val="0"/>
              <w:adjustRightInd w:val="0"/>
              <w:snapToGrid w:val="0"/>
              <w:jc w:val="center"/>
              <w:rPr>
                <w:rFonts w:hint="eastAsia" w:ascii="宋体" w:hAnsi="宋体" w:cs="宋体"/>
                <w:bCs/>
                <w:color w:val="auto"/>
                <w:kern w:val="0"/>
                <w:szCs w:val="21"/>
              </w:rPr>
            </w:pPr>
            <w:r>
              <w:rPr>
                <w:rFonts w:ascii="宋体" w:hAnsi="宋体" w:cs="宋体"/>
                <w:color w:val="auto"/>
                <w:kern w:val="0"/>
                <w:szCs w:val="21"/>
              </w:rPr>
              <w:t>300-500</w:t>
            </w:r>
            <w:r>
              <w:rPr>
                <w:rFonts w:hint="eastAsia" w:ascii="宋体" w:hAnsi="宋体" w:cs="宋体"/>
                <w:color w:val="auto"/>
                <w:kern w:val="0"/>
                <w:szCs w:val="21"/>
              </w:rPr>
              <w:t>元</w:t>
            </w:r>
          </w:p>
        </w:tc>
        <w:tc>
          <w:tcPr>
            <w:tcW w:w="416" w:type="pct"/>
            <w:tcBorders>
              <w:top w:val="single" w:color="auto" w:sz="4" w:space="0"/>
              <w:left w:val="single" w:color="auto" w:sz="4" w:space="0"/>
              <w:bottom w:val="single" w:color="auto" w:sz="4" w:space="0"/>
              <w:right w:val="single" w:color="auto" w:sz="4" w:space="0"/>
            </w:tcBorders>
          </w:tcPr>
          <w:p w14:paraId="22AA6487">
            <w:pPr>
              <w:autoSpaceDE w:val="0"/>
              <w:autoSpaceDN w:val="0"/>
              <w:adjustRightInd w:val="0"/>
              <w:snapToGrid w:val="0"/>
              <w:jc w:val="center"/>
              <w:rPr>
                <w:rFonts w:hint="eastAsia" w:ascii="宋体" w:hAnsi="宋体" w:cs="仿宋_GB2312"/>
                <w:b/>
                <w:color w:val="auto"/>
                <w:szCs w:val="21"/>
              </w:rPr>
            </w:pPr>
            <w:r>
              <w:rPr>
                <w:rFonts w:hint="eastAsia" w:ascii="Microsoft JhengHei Light" w:hAnsi="Microsoft JhengHei Light" w:eastAsia="Microsoft JhengHei Light"/>
                <w:color w:val="auto"/>
                <w:szCs w:val="21"/>
              </w:rPr>
              <w:t>1</w:t>
            </w:r>
          </w:p>
        </w:tc>
        <w:tc>
          <w:tcPr>
            <w:tcW w:w="2751" w:type="pct"/>
            <w:tcBorders>
              <w:top w:val="single" w:color="auto" w:sz="4" w:space="0"/>
              <w:left w:val="single" w:color="auto" w:sz="4" w:space="0"/>
              <w:bottom w:val="single" w:color="auto" w:sz="4" w:space="0"/>
              <w:right w:val="single" w:color="auto" w:sz="4" w:space="0"/>
            </w:tcBorders>
            <w:vAlign w:val="center"/>
          </w:tcPr>
          <w:p w14:paraId="5F1C6FF4">
            <w:pPr>
              <w:autoSpaceDE w:val="0"/>
              <w:autoSpaceDN w:val="0"/>
              <w:adjustRightInd w:val="0"/>
              <w:snapToGrid w:val="0"/>
              <w:jc w:val="center"/>
              <w:rPr>
                <w:rFonts w:hint="eastAsia" w:ascii="宋体" w:hAnsi="宋体" w:cs="仿宋_GB2312"/>
                <w:b/>
                <w:color w:val="auto"/>
                <w:szCs w:val="21"/>
              </w:rPr>
            </w:pPr>
            <w:r>
              <w:rPr>
                <w:rFonts w:hint="eastAsia" w:ascii="宋体" w:hAnsi="宋体"/>
                <w:color w:val="auto"/>
                <w:szCs w:val="21"/>
              </w:rPr>
              <w:t>一般安全风险/隐患</w:t>
            </w:r>
          </w:p>
        </w:tc>
      </w:tr>
      <w:tr w14:paraId="2875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56204CE6">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E级</w:t>
            </w:r>
          </w:p>
        </w:tc>
        <w:tc>
          <w:tcPr>
            <w:tcW w:w="418" w:type="pct"/>
            <w:tcBorders>
              <w:top w:val="single" w:color="auto" w:sz="4" w:space="0"/>
              <w:left w:val="single" w:color="auto" w:sz="4" w:space="0"/>
              <w:bottom w:val="single" w:color="auto" w:sz="4" w:space="0"/>
              <w:right w:val="single" w:color="auto" w:sz="4" w:space="0"/>
            </w:tcBorders>
            <w:vAlign w:val="center"/>
          </w:tcPr>
          <w:p w14:paraId="30189E08">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低</w:t>
            </w:r>
          </w:p>
        </w:tc>
        <w:tc>
          <w:tcPr>
            <w:tcW w:w="1001" w:type="pct"/>
            <w:tcBorders>
              <w:top w:val="single" w:color="auto" w:sz="4" w:space="0"/>
              <w:left w:val="single" w:color="auto" w:sz="4" w:space="0"/>
              <w:bottom w:val="single" w:color="auto" w:sz="4" w:space="0"/>
              <w:right w:val="single" w:color="auto" w:sz="4" w:space="0"/>
            </w:tcBorders>
            <w:vAlign w:val="center"/>
          </w:tcPr>
          <w:p w14:paraId="279175D1">
            <w:pPr>
              <w:autoSpaceDE w:val="0"/>
              <w:autoSpaceDN w:val="0"/>
              <w:adjustRightInd w:val="0"/>
              <w:snapToGrid w:val="0"/>
              <w:jc w:val="center"/>
              <w:rPr>
                <w:rFonts w:hint="eastAsia" w:ascii="宋体" w:hAnsi="宋体" w:cs="宋体"/>
                <w:bCs/>
                <w:color w:val="auto"/>
                <w:kern w:val="0"/>
                <w:szCs w:val="21"/>
              </w:rPr>
            </w:pPr>
            <w:r>
              <w:rPr>
                <w:rFonts w:ascii="宋体" w:hAnsi="宋体" w:cs="宋体"/>
                <w:color w:val="auto"/>
                <w:kern w:val="0"/>
                <w:szCs w:val="21"/>
              </w:rPr>
              <w:t>100-200</w:t>
            </w:r>
            <w:r>
              <w:rPr>
                <w:rFonts w:hint="eastAsia" w:ascii="宋体" w:hAnsi="宋体" w:cs="宋体"/>
                <w:color w:val="auto"/>
                <w:kern w:val="0"/>
                <w:szCs w:val="21"/>
              </w:rPr>
              <w:t>元</w:t>
            </w:r>
          </w:p>
        </w:tc>
        <w:tc>
          <w:tcPr>
            <w:tcW w:w="416" w:type="pct"/>
            <w:tcBorders>
              <w:top w:val="single" w:color="auto" w:sz="4" w:space="0"/>
              <w:left w:val="single" w:color="auto" w:sz="4" w:space="0"/>
              <w:bottom w:val="single" w:color="auto" w:sz="4" w:space="0"/>
              <w:right w:val="single" w:color="auto" w:sz="4" w:space="0"/>
            </w:tcBorders>
          </w:tcPr>
          <w:p w14:paraId="35D85668">
            <w:pPr>
              <w:autoSpaceDE w:val="0"/>
              <w:autoSpaceDN w:val="0"/>
              <w:adjustRightInd w:val="0"/>
              <w:snapToGrid w:val="0"/>
              <w:jc w:val="center"/>
              <w:rPr>
                <w:rFonts w:hint="eastAsia" w:ascii="宋体" w:hAnsi="宋体" w:cs="仿宋_GB2312"/>
                <w:b/>
                <w:color w:val="auto"/>
                <w:szCs w:val="21"/>
              </w:rPr>
            </w:pPr>
            <w:r>
              <w:rPr>
                <w:rFonts w:hint="eastAsia" w:ascii="Microsoft JhengHei Light" w:hAnsi="Microsoft JhengHei Light" w:eastAsia="Microsoft JhengHei Light"/>
                <w:color w:val="auto"/>
                <w:szCs w:val="21"/>
              </w:rPr>
              <w:t>0</w:t>
            </w:r>
            <w:r>
              <w:rPr>
                <w:rFonts w:ascii="Microsoft JhengHei Light" w:hAnsi="Microsoft JhengHei Light" w:eastAsia="Microsoft JhengHei Light"/>
                <w:color w:val="auto"/>
                <w:szCs w:val="21"/>
              </w:rPr>
              <w:t>.5</w:t>
            </w:r>
          </w:p>
        </w:tc>
        <w:tc>
          <w:tcPr>
            <w:tcW w:w="2751" w:type="pct"/>
            <w:tcBorders>
              <w:top w:val="single" w:color="auto" w:sz="4" w:space="0"/>
              <w:left w:val="single" w:color="auto" w:sz="4" w:space="0"/>
              <w:bottom w:val="single" w:color="auto" w:sz="4" w:space="0"/>
              <w:right w:val="single" w:color="auto" w:sz="4" w:space="0"/>
            </w:tcBorders>
            <w:vAlign w:val="center"/>
          </w:tcPr>
          <w:p w14:paraId="770580A7">
            <w:pPr>
              <w:autoSpaceDE w:val="0"/>
              <w:autoSpaceDN w:val="0"/>
              <w:adjustRightInd w:val="0"/>
              <w:snapToGrid w:val="0"/>
              <w:jc w:val="center"/>
              <w:rPr>
                <w:rFonts w:hint="eastAsia" w:ascii="宋体" w:hAnsi="宋体" w:cs="仿宋_GB2312"/>
                <w:b/>
                <w:color w:val="auto"/>
                <w:szCs w:val="21"/>
              </w:rPr>
            </w:pPr>
            <w:r>
              <w:rPr>
                <w:rFonts w:hint="eastAsia" w:ascii="宋体" w:hAnsi="宋体"/>
                <w:color w:val="auto"/>
                <w:szCs w:val="21"/>
              </w:rPr>
              <w:t>轻微安全风险/隐患</w:t>
            </w:r>
          </w:p>
        </w:tc>
      </w:tr>
    </w:tbl>
    <w:p w14:paraId="2C5A251E">
      <w:pPr>
        <w:tabs>
          <w:tab w:val="left" w:pos="567"/>
          <w:tab w:val="left" w:pos="709"/>
          <w:tab w:val="left" w:pos="1134"/>
        </w:tabs>
        <w:adjustRightInd w:val="0"/>
        <w:snapToGrid w:val="0"/>
        <w:spacing w:line="360" w:lineRule="auto"/>
        <w:ind w:firstLine="420" w:firstLineChars="200"/>
        <w:rPr>
          <w:rFonts w:hint="eastAsia" w:hAnsi="宋体"/>
          <w:color w:val="auto"/>
          <w:szCs w:val="21"/>
        </w:rPr>
      </w:pPr>
      <w:r>
        <w:rPr>
          <w:rFonts w:hint="eastAsia" w:hAnsi="宋体"/>
          <w:color w:val="auto"/>
          <w:szCs w:val="21"/>
        </w:rPr>
        <w:t>注：风险隐患级别标准按《安全风险控制与隐患排查治理管理办法》《</w:t>
      </w:r>
      <w:bookmarkStart w:id="0" w:name="_Hlk103895037"/>
      <w:r>
        <w:rPr>
          <w:rFonts w:hint="eastAsia" w:hAnsi="宋体"/>
          <w:color w:val="auto"/>
          <w:szCs w:val="21"/>
        </w:rPr>
        <w:t>建设工程风险隐患库清单（施工单位）</w:t>
      </w:r>
      <w:bookmarkEnd w:id="0"/>
      <w:r>
        <w:rPr>
          <w:rFonts w:hint="eastAsia" w:hAnsi="宋体"/>
          <w:color w:val="auto"/>
          <w:szCs w:val="21"/>
        </w:rPr>
        <w:t>》执行</w:t>
      </w:r>
      <w:r>
        <w:rPr>
          <w:rFonts w:hint="eastAsia" w:hAnsi="宋体"/>
          <w:color w:val="auto"/>
          <w:szCs w:val="21"/>
        </w:rPr>
        <w:t>，法定节假日、“两会”等重大活动期间隐患级别上提一级</w:t>
      </w:r>
      <w:r>
        <w:rPr>
          <w:rFonts w:hint="eastAsia" w:hAnsi="宋体"/>
          <w:color w:val="auto"/>
          <w:szCs w:val="21"/>
        </w:rPr>
        <w:t>。</w:t>
      </w:r>
    </w:p>
    <w:p w14:paraId="69C0A6B3">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2</w:t>
      </w:r>
      <w:r>
        <w:rPr>
          <w:rFonts w:ascii="宋体" w:hAnsi="宋体" w:cs="宋体"/>
          <w:color w:val="auto"/>
          <w:kern w:val="24"/>
          <w:szCs w:val="21"/>
        </w:rPr>
        <w:t>.</w:t>
      </w:r>
      <w:r>
        <w:rPr>
          <w:rFonts w:hint="eastAsia" w:ascii="宋体" w:hAnsi="宋体" w:cs="宋体"/>
          <w:color w:val="auto"/>
          <w:kern w:val="24"/>
          <w:szCs w:val="21"/>
        </w:rPr>
        <w:t>对检查发现的隐患，无合理原因超出整改期限、整改要求的，或未按照国家相关标准进行整改的，或在两个考核周期内重复存在的，按上述标准加倍处罚。</w:t>
      </w:r>
      <w:r>
        <w:rPr>
          <w:rFonts w:hint="eastAsia" w:ascii="宋体" w:hAnsi="宋体" w:cs="宋体"/>
          <w:color w:val="auto"/>
          <w:kern w:val="24"/>
          <w:szCs w:val="21"/>
        </w:rPr>
        <w:t>如同一人违章次数达</w:t>
      </w:r>
      <w:r>
        <w:rPr>
          <w:rFonts w:ascii="宋体" w:hAnsi="宋体" w:cs="宋体"/>
          <w:color w:val="auto"/>
          <w:kern w:val="24"/>
          <w:szCs w:val="21"/>
        </w:rPr>
        <w:t>3</w:t>
      </w:r>
      <w:r>
        <w:rPr>
          <w:rFonts w:hint="eastAsia" w:ascii="宋体" w:hAnsi="宋体" w:cs="宋体"/>
          <w:color w:val="auto"/>
          <w:kern w:val="24"/>
          <w:szCs w:val="21"/>
        </w:rPr>
        <w:t>次则清退出场。</w:t>
      </w:r>
    </w:p>
    <w:p w14:paraId="2743796D">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3.</w:t>
      </w:r>
      <w:r>
        <w:rPr>
          <w:rFonts w:hint="eastAsia" w:ascii="宋体" w:hAnsi="宋体" w:cs="宋体"/>
          <w:color w:val="auto"/>
          <w:kern w:val="24"/>
          <w:szCs w:val="21"/>
        </w:rPr>
        <w:t>承包人在政府行政主管部门组织的安全生产检查中，被发现存在严重的安全隐患，被通报批评，或被新闻媒体曝光造成不良影响的，每被通报或被曝光一次，承包人向发包人支付违约金</w:t>
      </w:r>
      <w:r>
        <w:rPr>
          <w:rFonts w:ascii="宋体" w:hAnsi="宋体" w:cs="宋体"/>
          <w:color w:val="auto"/>
          <w:kern w:val="24"/>
          <w:szCs w:val="21"/>
        </w:rPr>
        <w:t>5万元</w:t>
      </w:r>
      <w:r>
        <w:rPr>
          <w:rFonts w:hint="eastAsia" w:ascii="宋体" w:hAnsi="宋体" w:cs="宋体"/>
          <w:color w:val="auto"/>
          <w:kern w:val="24"/>
          <w:szCs w:val="21"/>
        </w:rPr>
        <w:t>。</w:t>
      </w:r>
    </w:p>
    <w:p w14:paraId="41155A09">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4</w:t>
      </w:r>
      <w:r>
        <w:rPr>
          <w:rFonts w:ascii="宋体" w:hAnsi="宋体" w:cs="宋体"/>
          <w:color w:val="auto"/>
          <w:kern w:val="24"/>
          <w:szCs w:val="21"/>
        </w:rPr>
        <w:t>.</w:t>
      </w:r>
      <w:r>
        <w:rPr>
          <w:rFonts w:hint="eastAsia" w:ascii="宋体" w:hAnsi="宋体" w:cs="宋体"/>
          <w:color w:val="auto"/>
          <w:kern w:val="24"/>
          <w:szCs w:val="21"/>
        </w:rPr>
        <w:t>承包人专职安全管理人员配备数量不满足要求，按</w:t>
      </w:r>
      <w:r>
        <w:rPr>
          <w:rFonts w:ascii="宋体" w:hAnsi="宋体" w:cs="宋体"/>
          <w:color w:val="auto"/>
          <w:kern w:val="24"/>
          <w:szCs w:val="21"/>
        </w:rPr>
        <w:t>每天1000元/人</w:t>
      </w:r>
      <w:r>
        <w:rPr>
          <w:rFonts w:hint="eastAsia" w:ascii="宋体" w:hAnsi="宋体" w:cs="宋体"/>
          <w:color w:val="auto"/>
          <w:kern w:val="24"/>
          <w:szCs w:val="21"/>
        </w:rPr>
        <w:t>向发包人支付违约金，在开工3个月内人员数量仍不满足要求，另行向发包人支付违约金</w:t>
      </w:r>
      <w:r>
        <w:rPr>
          <w:rFonts w:ascii="宋体" w:hAnsi="宋体" w:cs="宋体"/>
          <w:color w:val="auto"/>
          <w:kern w:val="24"/>
          <w:szCs w:val="21"/>
        </w:rPr>
        <w:t>1</w:t>
      </w:r>
      <w:r>
        <w:rPr>
          <w:rFonts w:hint="eastAsia" w:ascii="宋体" w:hAnsi="宋体" w:cs="宋体"/>
          <w:color w:val="auto"/>
          <w:kern w:val="24"/>
          <w:szCs w:val="21"/>
        </w:rPr>
        <w:t>0万元/人。</w:t>
      </w:r>
    </w:p>
    <w:p w14:paraId="6F0A20DC">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5.</w:t>
      </w:r>
      <w:r>
        <w:rPr>
          <w:rFonts w:hint="eastAsia" w:ascii="宋体" w:hAnsi="宋体" w:cs="宋体"/>
          <w:color w:val="auto"/>
          <w:kern w:val="24"/>
          <w:szCs w:val="21"/>
        </w:rPr>
        <w:t>承包人各级人员及项目部相关人员现场检查频次不符合本协议要求的承包人应向发包人支付违约金，承包人分管安全领导</w:t>
      </w:r>
      <w:r>
        <w:rPr>
          <w:rFonts w:ascii="宋体" w:hAnsi="宋体" w:cs="宋体"/>
          <w:color w:val="auto"/>
          <w:kern w:val="24"/>
          <w:szCs w:val="21"/>
        </w:rPr>
        <w:t>1</w:t>
      </w:r>
      <w:r>
        <w:rPr>
          <w:rFonts w:hint="eastAsia" w:ascii="宋体" w:hAnsi="宋体" w:cs="宋体"/>
          <w:color w:val="auto"/>
          <w:kern w:val="24"/>
          <w:szCs w:val="21"/>
        </w:rPr>
        <w:t>万元/次，承包人安全管理部门</w:t>
      </w:r>
      <w:r>
        <w:rPr>
          <w:rFonts w:ascii="宋体" w:hAnsi="宋体" w:cs="宋体"/>
          <w:color w:val="auto"/>
          <w:kern w:val="24"/>
          <w:szCs w:val="21"/>
        </w:rPr>
        <w:t>5000</w:t>
      </w:r>
      <w:r>
        <w:rPr>
          <w:rFonts w:hint="eastAsia" w:ascii="宋体" w:hAnsi="宋体" w:cs="宋体"/>
          <w:color w:val="auto"/>
          <w:kern w:val="24"/>
          <w:szCs w:val="21"/>
        </w:rPr>
        <w:t>元/次，项目负责人和项目安全总监1</w:t>
      </w:r>
      <w:r>
        <w:rPr>
          <w:rFonts w:ascii="宋体" w:hAnsi="宋体" w:cs="宋体"/>
          <w:color w:val="auto"/>
          <w:kern w:val="24"/>
          <w:szCs w:val="21"/>
        </w:rPr>
        <w:t>000</w:t>
      </w:r>
      <w:r>
        <w:rPr>
          <w:rFonts w:hint="eastAsia" w:ascii="宋体" w:hAnsi="宋体" w:cs="宋体"/>
          <w:color w:val="auto"/>
          <w:kern w:val="24"/>
          <w:szCs w:val="21"/>
        </w:rPr>
        <w:t>元/次，其他人员</w:t>
      </w:r>
      <w:r>
        <w:rPr>
          <w:rFonts w:ascii="宋体" w:hAnsi="宋体" w:cs="宋体"/>
          <w:color w:val="auto"/>
          <w:kern w:val="24"/>
          <w:szCs w:val="21"/>
        </w:rPr>
        <w:t>5</w:t>
      </w:r>
      <w:r>
        <w:rPr>
          <w:rFonts w:hint="eastAsia" w:ascii="宋体" w:hAnsi="宋体" w:cs="宋体"/>
          <w:color w:val="auto"/>
          <w:kern w:val="24"/>
          <w:szCs w:val="21"/>
        </w:rPr>
        <w:t>00元/次。</w:t>
      </w:r>
    </w:p>
    <w:p w14:paraId="79845ABA">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6.</w:t>
      </w:r>
      <w:r>
        <w:rPr>
          <w:rFonts w:hint="eastAsia" w:ascii="宋体" w:hAnsi="宋体" w:cs="宋体"/>
          <w:color w:val="auto"/>
          <w:kern w:val="24"/>
          <w:szCs w:val="21"/>
        </w:rPr>
        <w:t>承包人未按规定进行安全生产条件预验收即开始施工，发包人有权要求承包人支付违约金2万元/次。</w:t>
      </w:r>
    </w:p>
    <w:p w14:paraId="71B5EF81">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7.</w:t>
      </w:r>
      <w:r>
        <w:rPr>
          <w:rFonts w:hint="eastAsia" w:ascii="宋体" w:hAnsi="宋体" w:cs="宋体"/>
          <w:color w:val="auto"/>
          <w:kern w:val="24"/>
          <w:szCs w:val="21"/>
        </w:rPr>
        <w:t>对检查发现</w:t>
      </w:r>
      <w:r>
        <w:rPr>
          <w:rFonts w:ascii="宋体" w:hAnsi="宋体" w:cs="宋体"/>
          <w:color w:val="auto"/>
          <w:kern w:val="24"/>
          <w:szCs w:val="21"/>
        </w:rPr>
        <w:t>A</w:t>
      </w:r>
      <w:r>
        <w:rPr>
          <w:rFonts w:hint="eastAsia" w:ascii="宋体" w:hAnsi="宋体" w:cs="宋体"/>
          <w:color w:val="auto"/>
          <w:kern w:val="24"/>
          <w:szCs w:val="21"/>
        </w:rPr>
        <w:t>级隐患，更换项目经理和安全总监；对检查发现</w:t>
      </w:r>
      <w:r>
        <w:rPr>
          <w:rFonts w:ascii="宋体" w:hAnsi="宋体" w:cs="宋体"/>
          <w:color w:val="auto"/>
          <w:kern w:val="24"/>
          <w:szCs w:val="21"/>
        </w:rPr>
        <w:t>B</w:t>
      </w:r>
      <w:r>
        <w:rPr>
          <w:rFonts w:hint="eastAsia" w:ascii="宋体" w:hAnsi="宋体" w:cs="宋体"/>
          <w:color w:val="auto"/>
          <w:kern w:val="24"/>
          <w:szCs w:val="21"/>
        </w:rPr>
        <w:t>级隐患，每个扣罚项目经理</w:t>
      </w:r>
      <w:r>
        <w:rPr>
          <w:rFonts w:ascii="宋体" w:hAnsi="宋体" w:cs="宋体"/>
          <w:color w:val="auto"/>
          <w:kern w:val="24"/>
          <w:szCs w:val="21"/>
        </w:rPr>
        <w:t>2000</w:t>
      </w:r>
      <w:r>
        <w:rPr>
          <w:rFonts w:hint="eastAsia" w:ascii="宋体" w:hAnsi="宋体" w:cs="宋体"/>
          <w:color w:val="auto"/>
          <w:kern w:val="24"/>
          <w:szCs w:val="21"/>
        </w:rPr>
        <w:t>元、项目安全总监</w:t>
      </w:r>
      <w:r>
        <w:rPr>
          <w:rFonts w:ascii="宋体" w:hAnsi="宋体" w:cs="宋体"/>
          <w:color w:val="auto"/>
          <w:kern w:val="24"/>
          <w:szCs w:val="21"/>
        </w:rPr>
        <w:t>1000</w:t>
      </w:r>
      <w:r>
        <w:rPr>
          <w:rFonts w:hint="eastAsia" w:ascii="宋体" w:hAnsi="宋体" w:cs="宋体"/>
          <w:color w:val="auto"/>
          <w:kern w:val="24"/>
          <w:szCs w:val="21"/>
        </w:rPr>
        <w:t>元。由承包人将扣罚凭证报发包人备案。</w:t>
      </w:r>
    </w:p>
    <w:p w14:paraId="57033B4C">
      <w:pPr>
        <w:pStyle w:val="3"/>
        <w:adjustRightInd w:val="0"/>
        <w:snapToGrid w:val="0"/>
        <w:spacing w:before="0" w:after="0" w:line="360" w:lineRule="auto"/>
        <w:ind w:firstLine="482" w:firstLineChars="200"/>
        <w:rPr>
          <w:color w:val="auto"/>
          <w:sz w:val="24"/>
          <w:szCs w:val="24"/>
        </w:rPr>
      </w:pPr>
      <w:r>
        <w:rPr>
          <w:rFonts w:hint="eastAsia"/>
          <w:color w:val="auto"/>
          <w:sz w:val="24"/>
          <w:szCs w:val="24"/>
        </w:rPr>
        <w:t>（三）月度安全考核</w:t>
      </w:r>
    </w:p>
    <w:p w14:paraId="2B96E90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当月监理、发包人、上级单位的扣分累计值（同一问题不累计扣分）为本月的安全管理考核扣分，满分1</w:t>
      </w:r>
      <w:r>
        <w:rPr>
          <w:rFonts w:ascii="宋体" w:hAnsi="宋体" w:cs="宋体"/>
          <w:color w:val="auto"/>
          <w:kern w:val="24"/>
          <w:szCs w:val="21"/>
        </w:rPr>
        <w:t>00</w:t>
      </w:r>
      <w:r>
        <w:rPr>
          <w:rFonts w:hint="eastAsia" w:ascii="宋体" w:hAnsi="宋体" w:cs="宋体"/>
          <w:color w:val="auto"/>
          <w:kern w:val="24"/>
          <w:szCs w:val="21"/>
        </w:rPr>
        <w:t>分，月度考核低于6</w:t>
      </w:r>
      <w:r>
        <w:rPr>
          <w:rFonts w:ascii="宋体" w:hAnsi="宋体" w:cs="宋体"/>
          <w:color w:val="auto"/>
          <w:kern w:val="24"/>
          <w:szCs w:val="21"/>
        </w:rPr>
        <w:t>0</w:t>
      </w:r>
      <w:r>
        <w:rPr>
          <w:rFonts w:hint="eastAsia" w:ascii="宋体" w:hAnsi="宋体" w:cs="宋体"/>
          <w:color w:val="auto"/>
          <w:kern w:val="24"/>
          <w:szCs w:val="21"/>
        </w:rPr>
        <w:t>分或连续三次低于7</w:t>
      </w:r>
      <w:r>
        <w:rPr>
          <w:rFonts w:ascii="宋体" w:hAnsi="宋体" w:cs="宋体"/>
          <w:color w:val="auto"/>
          <w:kern w:val="24"/>
          <w:szCs w:val="21"/>
        </w:rPr>
        <w:t>0</w:t>
      </w:r>
      <w:r>
        <w:rPr>
          <w:rFonts w:hint="eastAsia" w:ascii="宋体" w:hAnsi="宋体" w:cs="宋体"/>
          <w:color w:val="auto"/>
          <w:kern w:val="24"/>
          <w:szCs w:val="21"/>
        </w:rPr>
        <w:t>分的，发包人通报承包人所在企业，并约谈相关负责人，有权撤换项目负责人及安全管理人员。</w:t>
      </w:r>
    </w:p>
    <w:p w14:paraId="395E835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附表</w:t>
      </w:r>
      <w:r>
        <w:rPr>
          <w:rFonts w:ascii="宋体" w:hAnsi="宋体" w:cs="宋体"/>
          <w:color w:val="auto"/>
          <w:kern w:val="24"/>
          <w:szCs w:val="21"/>
        </w:rPr>
        <w:t>2</w:t>
      </w:r>
      <w:r>
        <w:rPr>
          <w:rFonts w:hint="eastAsia" w:ascii="宋体" w:hAnsi="宋体" w:cs="宋体"/>
          <w:color w:val="auto"/>
          <w:kern w:val="24"/>
          <w:szCs w:val="21"/>
        </w:rPr>
        <w:t>月度考核扣分标准</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876"/>
        <w:gridCol w:w="879"/>
        <w:gridCol w:w="5891"/>
      </w:tblGrid>
      <w:tr w14:paraId="14A0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28" w:type="pct"/>
            <w:gridSpan w:val="2"/>
            <w:tcBorders>
              <w:top w:val="single" w:color="auto" w:sz="4" w:space="0"/>
              <w:left w:val="single" w:color="auto" w:sz="4" w:space="0"/>
              <w:bottom w:val="single" w:color="auto" w:sz="4" w:space="0"/>
              <w:right w:val="single" w:color="auto" w:sz="4" w:space="0"/>
            </w:tcBorders>
            <w:vAlign w:val="center"/>
          </w:tcPr>
          <w:p w14:paraId="0863EB3D">
            <w:pPr>
              <w:autoSpaceDE w:val="0"/>
              <w:autoSpaceDN w:val="0"/>
              <w:adjustRightInd w:val="0"/>
              <w:snapToGrid w:val="0"/>
              <w:jc w:val="center"/>
              <w:rPr>
                <w:rFonts w:hint="eastAsia" w:ascii="宋体" w:hAnsi="宋体" w:cs="仿宋_GB2312"/>
                <w:b/>
                <w:color w:val="auto"/>
                <w:szCs w:val="21"/>
              </w:rPr>
            </w:pPr>
            <w:r>
              <w:rPr>
                <w:rFonts w:hint="eastAsia" w:ascii="宋体" w:hAnsi="宋体" w:cs="仿宋_GB2312"/>
                <w:b/>
                <w:color w:val="auto"/>
                <w:szCs w:val="21"/>
              </w:rPr>
              <w:t>风险/隐患等级</w:t>
            </w:r>
          </w:p>
        </w:tc>
        <w:tc>
          <w:tcPr>
            <w:tcW w:w="516" w:type="pct"/>
            <w:tcBorders>
              <w:top w:val="single" w:color="auto" w:sz="4" w:space="0"/>
              <w:left w:val="single" w:color="auto" w:sz="4" w:space="0"/>
              <w:bottom w:val="single" w:color="auto" w:sz="4" w:space="0"/>
              <w:right w:val="single" w:color="auto" w:sz="4" w:space="0"/>
            </w:tcBorders>
          </w:tcPr>
          <w:p w14:paraId="38674230">
            <w:pPr>
              <w:autoSpaceDE w:val="0"/>
              <w:autoSpaceDN w:val="0"/>
              <w:adjustRightInd w:val="0"/>
              <w:snapToGrid w:val="0"/>
              <w:jc w:val="center"/>
              <w:rPr>
                <w:rFonts w:hint="eastAsia" w:ascii="宋体" w:hAnsi="宋体" w:cs="仿宋_GB2312"/>
                <w:b/>
                <w:color w:val="auto"/>
                <w:szCs w:val="21"/>
              </w:rPr>
            </w:pPr>
            <w:r>
              <w:rPr>
                <w:rFonts w:hint="eastAsia" w:ascii="宋体" w:hAnsi="宋体" w:cs="仿宋_GB2312"/>
                <w:b/>
                <w:color w:val="auto"/>
                <w:szCs w:val="21"/>
              </w:rPr>
              <w:t>扣分</w:t>
            </w:r>
          </w:p>
        </w:tc>
        <w:tc>
          <w:tcPr>
            <w:tcW w:w="3456" w:type="pct"/>
            <w:tcBorders>
              <w:top w:val="single" w:color="auto" w:sz="4" w:space="0"/>
              <w:left w:val="single" w:color="auto" w:sz="4" w:space="0"/>
              <w:bottom w:val="single" w:color="auto" w:sz="4" w:space="0"/>
              <w:right w:val="single" w:color="auto" w:sz="4" w:space="0"/>
            </w:tcBorders>
            <w:vAlign w:val="center"/>
          </w:tcPr>
          <w:p w14:paraId="5CDC5F3A">
            <w:pPr>
              <w:autoSpaceDE w:val="0"/>
              <w:autoSpaceDN w:val="0"/>
              <w:adjustRightInd w:val="0"/>
              <w:snapToGrid w:val="0"/>
              <w:jc w:val="center"/>
              <w:rPr>
                <w:rFonts w:hint="eastAsia" w:ascii="宋体" w:hAnsi="宋体" w:cs="仿宋_GB2312"/>
                <w:b/>
                <w:color w:val="auto"/>
                <w:szCs w:val="21"/>
              </w:rPr>
            </w:pPr>
            <w:r>
              <w:rPr>
                <w:rFonts w:hint="eastAsia" w:ascii="宋体" w:hAnsi="宋体" w:cs="仿宋_GB2312"/>
                <w:b/>
                <w:color w:val="auto"/>
                <w:szCs w:val="21"/>
              </w:rPr>
              <w:t>说明</w:t>
            </w:r>
          </w:p>
        </w:tc>
      </w:tr>
      <w:tr w14:paraId="038B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4" w:type="pct"/>
            <w:tcBorders>
              <w:top w:val="single" w:color="auto" w:sz="4" w:space="0"/>
              <w:left w:val="single" w:color="auto" w:sz="4" w:space="0"/>
              <w:bottom w:val="single" w:color="auto" w:sz="4" w:space="0"/>
              <w:right w:val="single" w:color="auto" w:sz="4" w:space="0"/>
            </w:tcBorders>
            <w:vAlign w:val="center"/>
          </w:tcPr>
          <w:p w14:paraId="378242AC">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A级</w:t>
            </w:r>
          </w:p>
        </w:tc>
        <w:tc>
          <w:tcPr>
            <w:tcW w:w="514" w:type="pct"/>
            <w:tcBorders>
              <w:top w:val="single" w:color="auto" w:sz="4" w:space="0"/>
              <w:left w:val="single" w:color="auto" w:sz="4" w:space="0"/>
              <w:bottom w:val="single" w:color="auto" w:sz="4" w:space="0"/>
              <w:right w:val="single" w:color="auto" w:sz="4" w:space="0"/>
            </w:tcBorders>
            <w:vAlign w:val="center"/>
          </w:tcPr>
          <w:p w14:paraId="699B927E">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重大</w:t>
            </w:r>
          </w:p>
        </w:tc>
        <w:tc>
          <w:tcPr>
            <w:tcW w:w="516" w:type="pct"/>
            <w:tcBorders>
              <w:top w:val="single" w:color="auto" w:sz="4" w:space="0"/>
              <w:left w:val="single" w:color="auto" w:sz="4" w:space="0"/>
              <w:bottom w:val="single" w:color="auto" w:sz="4" w:space="0"/>
              <w:right w:val="single" w:color="auto" w:sz="4" w:space="0"/>
            </w:tcBorders>
          </w:tcPr>
          <w:p w14:paraId="2D42333B">
            <w:pPr>
              <w:autoSpaceDE w:val="0"/>
              <w:autoSpaceDN w:val="0"/>
              <w:adjustRightInd w:val="0"/>
              <w:snapToGrid w:val="0"/>
              <w:jc w:val="center"/>
              <w:rPr>
                <w:rFonts w:hint="eastAsia" w:ascii="宋体" w:hAnsi="宋体" w:cs="仿宋_GB2312"/>
                <w:b/>
                <w:color w:val="auto"/>
                <w:szCs w:val="21"/>
              </w:rPr>
            </w:pPr>
            <w:r>
              <w:rPr>
                <w:rFonts w:ascii="Microsoft JhengHei Light" w:hAnsi="Microsoft JhengHei Light" w:eastAsia="Microsoft JhengHei Light"/>
                <w:color w:val="auto"/>
                <w:szCs w:val="21"/>
              </w:rPr>
              <w:t>5</w:t>
            </w:r>
            <w:r>
              <w:rPr>
                <w:rFonts w:hint="eastAsia" w:ascii="Microsoft JhengHei Light" w:hAnsi="Microsoft JhengHei Light" w:eastAsia="Microsoft JhengHei Light"/>
                <w:color w:val="auto"/>
                <w:szCs w:val="21"/>
              </w:rPr>
              <w:t>~</w:t>
            </w:r>
            <w:r>
              <w:rPr>
                <w:rFonts w:ascii="Microsoft JhengHei Light" w:hAnsi="Microsoft JhengHei Light" w:eastAsia="Microsoft JhengHei Light"/>
                <w:color w:val="auto"/>
                <w:szCs w:val="21"/>
              </w:rPr>
              <w:t>10</w:t>
            </w:r>
          </w:p>
        </w:tc>
        <w:tc>
          <w:tcPr>
            <w:tcW w:w="3456" w:type="pct"/>
            <w:tcBorders>
              <w:top w:val="single" w:color="auto" w:sz="4" w:space="0"/>
              <w:left w:val="single" w:color="auto" w:sz="4" w:space="0"/>
              <w:bottom w:val="single" w:color="auto" w:sz="4" w:space="0"/>
              <w:right w:val="single" w:color="auto" w:sz="4" w:space="0"/>
            </w:tcBorders>
            <w:vAlign w:val="center"/>
          </w:tcPr>
          <w:p w14:paraId="755BAA8B">
            <w:pPr>
              <w:autoSpaceDE w:val="0"/>
              <w:autoSpaceDN w:val="0"/>
              <w:adjustRightInd w:val="0"/>
              <w:snapToGrid w:val="0"/>
              <w:jc w:val="center"/>
              <w:rPr>
                <w:rFonts w:hint="eastAsia" w:ascii="宋体" w:hAnsi="宋体" w:cs="仿宋_GB2312"/>
                <w:b/>
                <w:color w:val="auto"/>
                <w:szCs w:val="21"/>
              </w:rPr>
            </w:pPr>
            <w:r>
              <w:rPr>
                <w:rFonts w:hint="eastAsia" w:ascii="宋体" w:hAnsi="宋体"/>
                <w:color w:val="auto"/>
                <w:szCs w:val="21"/>
              </w:rPr>
              <w:t>达到国家有关规定要求的重大危险源和重大安全隐患标准，或内部评级达到重大级的风险/隐患</w:t>
            </w:r>
          </w:p>
        </w:tc>
      </w:tr>
      <w:tr w14:paraId="5AEA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4" w:type="pct"/>
            <w:tcBorders>
              <w:top w:val="single" w:color="auto" w:sz="4" w:space="0"/>
              <w:left w:val="single" w:color="auto" w:sz="4" w:space="0"/>
              <w:bottom w:val="single" w:color="auto" w:sz="4" w:space="0"/>
              <w:right w:val="single" w:color="auto" w:sz="4" w:space="0"/>
            </w:tcBorders>
            <w:vAlign w:val="center"/>
          </w:tcPr>
          <w:p w14:paraId="11E65361">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B级</w:t>
            </w:r>
          </w:p>
        </w:tc>
        <w:tc>
          <w:tcPr>
            <w:tcW w:w="514" w:type="pct"/>
            <w:tcBorders>
              <w:top w:val="single" w:color="auto" w:sz="4" w:space="0"/>
              <w:left w:val="single" w:color="auto" w:sz="4" w:space="0"/>
              <w:bottom w:val="single" w:color="auto" w:sz="4" w:space="0"/>
              <w:right w:val="single" w:color="auto" w:sz="4" w:space="0"/>
            </w:tcBorders>
            <w:vAlign w:val="center"/>
          </w:tcPr>
          <w:p w14:paraId="09F92A40">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重大</w:t>
            </w:r>
          </w:p>
        </w:tc>
        <w:tc>
          <w:tcPr>
            <w:tcW w:w="516" w:type="pct"/>
            <w:tcBorders>
              <w:top w:val="single" w:color="auto" w:sz="4" w:space="0"/>
              <w:left w:val="single" w:color="auto" w:sz="4" w:space="0"/>
              <w:bottom w:val="single" w:color="auto" w:sz="4" w:space="0"/>
              <w:right w:val="single" w:color="auto" w:sz="4" w:space="0"/>
            </w:tcBorders>
          </w:tcPr>
          <w:p w14:paraId="142BAFBA">
            <w:pPr>
              <w:autoSpaceDE w:val="0"/>
              <w:autoSpaceDN w:val="0"/>
              <w:adjustRightInd w:val="0"/>
              <w:snapToGrid w:val="0"/>
              <w:jc w:val="center"/>
              <w:rPr>
                <w:rFonts w:hint="eastAsia" w:ascii="宋体" w:hAnsi="宋体" w:cs="仿宋_GB2312"/>
                <w:b/>
                <w:color w:val="auto"/>
                <w:szCs w:val="21"/>
              </w:rPr>
            </w:pPr>
            <w:r>
              <w:rPr>
                <w:rFonts w:ascii="Microsoft JhengHei Light" w:hAnsi="Microsoft JhengHei Light" w:eastAsia="Microsoft JhengHei Light"/>
                <w:color w:val="auto"/>
                <w:szCs w:val="21"/>
              </w:rPr>
              <w:t>3</w:t>
            </w:r>
            <w:r>
              <w:rPr>
                <w:rFonts w:hint="eastAsia" w:ascii="Microsoft JhengHei Light" w:hAnsi="Microsoft JhengHei Light" w:eastAsia="Microsoft JhengHei Light"/>
                <w:color w:val="auto"/>
                <w:szCs w:val="21"/>
              </w:rPr>
              <w:t>~</w:t>
            </w:r>
            <w:r>
              <w:rPr>
                <w:rFonts w:ascii="Microsoft JhengHei Light" w:hAnsi="Microsoft JhengHei Light" w:eastAsia="Microsoft JhengHei Light"/>
                <w:color w:val="auto"/>
                <w:szCs w:val="21"/>
              </w:rPr>
              <w:t>4</w:t>
            </w:r>
          </w:p>
        </w:tc>
        <w:tc>
          <w:tcPr>
            <w:tcW w:w="3456" w:type="pct"/>
            <w:tcBorders>
              <w:top w:val="single" w:color="auto" w:sz="4" w:space="0"/>
              <w:left w:val="single" w:color="auto" w:sz="4" w:space="0"/>
              <w:bottom w:val="single" w:color="auto" w:sz="4" w:space="0"/>
              <w:right w:val="single" w:color="auto" w:sz="4" w:space="0"/>
            </w:tcBorders>
            <w:vAlign w:val="center"/>
          </w:tcPr>
          <w:p w14:paraId="71AC7528">
            <w:pPr>
              <w:autoSpaceDE w:val="0"/>
              <w:autoSpaceDN w:val="0"/>
              <w:adjustRightInd w:val="0"/>
              <w:snapToGrid w:val="0"/>
              <w:jc w:val="center"/>
              <w:rPr>
                <w:rFonts w:hint="eastAsia" w:ascii="宋体" w:hAnsi="宋体" w:cs="仿宋_GB2312"/>
                <w:b/>
                <w:color w:val="auto"/>
                <w:szCs w:val="21"/>
              </w:rPr>
            </w:pPr>
            <w:r>
              <w:rPr>
                <w:rFonts w:hint="eastAsia" w:ascii="宋体" w:hAnsi="宋体"/>
                <w:color w:val="auto"/>
                <w:szCs w:val="21"/>
              </w:rPr>
              <w:t>重大安全风险/隐患</w:t>
            </w:r>
          </w:p>
        </w:tc>
      </w:tr>
      <w:tr w14:paraId="1BA5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4" w:type="pct"/>
            <w:tcBorders>
              <w:top w:val="single" w:color="auto" w:sz="4" w:space="0"/>
              <w:left w:val="single" w:color="auto" w:sz="4" w:space="0"/>
              <w:bottom w:val="single" w:color="auto" w:sz="4" w:space="0"/>
              <w:right w:val="single" w:color="auto" w:sz="4" w:space="0"/>
            </w:tcBorders>
            <w:vAlign w:val="center"/>
          </w:tcPr>
          <w:p w14:paraId="204655A9">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C级</w:t>
            </w:r>
          </w:p>
        </w:tc>
        <w:tc>
          <w:tcPr>
            <w:tcW w:w="514" w:type="pct"/>
            <w:tcBorders>
              <w:top w:val="single" w:color="auto" w:sz="4" w:space="0"/>
              <w:left w:val="single" w:color="auto" w:sz="4" w:space="0"/>
              <w:bottom w:val="single" w:color="auto" w:sz="4" w:space="0"/>
              <w:right w:val="single" w:color="auto" w:sz="4" w:space="0"/>
            </w:tcBorders>
            <w:vAlign w:val="center"/>
          </w:tcPr>
          <w:p w14:paraId="103066E1">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较大</w:t>
            </w:r>
          </w:p>
        </w:tc>
        <w:tc>
          <w:tcPr>
            <w:tcW w:w="516" w:type="pct"/>
            <w:tcBorders>
              <w:top w:val="single" w:color="auto" w:sz="4" w:space="0"/>
              <w:left w:val="single" w:color="auto" w:sz="4" w:space="0"/>
              <w:bottom w:val="single" w:color="auto" w:sz="4" w:space="0"/>
              <w:right w:val="single" w:color="auto" w:sz="4" w:space="0"/>
            </w:tcBorders>
          </w:tcPr>
          <w:p w14:paraId="47FF4EC3">
            <w:pPr>
              <w:autoSpaceDE w:val="0"/>
              <w:autoSpaceDN w:val="0"/>
              <w:adjustRightInd w:val="0"/>
              <w:snapToGrid w:val="0"/>
              <w:jc w:val="center"/>
              <w:rPr>
                <w:rFonts w:hint="eastAsia" w:ascii="宋体" w:hAnsi="宋体" w:cs="仿宋_GB2312"/>
                <w:b/>
                <w:color w:val="auto"/>
                <w:szCs w:val="21"/>
              </w:rPr>
            </w:pPr>
            <w:r>
              <w:rPr>
                <w:rFonts w:hint="eastAsia" w:ascii="Microsoft JhengHei Light" w:hAnsi="Microsoft JhengHei Light" w:eastAsia="Microsoft JhengHei Light"/>
                <w:color w:val="auto"/>
                <w:szCs w:val="21"/>
              </w:rPr>
              <w:t>2</w:t>
            </w:r>
          </w:p>
        </w:tc>
        <w:tc>
          <w:tcPr>
            <w:tcW w:w="3456" w:type="pct"/>
            <w:tcBorders>
              <w:top w:val="single" w:color="auto" w:sz="4" w:space="0"/>
              <w:left w:val="single" w:color="auto" w:sz="4" w:space="0"/>
              <w:bottom w:val="single" w:color="auto" w:sz="4" w:space="0"/>
              <w:right w:val="single" w:color="auto" w:sz="4" w:space="0"/>
            </w:tcBorders>
            <w:vAlign w:val="center"/>
          </w:tcPr>
          <w:p w14:paraId="4C5DEA13">
            <w:pPr>
              <w:autoSpaceDE w:val="0"/>
              <w:autoSpaceDN w:val="0"/>
              <w:adjustRightInd w:val="0"/>
              <w:snapToGrid w:val="0"/>
              <w:jc w:val="center"/>
              <w:rPr>
                <w:rFonts w:hint="eastAsia" w:ascii="宋体" w:hAnsi="宋体" w:cs="仿宋_GB2312"/>
                <w:b/>
                <w:color w:val="auto"/>
                <w:szCs w:val="21"/>
              </w:rPr>
            </w:pPr>
            <w:r>
              <w:rPr>
                <w:rFonts w:hint="eastAsia" w:ascii="宋体" w:hAnsi="宋体"/>
                <w:color w:val="auto"/>
                <w:szCs w:val="21"/>
              </w:rPr>
              <w:t>较大安全风险/隐患</w:t>
            </w:r>
          </w:p>
        </w:tc>
      </w:tr>
      <w:tr w14:paraId="2F83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4" w:type="pct"/>
            <w:tcBorders>
              <w:top w:val="single" w:color="auto" w:sz="4" w:space="0"/>
              <w:left w:val="single" w:color="auto" w:sz="4" w:space="0"/>
              <w:bottom w:val="single" w:color="auto" w:sz="4" w:space="0"/>
              <w:right w:val="single" w:color="auto" w:sz="4" w:space="0"/>
            </w:tcBorders>
            <w:vAlign w:val="center"/>
          </w:tcPr>
          <w:p w14:paraId="0DBA787F">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D级</w:t>
            </w:r>
          </w:p>
        </w:tc>
        <w:tc>
          <w:tcPr>
            <w:tcW w:w="514" w:type="pct"/>
            <w:tcBorders>
              <w:top w:val="single" w:color="auto" w:sz="4" w:space="0"/>
              <w:left w:val="single" w:color="auto" w:sz="4" w:space="0"/>
              <w:bottom w:val="single" w:color="auto" w:sz="4" w:space="0"/>
              <w:right w:val="single" w:color="auto" w:sz="4" w:space="0"/>
            </w:tcBorders>
            <w:vAlign w:val="center"/>
          </w:tcPr>
          <w:p w14:paraId="0EC50000">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一般</w:t>
            </w:r>
          </w:p>
        </w:tc>
        <w:tc>
          <w:tcPr>
            <w:tcW w:w="516" w:type="pct"/>
            <w:tcBorders>
              <w:top w:val="single" w:color="auto" w:sz="4" w:space="0"/>
              <w:left w:val="single" w:color="auto" w:sz="4" w:space="0"/>
              <w:bottom w:val="single" w:color="auto" w:sz="4" w:space="0"/>
              <w:right w:val="single" w:color="auto" w:sz="4" w:space="0"/>
            </w:tcBorders>
          </w:tcPr>
          <w:p w14:paraId="3ECB0B80">
            <w:pPr>
              <w:autoSpaceDE w:val="0"/>
              <w:autoSpaceDN w:val="0"/>
              <w:adjustRightInd w:val="0"/>
              <w:snapToGrid w:val="0"/>
              <w:jc w:val="center"/>
              <w:rPr>
                <w:rFonts w:hint="eastAsia" w:ascii="宋体" w:hAnsi="宋体" w:cs="仿宋_GB2312"/>
                <w:b/>
                <w:color w:val="auto"/>
                <w:szCs w:val="21"/>
              </w:rPr>
            </w:pPr>
            <w:r>
              <w:rPr>
                <w:rFonts w:hint="eastAsia" w:ascii="Microsoft JhengHei Light" w:hAnsi="Microsoft JhengHei Light" w:eastAsia="Microsoft JhengHei Light"/>
                <w:color w:val="auto"/>
                <w:szCs w:val="21"/>
              </w:rPr>
              <w:t>1</w:t>
            </w:r>
          </w:p>
        </w:tc>
        <w:tc>
          <w:tcPr>
            <w:tcW w:w="3456" w:type="pct"/>
            <w:tcBorders>
              <w:top w:val="single" w:color="auto" w:sz="4" w:space="0"/>
              <w:left w:val="single" w:color="auto" w:sz="4" w:space="0"/>
              <w:bottom w:val="single" w:color="auto" w:sz="4" w:space="0"/>
              <w:right w:val="single" w:color="auto" w:sz="4" w:space="0"/>
            </w:tcBorders>
            <w:vAlign w:val="center"/>
          </w:tcPr>
          <w:p w14:paraId="4FC4CE7C">
            <w:pPr>
              <w:autoSpaceDE w:val="0"/>
              <w:autoSpaceDN w:val="0"/>
              <w:adjustRightInd w:val="0"/>
              <w:snapToGrid w:val="0"/>
              <w:jc w:val="center"/>
              <w:rPr>
                <w:rFonts w:hint="eastAsia" w:ascii="宋体" w:hAnsi="宋体" w:cs="仿宋_GB2312"/>
                <w:b/>
                <w:color w:val="auto"/>
                <w:szCs w:val="21"/>
              </w:rPr>
            </w:pPr>
            <w:r>
              <w:rPr>
                <w:rFonts w:hint="eastAsia" w:ascii="宋体" w:hAnsi="宋体"/>
                <w:color w:val="auto"/>
                <w:szCs w:val="21"/>
              </w:rPr>
              <w:t>一般安全风险/隐患</w:t>
            </w:r>
          </w:p>
        </w:tc>
      </w:tr>
      <w:tr w14:paraId="1940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4" w:type="pct"/>
            <w:tcBorders>
              <w:top w:val="single" w:color="auto" w:sz="4" w:space="0"/>
              <w:left w:val="single" w:color="auto" w:sz="4" w:space="0"/>
              <w:bottom w:val="single" w:color="auto" w:sz="4" w:space="0"/>
              <w:right w:val="single" w:color="auto" w:sz="4" w:space="0"/>
            </w:tcBorders>
            <w:vAlign w:val="center"/>
          </w:tcPr>
          <w:p w14:paraId="7B1D2CE1">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E级</w:t>
            </w:r>
          </w:p>
        </w:tc>
        <w:tc>
          <w:tcPr>
            <w:tcW w:w="514" w:type="pct"/>
            <w:tcBorders>
              <w:top w:val="single" w:color="auto" w:sz="4" w:space="0"/>
              <w:left w:val="single" w:color="auto" w:sz="4" w:space="0"/>
              <w:bottom w:val="single" w:color="auto" w:sz="4" w:space="0"/>
              <w:right w:val="single" w:color="auto" w:sz="4" w:space="0"/>
            </w:tcBorders>
            <w:vAlign w:val="center"/>
          </w:tcPr>
          <w:p w14:paraId="6BF1E55D">
            <w:pPr>
              <w:autoSpaceDE w:val="0"/>
              <w:autoSpaceDN w:val="0"/>
              <w:adjustRightInd w:val="0"/>
              <w:snapToGrid w:val="0"/>
              <w:jc w:val="center"/>
              <w:rPr>
                <w:rFonts w:hint="eastAsia" w:ascii="宋体" w:hAnsi="宋体" w:cs="仿宋_GB2312"/>
                <w:color w:val="auto"/>
                <w:szCs w:val="21"/>
              </w:rPr>
            </w:pPr>
            <w:r>
              <w:rPr>
                <w:rFonts w:hint="eastAsia" w:ascii="宋体" w:hAnsi="宋体" w:cs="仿宋_GB2312"/>
                <w:color w:val="auto"/>
                <w:szCs w:val="21"/>
              </w:rPr>
              <w:t>低</w:t>
            </w:r>
          </w:p>
        </w:tc>
        <w:tc>
          <w:tcPr>
            <w:tcW w:w="516" w:type="pct"/>
            <w:tcBorders>
              <w:top w:val="single" w:color="auto" w:sz="4" w:space="0"/>
              <w:left w:val="single" w:color="auto" w:sz="4" w:space="0"/>
              <w:bottom w:val="single" w:color="auto" w:sz="4" w:space="0"/>
              <w:right w:val="single" w:color="auto" w:sz="4" w:space="0"/>
            </w:tcBorders>
          </w:tcPr>
          <w:p w14:paraId="7B7DF423">
            <w:pPr>
              <w:autoSpaceDE w:val="0"/>
              <w:autoSpaceDN w:val="0"/>
              <w:adjustRightInd w:val="0"/>
              <w:snapToGrid w:val="0"/>
              <w:jc w:val="center"/>
              <w:rPr>
                <w:rFonts w:hint="eastAsia" w:ascii="宋体" w:hAnsi="宋体" w:cs="仿宋_GB2312"/>
                <w:b/>
                <w:color w:val="auto"/>
                <w:szCs w:val="21"/>
              </w:rPr>
            </w:pPr>
            <w:r>
              <w:rPr>
                <w:rFonts w:hint="eastAsia" w:ascii="Microsoft JhengHei Light" w:hAnsi="Microsoft JhengHei Light" w:eastAsia="Microsoft JhengHei Light"/>
                <w:color w:val="auto"/>
                <w:szCs w:val="21"/>
              </w:rPr>
              <w:t>0</w:t>
            </w:r>
            <w:r>
              <w:rPr>
                <w:rFonts w:ascii="Microsoft JhengHei Light" w:hAnsi="Microsoft JhengHei Light" w:eastAsia="Microsoft JhengHei Light"/>
                <w:color w:val="auto"/>
                <w:szCs w:val="21"/>
              </w:rPr>
              <w:t>.5</w:t>
            </w:r>
          </w:p>
        </w:tc>
        <w:tc>
          <w:tcPr>
            <w:tcW w:w="3456" w:type="pct"/>
            <w:tcBorders>
              <w:top w:val="single" w:color="auto" w:sz="4" w:space="0"/>
              <w:left w:val="single" w:color="auto" w:sz="4" w:space="0"/>
              <w:bottom w:val="single" w:color="auto" w:sz="4" w:space="0"/>
              <w:right w:val="single" w:color="auto" w:sz="4" w:space="0"/>
            </w:tcBorders>
            <w:vAlign w:val="center"/>
          </w:tcPr>
          <w:p w14:paraId="362A7AE3">
            <w:pPr>
              <w:autoSpaceDE w:val="0"/>
              <w:autoSpaceDN w:val="0"/>
              <w:adjustRightInd w:val="0"/>
              <w:snapToGrid w:val="0"/>
              <w:jc w:val="center"/>
              <w:rPr>
                <w:rFonts w:hint="eastAsia" w:ascii="宋体" w:hAnsi="宋体" w:cs="仿宋_GB2312"/>
                <w:b/>
                <w:color w:val="auto"/>
                <w:szCs w:val="21"/>
              </w:rPr>
            </w:pPr>
            <w:r>
              <w:rPr>
                <w:rFonts w:hint="eastAsia" w:ascii="宋体" w:hAnsi="宋体"/>
                <w:color w:val="auto"/>
                <w:szCs w:val="21"/>
              </w:rPr>
              <w:t>轻微安全风险/隐患</w:t>
            </w:r>
          </w:p>
        </w:tc>
      </w:tr>
    </w:tbl>
    <w:p w14:paraId="0386DFF1">
      <w:pPr>
        <w:tabs>
          <w:tab w:val="left" w:pos="567"/>
          <w:tab w:val="left" w:pos="709"/>
          <w:tab w:val="left" w:pos="1134"/>
        </w:tabs>
        <w:adjustRightInd w:val="0"/>
        <w:snapToGrid w:val="0"/>
        <w:spacing w:line="360" w:lineRule="auto"/>
        <w:ind w:firstLine="420" w:firstLineChars="200"/>
        <w:rPr>
          <w:rFonts w:hint="eastAsia" w:ascii="宋体" w:hAnsi="宋体" w:cs="宋体"/>
          <w:b/>
          <w:i/>
          <w:color w:val="auto"/>
          <w:kern w:val="24"/>
          <w:szCs w:val="21"/>
        </w:rPr>
      </w:pPr>
    </w:p>
    <w:p w14:paraId="3F92305B">
      <w:pPr>
        <w:pStyle w:val="3"/>
        <w:adjustRightInd w:val="0"/>
        <w:snapToGrid w:val="0"/>
        <w:spacing w:before="0" w:after="0" w:line="360" w:lineRule="auto"/>
        <w:ind w:firstLine="482" w:firstLineChars="200"/>
        <w:rPr>
          <w:color w:val="auto"/>
          <w:sz w:val="24"/>
          <w:szCs w:val="24"/>
        </w:rPr>
      </w:pPr>
      <w:r>
        <w:rPr>
          <w:rFonts w:hint="eastAsia"/>
          <w:color w:val="auto"/>
          <w:sz w:val="24"/>
          <w:szCs w:val="24"/>
        </w:rPr>
        <w:t>（四）年度安全信用考核</w:t>
      </w:r>
    </w:p>
    <w:p w14:paraId="4C206325">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发包人每月组织开展对承包人的安全生产履约情况检查考核（附件</w:t>
      </w:r>
      <w:r>
        <w:rPr>
          <w:rFonts w:ascii="宋体" w:hAnsi="宋体" w:cs="宋体"/>
          <w:color w:val="auto"/>
          <w:kern w:val="24"/>
          <w:szCs w:val="21"/>
        </w:rPr>
        <w:t>4</w:t>
      </w:r>
      <w:r>
        <w:rPr>
          <w:rFonts w:hint="eastAsia" w:ascii="宋体" w:hAnsi="宋体" w:cs="宋体"/>
          <w:color w:val="auto"/>
          <w:kern w:val="24"/>
          <w:szCs w:val="21"/>
        </w:rPr>
        <w:t>），按年累计，其考核情况将作如下应用：</w:t>
      </w:r>
    </w:p>
    <w:p w14:paraId="276E3598">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1.</w:t>
      </w:r>
      <w:r>
        <w:rPr>
          <w:rFonts w:hint="eastAsia" w:ascii="宋体" w:hAnsi="宋体" w:cs="宋体"/>
          <w:color w:val="auto"/>
          <w:kern w:val="24"/>
          <w:szCs w:val="21"/>
        </w:rPr>
        <w:t>若承包人承接的某项目累计扣分值（N）</w:t>
      </w:r>
      <w:r>
        <w:rPr>
          <w:rFonts w:ascii="宋体" w:hAnsi="宋体" w:cs="宋体"/>
          <w:color w:val="auto"/>
          <w:kern w:val="24"/>
          <w:szCs w:val="21"/>
        </w:rPr>
        <w:t>9</w:t>
      </w:r>
      <w:r>
        <w:rPr>
          <w:rFonts w:hint="eastAsia" w:ascii="宋体" w:hAnsi="宋体" w:cs="宋体"/>
          <w:color w:val="auto"/>
          <w:kern w:val="24"/>
          <w:szCs w:val="21"/>
        </w:rPr>
        <w:t>分≤</w:t>
      </w:r>
      <w:r>
        <w:rPr>
          <w:rFonts w:ascii="宋体" w:hAnsi="宋体" w:cs="宋体"/>
          <w:color w:val="auto"/>
          <w:kern w:val="24"/>
          <w:szCs w:val="21"/>
        </w:rPr>
        <w:t>N</w:t>
      </w:r>
      <w:r>
        <w:rPr>
          <w:rFonts w:hint="eastAsia" w:ascii="宋体" w:hAnsi="宋体" w:cs="宋体"/>
          <w:color w:val="auto"/>
          <w:kern w:val="24"/>
          <w:szCs w:val="21"/>
        </w:rPr>
        <w:t>＜</w:t>
      </w:r>
      <w:r>
        <w:rPr>
          <w:rFonts w:ascii="宋体" w:hAnsi="宋体" w:cs="宋体"/>
          <w:color w:val="auto"/>
          <w:kern w:val="24"/>
          <w:szCs w:val="21"/>
        </w:rPr>
        <w:t>12</w:t>
      </w:r>
      <w:r>
        <w:rPr>
          <w:rFonts w:hint="eastAsia" w:ascii="宋体" w:hAnsi="宋体" w:cs="宋体"/>
          <w:color w:val="auto"/>
          <w:kern w:val="24"/>
          <w:szCs w:val="21"/>
        </w:rPr>
        <w:t>分，在粤海集团及其附属公司工程项目招标环节对其实施</w:t>
      </w:r>
      <w:r>
        <w:rPr>
          <w:rFonts w:ascii="宋体" w:hAnsi="宋体" w:cs="宋体"/>
          <w:color w:val="auto"/>
          <w:kern w:val="24"/>
          <w:szCs w:val="21"/>
        </w:rPr>
        <w:t>“</w:t>
      </w:r>
      <w:r>
        <w:rPr>
          <w:rFonts w:hint="eastAsia" w:ascii="宋体" w:hAnsi="宋体" w:cs="宋体"/>
          <w:color w:val="auto"/>
          <w:kern w:val="24"/>
          <w:szCs w:val="21"/>
        </w:rPr>
        <w:t>安全生产</w:t>
      </w:r>
      <w:r>
        <w:rPr>
          <w:rFonts w:ascii="宋体" w:hAnsi="宋体" w:cs="宋体"/>
          <w:color w:val="auto"/>
          <w:kern w:val="24"/>
          <w:szCs w:val="21"/>
        </w:rPr>
        <w:t>”</w:t>
      </w:r>
      <w:r>
        <w:rPr>
          <w:rFonts w:hint="eastAsia" w:ascii="宋体" w:hAnsi="宋体" w:cs="宋体"/>
          <w:color w:val="auto"/>
          <w:kern w:val="24"/>
          <w:szCs w:val="21"/>
        </w:rPr>
        <w:t>扣分处理，扣分值为评标总分的</w:t>
      </w:r>
      <w:r>
        <w:rPr>
          <w:rFonts w:ascii="宋体" w:hAnsi="宋体" w:cs="宋体"/>
          <w:color w:val="auto"/>
          <w:kern w:val="24"/>
          <w:szCs w:val="21"/>
        </w:rPr>
        <w:t>5%</w:t>
      </w:r>
      <w:r>
        <w:rPr>
          <w:rFonts w:hint="eastAsia" w:ascii="宋体" w:hAnsi="宋体" w:cs="宋体"/>
          <w:color w:val="auto"/>
          <w:kern w:val="24"/>
          <w:szCs w:val="21"/>
        </w:rPr>
        <w:t>，持续期为</w:t>
      </w:r>
      <w:r>
        <w:rPr>
          <w:rFonts w:ascii="宋体" w:hAnsi="宋体" w:cs="宋体"/>
          <w:color w:val="auto"/>
          <w:kern w:val="24"/>
          <w:szCs w:val="21"/>
        </w:rPr>
        <w:t>3</w:t>
      </w:r>
      <w:r>
        <w:rPr>
          <w:rFonts w:hint="eastAsia" w:ascii="宋体" w:hAnsi="宋体" w:cs="宋体"/>
          <w:color w:val="auto"/>
          <w:kern w:val="24"/>
          <w:szCs w:val="21"/>
        </w:rPr>
        <w:t>个月（从处理生效</w:t>
      </w:r>
      <w:r>
        <w:rPr>
          <w:rFonts w:ascii="宋体" w:hAnsi="宋体" w:cs="宋体"/>
          <w:color w:val="auto"/>
          <w:kern w:val="24"/>
          <w:szCs w:val="21"/>
        </w:rPr>
        <w:t>之日起计算，下同）</w:t>
      </w:r>
      <w:r>
        <w:rPr>
          <w:rFonts w:hint="eastAsia" w:ascii="宋体" w:hAnsi="宋体" w:cs="宋体"/>
          <w:color w:val="auto"/>
          <w:kern w:val="24"/>
          <w:szCs w:val="21"/>
        </w:rPr>
        <w:t>。</w:t>
      </w:r>
    </w:p>
    <w:p w14:paraId="5F1BB076">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2.</w:t>
      </w:r>
      <w:r>
        <w:rPr>
          <w:rFonts w:hint="eastAsia" w:ascii="宋体" w:hAnsi="宋体" w:cs="宋体"/>
          <w:color w:val="auto"/>
          <w:kern w:val="24"/>
          <w:szCs w:val="21"/>
        </w:rPr>
        <w:t>若承包人承接的某项目累计扣分</w:t>
      </w:r>
      <w:r>
        <w:rPr>
          <w:rFonts w:ascii="宋体" w:hAnsi="宋体" w:cs="宋体"/>
          <w:color w:val="auto"/>
          <w:kern w:val="24"/>
          <w:szCs w:val="21"/>
        </w:rPr>
        <w:t>N</w:t>
      </w:r>
      <w:r>
        <w:rPr>
          <w:rFonts w:hint="eastAsia" w:ascii="宋体" w:hAnsi="宋体" w:cs="宋体"/>
          <w:color w:val="auto"/>
          <w:kern w:val="24"/>
          <w:szCs w:val="21"/>
        </w:rPr>
        <w:t>≥</w:t>
      </w:r>
      <w:r>
        <w:rPr>
          <w:rFonts w:ascii="宋体" w:hAnsi="宋体" w:cs="宋体"/>
          <w:color w:val="auto"/>
          <w:kern w:val="24"/>
          <w:szCs w:val="21"/>
        </w:rPr>
        <w:t>12</w:t>
      </w:r>
      <w:r>
        <w:rPr>
          <w:rFonts w:hint="eastAsia" w:ascii="宋体" w:hAnsi="宋体" w:cs="宋体"/>
          <w:color w:val="auto"/>
          <w:kern w:val="24"/>
          <w:szCs w:val="21"/>
        </w:rPr>
        <w:t>分，未发生事故的，在粤海集团及其附属公司工程项目招标环节对其实施</w:t>
      </w:r>
      <w:r>
        <w:rPr>
          <w:rFonts w:ascii="宋体" w:hAnsi="宋体" w:cs="宋体"/>
          <w:color w:val="auto"/>
          <w:kern w:val="24"/>
          <w:szCs w:val="21"/>
        </w:rPr>
        <w:t>“</w:t>
      </w:r>
      <w:r>
        <w:rPr>
          <w:rFonts w:hint="eastAsia" w:ascii="宋体" w:hAnsi="宋体" w:cs="宋体"/>
          <w:color w:val="auto"/>
          <w:kern w:val="24"/>
          <w:szCs w:val="21"/>
        </w:rPr>
        <w:t>安全生产</w:t>
      </w:r>
      <w:r>
        <w:rPr>
          <w:rFonts w:ascii="宋体" w:hAnsi="宋体" w:cs="宋体"/>
          <w:color w:val="auto"/>
          <w:kern w:val="24"/>
          <w:szCs w:val="21"/>
        </w:rPr>
        <w:t>”</w:t>
      </w:r>
      <w:r>
        <w:rPr>
          <w:rFonts w:hint="eastAsia" w:ascii="宋体" w:hAnsi="宋体" w:cs="宋体"/>
          <w:color w:val="auto"/>
          <w:kern w:val="24"/>
          <w:szCs w:val="21"/>
        </w:rPr>
        <w:t>扣分处理，扣分值为评标总分的</w:t>
      </w:r>
      <w:r>
        <w:rPr>
          <w:rFonts w:ascii="宋体" w:hAnsi="宋体" w:cs="宋体"/>
          <w:color w:val="auto"/>
          <w:kern w:val="24"/>
          <w:szCs w:val="21"/>
        </w:rPr>
        <w:t>10%</w:t>
      </w:r>
      <w:r>
        <w:rPr>
          <w:rFonts w:hint="eastAsia" w:ascii="宋体" w:hAnsi="宋体" w:cs="宋体"/>
          <w:color w:val="auto"/>
          <w:kern w:val="24"/>
          <w:szCs w:val="21"/>
        </w:rPr>
        <w:t>，持续期为</w:t>
      </w:r>
      <w:r>
        <w:rPr>
          <w:rFonts w:ascii="宋体" w:hAnsi="宋体" w:cs="宋体"/>
          <w:color w:val="auto"/>
          <w:kern w:val="24"/>
          <w:szCs w:val="21"/>
        </w:rPr>
        <w:t>6</w:t>
      </w:r>
      <w:r>
        <w:rPr>
          <w:rFonts w:hint="eastAsia" w:ascii="宋体" w:hAnsi="宋体" w:cs="宋体"/>
          <w:color w:val="auto"/>
          <w:kern w:val="24"/>
          <w:szCs w:val="21"/>
        </w:rPr>
        <w:t>个月。</w:t>
      </w:r>
    </w:p>
    <w:p w14:paraId="0F2AF66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3.</w:t>
      </w:r>
      <w:r>
        <w:rPr>
          <w:rFonts w:hint="eastAsia" w:ascii="宋体" w:hAnsi="宋体" w:cs="宋体"/>
          <w:color w:val="auto"/>
          <w:kern w:val="24"/>
          <w:szCs w:val="21"/>
        </w:rPr>
        <w:t>若承包人承接的某项目累计扣分</w:t>
      </w:r>
      <w:r>
        <w:rPr>
          <w:rFonts w:ascii="宋体" w:hAnsi="宋体" w:cs="宋体"/>
          <w:color w:val="auto"/>
          <w:kern w:val="24"/>
          <w:szCs w:val="21"/>
        </w:rPr>
        <w:t>N</w:t>
      </w:r>
      <w:r>
        <w:rPr>
          <w:rFonts w:hint="eastAsia" w:ascii="宋体" w:hAnsi="宋体" w:cs="宋体"/>
          <w:color w:val="auto"/>
          <w:kern w:val="24"/>
          <w:szCs w:val="21"/>
        </w:rPr>
        <w:t>≥</w:t>
      </w:r>
      <w:r>
        <w:rPr>
          <w:rFonts w:ascii="宋体" w:hAnsi="宋体" w:cs="宋体"/>
          <w:color w:val="auto"/>
          <w:kern w:val="24"/>
          <w:szCs w:val="21"/>
        </w:rPr>
        <w:t>12</w:t>
      </w:r>
      <w:r>
        <w:rPr>
          <w:rFonts w:hint="eastAsia" w:ascii="宋体" w:hAnsi="宋体" w:cs="宋体"/>
          <w:color w:val="auto"/>
          <w:kern w:val="24"/>
          <w:szCs w:val="21"/>
        </w:rPr>
        <w:t>分，发生事故的，在粤海集团及其附属公司工程项目招标环节对其实施</w:t>
      </w:r>
      <w:r>
        <w:rPr>
          <w:rFonts w:ascii="宋体" w:hAnsi="宋体" w:cs="宋体"/>
          <w:color w:val="auto"/>
          <w:kern w:val="24"/>
          <w:szCs w:val="21"/>
        </w:rPr>
        <w:t>“</w:t>
      </w:r>
      <w:r>
        <w:rPr>
          <w:rFonts w:hint="eastAsia" w:ascii="宋体" w:hAnsi="宋体" w:cs="宋体"/>
          <w:color w:val="auto"/>
          <w:kern w:val="24"/>
          <w:szCs w:val="21"/>
        </w:rPr>
        <w:t>安全生产</w:t>
      </w:r>
      <w:r>
        <w:rPr>
          <w:rFonts w:ascii="宋体" w:hAnsi="宋体" w:cs="宋体"/>
          <w:color w:val="auto"/>
          <w:kern w:val="24"/>
          <w:szCs w:val="21"/>
        </w:rPr>
        <w:t>”</w:t>
      </w:r>
      <w:r>
        <w:rPr>
          <w:rFonts w:hint="eastAsia" w:ascii="宋体" w:hAnsi="宋体" w:cs="宋体"/>
          <w:color w:val="auto"/>
          <w:kern w:val="24"/>
          <w:szCs w:val="21"/>
        </w:rPr>
        <w:t>扣分处理。一次死亡</w:t>
      </w:r>
      <w:r>
        <w:rPr>
          <w:rFonts w:ascii="宋体" w:hAnsi="宋体" w:cs="宋体"/>
          <w:color w:val="auto"/>
          <w:kern w:val="24"/>
          <w:szCs w:val="21"/>
        </w:rPr>
        <w:t>1</w:t>
      </w:r>
      <w:r>
        <w:rPr>
          <w:rFonts w:hint="eastAsia" w:ascii="宋体" w:hAnsi="宋体" w:cs="宋体"/>
          <w:color w:val="auto"/>
          <w:kern w:val="24"/>
          <w:szCs w:val="21"/>
        </w:rPr>
        <w:t>人或重伤</w:t>
      </w:r>
      <w:r>
        <w:rPr>
          <w:rFonts w:ascii="宋体" w:hAnsi="宋体" w:cs="宋体"/>
          <w:color w:val="auto"/>
          <w:kern w:val="24"/>
          <w:szCs w:val="21"/>
        </w:rPr>
        <w:t>1-2</w:t>
      </w:r>
      <w:r>
        <w:rPr>
          <w:rFonts w:hint="eastAsia" w:ascii="宋体" w:hAnsi="宋体" w:cs="宋体"/>
          <w:color w:val="auto"/>
          <w:kern w:val="24"/>
          <w:szCs w:val="21"/>
        </w:rPr>
        <w:t>人的，扣分值为评标总分的</w:t>
      </w:r>
      <w:r>
        <w:rPr>
          <w:rFonts w:ascii="宋体" w:hAnsi="宋体" w:cs="宋体"/>
          <w:color w:val="auto"/>
          <w:kern w:val="24"/>
          <w:szCs w:val="21"/>
        </w:rPr>
        <w:t>15%</w:t>
      </w:r>
      <w:r>
        <w:rPr>
          <w:rFonts w:hint="eastAsia" w:ascii="宋体" w:hAnsi="宋体" w:cs="宋体"/>
          <w:color w:val="auto"/>
          <w:kern w:val="24"/>
          <w:szCs w:val="21"/>
        </w:rPr>
        <w:t>，持续期为</w:t>
      </w:r>
      <w:r>
        <w:rPr>
          <w:rFonts w:ascii="宋体" w:hAnsi="宋体" w:cs="宋体"/>
          <w:color w:val="auto"/>
          <w:kern w:val="24"/>
          <w:szCs w:val="21"/>
        </w:rPr>
        <w:t>1</w:t>
      </w:r>
      <w:r>
        <w:rPr>
          <w:rFonts w:hint="eastAsia" w:ascii="宋体" w:hAnsi="宋体" w:cs="宋体"/>
          <w:color w:val="auto"/>
          <w:kern w:val="24"/>
          <w:szCs w:val="21"/>
        </w:rPr>
        <w:t>年；一次死亡</w:t>
      </w:r>
      <w:r>
        <w:rPr>
          <w:rFonts w:ascii="宋体" w:hAnsi="宋体" w:cs="宋体"/>
          <w:color w:val="auto"/>
          <w:kern w:val="24"/>
          <w:szCs w:val="21"/>
        </w:rPr>
        <w:t>2</w:t>
      </w:r>
      <w:r>
        <w:rPr>
          <w:rFonts w:hint="eastAsia" w:ascii="宋体" w:hAnsi="宋体" w:cs="宋体"/>
          <w:color w:val="auto"/>
          <w:kern w:val="24"/>
          <w:szCs w:val="21"/>
        </w:rPr>
        <w:t>人或重伤</w:t>
      </w:r>
      <w:r>
        <w:rPr>
          <w:rFonts w:ascii="宋体" w:hAnsi="宋体" w:cs="宋体"/>
          <w:color w:val="auto"/>
          <w:kern w:val="24"/>
          <w:szCs w:val="21"/>
        </w:rPr>
        <w:t>3-9</w:t>
      </w:r>
      <w:r>
        <w:rPr>
          <w:rFonts w:hint="eastAsia" w:ascii="宋体" w:hAnsi="宋体" w:cs="宋体"/>
          <w:color w:val="auto"/>
          <w:kern w:val="24"/>
          <w:szCs w:val="21"/>
        </w:rPr>
        <w:t>人的，扣分值为评标总分的</w:t>
      </w:r>
      <w:r>
        <w:rPr>
          <w:rFonts w:ascii="宋体" w:hAnsi="宋体" w:cs="宋体"/>
          <w:color w:val="auto"/>
          <w:kern w:val="24"/>
          <w:szCs w:val="21"/>
        </w:rPr>
        <w:t>20%</w:t>
      </w:r>
      <w:r>
        <w:rPr>
          <w:rFonts w:hint="eastAsia" w:ascii="宋体" w:hAnsi="宋体" w:cs="宋体"/>
          <w:color w:val="auto"/>
          <w:kern w:val="24"/>
          <w:szCs w:val="21"/>
        </w:rPr>
        <w:t>，持续期为</w:t>
      </w:r>
      <w:r>
        <w:rPr>
          <w:rFonts w:ascii="宋体" w:hAnsi="宋体" w:cs="宋体"/>
          <w:color w:val="auto"/>
          <w:kern w:val="24"/>
          <w:szCs w:val="21"/>
        </w:rPr>
        <w:t>2</w:t>
      </w:r>
      <w:r>
        <w:rPr>
          <w:rFonts w:hint="eastAsia" w:ascii="宋体" w:hAnsi="宋体" w:cs="宋体"/>
          <w:color w:val="auto"/>
          <w:kern w:val="24"/>
          <w:szCs w:val="21"/>
        </w:rPr>
        <w:t>年；一次死亡</w:t>
      </w:r>
      <w:r>
        <w:rPr>
          <w:rFonts w:ascii="宋体" w:hAnsi="宋体" w:cs="宋体"/>
          <w:color w:val="auto"/>
          <w:kern w:val="24"/>
          <w:szCs w:val="21"/>
        </w:rPr>
        <w:t>3-9</w:t>
      </w:r>
      <w:r>
        <w:rPr>
          <w:rFonts w:hint="eastAsia" w:ascii="宋体" w:hAnsi="宋体" w:cs="宋体"/>
          <w:color w:val="auto"/>
          <w:kern w:val="24"/>
          <w:szCs w:val="21"/>
        </w:rPr>
        <w:t>人或重伤</w:t>
      </w:r>
      <w:r>
        <w:rPr>
          <w:rFonts w:ascii="宋体" w:hAnsi="宋体" w:cs="宋体"/>
          <w:color w:val="auto"/>
          <w:kern w:val="24"/>
          <w:szCs w:val="21"/>
        </w:rPr>
        <w:t>10-49</w:t>
      </w:r>
      <w:r>
        <w:rPr>
          <w:rFonts w:hint="eastAsia" w:ascii="宋体" w:hAnsi="宋体" w:cs="宋体"/>
          <w:color w:val="auto"/>
          <w:kern w:val="24"/>
          <w:szCs w:val="21"/>
        </w:rPr>
        <w:t>人的，扣分值为评标总分的</w:t>
      </w:r>
      <w:r>
        <w:rPr>
          <w:rFonts w:ascii="宋体" w:hAnsi="宋体" w:cs="宋体"/>
          <w:color w:val="auto"/>
          <w:kern w:val="24"/>
          <w:szCs w:val="21"/>
        </w:rPr>
        <w:t>25%</w:t>
      </w:r>
      <w:r>
        <w:rPr>
          <w:rFonts w:hint="eastAsia" w:ascii="宋体" w:hAnsi="宋体" w:cs="宋体"/>
          <w:color w:val="auto"/>
          <w:kern w:val="24"/>
          <w:szCs w:val="21"/>
        </w:rPr>
        <w:t>，持续期为</w:t>
      </w:r>
      <w:r>
        <w:rPr>
          <w:rFonts w:ascii="宋体" w:hAnsi="宋体" w:cs="宋体"/>
          <w:color w:val="auto"/>
          <w:kern w:val="24"/>
          <w:szCs w:val="21"/>
        </w:rPr>
        <w:t>3</w:t>
      </w:r>
      <w:r>
        <w:rPr>
          <w:rFonts w:hint="eastAsia" w:ascii="宋体" w:hAnsi="宋体" w:cs="宋体"/>
          <w:color w:val="auto"/>
          <w:kern w:val="24"/>
          <w:szCs w:val="21"/>
        </w:rPr>
        <w:t>年；一次死亡</w:t>
      </w:r>
      <w:r>
        <w:rPr>
          <w:rFonts w:ascii="宋体" w:hAnsi="宋体" w:cs="宋体"/>
          <w:color w:val="auto"/>
          <w:kern w:val="24"/>
          <w:szCs w:val="21"/>
        </w:rPr>
        <w:t>10</w:t>
      </w:r>
      <w:r>
        <w:rPr>
          <w:rFonts w:hint="eastAsia" w:ascii="宋体" w:hAnsi="宋体" w:cs="宋体"/>
          <w:color w:val="auto"/>
          <w:kern w:val="24"/>
          <w:szCs w:val="21"/>
        </w:rPr>
        <w:t>人及以上或重伤</w:t>
      </w:r>
      <w:r>
        <w:rPr>
          <w:rFonts w:ascii="宋体" w:hAnsi="宋体" w:cs="宋体"/>
          <w:color w:val="auto"/>
          <w:kern w:val="24"/>
          <w:szCs w:val="21"/>
        </w:rPr>
        <w:t>50</w:t>
      </w:r>
      <w:r>
        <w:rPr>
          <w:rFonts w:hint="eastAsia" w:ascii="宋体" w:hAnsi="宋体" w:cs="宋体"/>
          <w:color w:val="auto"/>
          <w:kern w:val="24"/>
          <w:szCs w:val="21"/>
        </w:rPr>
        <w:t>人及以上的，扣分值为评标总分的</w:t>
      </w:r>
      <w:r>
        <w:rPr>
          <w:rFonts w:ascii="宋体" w:hAnsi="宋体" w:cs="宋体"/>
          <w:color w:val="auto"/>
          <w:kern w:val="24"/>
          <w:szCs w:val="21"/>
        </w:rPr>
        <w:t>30%</w:t>
      </w:r>
      <w:r>
        <w:rPr>
          <w:rFonts w:hint="eastAsia" w:ascii="宋体" w:hAnsi="宋体" w:cs="宋体"/>
          <w:color w:val="auto"/>
          <w:kern w:val="24"/>
          <w:szCs w:val="21"/>
        </w:rPr>
        <w:t>，持续期为长期。</w:t>
      </w:r>
    </w:p>
    <w:p w14:paraId="7C0C922F">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ascii="宋体" w:hAnsi="宋体" w:cs="宋体"/>
          <w:color w:val="auto"/>
          <w:kern w:val="24"/>
          <w:szCs w:val="21"/>
        </w:rPr>
        <w:t>4.</w:t>
      </w:r>
      <w:r>
        <w:rPr>
          <w:rFonts w:hint="eastAsia" w:ascii="宋体" w:hAnsi="宋体" w:cs="宋体"/>
          <w:color w:val="auto"/>
          <w:kern w:val="24"/>
          <w:szCs w:val="21"/>
        </w:rPr>
        <w:t>在处理期满后由承包人向发包人提出书面申请，经发包人或其委托的单位复查通过后，准予其解除因该项目的处理。</w:t>
      </w:r>
    </w:p>
    <w:p w14:paraId="197184C7">
      <w:pPr>
        <w:pStyle w:val="2"/>
        <w:adjustRightInd w:val="0"/>
        <w:snapToGrid w:val="0"/>
        <w:rPr>
          <w:color w:val="auto"/>
          <w:sz w:val="28"/>
          <w:szCs w:val="28"/>
        </w:rPr>
      </w:pPr>
      <w:r>
        <w:rPr>
          <w:rFonts w:hint="eastAsia"/>
          <w:color w:val="auto"/>
          <w:sz w:val="28"/>
          <w:szCs w:val="28"/>
        </w:rPr>
        <w:t>十六、协议生效</w:t>
      </w:r>
    </w:p>
    <w:p w14:paraId="4FA3BA77">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b/>
          <w:bCs/>
          <w:color w:val="auto"/>
          <w:szCs w:val="21"/>
        </w:rPr>
        <w:t>（</w:t>
      </w:r>
      <w:r>
        <w:rPr>
          <w:rFonts w:hint="eastAsia" w:ascii="宋体" w:hAnsi="宋体" w:cs="宋体"/>
          <w:color w:val="auto"/>
          <w:kern w:val="24"/>
          <w:szCs w:val="21"/>
        </w:rPr>
        <w:t>一）本协议作为施工合同的附件,经双方加盖公章或合同专用章后立即生效。</w:t>
      </w:r>
    </w:p>
    <w:p w14:paraId="34E12EF2">
      <w:pPr>
        <w:tabs>
          <w:tab w:val="left" w:pos="567"/>
          <w:tab w:val="left" w:pos="709"/>
          <w:tab w:val="left" w:pos="1134"/>
        </w:tabs>
        <w:adjustRightInd w:val="0"/>
        <w:snapToGrid w:val="0"/>
        <w:spacing w:line="360" w:lineRule="auto"/>
        <w:ind w:firstLine="420" w:firstLineChars="200"/>
        <w:rPr>
          <w:rFonts w:hint="eastAsia" w:ascii="宋体" w:hAnsi="宋体" w:cs="宋体"/>
          <w:color w:val="auto"/>
          <w:kern w:val="24"/>
          <w:szCs w:val="21"/>
        </w:rPr>
      </w:pPr>
      <w:r>
        <w:rPr>
          <w:rFonts w:hint="eastAsia" w:ascii="宋体" w:hAnsi="宋体" w:cs="宋体"/>
          <w:color w:val="auto"/>
          <w:kern w:val="24"/>
          <w:szCs w:val="21"/>
        </w:rPr>
        <w:t>（二）本协议有效期：自合同签订日至工程竣工验收合格并交付发包人之日为止。</w:t>
      </w:r>
    </w:p>
    <w:p w14:paraId="4BE046BA">
      <w:pPr>
        <w:adjustRightInd w:val="0"/>
        <w:snapToGrid w:val="0"/>
        <w:spacing w:line="360" w:lineRule="auto"/>
        <w:ind w:firstLine="420" w:firstLineChars="200"/>
        <w:rPr>
          <w:rFonts w:hint="eastAsia" w:ascii="宋体" w:hAnsi="宋体" w:cs="宋体"/>
          <w:color w:val="auto"/>
          <w:szCs w:val="21"/>
        </w:rPr>
      </w:pPr>
    </w:p>
    <w:p w14:paraId="719E95FD">
      <w:pPr>
        <w:pStyle w:val="2"/>
        <w:rPr>
          <w:rFonts w:hint="eastAsia" w:ascii="宋体" w:hAnsi="宋体" w:cs="宋体"/>
          <w:b w:val="0"/>
          <w:color w:val="auto"/>
          <w:kern w:val="24"/>
          <w:szCs w:val="21"/>
        </w:rPr>
      </w:pPr>
      <w:r>
        <w:rPr>
          <w:rFonts w:hint="eastAsia" w:ascii="宋体" w:hAnsi="宋体" w:cs="宋体"/>
          <w:b w:val="0"/>
          <w:color w:val="auto"/>
          <w:kern w:val="24"/>
          <w:szCs w:val="21"/>
        </w:rPr>
        <w:t>附件：</w:t>
      </w:r>
    </w:p>
    <w:p w14:paraId="5DAC114F">
      <w:pPr>
        <w:adjustRightInd w:val="0"/>
        <w:snapToGrid w:val="0"/>
        <w:spacing w:line="360" w:lineRule="auto"/>
        <w:ind w:firstLine="1050" w:firstLineChars="500"/>
        <w:rPr>
          <w:rFonts w:hint="eastAsia" w:ascii="宋体" w:hAnsi="宋体" w:cs="宋体"/>
          <w:color w:val="auto"/>
          <w:szCs w:val="21"/>
        </w:rPr>
      </w:pPr>
      <w:r>
        <w:rPr>
          <w:rFonts w:hint="eastAsia" w:ascii="宋体" w:hAnsi="宋体" w:cs="宋体"/>
          <w:color w:val="auto"/>
          <w:szCs w:val="21"/>
        </w:rPr>
        <w:t>1.施工安全承诺书</w:t>
      </w:r>
    </w:p>
    <w:p w14:paraId="118A4187">
      <w:pPr>
        <w:adjustRightInd w:val="0"/>
        <w:snapToGrid w:val="0"/>
        <w:spacing w:line="360" w:lineRule="auto"/>
        <w:ind w:firstLine="1050" w:firstLineChars="500"/>
        <w:rPr>
          <w:rFonts w:hint="eastAsia" w:hAnsi="宋体"/>
          <w:color w:val="auto"/>
          <w:szCs w:val="21"/>
        </w:rPr>
      </w:pPr>
      <w:r>
        <w:rPr>
          <w:rFonts w:hint="eastAsia" w:ascii="宋体" w:hAnsi="宋体" w:cs="宋体"/>
          <w:color w:val="auto"/>
          <w:szCs w:val="21"/>
          <w:lang w:val="en-US" w:eastAsia="zh-CN"/>
        </w:rPr>
        <w:t>2.</w:t>
      </w:r>
      <w:r>
        <w:rPr>
          <w:rFonts w:hint="eastAsia" w:hAnsi="宋体"/>
          <w:color w:val="auto"/>
          <w:szCs w:val="21"/>
        </w:rPr>
        <w:t>《安全风险控制与隐患排查治理管理办法》</w:t>
      </w:r>
    </w:p>
    <w:p w14:paraId="44AD3B99">
      <w:pPr>
        <w:adjustRightInd w:val="0"/>
        <w:snapToGrid w:val="0"/>
        <w:spacing w:line="360" w:lineRule="auto"/>
        <w:ind w:firstLine="1050" w:firstLineChars="500"/>
        <w:rPr>
          <w:rFonts w:hint="default" w:ascii="宋体" w:hAnsi="宋体" w:cs="宋体" w:eastAsiaTheme="minorEastAsia"/>
          <w:color w:val="auto"/>
          <w:szCs w:val="21"/>
          <w:lang w:val="en-US" w:eastAsia="zh-CN"/>
        </w:rPr>
      </w:pPr>
      <w:r>
        <w:rPr>
          <w:rFonts w:hint="eastAsia" w:hAnsi="宋体"/>
          <w:color w:val="auto"/>
          <w:szCs w:val="21"/>
          <w:lang w:val="en-US" w:eastAsia="zh-CN"/>
        </w:rPr>
        <w:t>3.</w:t>
      </w:r>
      <w:r>
        <w:rPr>
          <w:rFonts w:hint="eastAsia" w:hAnsi="宋体"/>
          <w:color w:val="auto"/>
          <w:szCs w:val="21"/>
        </w:rPr>
        <w:t>《建设工程风险隐患库清单（施工单位）》</w:t>
      </w:r>
    </w:p>
    <w:p w14:paraId="1697F039">
      <w:pPr>
        <w:adjustRightInd w:val="0"/>
        <w:snapToGrid w:val="0"/>
        <w:spacing w:line="360" w:lineRule="auto"/>
        <w:ind w:firstLine="1050" w:firstLineChars="5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.建设工程管理类风险隐患清单（施工单位）</w:t>
      </w:r>
    </w:p>
    <w:p w14:paraId="0A110A0E">
      <w:pPr>
        <w:adjustRightInd w:val="0"/>
        <w:snapToGrid w:val="0"/>
        <w:spacing w:line="360" w:lineRule="auto"/>
        <w:ind w:firstLine="1050" w:firstLineChars="500"/>
        <w:rPr>
          <w:rFonts w:hint="eastAsia" w:ascii="宋体" w:hAnsi="宋体" w:cs="宋体"/>
          <w:color w:val="auto"/>
          <w:szCs w:val="21"/>
        </w:rPr>
      </w:pPr>
      <w:r>
        <w:rPr>
          <w:rFonts w:hint="eastAsia" w:ascii="宋体" w:hAnsi="宋体" w:cs="宋体"/>
          <w:color w:val="auto"/>
          <w:szCs w:val="21"/>
          <w:lang w:val="en-US" w:eastAsia="zh-CN"/>
        </w:rPr>
        <w:t>5</w:t>
      </w:r>
      <w:r>
        <w:rPr>
          <w:rFonts w:ascii="宋体" w:hAnsi="宋体" w:cs="宋体"/>
          <w:color w:val="auto"/>
          <w:szCs w:val="21"/>
        </w:rPr>
        <w:t>.</w:t>
      </w:r>
      <w:r>
        <w:rPr>
          <w:rFonts w:hint="eastAsia" w:ascii="宋体" w:hAnsi="宋体" w:cs="宋体"/>
          <w:color w:val="auto"/>
          <w:szCs w:val="21"/>
        </w:rPr>
        <w:t>建设工程现场类风险隐患清单</w:t>
      </w:r>
    </w:p>
    <w:p w14:paraId="30894DC8">
      <w:pPr>
        <w:adjustRightInd w:val="0"/>
        <w:snapToGrid w:val="0"/>
        <w:spacing w:line="360" w:lineRule="auto"/>
        <w:ind w:firstLine="1050" w:firstLineChars="500"/>
        <w:rPr>
          <w:rFonts w:hint="eastAsia" w:ascii="宋体" w:hAnsi="宋体" w:cs="宋体"/>
          <w:color w:val="auto"/>
          <w:kern w:val="24"/>
          <w:szCs w:val="21"/>
        </w:rPr>
      </w:pPr>
      <w:r>
        <w:rPr>
          <w:rFonts w:hint="eastAsia" w:ascii="宋体" w:hAnsi="宋体" w:cs="宋体"/>
          <w:color w:val="auto"/>
          <w:kern w:val="24"/>
          <w:szCs w:val="21"/>
          <w:lang w:val="en-US" w:eastAsia="zh-CN"/>
        </w:rPr>
        <w:t>6</w:t>
      </w:r>
      <w:r>
        <w:rPr>
          <w:rFonts w:hint="eastAsia" w:ascii="宋体" w:hAnsi="宋体" w:cs="宋体"/>
          <w:color w:val="auto"/>
          <w:kern w:val="24"/>
          <w:szCs w:val="21"/>
        </w:rPr>
        <w:t>.安全生产履职信誉扣分表</w:t>
      </w:r>
    </w:p>
    <w:p w14:paraId="09DF46F7">
      <w:pPr>
        <w:adjustRightInd w:val="0"/>
        <w:snapToGrid w:val="0"/>
        <w:spacing w:line="360" w:lineRule="auto"/>
        <w:ind w:firstLine="420" w:firstLineChars="200"/>
        <w:jc w:val="left"/>
        <w:rPr>
          <w:rFonts w:hint="eastAsia" w:ascii="宋体" w:hAnsi="宋体" w:cs="宋体"/>
          <w:color w:val="auto"/>
          <w:szCs w:val="21"/>
        </w:rPr>
      </w:pPr>
    </w:p>
    <w:p w14:paraId="15CF1FED">
      <w:pPr>
        <w:widowControl/>
        <w:jc w:val="left"/>
        <w:rPr>
          <w:rFonts w:hint="eastAsia" w:ascii="宋体" w:hAnsi="宋体" w:cs="宋体"/>
          <w:color w:val="auto"/>
          <w:szCs w:val="21"/>
        </w:rPr>
      </w:pPr>
      <w:r>
        <w:rPr>
          <w:rFonts w:ascii="宋体" w:hAnsi="宋体" w:cs="宋体"/>
          <w:color w:val="auto"/>
          <w:szCs w:val="21"/>
        </w:rPr>
        <w:br w:type="page"/>
      </w:r>
    </w:p>
    <w:p w14:paraId="79411A30">
      <w:pPr>
        <w:adjustRightInd w:val="0"/>
        <w:snapToGrid w:val="0"/>
        <w:spacing w:line="360" w:lineRule="auto"/>
        <w:ind w:firstLine="420" w:firstLineChars="200"/>
        <w:jc w:val="left"/>
        <w:rPr>
          <w:rFonts w:hint="eastAsia" w:ascii="宋体" w:hAnsi="宋体" w:cs="宋体"/>
          <w:b/>
          <w:color w:val="auto"/>
          <w:szCs w:val="21"/>
        </w:rPr>
      </w:pPr>
      <w:r>
        <w:rPr>
          <w:rFonts w:hint="eastAsia" w:ascii="宋体" w:hAnsi="宋体" w:cs="宋体"/>
          <w:b/>
          <w:color w:val="auto"/>
          <w:szCs w:val="21"/>
        </w:rPr>
        <w:t>附件1</w:t>
      </w:r>
      <w:r>
        <w:rPr>
          <w:rFonts w:ascii="宋体" w:hAnsi="宋体" w:cs="宋体"/>
          <w:b/>
          <w:color w:val="auto"/>
          <w:szCs w:val="21"/>
        </w:rPr>
        <w:t xml:space="preserve"> </w:t>
      </w:r>
      <w:r>
        <w:rPr>
          <w:rFonts w:hint="eastAsia" w:ascii="宋体" w:hAnsi="宋体" w:cs="宋体"/>
          <w:b/>
          <w:color w:val="auto"/>
          <w:szCs w:val="21"/>
        </w:rPr>
        <w:t>施工安全承诺书</w:t>
      </w:r>
    </w:p>
    <w:p w14:paraId="1E8950D7">
      <w:pPr>
        <w:adjustRightInd w:val="0"/>
        <w:snapToGrid w:val="0"/>
        <w:spacing w:line="360" w:lineRule="auto"/>
        <w:ind w:firstLine="420" w:firstLineChars="200"/>
        <w:jc w:val="center"/>
        <w:rPr>
          <w:rFonts w:hint="eastAsia" w:ascii="宋体" w:hAnsi="宋体" w:cs="宋体"/>
          <w:b/>
          <w:color w:val="auto"/>
          <w:szCs w:val="21"/>
        </w:rPr>
      </w:pPr>
      <w:r>
        <w:rPr>
          <w:rFonts w:hint="eastAsia" w:ascii="宋体" w:hAnsi="宋体" w:cs="宋体"/>
          <w:b/>
          <w:color w:val="auto"/>
          <w:szCs w:val="21"/>
        </w:rPr>
        <w:t>施工安全承诺书</w:t>
      </w:r>
    </w:p>
    <w:p w14:paraId="7783CA3E">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为认真履行我单位在</w:t>
      </w:r>
      <w:r>
        <w:rPr>
          <w:rFonts w:ascii="宋体" w:hAnsi="宋体" w:cs="宋体"/>
          <w:color w:val="auto"/>
          <w:szCs w:val="21"/>
          <w:u w:val="single"/>
        </w:rPr>
        <w:t xml:space="preserve">                   </w:t>
      </w:r>
      <w:r>
        <w:rPr>
          <w:rFonts w:hint="eastAsia" w:ascii="宋体" w:hAnsi="宋体" w:cs="宋体"/>
          <w:color w:val="auto"/>
          <w:szCs w:val="21"/>
        </w:rPr>
        <w:t>工程项目施工中的安全生产主体责任，加强安全管理，不断提高安全生产水平，确保完成《安全管理协议》规定的安全管理目标，本单位郑重承诺在工程施工期间认真履行如下安全生产责任：</w:t>
      </w:r>
    </w:p>
    <w:p w14:paraId="16EFA1AB">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1.建立健全安全生产责任制，制定并落实安全生产规章制度，严格执行施工技术规范，自觉接受有关行政部门的监督和管理。</w:t>
      </w:r>
    </w:p>
    <w:p w14:paraId="5A6624AB">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2.保证安全生产所需资金的投入和使用，安全费用专款专用，接受监理、发包人的检查和监督，施工现场安全生产防护和文明施工按规范性文件的要求执行。</w:t>
      </w:r>
    </w:p>
    <w:p w14:paraId="326DEB50">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3.建立健全安全生产管理机构，配备与施工规模、专业相适应的专职安全生产管理人员。</w:t>
      </w:r>
    </w:p>
    <w:p w14:paraId="18EA4839">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4.项目负责人、专职安全生产管理人员和特种作业人员经法定部门考核合格并持有有效合格证书。</w:t>
      </w:r>
    </w:p>
    <w:p w14:paraId="53CBE0DC">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5.依法参加工伤保险，依法为施工现场从事危险作业人员办理意外伤害保险，为从业人员交纳保险费。</w:t>
      </w:r>
    </w:p>
    <w:p w14:paraId="57396E25">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6.制定对危险性较大的分部分项工程及施工现场易发生重大安全事故的部位、环节的预防、监控措施和应急预案，配备必要的应急救援器材、设备。</w:t>
      </w:r>
    </w:p>
    <w:p w14:paraId="71FA7C70">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7.建立健全施工现场安全管理档案、台帐，认真履行法律法规规定的其他责任。</w:t>
      </w:r>
    </w:p>
    <w:p w14:paraId="5B20A2AA">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8.保证不将工程非法转包、违法分包。</w:t>
      </w:r>
    </w:p>
    <w:p w14:paraId="06FCD852">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9.按照发包人管理文件的要求落实安全管理工作，按规定要求交纳安全扣（罚）款。</w:t>
      </w:r>
    </w:p>
    <w:p w14:paraId="4A0B038E">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0</w:t>
      </w:r>
      <w:r>
        <w:rPr>
          <w:rFonts w:hint="eastAsia" w:ascii="宋体" w:hAnsi="宋体" w:cs="宋体"/>
          <w:color w:val="auto"/>
          <w:szCs w:val="21"/>
        </w:rPr>
        <w:t>.服从发包人、监理的安全工作的监督和管理，配合发包单位的安全约谈等管理工作。</w:t>
      </w:r>
    </w:p>
    <w:p w14:paraId="518E8955">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1</w:t>
      </w:r>
      <w:r>
        <w:rPr>
          <w:rFonts w:hint="eastAsia" w:ascii="宋体" w:hAnsi="宋体" w:cs="宋体"/>
          <w:color w:val="auto"/>
          <w:szCs w:val="21"/>
        </w:rPr>
        <w:t>.工程建设施工期间发生的任何安全责任事故，本承包单位愿承担一切责任。</w:t>
      </w:r>
    </w:p>
    <w:p w14:paraId="7B8BD167">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.安全问题包括但不限于上述情况，如有未尽事宜，参照国家法律法规、合同、安全管理协议等规定执行。</w:t>
      </w:r>
    </w:p>
    <w:p w14:paraId="5B324A36">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3.</w:t>
      </w:r>
      <w:r>
        <w:rPr>
          <w:rFonts w:hint="eastAsia" w:ascii="宋体" w:hAnsi="宋体" w:cs="宋体"/>
          <w:color w:val="auto"/>
          <w:szCs w:val="21"/>
        </w:rPr>
        <w:t>对本项目出现的问题积极协调必要的资源及时处理。</w:t>
      </w:r>
    </w:p>
    <w:p w14:paraId="29E8A8DC">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我作为本单位法定代表人或委托负责人，对本单位安全生产工作负全面责任，如违反以上承诺条款，本单位愿承担相应经济、法律责任。</w:t>
      </w:r>
    </w:p>
    <w:p w14:paraId="77EECB8C">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承诺单位（公章）</w:t>
      </w:r>
    </w:p>
    <w:p w14:paraId="1AD86B84">
      <w:pPr>
        <w:adjustRightInd w:val="0"/>
        <w:snapToGrid w:val="0"/>
        <w:spacing w:line="360" w:lineRule="auto"/>
        <w:ind w:firstLine="420" w:firstLineChars="200"/>
        <w:jc w:val="left"/>
        <w:rPr>
          <w:rFonts w:hint="eastAsia" w:ascii="宋体" w:hAnsi="宋体" w:cs="宋体"/>
          <w:color w:val="auto"/>
          <w:szCs w:val="21"/>
        </w:rPr>
      </w:pPr>
    </w:p>
    <w:p w14:paraId="0D03B952">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法定代表人或委托负责人（签章）</w:t>
      </w:r>
    </w:p>
    <w:p w14:paraId="14FBDC40">
      <w:pPr>
        <w:adjustRightInd w:val="0"/>
        <w:snapToGrid w:val="0"/>
        <w:spacing w:line="360" w:lineRule="auto"/>
        <w:ind w:firstLine="420" w:firstLineChars="200"/>
        <w:jc w:val="left"/>
        <w:rPr>
          <w:rFonts w:hint="eastAsia" w:ascii="宋体" w:hAnsi="宋体" w:cs="宋体"/>
          <w:color w:val="auto"/>
          <w:szCs w:val="21"/>
        </w:rPr>
      </w:pPr>
    </w:p>
    <w:p w14:paraId="0A6067BC">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联系方式：</w:t>
      </w:r>
    </w:p>
    <w:p w14:paraId="00F36DEF">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日期：</w:t>
      </w:r>
      <w:bookmarkStart w:id="1" w:name="_Toc456278080"/>
    </w:p>
    <w:p w14:paraId="78112B27">
      <w:pPr>
        <w:adjustRightInd w:val="0"/>
        <w:snapToGrid w:val="0"/>
        <w:spacing w:line="360" w:lineRule="auto"/>
        <w:ind w:firstLine="420" w:firstLineChars="200"/>
        <w:jc w:val="left"/>
        <w:rPr>
          <w:rFonts w:hint="eastAsia" w:ascii="宋体" w:hAnsi="宋体" w:cs="宋体"/>
          <w:color w:val="auto"/>
          <w:szCs w:val="21"/>
        </w:rPr>
      </w:pPr>
    </w:p>
    <w:bookmarkEnd w:id="1"/>
    <w:p w14:paraId="4262967A">
      <w:pPr>
        <w:widowControl/>
        <w:jc w:val="left"/>
        <w:rPr>
          <w:rFonts w:hint="eastAsia" w:ascii="仿宋_GB2312" w:eastAsia="仿宋_GB2312"/>
          <w:b/>
          <w:color w:val="auto"/>
          <w:sz w:val="24"/>
        </w:rPr>
      </w:pPr>
    </w:p>
    <w:p w14:paraId="41207BC1">
      <w:pPr>
        <w:rPr>
          <w:rFonts w:hint="eastAsia" w:ascii="仿宋_GB2312" w:eastAsia="仿宋_GB2312"/>
          <w:b/>
          <w:color w:val="auto"/>
          <w:sz w:val="24"/>
        </w:rPr>
      </w:pPr>
    </w:p>
    <w:p w14:paraId="0B73C7B8">
      <w:pPr>
        <w:rPr>
          <w:rFonts w:hint="eastAsia" w:ascii="仿宋_GB2312" w:eastAsia="仿宋_GB2312"/>
          <w:b/>
          <w:color w:val="auto"/>
          <w:sz w:val="24"/>
        </w:rPr>
      </w:pPr>
      <w:r>
        <w:rPr>
          <w:rFonts w:hint="eastAsia" w:ascii="仿宋_GB2312" w:eastAsia="仿宋_GB2312"/>
          <w:b/>
          <w:color w:val="auto"/>
          <w:sz w:val="24"/>
        </w:rPr>
        <w:t>附件</w:t>
      </w:r>
      <w:r>
        <w:rPr>
          <w:rFonts w:hint="eastAsia" w:ascii="仿宋_GB2312" w:eastAsia="仿宋_GB2312"/>
          <w:b/>
          <w:color w:val="auto"/>
          <w:sz w:val="24"/>
          <w:lang w:val="en-US" w:eastAsia="zh-CN"/>
        </w:rPr>
        <w:t>6</w:t>
      </w:r>
      <w:r>
        <w:rPr>
          <w:rFonts w:ascii="仿宋_GB2312" w:eastAsia="仿宋_GB2312"/>
          <w:b/>
          <w:color w:val="auto"/>
          <w:sz w:val="24"/>
        </w:rPr>
        <w:t>.</w:t>
      </w:r>
      <w:r>
        <w:rPr>
          <w:b/>
          <w:color w:val="auto"/>
        </w:rPr>
        <w:t xml:space="preserve"> </w:t>
      </w:r>
      <w:r>
        <w:rPr>
          <w:rFonts w:hint="eastAsia" w:ascii="仿宋_GB2312" w:eastAsia="仿宋_GB2312"/>
          <w:b/>
          <w:color w:val="auto"/>
          <w:sz w:val="24"/>
        </w:rPr>
        <w:t>安全生产履职信誉扣分表</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1911"/>
        <w:gridCol w:w="694"/>
        <w:gridCol w:w="5452"/>
      </w:tblGrid>
      <w:tr w14:paraId="3BF4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73" w:type="pct"/>
            <w:shd w:val="clear" w:color="000000" w:fill="D9D9D9"/>
            <w:vAlign w:val="center"/>
          </w:tcPr>
          <w:p w14:paraId="5FC45D19">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序号</w:t>
            </w:r>
          </w:p>
        </w:tc>
        <w:tc>
          <w:tcPr>
            <w:tcW w:w="1121" w:type="pct"/>
            <w:shd w:val="clear" w:color="000000" w:fill="D9D9D9"/>
            <w:vAlign w:val="center"/>
          </w:tcPr>
          <w:p w14:paraId="42C79D14">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违规现象</w:t>
            </w:r>
          </w:p>
        </w:tc>
        <w:tc>
          <w:tcPr>
            <w:tcW w:w="407" w:type="pct"/>
            <w:shd w:val="clear" w:color="000000" w:fill="D9D9D9"/>
            <w:vAlign w:val="center"/>
          </w:tcPr>
          <w:p w14:paraId="63C5165B">
            <w:pPr>
              <w:widowControl/>
              <w:jc w:val="center"/>
              <w:rPr>
                <w:rFonts w:hint="eastAsia" w:ascii="宋体" w:hAnsi="宋体" w:cs="宋体"/>
                <w:b/>
                <w:bCs/>
                <w:color w:val="auto"/>
                <w:kern w:val="0"/>
                <w:szCs w:val="21"/>
              </w:rPr>
            </w:pPr>
            <w:r>
              <w:rPr>
                <w:rFonts w:hint="eastAsia" w:ascii="宋体" w:hAnsi="宋体" w:cs="宋体"/>
                <w:b/>
                <w:bCs/>
                <w:color w:val="auto"/>
                <w:kern w:val="0"/>
                <w:szCs w:val="21"/>
              </w:rPr>
              <w:t>扣分</w:t>
            </w:r>
          </w:p>
          <w:p w14:paraId="5BBDC335">
            <w:pPr>
              <w:widowControl/>
              <w:jc w:val="center"/>
              <w:rPr>
                <w:rFonts w:hint="eastAsia" w:ascii="宋体" w:hAnsi="宋体" w:cs="宋体"/>
                <w:b/>
                <w:bCs/>
                <w:color w:val="auto"/>
                <w:kern w:val="0"/>
                <w:szCs w:val="21"/>
              </w:rPr>
            </w:pPr>
            <w:r>
              <w:rPr>
                <w:rFonts w:hint="eastAsia" w:ascii="宋体" w:hAnsi="宋体" w:cs="宋体"/>
                <w:b/>
                <w:bCs/>
                <w:color w:val="auto"/>
                <w:kern w:val="0"/>
                <w:szCs w:val="21"/>
              </w:rPr>
              <w:t>上限</w:t>
            </w:r>
          </w:p>
        </w:tc>
        <w:tc>
          <w:tcPr>
            <w:tcW w:w="3199" w:type="pct"/>
            <w:shd w:val="clear" w:color="000000" w:fill="D9D9D9"/>
            <w:vAlign w:val="center"/>
          </w:tcPr>
          <w:p w14:paraId="189A8230">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处罚细则</w:t>
            </w:r>
          </w:p>
        </w:tc>
      </w:tr>
      <w:tr w14:paraId="23E3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3" w:type="pct"/>
            <w:shd w:val="clear" w:color="auto" w:fill="auto"/>
            <w:vAlign w:val="center"/>
          </w:tcPr>
          <w:p w14:paraId="724A0F2F">
            <w:pPr>
              <w:widowControl/>
              <w:jc w:val="center"/>
              <w:rPr>
                <w:rFonts w:hint="eastAsia" w:ascii="宋体" w:hAnsi="宋体" w:cs="宋体"/>
                <w:color w:val="auto"/>
                <w:kern w:val="0"/>
                <w:szCs w:val="21"/>
              </w:rPr>
            </w:pPr>
            <w:r>
              <w:rPr>
                <w:rFonts w:ascii="宋体" w:hAnsi="宋体" w:cs="宋体"/>
                <w:color w:val="auto"/>
                <w:kern w:val="0"/>
                <w:szCs w:val="21"/>
              </w:rPr>
              <w:t>1</w:t>
            </w:r>
          </w:p>
        </w:tc>
        <w:tc>
          <w:tcPr>
            <w:tcW w:w="1121" w:type="pct"/>
            <w:shd w:val="clear" w:color="000000" w:fill="FFFFFF"/>
            <w:vAlign w:val="center"/>
          </w:tcPr>
          <w:tbl>
            <w:tblPr>
              <w:tblStyle w:val="39"/>
              <w:tblW w:w="0" w:type="auto"/>
              <w:tblInd w:w="0" w:type="dxa"/>
              <w:tblLayout w:type="autofit"/>
              <w:tblCellMar>
                <w:top w:w="0" w:type="dxa"/>
                <w:left w:w="108" w:type="dxa"/>
                <w:bottom w:w="0" w:type="dxa"/>
                <w:right w:w="108" w:type="dxa"/>
              </w:tblCellMar>
            </w:tblPr>
            <w:tblGrid>
              <w:gridCol w:w="1695"/>
            </w:tblGrid>
            <w:tr w14:paraId="7D16DCBC">
              <w:tblPrEx>
                <w:tblCellMar>
                  <w:top w:w="0" w:type="dxa"/>
                  <w:left w:w="108" w:type="dxa"/>
                  <w:bottom w:w="0" w:type="dxa"/>
                  <w:right w:w="108" w:type="dxa"/>
                </w:tblCellMar>
              </w:tblPrEx>
              <w:trPr>
                <w:trHeight w:val="99" w:hRule="atLeast"/>
              </w:trPr>
              <w:tc>
                <w:tcPr>
                  <w:tcW w:w="0" w:type="auto"/>
                </w:tcPr>
                <w:p w14:paraId="378648DF">
                  <w:pPr>
                    <w:widowControl/>
                    <w:ind w:left="-111" w:leftChars="-53"/>
                    <w:jc w:val="left"/>
                    <w:rPr>
                      <w:rFonts w:hint="eastAsia" w:ascii="宋体" w:hAnsi="宋体" w:cs="宋体"/>
                      <w:color w:val="auto"/>
                      <w:kern w:val="0"/>
                      <w:szCs w:val="21"/>
                    </w:rPr>
                  </w:pPr>
                  <w:r>
                    <w:rPr>
                      <w:rFonts w:hint="eastAsia" w:ascii="宋体" w:hAnsi="宋体" w:cs="宋体"/>
                      <w:color w:val="auto"/>
                      <w:kern w:val="0"/>
                      <w:szCs w:val="21"/>
                    </w:rPr>
                    <w:t>承包商主要管理人员现场管理缺位。</w:t>
                  </w:r>
                </w:p>
              </w:tc>
            </w:tr>
          </w:tbl>
          <w:p w14:paraId="0FEA124C">
            <w:pPr>
              <w:widowControl/>
              <w:rPr>
                <w:rFonts w:hint="eastAsia" w:ascii="宋体" w:hAnsi="宋体" w:cs="宋体"/>
                <w:color w:val="auto"/>
                <w:kern w:val="0"/>
                <w:szCs w:val="21"/>
              </w:rPr>
            </w:pPr>
          </w:p>
        </w:tc>
        <w:tc>
          <w:tcPr>
            <w:tcW w:w="407" w:type="pct"/>
            <w:shd w:val="clear" w:color="auto" w:fill="auto"/>
            <w:vAlign w:val="center"/>
          </w:tcPr>
          <w:p w14:paraId="3D7FE234">
            <w:pPr>
              <w:widowControl/>
              <w:jc w:val="center"/>
              <w:rPr>
                <w:rFonts w:hint="eastAsia" w:ascii="宋体" w:hAnsi="宋体" w:cs="宋体"/>
                <w:color w:val="auto"/>
                <w:kern w:val="0"/>
                <w:szCs w:val="21"/>
              </w:rPr>
            </w:pPr>
            <w:r>
              <w:rPr>
                <w:rFonts w:ascii="宋体" w:hAnsi="宋体" w:cs="宋体"/>
                <w:color w:val="auto"/>
                <w:kern w:val="0"/>
                <w:szCs w:val="21"/>
              </w:rPr>
              <w:t>1</w:t>
            </w:r>
          </w:p>
        </w:tc>
        <w:tc>
          <w:tcPr>
            <w:tcW w:w="3199" w:type="pct"/>
            <w:shd w:val="clear" w:color="000000" w:fill="FFFFFF"/>
            <w:vAlign w:val="center"/>
          </w:tcPr>
          <w:p w14:paraId="0DA4AEDA">
            <w:pPr>
              <w:widowControl/>
              <w:jc w:val="left"/>
              <w:rPr>
                <w:rFonts w:hint="eastAsia" w:ascii="宋体" w:hAnsi="宋体" w:cs="宋体"/>
                <w:color w:val="auto"/>
                <w:kern w:val="0"/>
                <w:szCs w:val="21"/>
              </w:rPr>
            </w:pPr>
            <w:r>
              <w:rPr>
                <w:rFonts w:hint="eastAsia" w:ascii="宋体" w:hAnsi="宋体" w:cs="宋体"/>
                <w:color w:val="auto"/>
                <w:kern w:val="0"/>
                <w:szCs w:val="21"/>
              </w:rPr>
              <w:t>施工单位项目经理驻施工现场时间少于合同约定时间，安全管理缺位扣</w:t>
            </w:r>
            <w:r>
              <w:rPr>
                <w:rFonts w:ascii="宋体" w:hAnsi="宋体" w:cs="宋体"/>
                <w:color w:val="auto"/>
                <w:kern w:val="0"/>
                <w:szCs w:val="21"/>
              </w:rPr>
              <w:t>1分。</w:t>
            </w:r>
          </w:p>
        </w:tc>
      </w:tr>
      <w:tr w14:paraId="31C9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273" w:type="pct"/>
            <w:shd w:val="clear" w:color="auto" w:fill="auto"/>
            <w:vAlign w:val="center"/>
          </w:tcPr>
          <w:p w14:paraId="71911DBB">
            <w:pPr>
              <w:widowControl/>
              <w:jc w:val="center"/>
              <w:rPr>
                <w:rFonts w:hint="eastAsia" w:ascii="宋体" w:hAnsi="宋体" w:cs="宋体"/>
                <w:color w:val="auto"/>
                <w:kern w:val="0"/>
                <w:szCs w:val="21"/>
              </w:rPr>
            </w:pPr>
            <w:r>
              <w:rPr>
                <w:rFonts w:ascii="宋体" w:hAnsi="宋体" w:cs="宋体"/>
                <w:color w:val="auto"/>
                <w:kern w:val="0"/>
                <w:szCs w:val="21"/>
              </w:rPr>
              <w:t>2</w:t>
            </w:r>
          </w:p>
        </w:tc>
        <w:tc>
          <w:tcPr>
            <w:tcW w:w="1121" w:type="pct"/>
            <w:shd w:val="clear" w:color="000000" w:fill="FFFFFF"/>
            <w:vAlign w:val="center"/>
          </w:tcPr>
          <w:p w14:paraId="7590B1D4">
            <w:pPr>
              <w:widowControl/>
              <w:rPr>
                <w:rFonts w:hint="eastAsia" w:ascii="宋体" w:hAnsi="宋体" w:cs="宋体"/>
                <w:color w:val="auto"/>
                <w:kern w:val="0"/>
                <w:szCs w:val="21"/>
              </w:rPr>
            </w:pPr>
            <w:r>
              <w:rPr>
                <w:rFonts w:hint="eastAsia" w:ascii="宋体" w:hAnsi="宋体" w:cs="宋体"/>
                <w:color w:val="auto"/>
                <w:kern w:val="0"/>
                <w:szCs w:val="21"/>
              </w:rPr>
              <w:t>未建立安全生产责任制；施工单位管理人员未持证上岗，或证书与岗位不对应；特种作业人员未持证上岗；作业人员进场前未经现场安全教育培训合格即上岗作业。</w:t>
            </w:r>
          </w:p>
        </w:tc>
        <w:tc>
          <w:tcPr>
            <w:tcW w:w="407" w:type="pct"/>
            <w:shd w:val="clear" w:color="auto" w:fill="auto"/>
            <w:vAlign w:val="center"/>
          </w:tcPr>
          <w:p w14:paraId="695C2F96">
            <w:pPr>
              <w:widowControl/>
              <w:jc w:val="center"/>
              <w:rPr>
                <w:rFonts w:hint="eastAsia" w:ascii="宋体" w:hAnsi="宋体" w:cs="宋体"/>
                <w:color w:val="auto"/>
                <w:kern w:val="0"/>
                <w:szCs w:val="21"/>
              </w:rPr>
            </w:pPr>
            <w:r>
              <w:rPr>
                <w:rFonts w:ascii="宋体" w:hAnsi="宋体" w:cs="宋体"/>
                <w:color w:val="auto"/>
                <w:kern w:val="0"/>
                <w:szCs w:val="21"/>
              </w:rPr>
              <w:t>1</w:t>
            </w:r>
          </w:p>
        </w:tc>
        <w:tc>
          <w:tcPr>
            <w:tcW w:w="3199" w:type="pct"/>
            <w:shd w:val="clear" w:color="auto" w:fill="auto"/>
            <w:vAlign w:val="center"/>
          </w:tcPr>
          <w:p w14:paraId="0FD7774D">
            <w:pPr>
              <w:widowControl/>
              <w:jc w:val="left"/>
              <w:rPr>
                <w:rFonts w:hint="eastAsia"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、施工项目部未建立安全生产责任制，扣</w:t>
            </w:r>
            <w:r>
              <w:rPr>
                <w:rFonts w:ascii="宋体" w:hAnsi="宋体" w:cs="宋体"/>
                <w:color w:val="auto"/>
                <w:kern w:val="0"/>
                <w:szCs w:val="21"/>
              </w:rPr>
              <w:t>1分。</w:t>
            </w:r>
          </w:p>
          <w:p w14:paraId="7894324F">
            <w:pPr>
              <w:widowControl/>
              <w:jc w:val="left"/>
              <w:rPr>
                <w:rFonts w:hint="eastAsia" w:ascii="宋体" w:hAnsi="宋体" w:cs="宋体"/>
                <w:color w:val="auto"/>
                <w:kern w:val="0"/>
                <w:szCs w:val="21"/>
              </w:rPr>
            </w:pPr>
            <w:r>
              <w:rPr>
                <w:rFonts w:ascii="宋体" w:hAnsi="宋体" w:cs="宋体"/>
                <w:color w:val="auto"/>
                <w:kern w:val="0"/>
                <w:szCs w:val="21"/>
              </w:rPr>
              <w:t>2、施工单位项目经理未持有相应的注册建造师资格证书每人每</w:t>
            </w:r>
            <w:r>
              <w:rPr>
                <w:rFonts w:hint="eastAsia" w:ascii="宋体" w:hAnsi="宋体" w:cs="宋体"/>
                <w:color w:val="auto"/>
                <w:kern w:val="0"/>
                <w:szCs w:val="21"/>
              </w:rPr>
              <w:t>次扣</w:t>
            </w:r>
            <w:r>
              <w:rPr>
                <w:rFonts w:ascii="宋体" w:hAnsi="宋体" w:cs="宋体"/>
                <w:color w:val="auto"/>
                <w:kern w:val="0"/>
                <w:szCs w:val="21"/>
              </w:rPr>
              <w:t>1分；资格证书失效，每人每次扣0.5分。</w:t>
            </w:r>
          </w:p>
          <w:p w14:paraId="70703BDF">
            <w:pPr>
              <w:widowControl/>
              <w:jc w:val="left"/>
              <w:rPr>
                <w:rFonts w:hint="eastAsia" w:ascii="宋体" w:hAnsi="宋体" w:cs="宋体"/>
                <w:color w:val="auto"/>
                <w:kern w:val="0"/>
                <w:szCs w:val="21"/>
              </w:rPr>
            </w:pPr>
            <w:r>
              <w:rPr>
                <w:rFonts w:ascii="宋体" w:hAnsi="宋体" w:cs="宋体"/>
                <w:color w:val="auto"/>
                <w:kern w:val="0"/>
                <w:szCs w:val="21"/>
              </w:rPr>
              <w:t>3、施工单位安全员未持有相应资格证书或证书失效，或与岗位</w:t>
            </w:r>
            <w:r>
              <w:rPr>
                <w:rFonts w:hint="eastAsia" w:ascii="宋体" w:hAnsi="宋体" w:cs="宋体"/>
                <w:color w:val="auto"/>
                <w:kern w:val="0"/>
                <w:szCs w:val="21"/>
              </w:rPr>
              <w:t>不对应，每人每次扣</w:t>
            </w:r>
            <w:r>
              <w:rPr>
                <w:rFonts w:ascii="宋体" w:hAnsi="宋体" w:cs="宋体"/>
                <w:color w:val="auto"/>
                <w:kern w:val="0"/>
                <w:szCs w:val="21"/>
              </w:rPr>
              <w:t>0.2分。</w:t>
            </w:r>
          </w:p>
          <w:p w14:paraId="3A15CBF0">
            <w:pPr>
              <w:widowControl/>
              <w:jc w:val="left"/>
              <w:rPr>
                <w:rFonts w:hint="eastAsia" w:ascii="宋体" w:hAnsi="宋体" w:cs="宋体"/>
                <w:color w:val="auto"/>
                <w:kern w:val="0"/>
                <w:szCs w:val="21"/>
              </w:rPr>
            </w:pPr>
            <w:r>
              <w:rPr>
                <w:rFonts w:ascii="宋体" w:hAnsi="宋体" w:cs="宋体"/>
                <w:color w:val="auto"/>
                <w:kern w:val="0"/>
                <w:szCs w:val="21"/>
              </w:rPr>
              <w:t>4、施工单位特殊工种人员未持有执业资格证书或证书失效，或</w:t>
            </w:r>
            <w:r>
              <w:rPr>
                <w:rFonts w:hint="eastAsia" w:ascii="宋体" w:hAnsi="宋体" w:cs="宋体"/>
                <w:color w:val="auto"/>
                <w:kern w:val="0"/>
                <w:szCs w:val="21"/>
              </w:rPr>
              <w:t>与岗位不对应，每人每次扣</w:t>
            </w:r>
            <w:r>
              <w:rPr>
                <w:rFonts w:ascii="宋体" w:hAnsi="宋体" w:cs="宋体"/>
                <w:color w:val="auto"/>
                <w:kern w:val="0"/>
                <w:szCs w:val="21"/>
              </w:rPr>
              <w:t>0.2分。</w:t>
            </w:r>
          </w:p>
          <w:p w14:paraId="62427D4F">
            <w:pPr>
              <w:widowControl/>
              <w:jc w:val="left"/>
              <w:rPr>
                <w:rFonts w:hint="eastAsia" w:ascii="宋体" w:hAnsi="宋体" w:cs="宋体"/>
                <w:color w:val="auto"/>
                <w:kern w:val="0"/>
                <w:szCs w:val="21"/>
              </w:rPr>
            </w:pPr>
            <w:r>
              <w:rPr>
                <w:rFonts w:ascii="宋体" w:hAnsi="宋体" w:cs="宋体"/>
                <w:color w:val="auto"/>
                <w:kern w:val="0"/>
                <w:szCs w:val="21"/>
              </w:rPr>
              <w:t>5、作业现场未进行安全技术交底，每人每次扣0.2分。</w:t>
            </w:r>
          </w:p>
        </w:tc>
      </w:tr>
      <w:tr w14:paraId="14EA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73" w:type="pct"/>
            <w:shd w:val="clear" w:color="auto" w:fill="auto"/>
            <w:vAlign w:val="center"/>
          </w:tcPr>
          <w:p w14:paraId="3381880E">
            <w:pPr>
              <w:widowControl/>
              <w:jc w:val="center"/>
              <w:rPr>
                <w:rFonts w:hint="eastAsia" w:ascii="宋体" w:hAnsi="宋体" w:cs="宋体"/>
                <w:color w:val="auto"/>
                <w:kern w:val="0"/>
                <w:szCs w:val="21"/>
              </w:rPr>
            </w:pPr>
            <w:r>
              <w:rPr>
                <w:rFonts w:ascii="宋体" w:hAnsi="宋体" w:cs="宋体"/>
                <w:color w:val="auto"/>
                <w:kern w:val="0"/>
                <w:szCs w:val="21"/>
              </w:rPr>
              <w:t>3</w:t>
            </w:r>
          </w:p>
        </w:tc>
        <w:tc>
          <w:tcPr>
            <w:tcW w:w="1121" w:type="pct"/>
            <w:shd w:val="clear" w:color="auto" w:fill="auto"/>
            <w:vAlign w:val="center"/>
          </w:tcPr>
          <w:p w14:paraId="3D43609C">
            <w:pPr>
              <w:widowControl/>
              <w:rPr>
                <w:rFonts w:hint="eastAsia" w:ascii="宋体" w:hAnsi="宋体" w:cs="宋体"/>
                <w:color w:val="auto"/>
                <w:kern w:val="0"/>
                <w:szCs w:val="21"/>
              </w:rPr>
            </w:pPr>
            <w:r>
              <w:rPr>
                <w:rFonts w:hint="eastAsia" w:ascii="宋体" w:hAnsi="宋体" w:cs="宋体"/>
                <w:color w:val="auto"/>
                <w:kern w:val="0"/>
                <w:szCs w:val="21"/>
              </w:rPr>
              <w:t>施工机具（含特种设备）管理不规范或使用违反操作规程。</w:t>
            </w:r>
          </w:p>
        </w:tc>
        <w:tc>
          <w:tcPr>
            <w:tcW w:w="407" w:type="pct"/>
            <w:shd w:val="clear" w:color="auto" w:fill="auto"/>
            <w:vAlign w:val="center"/>
          </w:tcPr>
          <w:p w14:paraId="0B233885">
            <w:pPr>
              <w:widowControl/>
              <w:jc w:val="center"/>
              <w:rPr>
                <w:rFonts w:hint="eastAsia" w:ascii="宋体" w:hAnsi="宋体" w:cs="宋体"/>
                <w:color w:val="auto"/>
                <w:kern w:val="0"/>
                <w:szCs w:val="21"/>
              </w:rPr>
            </w:pPr>
            <w:r>
              <w:rPr>
                <w:rFonts w:ascii="宋体" w:hAnsi="宋体" w:cs="宋体"/>
                <w:color w:val="auto"/>
                <w:kern w:val="0"/>
                <w:szCs w:val="21"/>
              </w:rPr>
              <w:t>1</w:t>
            </w:r>
          </w:p>
        </w:tc>
        <w:tc>
          <w:tcPr>
            <w:tcW w:w="3199" w:type="pct"/>
            <w:shd w:val="clear" w:color="auto" w:fill="auto"/>
            <w:vAlign w:val="center"/>
          </w:tcPr>
          <w:p w14:paraId="1183D363">
            <w:pPr>
              <w:widowControl/>
              <w:jc w:val="left"/>
              <w:rPr>
                <w:rFonts w:hint="eastAsia"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、特种设备出现以下任一不良行为的，扣</w:t>
            </w:r>
            <w:r>
              <w:rPr>
                <w:rFonts w:ascii="宋体" w:hAnsi="宋体" w:cs="宋体"/>
                <w:color w:val="auto"/>
                <w:kern w:val="0"/>
                <w:szCs w:val="21"/>
              </w:rPr>
              <w:t>1分：</w:t>
            </w:r>
          </w:p>
          <w:p w14:paraId="0721A6F5">
            <w:pPr>
              <w:widowControl/>
              <w:jc w:val="left"/>
              <w:rPr>
                <w:rFonts w:hint="eastAsia" w:ascii="宋体" w:hAnsi="宋体" w:cs="宋体"/>
                <w:color w:val="auto"/>
                <w:kern w:val="0"/>
                <w:szCs w:val="21"/>
              </w:rPr>
            </w:pPr>
            <w:r>
              <w:rPr>
                <w:rFonts w:hint="eastAsia" w:ascii="宋体" w:hAnsi="宋体" w:cs="宋体"/>
                <w:color w:val="auto"/>
                <w:kern w:val="0"/>
                <w:szCs w:val="21"/>
              </w:rPr>
              <w:t>①进场未报审、未定期进行检查、维护保养和检验（检测）；</w:t>
            </w:r>
          </w:p>
          <w:p w14:paraId="603DD048">
            <w:pPr>
              <w:widowControl/>
              <w:jc w:val="left"/>
              <w:rPr>
                <w:rFonts w:hint="eastAsia" w:ascii="宋体" w:hAnsi="宋体" w:cs="宋体"/>
                <w:color w:val="auto"/>
                <w:kern w:val="0"/>
                <w:szCs w:val="21"/>
              </w:rPr>
            </w:pPr>
            <w:r>
              <w:rPr>
                <w:rFonts w:hint="eastAsia" w:ascii="宋体" w:hAnsi="宋体" w:cs="宋体"/>
                <w:color w:val="auto"/>
                <w:kern w:val="0"/>
                <w:szCs w:val="21"/>
              </w:rPr>
              <w:t>②安装和拆卸单位不具备资质；安装、拆卸方案未经审查；</w:t>
            </w:r>
          </w:p>
          <w:p w14:paraId="1563002A">
            <w:pPr>
              <w:widowControl/>
              <w:jc w:val="left"/>
              <w:rPr>
                <w:rFonts w:hint="eastAsia" w:ascii="宋体" w:hAnsi="宋体" w:cs="宋体"/>
                <w:color w:val="auto"/>
                <w:kern w:val="0"/>
                <w:szCs w:val="21"/>
              </w:rPr>
            </w:pPr>
            <w:r>
              <w:rPr>
                <w:rFonts w:hint="eastAsia" w:ascii="宋体" w:hAnsi="宋体" w:cs="宋体"/>
                <w:color w:val="auto"/>
                <w:kern w:val="0"/>
                <w:szCs w:val="21"/>
              </w:rPr>
              <w:t>③未办理使用登记证。</w:t>
            </w:r>
          </w:p>
          <w:p w14:paraId="0F5D3CF5">
            <w:pPr>
              <w:widowControl/>
              <w:jc w:val="left"/>
              <w:rPr>
                <w:rFonts w:hint="eastAsia" w:ascii="宋体" w:hAnsi="宋体" w:cs="宋体"/>
                <w:color w:val="auto"/>
                <w:kern w:val="0"/>
                <w:szCs w:val="21"/>
              </w:rPr>
            </w:pPr>
            <w:r>
              <w:rPr>
                <w:rFonts w:ascii="宋体" w:hAnsi="宋体" w:cs="宋体"/>
                <w:color w:val="auto"/>
                <w:kern w:val="0"/>
                <w:szCs w:val="21"/>
              </w:rPr>
              <w:t>2、施工升降机、起重机械、手拉葫芦、手扳葫芦、钢丝绳套、</w:t>
            </w:r>
            <w:r>
              <w:rPr>
                <w:rFonts w:hint="eastAsia" w:ascii="宋体" w:hAnsi="宋体" w:cs="宋体"/>
                <w:color w:val="auto"/>
                <w:kern w:val="0"/>
                <w:szCs w:val="21"/>
              </w:rPr>
              <w:t>卡线器、紧线器等受力机具、工器具未按要求进行检验、校验的，每项扣</w:t>
            </w:r>
            <w:r>
              <w:rPr>
                <w:rFonts w:ascii="宋体" w:hAnsi="宋体" w:cs="宋体"/>
                <w:color w:val="auto"/>
                <w:kern w:val="0"/>
                <w:szCs w:val="21"/>
              </w:rPr>
              <w:t>0.2分，累计扣至1分为止。</w:t>
            </w:r>
          </w:p>
          <w:p w14:paraId="16DBEDE9">
            <w:pPr>
              <w:widowControl/>
              <w:jc w:val="left"/>
              <w:rPr>
                <w:rFonts w:hint="eastAsia" w:ascii="宋体" w:hAnsi="宋体" w:cs="宋体"/>
                <w:color w:val="auto"/>
                <w:kern w:val="0"/>
                <w:szCs w:val="21"/>
              </w:rPr>
            </w:pPr>
            <w:r>
              <w:rPr>
                <w:rFonts w:ascii="宋体" w:hAnsi="宋体" w:cs="宋体"/>
                <w:color w:val="auto"/>
                <w:kern w:val="0"/>
                <w:szCs w:val="21"/>
              </w:rPr>
              <w:t>3、砂轮片、切割机、锯木机刀片等有裂纹、破损仍在使用；机</w:t>
            </w:r>
            <w:r>
              <w:rPr>
                <w:rFonts w:hint="eastAsia" w:ascii="宋体" w:hAnsi="宋体" w:cs="宋体"/>
                <w:color w:val="auto"/>
                <w:kern w:val="0"/>
                <w:szCs w:val="21"/>
              </w:rPr>
              <w:t>械转动部分保护罩破损或缺失，每项扣</w:t>
            </w:r>
            <w:r>
              <w:rPr>
                <w:rFonts w:ascii="宋体" w:hAnsi="宋体" w:cs="宋体"/>
                <w:color w:val="auto"/>
                <w:kern w:val="0"/>
                <w:szCs w:val="21"/>
              </w:rPr>
              <w:t>0.2分，累计扣至1分为</w:t>
            </w:r>
            <w:r>
              <w:rPr>
                <w:rFonts w:hint="eastAsia" w:ascii="宋体" w:hAnsi="宋体" w:cs="宋体"/>
                <w:color w:val="auto"/>
                <w:kern w:val="0"/>
                <w:szCs w:val="21"/>
              </w:rPr>
              <w:t>止。</w:t>
            </w:r>
          </w:p>
          <w:p w14:paraId="64F243F2">
            <w:pPr>
              <w:widowControl/>
              <w:jc w:val="left"/>
              <w:rPr>
                <w:rFonts w:hint="eastAsia" w:ascii="宋体" w:hAnsi="宋体" w:cs="宋体"/>
                <w:color w:val="auto"/>
                <w:kern w:val="0"/>
                <w:szCs w:val="21"/>
              </w:rPr>
            </w:pPr>
            <w:r>
              <w:rPr>
                <w:rFonts w:ascii="宋体" w:hAnsi="宋体" w:cs="宋体"/>
                <w:color w:val="auto"/>
                <w:kern w:val="0"/>
                <w:szCs w:val="21"/>
              </w:rPr>
              <w:t>4、邻近带电设备施工时，现场处于使用状态的施工机械（具）</w:t>
            </w:r>
            <w:r>
              <w:rPr>
                <w:rFonts w:hint="eastAsia" w:ascii="宋体" w:hAnsi="宋体" w:cs="宋体"/>
                <w:color w:val="auto"/>
                <w:kern w:val="0"/>
                <w:szCs w:val="21"/>
              </w:rPr>
              <w:t>和设备无人看护，对运行设备构成安全隐患，扣</w:t>
            </w:r>
            <w:r>
              <w:rPr>
                <w:rFonts w:ascii="宋体" w:hAnsi="宋体" w:cs="宋体"/>
                <w:color w:val="auto"/>
                <w:kern w:val="0"/>
                <w:szCs w:val="21"/>
              </w:rPr>
              <w:t>1分。</w:t>
            </w:r>
          </w:p>
          <w:p w14:paraId="266A0B87">
            <w:pPr>
              <w:widowControl/>
              <w:jc w:val="left"/>
              <w:rPr>
                <w:rFonts w:hint="eastAsia"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、操作施工机具时违反操作规程，每次扣</w:t>
            </w:r>
            <w:r>
              <w:rPr>
                <w:rFonts w:ascii="宋体" w:hAnsi="宋体" w:cs="宋体"/>
                <w:color w:val="auto"/>
                <w:kern w:val="0"/>
                <w:szCs w:val="21"/>
              </w:rPr>
              <w:t>0.2分。</w:t>
            </w:r>
          </w:p>
        </w:tc>
      </w:tr>
      <w:tr w14:paraId="604C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73" w:type="pct"/>
            <w:shd w:val="clear" w:color="auto" w:fill="auto"/>
            <w:vAlign w:val="center"/>
          </w:tcPr>
          <w:p w14:paraId="070EEAE1">
            <w:pPr>
              <w:widowControl/>
              <w:jc w:val="center"/>
              <w:rPr>
                <w:rFonts w:hint="eastAsia" w:ascii="宋体" w:hAnsi="宋体" w:cs="宋体"/>
                <w:color w:val="auto"/>
                <w:kern w:val="0"/>
                <w:szCs w:val="21"/>
              </w:rPr>
            </w:pPr>
            <w:r>
              <w:rPr>
                <w:rFonts w:ascii="宋体" w:hAnsi="宋体" w:cs="宋体"/>
                <w:color w:val="auto"/>
                <w:kern w:val="0"/>
                <w:szCs w:val="21"/>
              </w:rPr>
              <w:t>4</w:t>
            </w:r>
          </w:p>
        </w:tc>
        <w:tc>
          <w:tcPr>
            <w:tcW w:w="1121" w:type="pct"/>
            <w:shd w:val="clear" w:color="auto" w:fill="auto"/>
            <w:vAlign w:val="center"/>
          </w:tcPr>
          <w:p w14:paraId="75F9DE20">
            <w:pPr>
              <w:widowControl/>
              <w:rPr>
                <w:rFonts w:hint="eastAsia" w:ascii="宋体" w:hAnsi="宋体" w:cs="宋体"/>
                <w:color w:val="auto"/>
                <w:kern w:val="0"/>
                <w:szCs w:val="21"/>
              </w:rPr>
            </w:pPr>
            <w:r>
              <w:rPr>
                <w:rFonts w:hint="eastAsia" w:ascii="宋体" w:hAnsi="宋体" w:cs="宋体"/>
                <w:color w:val="auto"/>
                <w:kern w:val="0"/>
                <w:szCs w:val="21"/>
              </w:rPr>
              <w:t>作业人员个人防护用品配备或使用不符合要求。</w:t>
            </w:r>
          </w:p>
        </w:tc>
        <w:tc>
          <w:tcPr>
            <w:tcW w:w="407" w:type="pct"/>
            <w:shd w:val="clear" w:color="auto" w:fill="auto"/>
            <w:vAlign w:val="center"/>
          </w:tcPr>
          <w:p w14:paraId="6293ABF6">
            <w:pPr>
              <w:widowControl/>
              <w:jc w:val="center"/>
              <w:rPr>
                <w:rFonts w:hint="eastAsia" w:ascii="宋体" w:hAnsi="宋体" w:cs="宋体"/>
                <w:color w:val="auto"/>
                <w:kern w:val="0"/>
                <w:szCs w:val="21"/>
              </w:rPr>
            </w:pPr>
            <w:r>
              <w:rPr>
                <w:rFonts w:ascii="宋体" w:hAnsi="宋体" w:cs="宋体"/>
                <w:color w:val="auto"/>
                <w:kern w:val="0"/>
                <w:szCs w:val="21"/>
              </w:rPr>
              <w:t>0.5</w:t>
            </w:r>
          </w:p>
        </w:tc>
        <w:tc>
          <w:tcPr>
            <w:tcW w:w="3199" w:type="pct"/>
            <w:shd w:val="clear" w:color="auto" w:fill="auto"/>
            <w:vAlign w:val="center"/>
          </w:tcPr>
          <w:p w14:paraId="103F64EA">
            <w:pPr>
              <w:widowControl/>
              <w:jc w:val="left"/>
              <w:rPr>
                <w:rFonts w:hint="eastAsia"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、出现以下任一不良行为扣</w:t>
            </w:r>
            <w:r>
              <w:rPr>
                <w:rFonts w:ascii="宋体" w:hAnsi="宋体" w:cs="宋体"/>
                <w:color w:val="auto"/>
                <w:kern w:val="0"/>
                <w:szCs w:val="21"/>
              </w:rPr>
              <w:t>0.1分：</w:t>
            </w:r>
          </w:p>
          <w:p w14:paraId="5C74FE4A">
            <w:pPr>
              <w:widowControl/>
              <w:jc w:val="left"/>
              <w:rPr>
                <w:rFonts w:hint="eastAsia" w:ascii="宋体" w:hAnsi="宋体" w:cs="宋体"/>
                <w:color w:val="auto"/>
                <w:kern w:val="0"/>
                <w:szCs w:val="21"/>
              </w:rPr>
            </w:pPr>
            <w:r>
              <w:rPr>
                <w:rFonts w:hint="eastAsia" w:ascii="宋体" w:hAnsi="宋体" w:cs="宋体"/>
                <w:color w:val="auto"/>
                <w:kern w:val="0"/>
                <w:szCs w:val="21"/>
              </w:rPr>
              <w:t>①用人单位未按规定给作业人员配备合格的安全帽、安全带、劳保鞋等防护用品；</w:t>
            </w:r>
          </w:p>
          <w:p w14:paraId="6FAF364C">
            <w:pPr>
              <w:widowControl/>
              <w:jc w:val="left"/>
              <w:rPr>
                <w:rFonts w:hint="eastAsia" w:ascii="宋体" w:hAnsi="宋体" w:cs="宋体"/>
                <w:color w:val="auto"/>
                <w:kern w:val="0"/>
                <w:szCs w:val="21"/>
              </w:rPr>
            </w:pPr>
            <w:r>
              <w:rPr>
                <w:rFonts w:hint="eastAsia" w:ascii="宋体" w:hAnsi="宋体" w:cs="宋体"/>
                <w:color w:val="auto"/>
                <w:kern w:val="0"/>
                <w:szCs w:val="21"/>
              </w:rPr>
              <w:t>②个人防护用品未进行定期检验。</w:t>
            </w:r>
          </w:p>
          <w:p w14:paraId="297C95D4">
            <w:pPr>
              <w:widowControl/>
              <w:jc w:val="left"/>
              <w:rPr>
                <w:rFonts w:hint="eastAsia" w:ascii="宋体" w:hAnsi="宋体" w:cs="宋体"/>
                <w:color w:val="auto"/>
                <w:kern w:val="0"/>
                <w:szCs w:val="21"/>
              </w:rPr>
            </w:pPr>
            <w:r>
              <w:rPr>
                <w:rFonts w:ascii="宋体" w:hAnsi="宋体" w:cs="宋体"/>
                <w:color w:val="auto"/>
                <w:kern w:val="0"/>
                <w:szCs w:val="21"/>
              </w:rPr>
              <w:t>2、施工人员未佩戴劳动防护用品或与作业任务不符</w:t>
            </w:r>
            <w:r>
              <w:rPr>
                <w:rFonts w:hint="eastAsia" w:ascii="宋体" w:hAnsi="宋体" w:cs="宋体"/>
                <w:color w:val="auto"/>
                <w:kern w:val="0"/>
                <w:szCs w:val="21"/>
              </w:rPr>
              <w:t>，</w:t>
            </w:r>
            <w:r>
              <w:rPr>
                <w:rFonts w:ascii="宋体" w:hAnsi="宋体" w:cs="宋体"/>
                <w:color w:val="auto"/>
                <w:kern w:val="0"/>
                <w:szCs w:val="21"/>
              </w:rPr>
              <w:t>每处扣0.1</w:t>
            </w:r>
            <w:r>
              <w:rPr>
                <w:rFonts w:hint="eastAsia" w:ascii="宋体" w:hAnsi="宋体" w:cs="宋体"/>
                <w:color w:val="auto"/>
                <w:kern w:val="0"/>
                <w:szCs w:val="21"/>
              </w:rPr>
              <w:t>分。</w:t>
            </w:r>
          </w:p>
          <w:p w14:paraId="4EA7EDC9">
            <w:pPr>
              <w:widowControl/>
              <w:jc w:val="left"/>
              <w:rPr>
                <w:rFonts w:hint="eastAsia" w:ascii="宋体" w:hAnsi="宋体" w:cs="宋体"/>
                <w:color w:val="auto"/>
                <w:kern w:val="0"/>
                <w:szCs w:val="21"/>
              </w:rPr>
            </w:pPr>
            <w:r>
              <w:rPr>
                <w:rFonts w:ascii="宋体" w:hAnsi="宋体" w:cs="宋体"/>
                <w:color w:val="auto"/>
                <w:kern w:val="0"/>
                <w:szCs w:val="21"/>
              </w:rPr>
              <w:t xml:space="preserve">3、施工人员 使用个人防护用品不规范，每处扣0.1分。 </w:t>
            </w:r>
          </w:p>
        </w:tc>
      </w:tr>
      <w:tr w14:paraId="63AA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73" w:type="pct"/>
            <w:shd w:val="clear" w:color="auto" w:fill="auto"/>
            <w:vAlign w:val="center"/>
          </w:tcPr>
          <w:p w14:paraId="7394BCE5">
            <w:pPr>
              <w:widowControl/>
              <w:jc w:val="center"/>
              <w:rPr>
                <w:rFonts w:hint="eastAsia" w:ascii="宋体" w:hAnsi="宋体" w:cs="宋体"/>
                <w:color w:val="auto"/>
                <w:kern w:val="0"/>
                <w:szCs w:val="21"/>
              </w:rPr>
            </w:pPr>
            <w:r>
              <w:rPr>
                <w:rFonts w:ascii="宋体" w:hAnsi="宋体" w:cs="宋体"/>
                <w:color w:val="auto"/>
                <w:kern w:val="0"/>
                <w:szCs w:val="21"/>
              </w:rPr>
              <w:t>5</w:t>
            </w:r>
          </w:p>
        </w:tc>
        <w:tc>
          <w:tcPr>
            <w:tcW w:w="1121" w:type="pct"/>
            <w:shd w:val="clear" w:color="auto" w:fill="auto"/>
            <w:vAlign w:val="center"/>
          </w:tcPr>
          <w:p w14:paraId="0A458B0E">
            <w:pPr>
              <w:widowControl/>
              <w:rPr>
                <w:rFonts w:hint="eastAsia" w:ascii="宋体" w:hAnsi="宋体" w:cs="宋体"/>
                <w:color w:val="auto"/>
                <w:kern w:val="0"/>
                <w:szCs w:val="21"/>
              </w:rPr>
            </w:pPr>
            <w:r>
              <w:rPr>
                <w:rFonts w:hint="eastAsia" w:ascii="宋体" w:hAnsi="宋体" w:cs="宋体"/>
                <w:color w:val="auto"/>
                <w:kern w:val="0"/>
                <w:szCs w:val="21"/>
              </w:rPr>
              <w:t>起重吊装区域未设警戒标志、无专人指挥；吊件或起重臂下方有人通过或逗留。</w:t>
            </w:r>
          </w:p>
        </w:tc>
        <w:tc>
          <w:tcPr>
            <w:tcW w:w="407" w:type="pct"/>
            <w:shd w:val="clear" w:color="auto" w:fill="auto"/>
            <w:noWrap/>
            <w:vAlign w:val="center"/>
          </w:tcPr>
          <w:p w14:paraId="31A4C033">
            <w:pPr>
              <w:widowControl/>
              <w:jc w:val="center"/>
              <w:rPr>
                <w:rFonts w:hint="eastAsia" w:ascii="宋体" w:hAnsi="宋体" w:cs="宋体"/>
                <w:color w:val="auto"/>
                <w:kern w:val="0"/>
                <w:szCs w:val="21"/>
              </w:rPr>
            </w:pPr>
            <w:r>
              <w:rPr>
                <w:rFonts w:ascii="宋体" w:hAnsi="宋体" w:cs="宋体"/>
                <w:color w:val="auto"/>
                <w:kern w:val="0"/>
                <w:szCs w:val="21"/>
              </w:rPr>
              <w:t>0.5</w:t>
            </w:r>
          </w:p>
        </w:tc>
        <w:tc>
          <w:tcPr>
            <w:tcW w:w="3199" w:type="pct"/>
            <w:shd w:val="clear" w:color="auto" w:fill="auto"/>
            <w:vAlign w:val="center"/>
          </w:tcPr>
          <w:p w14:paraId="58D35B26">
            <w:pPr>
              <w:widowControl/>
              <w:jc w:val="left"/>
              <w:rPr>
                <w:rFonts w:hint="eastAsia" w:ascii="宋体" w:hAnsi="宋体" w:cs="宋体"/>
                <w:color w:val="auto"/>
                <w:kern w:val="0"/>
                <w:szCs w:val="21"/>
              </w:rPr>
            </w:pPr>
            <w:r>
              <w:rPr>
                <w:rFonts w:hint="eastAsia" w:ascii="宋体" w:hAnsi="宋体" w:cs="宋体"/>
                <w:color w:val="auto"/>
                <w:kern w:val="0"/>
                <w:szCs w:val="21"/>
              </w:rPr>
              <w:t>出现以下任一不良行为扣</w:t>
            </w:r>
            <w:r>
              <w:rPr>
                <w:rFonts w:ascii="宋体" w:hAnsi="宋体" w:cs="宋体"/>
                <w:color w:val="auto"/>
                <w:kern w:val="0"/>
                <w:szCs w:val="21"/>
              </w:rPr>
              <w:t>0.5分：</w:t>
            </w:r>
          </w:p>
          <w:p w14:paraId="58DCA7FB">
            <w:pPr>
              <w:widowControl/>
              <w:jc w:val="left"/>
              <w:rPr>
                <w:rFonts w:hint="eastAsia" w:ascii="宋体" w:hAnsi="宋体" w:cs="宋体"/>
                <w:color w:val="auto"/>
                <w:kern w:val="0"/>
                <w:szCs w:val="21"/>
              </w:rPr>
            </w:pPr>
            <w:r>
              <w:rPr>
                <w:rFonts w:hint="eastAsia" w:ascii="宋体" w:hAnsi="宋体" w:cs="宋体"/>
                <w:color w:val="auto"/>
                <w:kern w:val="0"/>
                <w:szCs w:val="21"/>
              </w:rPr>
              <w:t>①起重吊装区域未设警戒线（围栏或隔离带）和悬挂警示标志；</w:t>
            </w:r>
          </w:p>
          <w:p w14:paraId="7561E605">
            <w:pPr>
              <w:widowControl/>
              <w:jc w:val="left"/>
              <w:rPr>
                <w:rFonts w:hint="eastAsia" w:ascii="宋体" w:hAnsi="宋体" w:cs="宋体"/>
                <w:color w:val="auto"/>
                <w:kern w:val="0"/>
                <w:szCs w:val="21"/>
              </w:rPr>
            </w:pPr>
            <w:r>
              <w:rPr>
                <w:rFonts w:hint="eastAsia" w:ascii="宋体" w:hAnsi="宋体" w:cs="宋体"/>
                <w:color w:val="auto"/>
                <w:kern w:val="0"/>
                <w:szCs w:val="21"/>
              </w:rPr>
              <w:t>②起重吊装作业相关岗位职责不清，分工不明；</w:t>
            </w:r>
          </w:p>
          <w:p w14:paraId="1AA6AE62">
            <w:pPr>
              <w:widowControl/>
              <w:jc w:val="left"/>
              <w:rPr>
                <w:rFonts w:hint="eastAsia" w:ascii="宋体" w:hAnsi="宋体" w:cs="宋体"/>
                <w:color w:val="auto"/>
                <w:kern w:val="0"/>
                <w:szCs w:val="21"/>
              </w:rPr>
            </w:pPr>
            <w:r>
              <w:rPr>
                <w:rFonts w:hint="eastAsia" w:ascii="宋体" w:hAnsi="宋体" w:cs="宋体"/>
                <w:color w:val="auto"/>
                <w:kern w:val="0"/>
                <w:szCs w:val="21"/>
              </w:rPr>
              <w:t>③起重吊装作业未设专人指挥；</w:t>
            </w:r>
          </w:p>
          <w:p w14:paraId="5596CF1F">
            <w:pPr>
              <w:widowControl/>
              <w:jc w:val="left"/>
              <w:rPr>
                <w:rFonts w:hint="eastAsia" w:ascii="宋体" w:hAnsi="宋体" w:cs="宋体"/>
                <w:color w:val="auto"/>
                <w:kern w:val="0"/>
                <w:szCs w:val="21"/>
              </w:rPr>
            </w:pPr>
            <w:r>
              <w:rPr>
                <w:rFonts w:hint="eastAsia" w:ascii="宋体" w:hAnsi="宋体" w:cs="宋体"/>
                <w:color w:val="auto"/>
                <w:kern w:val="0"/>
                <w:szCs w:val="21"/>
              </w:rPr>
              <w:t>④吊件或起</w:t>
            </w:r>
            <w:r>
              <w:rPr>
                <w:rFonts w:ascii="宋体" w:hAnsi="宋体" w:cs="宋体"/>
                <w:color w:val="auto"/>
                <w:kern w:val="0"/>
                <w:szCs w:val="21"/>
              </w:rPr>
              <w:t>重臂下方有人逗留或通过</w:t>
            </w:r>
            <w:r>
              <w:rPr>
                <w:rFonts w:hint="eastAsia" w:ascii="宋体" w:hAnsi="宋体" w:cs="宋体"/>
                <w:color w:val="auto"/>
                <w:kern w:val="0"/>
                <w:szCs w:val="21"/>
              </w:rPr>
              <w:t>。</w:t>
            </w:r>
          </w:p>
        </w:tc>
      </w:tr>
      <w:tr w14:paraId="6F64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273" w:type="pct"/>
            <w:shd w:val="clear" w:color="auto" w:fill="auto"/>
            <w:vAlign w:val="center"/>
          </w:tcPr>
          <w:p w14:paraId="46C7D9D5">
            <w:pPr>
              <w:widowControl/>
              <w:jc w:val="center"/>
              <w:rPr>
                <w:rFonts w:hint="eastAsia" w:ascii="宋体" w:hAnsi="宋体" w:cs="宋体"/>
                <w:color w:val="auto"/>
                <w:kern w:val="0"/>
                <w:szCs w:val="21"/>
              </w:rPr>
            </w:pPr>
            <w:r>
              <w:rPr>
                <w:rFonts w:ascii="宋体" w:hAnsi="宋体" w:cs="宋体"/>
                <w:color w:val="auto"/>
                <w:kern w:val="0"/>
                <w:szCs w:val="21"/>
              </w:rPr>
              <w:t>6</w:t>
            </w:r>
          </w:p>
        </w:tc>
        <w:tc>
          <w:tcPr>
            <w:tcW w:w="1121" w:type="pct"/>
            <w:shd w:val="clear" w:color="auto" w:fill="auto"/>
            <w:vAlign w:val="center"/>
          </w:tcPr>
          <w:p w14:paraId="662D764A">
            <w:pPr>
              <w:widowControl/>
              <w:rPr>
                <w:rFonts w:hint="eastAsia" w:ascii="宋体" w:hAnsi="宋体" w:cs="宋体"/>
                <w:color w:val="auto"/>
                <w:kern w:val="0"/>
                <w:szCs w:val="21"/>
              </w:rPr>
            </w:pPr>
            <w:r>
              <w:rPr>
                <w:rFonts w:hint="eastAsia" w:ascii="宋体" w:hAnsi="宋体" w:cs="宋体"/>
                <w:color w:val="auto"/>
                <w:kern w:val="0"/>
                <w:szCs w:val="21"/>
              </w:rPr>
              <w:t>脚手架搭设和拆除、使用、管理不规范。</w:t>
            </w:r>
          </w:p>
        </w:tc>
        <w:tc>
          <w:tcPr>
            <w:tcW w:w="407" w:type="pct"/>
            <w:shd w:val="clear" w:color="auto" w:fill="auto"/>
            <w:noWrap/>
            <w:vAlign w:val="center"/>
          </w:tcPr>
          <w:p w14:paraId="4FD9AB3F">
            <w:pPr>
              <w:widowControl/>
              <w:jc w:val="center"/>
              <w:rPr>
                <w:rFonts w:hint="eastAsia" w:ascii="宋体" w:hAnsi="宋体" w:cs="宋体"/>
                <w:color w:val="auto"/>
                <w:kern w:val="0"/>
                <w:szCs w:val="21"/>
              </w:rPr>
            </w:pPr>
            <w:r>
              <w:rPr>
                <w:rFonts w:ascii="宋体" w:hAnsi="宋体" w:cs="宋体"/>
                <w:color w:val="auto"/>
                <w:kern w:val="0"/>
                <w:szCs w:val="21"/>
              </w:rPr>
              <w:t>0.5</w:t>
            </w:r>
          </w:p>
        </w:tc>
        <w:tc>
          <w:tcPr>
            <w:tcW w:w="3199" w:type="pct"/>
            <w:shd w:val="clear" w:color="auto" w:fill="auto"/>
            <w:vAlign w:val="center"/>
          </w:tcPr>
          <w:p w14:paraId="2E579B60">
            <w:pPr>
              <w:widowControl/>
              <w:jc w:val="left"/>
              <w:rPr>
                <w:rFonts w:hint="eastAsia" w:ascii="宋体" w:hAnsi="宋体" w:cs="宋体"/>
                <w:color w:val="auto"/>
                <w:kern w:val="0"/>
                <w:szCs w:val="21"/>
              </w:rPr>
            </w:pPr>
            <w:r>
              <w:rPr>
                <w:rFonts w:hint="eastAsia" w:ascii="宋体" w:hAnsi="宋体" w:cs="宋体"/>
                <w:color w:val="auto"/>
                <w:kern w:val="0"/>
                <w:szCs w:val="21"/>
              </w:rPr>
              <w:t>出现以下任一不良行为扣</w:t>
            </w:r>
            <w:r>
              <w:rPr>
                <w:rFonts w:ascii="宋体" w:hAnsi="宋体" w:cs="宋体"/>
                <w:color w:val="auto"/>
                <w:kern w:val="0"/>
                <w:szCs w:val="21"/>
              </w:rPr>
              <w:t>0.5分：</w:t>
            </w:r>
          </w:p>
          <w:p w14:paraId="6E41F7AA">
            <w:pPr>
              <w:widowControl/>
              <w:jc w:val="left"/>
              <w:rPr>
                <w:rFonts w:hint="eastAsia" w:ascii="宋体" w:hAnsi="宋体" w:cs="宋体"/>
                <w:color w:val="auto"/>
                <w:kern w:val="0"/>
                <w:szCs w:val="21"/>
              </w:rPr>
            </w:pPr>
            <w:r>
              <w:rPr>
                <w:rFonts w:hint="eastAsia" w:ascii="宋体" w:hAnsi="宋体" w:cs="宋体"/>
                <w:color w:val="auto"/>
                <w:kern w:val="0"/>
                <w:szCs w:val="21"/>
              </w:rPr>
              <w:t>①脚手架搭设和拆除无施工方案，未按规定进行审核、审批；</w:t>
            </w:r>
          </w:p>
          <w:p w14:paraId="360D7D4D">
            <w:pPr>
              <w:widowControl/>
              <w:jc w:val="left"/>
              <w:rPr>
                <w:rFonts w:hint="eastAsia" w:ascii="宋体" w:hAnsi="宋体" w:cs="宋体"/>
                <w:color w:val="auto"/>
                <w:kern w:val="0"/>
                <w:szCs w:val="21"/>
              </w:rPr>
            </w:pPr>
            <w:r>
              <w:rPr>
                <w:rFonts w:hint="eastAsia" w:ascii="宋体" w:hAnsi="宋体" w:cs="宋体"/>
                <w:color w:val="auto"/>
                <w:kern w:val="0"/>
                <w:szCs w:val="21"/>
              </w:rPr>
              <w:t>②脚手架未经监理单位、使用单位验收合格，未挂牌即投入使用；</w:t>
            </w:r>
          </w:p>
          <w:p w14:paraId="2F24DA95">
            <w:pPr>
              <w:widowControl/>
              <w:jc w:val="left"/>
              <w:rPr>
                <w:rFonts w:hint="eastAsia" w:ascii="宋体" w:hAnsi="宋体" w:cs="宋体"/>
                <w:color w:val="auto"/>
                <w:kern w:val="0"/>
                <w:szCs w:val="21"/>
              </w:rPr>
            </w:pPr>
            <w:r>
              <w:rPr>
                <w:rFonts w:hint="eastAsia" w:ascii="宋体" w:hAnsi="宋体" w:cs="宋体"/>
                <w:color w:val="auto"/>
                <w:kern w:val="0"/>
                <w:szCs w:val="21"/>
              </w:rPr>
              <w:t>③脚手架长时间停止使用或在强风（</w:t>
            </w:r>
            <w:r>
              <w:rPr>
                <w:rFonts w:ascii="宋体" w:hAnsi="宋体" w:cs="宋体"/>
                <w:color w:val="auto"/>
                <w:kern w:val="0"/>
                <w:szCs w:val="21"/>
              </w:rPr>
              <w:t>6级以上）、暴雨过后，未经</w:t>
            </w:r>
            <w:r>
              <w:rPr>
                <w:rFonts w:hint="eastAsia" w:ascii="宋体" w:hAnsi="宋体" w:cs="宋体"/>
                <w:color w:val="auto"/>
                <w:kern w:val="0"/>
                <w:szCs w:val="21"/>
              </w:rPr>
              <w:t>检查合格就投入使用；</w:t>
            </w:r>
          </w:p>
          <w:p w14:paraId="025959DE">
            <w:pPr>
              <w:widowControl/>
              <w:jc w:val="left"/>
              <w:rPr>
                <w:rFonts w:hint="eastAsia" w:ascii="宋体" w:hAnsi="宋体" w:cs="宋体"/>
                <w:color w:val="auto"/>
                <w:kern w:val="0"/>
                <w:szCs w:val="21"/>
              </w:rPr>
            </w:pPr>
            <w:r>
              <w:rPr>
                <w:rFonts w:hint="eastAsia" w:ascii="宋体" w:hAnsi="宋体" w:cs="宋体"/>
                <w:color w:val="auto"/>
                <w:kern w:val="0"/>
                <w:szCs w:val="21"/>
              </w:rPr>
              <w:t>④脚手架未按规定搭设和拆除，未设置扫地杆、剪刀撑、抛撑、连墙件；</w:t>
            </w:r>
          </w:p>
          <w:p w14:paraId="2812BD6B">
            <w:pPr>
              <w:widowControl/>
              <w:jc w:val="left"/>
              <w:rPr>
                <w:rFonts w:hint="eastAsia" w:ascii="宋体" w:hAnsi="宋体" w:cs="宋体"/>
                <w:color w:val="auto"/>
                <w:kern w:val="0"/>
                <w:szCs w:val="21"/>
              </w:rPr>
            </w:pPr>
            <w:r>
              <w:rPr>
                <w:rFonts w:hint="eastAsia" w:ascii="宋体" w:hAnsi="宋体" w:cs="宋体"/>
                <w:color w:val="auto"/>
                <w:kern w:val="0"/>
                <w:szCs w:val="21"/>
              </w:rPr>
              <w:t>⑤脚手架的脚手板材质、规</w:t>
            </w:r>
            <w:r>
              <w:rPr>
                <w:rFonts w:ascii="宋体" w:hAnsi="宋体" w:cs="宋体"/>
                <w:color w:val="auto"/>
                <w:kern w:val="0"/>
                <w:szCs w:val="21"/>
              </w:rPr>
              <w:t>格不符合规范要求，铺板不严密、牢</w:t>
            </w:r>
            <w:r>
              <w:rPr>
                <w:rFonts w:hint="eastAsia" w:ascii="宋体" w:hAnsi="宋体" w:cs="宋体"/>
                <w:color w:val="auto"/>
                <w:kern w:val="0"/>
                <w:szCs w:val="21"/>
              </w:rPr>
              <w:t>靠；架体外侧无封闭密目式安全网，网间不严密；</w:t>
            </w:r>
          </w:p>
          <w:p w14:paraId="2EFEADA2">
            <w:pPr>
              <w:widowControl/>
              <w:jc w:val="left"/>
              <w:rPr>
                <w:rFonts w:hint="eastAsia" w:ascii="宋体" w:hAnsi="宋体" w:cs="宋体"/>
                <w:color w:val="auto"/>
                <w:kern w:val="0"/>
                <w:szCs w:val="21"/>
              </w:rPr>
            </w:pPr>
            <w:r>
              <w:rPr>
                <w:rFonts w:hint="eastAsia" w:ascii="宋体" w:hAnsi="宋体" w:cs="宋体"/>
                <w:color w:val="auto"/>
                <w:kern w:val="0"/>
                <w:szCs w:val="21"/>
              </w:rPr>
              <w:t>⑥靠近带电设施的脚手架未采取封闭措施。</w:t>
            </w:r>
          </w:p>
        </w:tc>
      </w:tr>
      <w:tr w14:paraId="6FBA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73" w:type="pct"/>
            <w:shd w:val="clear" w:color="auto" w:fill="auto"/>
            <w:vAlign w:val="center"/>
          </w:tcPr>
          <w:p w14:paraId="4A9E8B2B">
            <w:pPr>
              <w:widowControl/>
              <w:jc w:val="center"/>
              <w:rPr>
                <w:rFonts w:hint="eastAsia" w:ascii="宋体" w:hAnsi="宋体" w:cs="宋体"/>
                <w:color w:val="auto"/>
                <w:kern w:val="0"/>
                <w:szCs w:val="21"/>
              </w:rPr>
            </w:pPr>
            <w:r>
              <w:rPr>
                <w:rFonts w:ascii="宋体" w:hAnsi="宋体" w:cs="宋体"/>
                <w:color w:val="auto"/>
                <w:kern w:val="0"/>
                <w:szCs w:val="21"/>
              </w:rPr>
              <w:t>7</w:t>
            </w:r>
          </w:p>
        </w:tc>
        <w:tc>
          <w:tcPr>
            <w:tcW w:w="1121" w:type="pct"/>
            <w:shd w:val="clear" w:color="auto" w:fill="auto"/>
            <w:vAlign w:val="center"/>
          </w:tcPr>
          <w:p w14:paraId="634E6665">
            <w:pPr>
              <w:widowControl/>
              <w:rPr>
                <w:rFonts w:hint="eastAsia" w:ascii="宋体" w:hAnsi="宋体" w:cs="宋体"/>
                <w:color w:val="auto"/>
                <w:kern w:val="0"/>
                <w:szCs w:val="21"/>
              </w:rPr>
            </w:pPr>
            <w:r>
              <w:rPr>
                <w:rFonts w:hint="eastAsia" w:ascii="宋体" w:hAnsi="宋体" w:cs="宋体"/>
                <w:color w:val="auto"/>
                <w:kern w:val="0"/>
                <w:szCs w:val="21"/>
              </w:rPr>
              <w:t>爆破品安全管理要求执行不到位。</w:t>
            </w:r>
          </w:p>
        </w:tc>
        <w:tc>
          <w:tcPr>
            <w:tcW w:w="407" w:type="pct"/>
            <w:shd w:val="clear" w:color="auto" w:fill="auto"/>
            <w:noWrap/>
            <w:vAlign w:val="center"/>
          </w:tcPr>
          <w:p w14:paraId="384BE233">
            <w:pPr>
              <w:widowControl/>
              <w:jc w:val="center"/>
              <w:rPr>
                <w:rFonts w:hint="eastAsia" w:ascii="宋体" w:hAnsi="宋体" w:cs="宋体"/>
                <w:color w:val="auto"/>
                <w:kern w:val="0"/>
                <w:szCs w:val="21"/>
              </w:rPr>
            </w:pPr>
            <w:r>
              <w:rPr>
                <w:rFonts w:ascii="宋体" w:hAnsi="宋体" w:cs="宋体"/>
                <w:color w:val="auto"/>
                <w:kern w:val="0"/>
                <w:szCs w:val="21"/>
              </w:rPr>
              <w:t>0.5</w:t>
            </w:r>
          </w:p>
        </w:tc>
        <w:tc>
          <w:tcPr>
            <w:tcW w:w="3199" w:type="pct"/>
            <w:shd w:val="clear" w:color="auto" w:fill="auto"/>
            <w:vAlign w:val="center"/>
          </w:tcPr>
          <w:p w14:paraId="51AE6AA1">
            <w:pPr>
              <w:widowControl/>
              <w:jc w:val="left"/>
              <w:rPr>
                <w:rFonts w:hint="eastAsia" w:ascii="宋体" w:hAnsi="宋体" w:cs="宋体"/>
                <w:color w:val="auto"/>
                <w:kern w:val="0"/>
                <w:szCs w:val="21"/>
              </w:rPr>
            </w:pPr>
            <w:r>
              <w:rPr>
                <w:rFonts w:hint="eastAsia" w:ascii="宋体" w:hAnsi="宋体" w:cs="宋体"/>
                <w:color w:val="auto"/>
                <w:kern w:val="0"/>
                <w:szCs w:val="21"/>
              </w:rPr>
              <w:t>出现以下任一不良行为扣</w:t>
            </w:r>
            <w:r>
              <w:rPr>
                <w:rFonts w:ascii="宋体" w:hAnsi="宋体" w:cs="宋体"/>
                <w:color w:val="auto"/>
                <w:kern w:val="0"/>
                <w:szCs w:val="21"/>
              </w:rPr>
              <w:t>0.5分：</w:t>
            </w:r>
          </w:p>
          <w:p w14:paraId="5A730591">
            <w:pPr>
              <w:widowControl/>
              <w:jc w:val="left"/>
              <w:rPr>
                <w:rFonts w:hint="eastAsia" w:ascii="宋体" w:hAnsi="宋体" w:cs="宋体"/>
                <w:color w:val="auto"/>
                <w:kern w:val="0"/>
                <w:szCs w:val="21"/>
              </w:rPr>
            </w:pPr>
            <w:r>
              <w:rPr>
                <w:rFonts w:hint="eastAsia" w:ascii="宋体" w:hAnsi="宋体" w:cs="宋体"/>
                <w:color w:val="auto"/>
                <w:kern w:val="0"/>
                <w:szCs w:val="21"/>
              </w:rPr>
              <w:t>①爆炸物品安全管理人员、仓库管理人员和爆破作业人员等不具备资格；</w:t>
            </w:r>
          </w:p>
          <w:p w14:paraId="23AE4C29">
            <w:pPr>
              <w:widowControl/>
              <w:jc w:val="left"/>
              <w:rPr>
                <w:rFonts w:hint="eastAsia" w:ascii="宋体" w:hAnsi="宋体" w:cs="宋体"/>
                <w:color w:val="auto"/>
                <w:kern w:val="0"/>
                <w:szCs w:val="21"/>
              </w:rPr>
            </w:pPr>
            <w:r>
              <w:rPr>
                <w:rFonts w:hint="eastAsia" w:ascii="宋体" w:hAnsi="宋体" w:cs="宋体"/>
                <w:color w:val="auto"/>
                <w:kern w:val="0"/>
                <w:szCs w:val="21"/>
              </w:rPr>
              <w:t>②将爆炸物品存放在不具备安全存放条件场所；</w:t>
            </w:r>
          </w:p>
          <w:p w14:paraId="11CB712C">
            <w:pPr>
              <w:widowControl/>
              <w:jc w:val="left"/>
              <w:rPr>
                <w:rFonts w:hint="eastAsia" w:ascii="宋体" w:hAnsi="宋体" w:cs="宋体"/>
                <w:color w:val="auto"/>
                <w:kern w:val="0"/>
                <w:szCs w:val="21"/>
              </w:rPr>
            </w:pPr>
            <w:r>
              <w:rPr>
                <w:rFonts w:hint="eastAsia" w:ascii="宋体" w:hAnsi="宋体" w:cs="宋体"/>
                <w:color w:val="auto"/>
                <w:kern w:val="0"/>
                <w:szCs w:val="21"/>
              </w:rPr>
              <w:t>③爆破作业时安全防护措施不符合规范要求。</w:t>
            </w:r>
          </w:p>
        </w:tc>
      </w:tr>
      <w:tr w14:paraId="2040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73" w:type="pct"/>
            <w:shd w:val="clear" w:color="auto" w:fill="auto"/>
            <w:vAlign w:val="center"/>
          </w:tcPr>
          <w:p w14:paraId="7CA3D1B1">
            <w:pPr>
              <w:widowControl/>
              <w:jc w:val="center"/>
              <w:rPr>
                <w:rFonts w:hint="eastAsia" w:ascii="宋体" w:hAnsi="宋体" w:cs="宋体"/>
                <w:color w:val="auto"/>
                <w:kern w:val="0"/>
                <w:szCs w:val="21"/>
              </w:rPr>
            </w:pPr>
            <w:r>
              <w:rPr>
                <w:rFonts w:ascii="宋体" w:hAnsi="宋体" w:cs="宋体"/>
                <w:color w:val="auto"/>
                <w:kern w:val="0"/>
                <w:szCs w:val="21"/>
              </w:rPr>
              <w:t>8</w:t>
            </w:r>
          </w:p>
        </w:tc>
        <w:tc>
          <w:tcPr>
            <w:tcW w:w="1121" w:type="pct"/>
            <w:shd w:val="clear" w:color="000000" w:fill="FFFFFF"/>
            <w:vAlign w:val="center"/>
          </w:tcPr>
          <w:p w14:paraId="62633E26">
            <w:pPr>
              <w:widowControl/>
              <w:rPr>
                <w:rFonts w:hint="eastAsia" w:ascii="宋体" w:hAnsi="宋体" w:cs="宋体"/>
                <w:color w:val="auto"/>
                <w:kern w:val="0"/>
                <w:szCs w:val="21"/>
              </w:rPr>
            </w:pPr>
            <w:r>
              <w:rPr>
                <w:rFonts w:hint="eastAsia" w:ascii="宋体" w:hAnsi="宋体" w:cs="宋体"/>
                <w:color w:val="auto"/>
                <w:kern w:val="0"/>
                <w:szCs w:val="21"/>
              </w:rPr>
              <w:t>站班会安全技术交底未落实，施工方案管理不规范，危险性较大的分部分项工程安全管理不到位。</w:t>
            </w:r>
          </w:p>
        </w:tc>
        <w:tc>
          <w:tcPr>
            <w:tcW w:w="407" w:type="pct"/>
            <w:shd w:val="clear" w:color="auto" w:fill="auto"/>
            <w:vAlign w:val="center"/>
          </w:tcPr>
          <w:p w14:paraId="42FFBB12">
            <w:pPr>
              <w:widowControl/>
              <w:jc w:val="center"/>
              <w:rPr>
                <w:rFonts w:hint="eastAsia" w:ascii="宋体" w:hAnsi="宋体" w:cs="宋体"/>
                <w:color w:val="auto"/>
                <w:kern w:val="0"/>
                <w:szCs w:val="21"/>
              </w:rPr>
            </w:pPr>
            <w:r>
              <w:rPr>
                <w:rFonts w:ascii="宋体" w:hAnsi="宋体" w:cs="宋体"/>
                <w:color w:val="auto"/>
                <w:kern w:val="0"/>
                <w:szCs w:val="21"/>
              </w:rPr>
              <w:t>1</w:t>
            </w:r>
          </w:p>
        </w:tc>
        <w:tc>
          <w:tcPr>
            <w:tcW w:w="3199" w:type="pct"/>
            <w:shd w:val="clear" w:color="auto" w:fill="auto"/>
            <w:vAlign w:val="center"/>
          </w:tcPr>
          <w:p w14:paraId="387A891C">
            <w:pPr>
              <w:widowControl/>
              <w:jc w:val="left"/>
              <w:rPr>
                <w:rFonts w:hint="eastAsia"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、出现以下任一不</w:t>
            </w:r>
            <w:r>
              <w:rPr>
                <w:rFonts w:ascii="宋体" w:hAnsi="宋体" w:cs="宋体"/>
                <w:color w:val="auto"/>
                <w:kern w:val="0"/>
                <w:szCs w:val="21"/>
              </w:rPr>
              <w:t>良行为扣0.2分：</w:t>
            </w:r>
          </w:p>
          <w:p w14:paraId="74FF733C">
            <w:pPr>
              <w:widowControl/>
              <w:jc w:val="left"/>
              <w:rPr>
                <w:rFonts w:hint="eastAsia" w:ascii="宋体" w:hAnsi="宋体" w:cs="宋体"/>
                <w:color w:val="auto"/>
                <w:kern w:val="0"/>
                <w:szCs w:val="21"/>
              </w:rPr>
            </w:pPr>
            <w:r>
              <w:rPr>
                <w:rFonts w:hint="eastAsia" w:ascii="宋体" w:hAnsi="宋体" w:cs="宋体"/>
                <w:color w:val="auto"/>
                <w:kern w:val="0"/>
                <w:szCs w:val="21"/>
              </w:rPr>
              <w:t>①</w:t>
            </w:r>
            <w:r>
              <w:rPr>
                <w:rFonts w:ascii="宋体" w:hAnsi="宋体" w:cs="宋体"/>
                <w:color w:val="auto"/>
                <w:kern w:val="0"/>
                <w:szCs w:val="21"/>
              </w:rPr>
              <w:t>现场作业未进行安全风险分析及预控，或与实际情况不符；</w:t>
            </w:r>
          </w:p>
          <w:p w14:paraId="4AAFF6A5">
            <w:pPr>
              <w:widowControl/>
              <w:jc w:val="left"/>
              <w:rPr>
                <w:rFonts w:hint="eastAsia" w:ascii="宋体" w:hAnsi="宋体" w:cs="宋体"/>
                <w:color w:val="auto"/>
                <w:kern w:val="0"/>
                <w:szCs w:val="21"/>
              </w:rPr>
            </w:pPr>
            <w:r>
              <w:rPr>
                <w:rFonts w:hint="eastAsia" w:ascii="宋体" w:hAnsi="宋体" w:cs="宋体"/>
                <w:color w:val="auto"/>
                <w:kern w:val="0"/>
                <w:szCs w:val="21"/>
              </w:rPr>
              <w:t>②未开站班会，或站班会安全技术交底等“三交”、“三查”工作与现场实际不符，安全控制措施未真正落实。</w:t>
            </w:r>
          </w:p>
          <w:p w14:paraId="66ECB517">
            <w:pPr>
              <w:widowControl/>
              <w:jc w:val="left"/>
              <w:rPr>
                <w:rFonts w:hint="eastAsia" w:ascii="宋体" w:hAnsi="宋体" w:cs="宋体"/>
                <w:color w:val="auto"/>
                <w:kern w:val="0"/>
                <w:szCs w:val="21"/>
              </w:rPr>
            </w:pPr>
            <w:r>
              <w:rPr>
                <w:rFonts w:ascii="宋体" w:hAnsi="宋体" w:cs="宋体"/>
                <w:color w:val="auto"/>
                <w:kern w:val="0"/>
                <w:szCs w:val="21"/>
              </w:rPr>
              <w:t>2、未落实施工方案“四个必须”，每项扣0.2分：</w:t>
            </w:r>
          </w:p>
          <w:p w14:paraId="2FA64D22">
            <w:pPr>
              <w:widowControl/>
              <w:jc w:val="left"/>
              <w:rPr>
                <w:rFonts w:hint="eastAsia" w:ascii="宋体" w:hAnsi="宋体" w:cs="宋体"/>
                <w:color w:val="auto"/>
                <w:kern w:val="0"/>
                <w:szCs w:val="21"/>
              </w:rPr>
            </w:pPr>
            <w:r>
              <w:rPr>
                <w:rFonts w:hint="eastAsia" w:ascii="宋体" w:hAnsi="宋体" w:cs="宋体"/>
                <w:color w:val="auto"/>
                <w:kern w:val="0"/>
                <w:szCs w:val="21"/>
              </w:rPr>
              <w:t>①施工作业前未编制施工方案或方案未通过审批；</w:t>
            </w:r>
          </w:p>
          <w:p w14:paraId="4569CD2B">
            <w:pPr>
              <w:widowControl/>
              <w:jc w:val="left"/>
              <w:rPr>
                <w:rFonts w:hint="eastAsia" w:ascii="宋体" w:hAnsi="宋体" w:cs="宋体"/>
                <w:color w:val="auto"/>
                <w:kern w:val="0"/>
                <w:szCs w:val="21"/>
              </w:rPr>
            </w:pPr>
            <w:r>
              <w:rPr>
                <w:rFonts w:hint="eastAsia" w:ascii="宋体" w:hAnsi="宋体" w:cs="宋体"/>
                <w:color w:val="auto"/>
                <w:kern w:val="0"/>
                <w:szCs w:val="21"/>
              </w:rPr>
              <w:t>②施工作业前未进行安全技术交底；</w:t>
            </w:r>
          </w:p>
          <w:p w14:paraId="0F63E5DE">
            <w:pPr>
              <w:widowControl/>
              <w:jc w:val="left"/>
              <w:rPr>
                <w:rFonts w:hint="eastAsia" w:ascii="宋体" w:hAnsi="宋体" w:cs="宋体"/>
                <w:color w:val="auto"/>
                <w:kern w:val="0"/>
                <w:szCs w:val="21"/>
              </w:rPr>
            </w:pPr>
            <w:r>
              <w:rPr>
                <w:rFonts w:hint="eastAsia" w:ascii="宋体" w:hAnsi="宋体" w:cs="宋体"/>
                <w:color w:val="auto"/>
                <w:kern w:val="0"/>
                <w:szCs w:val="21"/>
              </w:rPr>
              <w:t>③施工过程未按施工方案施工；</w:t>
            </w:r>
          </w:p>
          <w:p w14:paraId="66810279">
            <w:pPr>
              <w:widowControl/>
              <w:jc w:val="left"/>
              <w:rPr>
                <w:rFonts w:hint="eastAsia" w:ascii="宋体" w:hAnsi="宋体" w:cs="宋体"/>
                <w:color w:val="auto"/>
                <w:kern w:val="0"/>
                <w:szCs w:val="21"/>
              </w:rPr>
            </w:pPr>
            <w:r>
              <w:rPr>
                <w:rFonts w:hint="eastAsia" w:ascii="宋体" w:hAnsi="宋体" w:cs="宋体"/>
                <w:color w:val="auto"/>
                <w:kern w:val="0"/>
                <w:szCs w:val="21"/>
              </w:rPr>
              <w:t>④施工方案完成后未经验收合格即进入下道程序。</w:t>
            </w:r>
          </w:p>
          <w:p w14:paraId="555D55AA">
            <w:pPr>
              <w:widowControl/>
              <w:jc w:val="left"/>
              <w:rPr>
                <w:rFonts w:hint="eastAsia"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、危险性较大的分部分项工程未编制安全专项方案，安全专项方案未经技术负责人审批，超过一定规模的危险性较大的分部分项工程未召开专家论证会，每项扣</w:t>
            </w:r>
            <w:r>
              <w:rPr>
                <w:rFonts w:ascii="宋体" w:hAnsi="宋体" w:cs="宋体"/>
                <w:color w:val="auto"/>
                <w:kern w:val="0"/>
                <w:szCs w:val="21"/>
              </w:rPr>
              <w:t>0.2分。</w:t>
            </w:r>
          </w:p>
          <w:p w14:paraId="5E9C0B0A">
            <w:pPr>
              <w:widowControl/>
              <w:jc w:val="left"/>
              <w:rPr>
                <w:rFonts w:hint="eastAsia"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、危险性较大的分部分项工程施工过程中，监理无人员旁站监督，发现问题未制止或责令整改，每次扣</w:t>
            </w:r>
            <w:r>
              <w:rPr>
                <w:rFonts w:ascii="宋体" w:hAnsi="宋体" w:cs="宋体"/>
                <w:color w:val="auto"/>
                <w:kern w:val="0"/>
                <w:szCs w:val="21"/>
              </w:rPr>
              <w:t>0.2分。</w:t>
            </w:r>
          </w:p>
        </w:tc>
      </w:tr>
      <w:tr w14:paraId="00B6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73" w:type="pct"/>
            <w:shd w:val="clear" w:color="auto" w:fill="auto"/>
            <w:vAlign w:val="center"/>
          </w:tcPr>
          <w:p w14:paraId="64EF8407">
            <w:pPr>
              <w:widowControl/>
              <w:jc w:val="center"/>
              <w:rPr>
                <w:rFonts w:hint="eastAsia" w:ascii="宋体" w:hAnsi="宋体" w:cs="宋体"/>
                <w:color w:val="auto"/>
                <w:kern w:val="0"/>
                <w:szCs w:val="21"/>
              </w:rPr>
            </w:pPr>
            <w:r>
              <w:rPr>
                <w:rFonts w:ascii="宋体" w:hAnsi="宋体" w:cs="宋体"/>
                <w:color w:val="auto"/>
                <w:kern w:val="0"/>
                <w:szCs w:val="21"/>
              </w:rPr>
              <w:t>9</w:t>
            </w:r>
          </w:p>
        </w:tc>
        <w:tc>
          <w:tcPr>
            <w:tcW w:w="1121" w:type="pct"/>
            <w:shd w:val="clear" w:color="auto" w:fill="auto"/>
            <w:vAlign w:val="center"/>
          </w:tcPr>
          <w:p w14:paraId="7E2138E3">
            <w:pPr>
              <w:widowControl/>
              <w:rPr>
                <w:rFonts w:hint="eastAsia" w:ascii="宋体" w:hAnsi="宋体" w:cs="宋体"/>
                <w:color w:val="auto"/>
                <w:kern w:val="0"/>
                <w:szCs w:val="21"/>
              </w:rPr>
            </w:pPr>
            <w:r>
              <w:rPr>
                <w:rFonts w:hint="eastAsia" w:ascii="宋体" w:hAnsi="宋体" w:cs="宋体"/>
                <w:color w:val="auto"/>
                <w:kern w:val="0"/>
                <w:szCs w:val="21"/>
              </w:rPr>
              <w:t>施工临时用电不规范。</w:t>
            </w:r>
          </w:p>
        </w:tc>
        <w:tc>
          <w:tcPr>
            <w:tcW w:w="407" w:type="pct"/>
            <w:shd w:val="clear" w:color="auto" w:fill="auto"/>
            <w:noWrap/>
            <w:vAlign w:val="center"/>
          </w:tcPr>
          <w:p w14:paraId="4E54BBE3">
            <w:pPr>
              <w:widowControl/>
              <w:jc w:val="center"/>
              <w:rPr>
                <w:rFonts w:hint="eastAsia" w:ascii="宋体" w:hAnsi="宋体" w:cs="宋体"/>
                <w:color w:val="auto"/>
                <w:kern w:val="0"/>
                <w:szCs w:val="21"/>
              </w:rPr>
            </w:pPr>
            <w:r>
              <w:rPr>
                <w:rFonts w:ascii="宋体" w:hAnsi="宋体" w:cs="宋体"/>
                <w:color w:val="auto"/>
                <w:kern w:val="0"/>
                <w:szCs w:val="21"/>
              </w:rPr>
              <w:t>0.5</w:t>
            </w:r>
          </w:p>
        </w:tc>
        <w:tc>
          <w:tcPr>
            <w:tcW w:w="3199" w:type="pct"/>
            <w:shd w:val="clear" w:color="auto" w:fill="auto"/>
            <w:vAlign w:val="center"/>
          </w:tcPr>
          <w:p w14:paraId="65A0FDC1">
            <w:pPr>
              <w:widowControl/>
              <w:jc w:val="left"/>
              <w:rPr>
                <w:rFonts w:hint="eastAsia" w:ascii="宋体" w:hAnsi="宋体" w:cs="宋体"/>
                <w:color w:val="auto"/>
                <w:kern w:val="0"/>
                <w:szCs w:val="21"/>
              </w:rPr>
            </w:pPr>
            <w:r>
              <w:rPr>
                <w:rFonts w:hint="eastAsia" w:ascii="宋体" w:hAnsi="宋体" w:cs="宋体"/>
                <w:color w:val="auto"/>
                <w:kern w:val="0"/>
                <w:szCs w:val="21"/>
              </w:rPr>
              <w:t>出现以下任一不良行为扣</w:t>
            </w:r>
            <w:r>
              <w:rPr>
                <w:rFonts w:ascii="宋体" w:hAnsi="宋体" w:cs="宋体"/>
                <w:color w:val="auto"/>
                <w:kern w:val="0"/>
                <w:szCs w:val="21"/>
              </w:rPr>
              <w:t>0.2分，累计扣至0.5分为止：</w:t>
            </w:r>
          </w:p>
          <w:p w14:paraId="252E8BB2">
            <w:pPr>
              <w:widowControl/>
              <w:jc w:val="left"/>
              <w:rPr>
                <w:rFonts w:hint="eastAsia" w:ascii="宋体" w:hAnsi="宋体" w:cs="宋体"/>
                <w:color w:val="auto"/>
                <w:kern w:val="0"/>
                <w:szCs w:val="21"/>
              </w:rPr>
            </w:pPr>
            <w:r>
              <w:rPr>
                <w:rFonts w:hint="eastAsia" w:ascii="宋体" w:hAnsi="宋体" w:cs="宋体"/>
                <w:color w:val="auto"/>
                <w:kern w:val="0"/>
                <w:szCs w:val="21"/>
              </w:rPr>
              <w:t>①施工现场专用的电源中性点直接接地的低压配电</w:t>
            </w:r>
            <w:r>
              <w:rPr>
                <w:rFonts w:ascii="宋体" w:hAnsi="宋体" w:cs="宋体"/>
                <w:color w:val="auto"/>
                <w:kern w:val="0"/>
                <w:szCs w:val="21"/>
              </w:rPr>
              <w:t>系统未采用TNS接零保护系统；</w:t>
            </w:r>
          </w:p>
          <w:p w14:paraId="574BB385">
            <w:pPr>
              <w:widowControl/>
              <w:jc w:val="left"/>
              <w:rPr>
                <w:rFonts w:hint="eastAsia" w:ascii="宋体" w:hAnsi="宋体" w:cs="宋体"/>
                <w:color w:val="auto"/>
                <w:kern w:val="0"/>
                <w:szCs w:val="21"/>
              </w:rPr>
            </w:pPr>
            <w:r>
              <w:rPr>
                <w:rFonts w:hint="eastAsia" w:ascii="宋体" w:hAnsi="宋体" w:cs="宋体"/>
                <w:color w:val="auto"/>
                <w:kern w:val="0"/>
                <w:szCs w:val="21"/>
              </w:rPr>
              <w:t>②电源箱设置不符合“一机、一闸、一保护”要求；</w:t>
            </w:r>
          </w:p>
          <w:p w14:paraId="07FF10FC">
            <w:pPr>
              <w:widowControl/>
              <w:jc w:val="left"/>
              <w:rPr>
                <w:rFonts w:hint="eastAsia" w:ascii="宋体" w:hAnsi="宋体" w:cs="宋体"/>
                <w:color w:val="auto"/>
                <w:kern w:val="0"/>
                <w:szCs w:val="21"/>
              </w:rPr>
            </w:pPr>
            <w:r>
              <w:rPr>
                <w:rFonts w:hint="eastAsia" w:ascii="宋体" w:hAnsi="宋体" w:cs="宋体"/>
                <w:color w:val="auto"/>
                <w:kern w:val="0"/>
                <w:szCs w:val="21"/>
              </w:rPr>
              <w:t>③漏电保护器的选用与供电方式、作业环境不一致、不匹配；</w:t>
            </w:r>
          </w:p>
          <w:p w14:paraId="606E3536">
            <w:pPr>
              <w:widowControl/>
              <w:jc w:val="left"/>
              <w:rPr>
                <w:rFonts w:hint="eastAsia" w:ascii="宋体" w:hAnsi="宋体" w:cs="宋体"/>
                <w:color w:val="auto"/>
                <w:kern w:val="0"/>
                <w:szCs w:val="21"/>
              </w:rPr>
            </w:pPr>
            <w:r>
              <w:rPr>
                <w:rFonts w:hint="eastAsia" w:ascii="宋体" w:hAnsi="宋体" w:cs="宋体"/>
                <w:color w:val="auto"/>
                <w:kern w:val="0"/>
                <w:szCs w:val="21"/>
              </w:rPr>
              <w:t>④未使用插头而直接用导线插入插座，或挂在刀闸上供电；</w:t>
            </w:r>
          </w:p>
          <w:p w14:paraId="15FF889C">
            <w:pPr>
              <w:widowControl/>
              <w:jc w:val="left"/>
              <w:rPr>
                <w:rFonts w:hint="eastAsia" w:ascii="宋体" w:hAnsi="宋体" w:cs="宋体"/>
                <w:color w:val="auto"/>
                <w:kern w:val="0"/>
                <w:szCs w:val="21"/>
              </w:rPr>
            </w:pPr>
            <w:r>
              <w:rPr>
                <w:rFonts w:hint="eastAsia" w:ascii="宋体" w:hAnsi="宋体" w:cs="宋体"/>
                <w:color w:val="auto"/>
                <w:kern w:val="0"/>
                <w:szCs w:val="21"/>
              </w:rPr>
              <w:t>⑤电源箱和用电机具未接地或接地不规范；</w:t>
            </w:r>
          </w:p>
          <w:p w14:paraId="3FB9106D">
            <w:pPr>
              <w:widowControl/>
              <w:jc w:val="left"/>
              <w:rPr>
                <w:rFonts w:hint="eastAsia" w:ascii="宋体" w:hAnsi="宋体" w:cs="宋体"/>
                <w:color w:val="auto"/>
                <w:kern w:val="0"/>
                <w:szCs w:val="21"/>
              </w:rPr>
            </w:pPr>
            <w:r>
              <w:rPr>
                <w:rFonts w:hint="eastAsia" w:ascii="宋体" w:hAnsi="宋体" w:cs="宋体"/>
                <w:color w:val="auto"/>
                <w:kern w:val="0"/>
                <w:szCs w:val="21"/>
              </w:rPr>
              <w:t>⑥电源线的截面、绝缘、架设（敷设）、接线、刀闸安装等不满足规范要求。</w:t>
            </w:r>
          </w:p>
        </w:tc>
      </w:tr>
      <w:tr w14:paraId="1F8C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73" w:type="pct"/>
            <w:shd w:val="clear" w:color="auto" w:fill="auto"/>
            <w:vAlign w:val="center"/>
          </w:tcPr>
          <w:p w14:paraId="5463410D">
            <w:pPr>
              <w:widowControl/>
              <w:jc w:val="center"/>
              <w:rPr>
                <w:rFonts w:hint="eastAsia" w:ascii="宋体" w:hAnsi="宋体" w:cs="宋体"/>
                <w:color w:val="auto"/>
                <w:kern w:val="0"/>
                <w:szCs w:val="21"/>
              </w:rPr>
            </w:pPr>
            <w:r>
              <w:rPr>
                <w:rFonts w:ascii="宋体" w:hAnsi="宋体" w:cs="宋体"/>
                <w:color w:val="auto"/>
                <w:kern w:val="0"/>
                <w:szCs w:val="21"/>
              </w:rPr>
              <w:t>10</w:t>
            </w:r>
          </w:p>
        </w:tc>
        <w:tc>
          <w:tcPr>
            <w:tcW w:w="1121" w:type="pct"/>
            <w:shd w:val="clear" w:color="auto" w:fill="auto"/>
            <w:vAlign w:val="center"/>
          </w:tcPr>
          <w:p w14:paraId="298E24E7">
            <w:pPr>
              <w:widowControl/>
              <w:rPr>
                <w:rFonts w:hint="eastAsia" w:ascii="宋体" w:hAnsi="宋体" w:cs="宋体"/>
                <w:color w:val="auto"/>
                <w:kern w:val="0"/>
                <w:szCs w:val="21"/>
              </w:rPr>
            </w:pPr>
            <w:r>
              <w:rPr>
                <w:rFonts w:hint="eastAsia" w:ascii="宋体" w:hAnsi="宋体" w:cs="宋体"/>
                <w:color w:val="auto"/>
                <w:kern w:val="0"/>
                <w:szCs w:val="21"/>
              </w:rPr>
              <w:t>动火作业不规范。</w:t>
            </w:r>
          </w:p>
        </w:tc>
        <w:tc>
          <w:tcPr>
            <w:tcW w:w="407" w:type="pct"/>
            <w:shd w:val="clear" w:color="auto" w:fill="auto"/>
            <w:noWrap/>
            <w:vAlign w:val="center"/>
          </w:tcPr>
          <w:p w14:paraId="226B2BDB">
            <w:pPr>
              <w:widowControl/>
              <w:jc w:val="center"/>
              <w:rPr>
                <w:rFonts w:hint="eastAsia" w:ascii="宋体" w:hAnsi="宋体" w:cs="宋体"/>
                <w:color w:val="auto"/>
                <w:kern w:val="0"/>
                <w:szCs w:val="21"/>
              </w:rPr>
            </w:pPr>
            <w:r>
              <w:rPr>
                <w:rFonts w:ascii="宋体" w:hAnsi="宋体" w:cs="宋体"/>
                <w:color w:val="auto"/>
                <w:kern w:val="0"/>
                <w:szCs w:val="21"/>
              </w:rPr>
              <w:t>0.5</w:t>
            </w:r>
          </w:p>
        </w:tc>
        <w:tc>
          <w:tcPr>
            <w:tcW w:w="3199" w:type="pct"/>
            <w:shd w:val="clear" w:color="auto" w:fill="auto"/>
            <w:vAlign w:val="center"/>
          </w:tcPr>
          <w:p w14:paraId="04AD8897">
            <w:pPr>
              <w:widowControl/>
              <w:jc w:val="left"/>
              <w:rPr>
                <w:rFonts w:hint="eastAsia" w:ascii="宋体" w:hAnsi="宋体" w:cs="宋体"/>
                <w:color w:val="auto"/>
                <w:kern w:val="0"/>
                <w:szCs w:val="21"/>
              </w:rPr>
            </w:pPr>
            <w:r>
              <w:rPr>
                <w:rFonts w:hint="eastAsia" w:ascii="宋体" w:hAnsi="宋体" w:cs="宋体"/>
                <w:color w:val="auto"/>
                <w:kern w:val="0"/>
                <w:szCs w:val="21"/>
              </w:rPr>
              <w:t>出现以下任一不良行为扣</w:t>
            </w:r>
            <w:r>
              <w:rPr>
                <w:rFonts w:ascii="宋体" w:hAnsi="宋体" w:cs="宋体"/>
                <w:color w:val="auto"/>
                <w:kern w:val="0"/>
                <w:szCs w:val="21"/>
              </w:rPr>
              <w:t>0.2分，累计扣至0.5分为止：</w:t>
            </w:r>
          </w:p>
          <w:p w14:paraId="13DEE340">
            <w:pPr>
              <w:widowControl/>
              <w:jc w:val="left"/>
              <w:rPr>
                <w:rFonts w:hint="eastAsia" w:ascii="宋体" w:hAnsi="宋体" w:cs="宋体"/>
                <w:color w:val="auto"/>
                <w:kern w:val="0"/>
                <w:szCs w:val="21"/>
              </w:rPr>
            </w:pPr>
            <w:r>
              <w:rPr>
                <w:rFonts w:hint="eastAsia" w:ascii="宋体" w:hAnsi="宋体" w:cs="宋体"/>
                <w:color w:val="auto"/>
                <w:kern w:val="0"/>
                <w:szCs w:val="21"/>
              </w:rPr>
              <w:t>①动火作业人员未持证上岗，未经培训；</w:t>
            </w:r>
          </w:p>
          <w:p w14:paraId="3D5E070B">
            <w:pPr>
              <w:widowControl/>
              <w:jc w:val="left"/>
              <w:rPr>
                <w:rFonts w:hint="eastAsia" w:ascii="宋体" w:hAnsi="宋体" w:cs="宋体"/>
                <w:color w:val="auto"/>
                <w:kern w:val="0"/>
                <w:szCs w:val="21"/>
              </w:rPr>
            </w:pPr>
            <w:r>
              <w:rPr>
                <w:rFonts w:hint="eastAsia" w:ascii="宋体" w:hAnsi="宋体" w:cs="宋体"/>
                <w:color w:val="auto"/>
                <w:kern w:val="0"/>
                <w:szCs w:val="21"/>
              </w:rPr>
              <w:t>②未按规定办理动火审批手续，重大活动期间未执行动火作业审批</w:t>
            </w:r>
            <w:r>
              <w:rPr>
                <w:rFonts w:ascii="宋体" w:hAnsi="宋体" w:cs="宋体"/>
                <w:color w:val="auto"/>
                <w:kern w:val="0"/>
                <w:szCs w:val="21"/>
              </w:rPr>
              <w:t>上提一级管理；</w:t>
            </w:r>
          </w:p>
          <w:p w14:paraId="69208B7F">
            <w:pPr>
              <w:widowControl/>
              <w:jc w:val="left"/>
              <w:rPr>
                <w:rFonts w:hint="eastAsia" w:ascii="宋体" w:hAnsi="宋体" w:cs="宋体"/>
                <w:color w:val="auto"/>
                <w:kern w:val="0"/>
                <w:szCs w:val="21"/>
              </w:rPr>
            </w:pPr>
            <w:r>
              <w:rPr>
                <w:rFonts w:hint="eastAsia" w:ascii="宋体" w:hAnsi="宋体" w:cs="宋体"/>
                <w:color w:val="auto"/>
                <w:kern w:val="0"/>
                <w:szCs w:val="21"/>
              </w:rPr>
              <w:t>③未严格落实动火作业“三个一律”，动火前未清理可燃物、未按规定进行可燃气体检测，现场存在交叉作业；</w:t>
            </w:r>
          </w:p>
          <w:p w14:paraId="3CFFA110">
            <w:pPr>
              <w:widowControl/>
              <w:jc w:val="left"/>
              <w:rPr>
                <w:rFonts w:hint="eastAsia" w:ascii="宋体" w:hAnsi="宋体" w:cs="宋体"/>
                <w:color w:val="auto"/>
                <w:kern w:val="0"/>
                <w:szCs w:val="21"/>
              </w:rPr>
            </w:pPr>
            <w:r>
              <w:rPr>
                <w:rFonts w:hint="eastAsia" w:ascii="宋体" w:hAnsi="宋体" w:cs="宋体"/>
                <w:color w:val="auto"/>
                <w:kern w:val="0"/>
                <w:szCs w:val="21"/>
              </w:rPr>
              <w:t>④动火作业时监护人未在现场监督；</w:t>
            </w:r>
          </w:p>
          <w:p w14:paraId="4F095CCF">
            <w:pPr>
              <w:widowControl/>
              <w:jc w:val="left"/>
              <w:rPr>
                <w:rFonts w:hint="eastAsia" w:ascii="宋体" w:hAnsi="宋体" w:cs="宋体"/>
                <w:color w:val="auto"/>
                <w:kern w:val="0"/>
                <w:szCs w:val="21"/>
              </w:rPr>
            </w:pPr>
            <w:r>
              <w:rPr>
                <w:rFonts w:hint="eastAsia" w:ascii="宋体" w:hAnsi="宋体" w:cs="宋体"/>
                <w:color w:val="auto"/>
                <w:kern w:val="0"/>
                <w:szCs w:val="21"/>
              </w:rPr>
              <w:t>⑤动火作业现场防火措施不到位，未有效设置灭火器、接火斗、阻燃挡板等；</w:t>
            </w:r>
          </w:p>
          <w:p w14:paraId="796E5D4F">
            <w:pPr>
              <w:widowControl/>
              <w:jc w:val="left"/>
              <w:rPr>
                <w:rFonts w:hint="eastAsia" w:ascii="宋体" w:hAnsi="宋体" w:cs="宋体"/>
                <w:color w:val="auto"/>
                <w:kern w:val="0"/>
                <w:szCs w:val="21"/>
              </w:rPr>
            </w:pPr>
            <w:r>
              <w:rPr>
                <w:rFonts w:hint="eastAsia" w:ascii="宋体" w:hAnsi="宋体" w:cs="宋体"/>
                <w:color w:val="auto"/>
                <w:kern w:val="0"/>
                <w:szCs w:val="21"/>
              </w:rPr>
              <w:t>⑥氧气、乙炔瓶间距不足</w:t>
            </w:r>
            <w:r>
              <w:rPr>
                <w:rFonts w:ascii="宋体" w:hAnsi="宋体" w:cs="宋体"/>
                <w:color w:val="auto"/>
                <w:kern w:val="0"/>
                <w:szCs w:val="21"/>
              </w:rPr>
              <w:t>5米，距离动火作业点不足10米。</w:t>
            </w:r>
          </w:p>
        </w:tc>
      </w:tr>
      <w:tr w14:paraId="70B0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73" w:type="pct"/>
            <w:shd w:val="clear" w:color="auto" w:fill="auto"/>
            <w:vAlign w:val="center"/>
          </w:tcPr>
          <w:p w14:paraId="153A6E5A">
            <w:pPr>
              <w:widowControl/>
              <w:jc w:val="center"/>
              <w:rPr>
                <w:rFonts w:hint="eastAsia" w:ascii="宋体" w:hAnsi="宋体" w:cs="宋体"/>
                <w:color w:val="auto"/>
                <w:kern w:val="0"/>
                <w:szCs w:val="21"/>
              </w:rPr>
            </w:pPr>
            <w:r>
              <w:rPr>
                <w:rFonts w:ascii="宋体" w:hAnsi="宋体" w:cs="宋体"/>
                <w:color w:val="auto"/>
                <w:kern w:val="0"/>
                <w:szCs w:val="21"/>
              </w:rPr>
              <w:t>11</w:t>
            </w:r>
          </w:p>
        </w:tc>
        <w:tc>
          <w:tcPr>
            <w:tcW w:w="1121" w:type="pct"/>
            <w:shd w:val="clear" w:color="auto" w:fill="auto"/>
            <w:vAlign w:val="center"/>
          </w:tcPr>
          <w:p w14:paraId="6BCD749F">
            <w:pPr>
              <w:widowControl/>
              <w:rPr>
                <w:rFonts w:hint="eastAsia" w:ascii="宋体" w:hAnsi="宋体" w:cs="宋体"/>
                <w:color w:val="auto"/>
                <w:kern w:val="0"/>
                <w:szCs w:val="21"/>
              </w:rPr>
            </w:pPr>
            <w:r>
              <w:rPr>
                <w:rFonts w:hint="eastAsia" w:ascii="宋体" w:hAnsi="宋体" w:cs="宋体"/>
                <w:color w:val="auto"/>
                <w:kern w:val="0"/>
                <w:szCs w:val="21"/>
              </w:rPr>
              <w:t>有限空间作业不规范。</w:t>
            </w:r>
          </w:p>
        </w:tc>
        <w:tc>
          <w:tcPr>
            <w:tcW w:w="407" w:type="pct"/>
            <w:shd w:val="clear" w:color="auto" w:fill="auto"/>
            <w:noWrap/>
            <w:vAlign w:val="center"/>
          </w:tcPr>
          <w:p w14:paraId="2A6AE4AA">
            <w:pPr>
              <w:widowControl/>
              <w:jc w:val="center"/>
              <w:rPr>
                <w:rFonts w:hint="eastAsia" w:ascii="宋体" w:hAnsi="宋体" w:cs="宋体"/>
                <w:color w:val="auto"/>
                <w:kern w:val="0"/>
                <w:szCs w:val="21"/>
              </w:rPr>
            </w:pPr>
            <w:r>
              <w:rPr>
                <w:rFonts w:ascii="宋体" w:hAnsi="宋体" w:cs="宋体"/>
                <w:color w:val="auto"/>
                <w:kern w:val="0"/>
                <w:szCs w:val="21"/>
              </w:rPr>
              <w:t>0.5</w:t>
            </w:r>
          </w:p>
        </w:tc>
        <w:tc>
          <w:tcPr>
            <w:tcW w:w="3199" w:type="pct"/>
            <w:shd w:val="clear" w:color="auto" w:fill="auto"/>
            <w:vAlign w:val="center"/>
          </w:tcPr>
          <w:p w14:paraId="6DEB7E46">
            <w:pPr>
              <w:widowControl/>
              <w:jc w:val="left"/>
              <w:rPr>
                <w:rFonts w:hint="eastAsia" w:ascii="宋体" w:hAnsi="宋体" w:cs="宋体"/>
                <w:color w:val="auto"/>
                <w:kern w:val="0"/>
                <w:szCs w:val="21"/>
              </w:rPr>
            </w:pPr>
            <w:r>
              <w:rPr>
                <w:rFonts w:hint="eastAsia" w:ascii="宋体" w:hAnsi="宋体" w:cs="宋体"/>
                <w:color w:val="auto"/>
                <w:kern w:val="0"/>
                <w:szCs w:val="21"/>
              </w:rPr>
              <w:t>出现以下任一不良行为扣</w:t>
            </w:r>
            <w:r>
              <w:rPr>
                <w:rFonts w:ascii="宋体" w:hAnsi="宋体" w:cs="宋体"/>
                <w:color w:val="auto"/>
                <w:kern w:val="0"/>
                <w:szCs w:val="21"/>
              </w:rPr>
              <w:t>0.2分，累计扣至0.5分为止：</w:t>
            </w:r>
          </w:p>
          <w:p w14:paraId="5C02FBC4">
            <w:pPr>
              <w:widowControl/>
              <w:jc w:val="left"/>
              <w:rPr>
                <w:rFonts w:hint="eastAsia" w:ascii="宋体" w:hAnsi="宋体" w:cs="宋体"/>
                <w:color w:val="auto"/>
                <w:kern w:val="0"/>
                <w:szCs w:val="21"/>
              </w:rPr>
            </w:pPr>
            <w:r>
              <w:rPr>
                <w:rFonts w:hint="eastAsia" w:ascii="宋体" w:hAnsi="宋体" w:cs="宋体"/>
                <w:color w:val="auto"/>
                <w:kern w:val="0"/>
                <w:szCs w:val="21"/>
              </w:rPr>
              <w:t>①未经风险辨识；</w:t>
            </w:r>
          </w:p>
          <w:p w14:paraId="398838C6">
            <w:pPr>
              <w:widowControl/>
              <w:jc w:val="left"/>
              <w:rPr>
                <w:rFonts w:hint="eastAsia" w:ascii="宋体" w:hAnsi="宋体" w:cs="宋体"/>
                <w:color w:val="auto"/>
                <w:kern w:val="0"/>
                <w:szCs w:val="21"/>
              </w:rPr>
            </w:pPr>
            <w:r>
              <w:rPr>
                <w:rFonts w:hint="eastAsia" w:ascii="宋体" w:hAnsi="宋体" w:cs="宋体"/>
                <w:color w:val="auto"/>
                <w:kern w:val="0"/>
                <w:szCs w:val="21"/>
              </w:rPr>
              <w:t>②未进行通风和气体检测；</w:t>
            </w:r>
          </w:p>
          <w:p w14:paraId="201EC3FE">
            <w:pPr>
              <w:widowControl/>
              <w:jc w:val="left"/>
              <w:rPr>
                <w:rFonts w:hint="eastAsia" w:ascii="宋体" w:hAnsi="宋体" w:cs="宋体"/>
                <w:color w:val="auto"/>
                <w:kern w:val="0"/>
                <w:szCs w:val="21"/>
              </w:rPr>
            </w:pPr>
            <w:r>
              <w:rPr>
                <w:rFonts w:hint="eastAsia" w:ascii="宋体" w:hAnsi="宋体" w:cs="宋体"/>
                <w:color w:val="auto"/>
                <w:kern w:val="0"/>
                <w:szCs w:val="21"/>
              </w:rPr>
              <w:t>③不佩戴劳动防护用品；</w:t>
            </w:r>
          </w:p>
          <w:p w14:paraId="4621D7F8">
            <w:pPr>
              <w:widowControl/>
              <w:jc w:val="left"/>
              <w:rPr>
                <w:rFonts w:hint="eastAsia" w:ascii="宋体" w:hAnsi="宋体" w:cs="宋体"/>
                <w:color w:val="auto"/>
                <w:kern w:val="0"/>
                <w:szCs w:val="21"/>
              </w:rPr>
            </w:pPr>
            <w:r>
              <w:rPr>
                <w:rFonts w:hint="eastAsia" w:ascii="宋体" w:hAnsi="宋体" w:cs="宋体"/>
                <w:color w:val="auto"/>
                <w:kern w:val="0"/>
                <w:szCs w:val="21"/>
              </w:rPr>
              <w:t>④作业现场无人监护；</w:t>
            </w:r>
          </w:p>
          <w:p w14:paraId="698D399F">
            <w:pPr>
              <w:widowControl/>
              <w:jc w:val="left"/>
              <w:rPr>
                <w:rFonts w:hint="eastAsia" w:ascii="宋体" w:hAnsi="宋体" w:cs="宋体"/>
                <w:color w:val="auto"/>
                <w:kern w:val="0"/>
                <w:szCs w:val="21"/>
              </w:rPr>
            </w:pPr>
            <w:r>
              <w:rPr>
                <w:rFonts w:hint="eastAsia" w:ascii="宋体" w:hAnsi="宋体" w:cs="宋体"/>
                <w:color w:val="auto"/>
                <w:kern w:val="0"/>
                <w:szCs w:val="21"/>
              </w:rPr>
              <w:t>⑤电气设备不符合规定；</w:t>
            </w:r>
          </w:p>
          <w:p w14:paraId="0A52AA95">
            <w:pPr>
              <w:widowControl/>
              <w:jc w:val="left"/>
              <w:rPr>
                <w:rFonts w:hint="eastAsia" w:ascii="宋体" w:hAnsi="宋体" w:cs="宋体"/>
                <w:color w:val="auto"/>
                <w:kern w:val="0"/>
                <w:szCs w:val="21"/>
              </w:rPr>
            </w:pPr>
            <w:r>
              <w:rPr>
                <w:rFonts w:hint="eastAsia" w:ascii="宋体" w:hAnsi="宋体" w:cs="宋体"/>
                <w:color w:val="auto"/>
                <w:kern w:val="0"/>
                <w:szCs w:val="21"/>
              </w:rPr>
              <w:t>⑥未按规定办理有限空间作业手续；</w:t>
            </w:r>
          </w:p>
          <w:p w14:paraId="052FF0C9">
            <w:pPr>
              <w:widowControl/>
              <w:jc w:val="left"/>
              <w:rPr>
                <w:rFonts w:hint="eastAsia" w:ascii="宋体" w:hAnsi="宋体" w:cs="宋体"/>
                <w:color w:val="auto"/>
                <w:kern w:val="0"/>
                <w:szCs w:val="21"/>
              </w:rPr>
            </w:pPr>
            <w:r>
              <w:rPr>
                <w:rFonts w:hint="eastAsia" w:ascii="宋体" w:hAnsi="宋体" w:cs="宋体"/>
                <w:color w:val="auto"/>
                <w:kern w:val="0"/>
                <w:szCs w:val="21"/>
              </w:rPr>
              <w:t>⑦未经培训演练。</w:t>
            </w:r>
          </w:p>
        </w:tc>
      </w:tr>
      <w:tr w14:paraId="0132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273" w:type="pct"/>
            <w:shd w:val="clear" w:color="auto" w:fill="auto"/>
            <w:vAlign w:val="center"/>
          </w:tcPr>
          <w:p w14:paraId="2D7F3E53">
            <w:pPr>
              <w:widowControl/>
              <w:jc w:val="center"/>
              <w:rPr>
                <w:rFonts w:hint="eastAsia" w:ascii="宋体" w:hAnsi="宋体" w:cs="宋体"/>
                <w:color w:val="auto"/>
                <w:kern w:val="0"/>
                <w:szCs w:val="21"/>
              </w:rPr>
            </w:pPr>
            <w:r>
              <w:rPr>
                <w:rFonts w:ascii="宋体" w:hAnsi="宋体" w:cs="宋体"/>
                <w:color w:val="auto"/>
                <w:kern w:val="0"/>
                <w:szCs w:val="21"/>
              </w:rPr>
              <w:t>12</w:t>
            </w:r>
          </w:p>
        </w:tc>
        <w:tc>
          <w:tcPr>
            <w:tcW w:w="1121" w:type="pct"/>
            <w:shd w:val="clear" w:color="000000" w:fill="FFFFFF"/>
            <w:vAlign w:val="center"/>
          </w:tcPr>
          <w:p w14:paraId="212FD30B">
            <w:pPr>
              <w:widowControl/>
              <w:rPr>
                <w:rFonts w:hint="eastAsia" w:ascii="宋体" w:hAnsi="宋体" w:cs="宋体"/>
                <w:color w:val="auto"/>
                <w:kern w:val="0"/>
                <w:szCs w:val="21"/>
              </w:rPr>
            </w:pPr>
            <w:r>
              <w:rPr>
                <w:rFonts w:hint="eastAsia" w:ascii="宋体" w:hAnsi="宋体" w:cs="宋体"/>
                <w:color w:val="auto"/>
                <w:kern w:val="0"/>
                <w:szCs w:val="21"/>
              </w:rPr>
              <w:t>“四口”、“五临边”未设置明显标识及防护措施；在车行道、人行道上施工，未根据属地区域规定选用围蔽装置，或未在来车方向设置警示牌；施工作业人员在夜间或道路、地下洞室作业时未穿着符合规范的反光衣；施工区域未按规定设置夜间警示装置。</w:t>
            </w:r>
          </w:p>
        </w:tc>
        <w:tc>
          <w:tcPr>
            <w:tcW w:w="407" w:type="pct"/>
            <w:shd w:val="clear" w:color="auto" w:fill="auto"/>
            <w:vAlign w:val="center"/>
          </w:tcPr>
          <w:p w14:paraId="039CE963">
            <w:pPr>
              <w:widowControl/>
              <w:jc w:val="center"/>
              <w:rPr>
                <w:rFonts w:hint="eastAsia" w:ascii="宋体" w:hAnsi="宋体" w:cs="宋体"/>
                <w:color w:val="auto"/>
                <w:kern w:val="0"/>
                <w:szCs w:val="21"/>
              </w:rPr>
            </w:pPr>
            <w:r>
              <w:rPr>
                <w:rFonts w:ascii="宋体" w:hAnsi="宋体" w:cs="宋体"/>
                <w:color w:val="auto"/>
                <w:kern w:val="0"/>
                <w:szCs w:val="21"/>
              </w:rPr>
              <w:t>0.2</w:t>
            </w:r>
          </w:p>
        </w:tc>
        <w:tc>
          <w:tcPr>
            <w:tcW w:w="3199" w:type="pct"/>
            <w:shd w:val="clear" w:color="auto" w:fill="auto"/>
            <w:vAlign w:val="center"/>
          </w:tcPr>
          <w:p w14:paraId="36CB750C">
            <w:pPr>
              <w:widowControl/>
              <w:jc w:val="left"/>
              <w:rPr>
                <w:rFonts w:hint="eastAsia" w:ascii="宋体" w:hAnsi="宋体" w:cs="宋体"/>
                <w:color w:val="auto"/>
                <w:kern w:val="0"/>
                <w:szCs w:val="21"/>
              </w:rPr>
            </w:pPr>
            <w:r>
              <w:rPr>
                <w:rFonts w:hint="eastAsia" w:ascii="宋体" w:hAnsi="宋体" w:cs="宋体"/>
                <w:color w:val="auto"/>
                <w:kern w:val="0"/>
                <w:szCs w:val="21"/>
              </w:rPr>
              <w:t>出现以下任一不良行为扣</w:t>
            </w:r>
            <w:r>
              <w:rPr>
                <w:rFonts w:ascii="宋体" w:hAnsi="宋体" w:cs="宋体"/>
                <w:color w:val="auto"/>
                <w:kern w:val="0"/>
                <w:szCs w:val="21"/>
              </w:rPr>
              <w:t>0.2分：</w:t>
            </w:r>
          </w:p>
          <w:p w14:paraId="1F3CEFD2">
            <w:pPr>
              <w:widowControl/>
              <w:jc w:val="left"/>
              <w:rPr>
                <w:rFonts w:hint="eastAsia" w:ascii="宋体" w:hAnsi="宋体" w:cs="宋体"/>
                <w:color w:val="auto"/>
                <w:kern w:val="0"/>
                <w:szCs w:val="21"/>
              </w:rPr>
            </w:pPr>
            <w:r>
              <w:rPr>
                <w:rFonts w:hint="eastAsia" w:ascii="宋体" w:hAnsi="宋体" w:cs="宋体"/>
                <w:color w:val="auto"/>
                <w:kern w:val="0"/>
                <w:szCs w:val="21"/>
              </w:rPr>
              <w:t>①“四口”、“五临边”未设置可靠防护安全围栏、盖板，未设置明显的标示牌、警示牌；</w:t>
            </w:r>
          </w:p>
          <w:p w14:paraId="5F3328BA">
            <w:pPr>
              <w:widowControl/>
              <w:jc w:val="left"/>
              <w:rPr>
                <w:rFonts w:hint="eastAsia" w:ascii="宋体" w:hAnsi="宋体" w:cs="宋体"/>
                <w:color w:val="auto"/>
                <w:kern w:val="0"/>
                <w:szCs w:val="21"/>
              </w:rPr>
            </w:pPr>
            <w:r>
              <w:rPr>
                <w:rFonts w:hint="eastAsia" w:ascii="宋体" w:hAnsi="宋体" w:cs="宋体"/>
                <w:color w:val="auto"/>
                <w:kern w:val="0"/>
                <w:szCs w:val="21"/>
              </w:rPr>
              <w:t>②</w:t>
            </w:r>
            <w:r>
              <w:rPr>
                <w:rFonts w:ascii="宋体" w:hAnsi="宋体" w:cs="宋体"/>
                <w:color w:val="auto"/>
                <w:kern w:val="0"/>
                <w:szCs w:val="21"/>
              </w:rPr>
              <w:t>在车行道、人行道上施工，未根据属地区域规定选用围蔽装</w:t>
            </w:r>
            <w:r>
              <w:rPr>
                <w:rFonts w:hint="eastAsia" w:ascii="宋体" w:hAnsi="宋体" w:cs="宋体"/>
                <w:color w:val="auto"/>
                <w:kern w:val="0"/>
                <w:szCs w:val="21"/>
              </w:rPr>
              <w:t>置，或未在来车方向设置警示牌；</w:t>
            </w:r>
          </w:p>
          <w:p w14:paraId="0EDC3879">
            <w:pPr>
              <w:widowControl/>
              <w:jc w:val="left"/>
              <w:rPr>
                <w:rFonts w:hint="eastAsia" w:ascii="宋体" w:hAnsi="宋体" w:cs="宋体"/>
                <w:color w:val="auto"/>
                <w:kern w:val="0"/>
                <w:szCs w:val="21"/>
              </w:rPr>
            </w:pPr>
            <w:r>
              <w:rPr>
                <w:rFonts w:hint="eastAsia" w:ascii="宋体" w:hAnsi="宋体" w:cs="宋体"/>
                <w:color w:val="auto"/>
                <w:kern w:val="0"/>
                <w:szCs w:val="21"/>
              </w:rPr>
              <w:t>③施工作业人员在夜间作业或道路、地下洞室作业时未穿着符合规范的反光衣；</w:t>
            </w:r>
          </w:p>
          <w:p w14:paraId="09A5B311">
            <w:pPr>
              <w:widowControl/>
              <w:jc w:val="left"/>
              <w:rPr>
                <w:rFonts w:hint="eastAsia" w:ascii="宋体" w:hAnsi="宋体" w:cs="宋体"/>
                <w:color w:val="auto"/>
                <w:kern w:val="0"/>
                <w:szCs w:val="21"/>
              </w:rPr>
            </w:pPr>
            <w:r>
              <w:rPr>
                <w:rFonts w:hint="eastAsia" w:ascii="宋体" w:hAnsi="宋体" w:cs="宋体"/>
                <w:color w:val="auto"/>
                <w:kern w:val="0"/>
                <w:szCs w:val="21"/>
              </w:rPr>
              <w:t>④施工区域未按规定设置夜间警示装置。</w:t>
            </w:r>
          </w:p>
        </w:tc>
      </w:tr>
      <w:tr w14:paraId="1B38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73" w:type="pct"/>
            <w:shd w:val="clear" w:color="auto" w:fill="auto"/>
            <w:vAlign w:val="center"/>
          </w:tcPr>
          <w:p w14:paraId="27AE56A0">
            <w:pPr>
              <w:widowControl/>
              <w:jc w:val="center"/>
              <w:rPr>
                <w:rFonts w:hint="eastAsia" w:ascii="宋体" w:hAnsi="宋体" w:cs="宋体"/>
                <w:color w:val="auto"/>
                <w:kern w:val="0"/>
                <w:szCs w:val="21"/>
              </w:rPr>
            </w:pPr>
            <w:r>
              <w:rPr>
                <w:rFonts w:ascii="宋体" w:hAnsi="宋体" w:cs="宋体"/>
                <w:color w:val="auto"/>
                <w:kern w:val="0"/>
                <w:szCs w:val="21"/>
              </w:rPr>
              <w:t>13</w:t>
            </w:r>
          </w:p>
        </w:tc>
        <w:tc>
          <w:tcPr>
            <w:tcW w:w="1121" w:type="pct"/>
            <w:shd w:val="clear" w:color="000000" w:fill="FFFFFF"/>
            <w:vAlign w:val="center"/>
          </w:tcPr>
          <w:p w14:paraId="593D3838">
            <w:pPr>
              <w:widowControl/>
              <w:rPr>
                <w:rFonts w:hint="eastAsia" w:ascii="宋体" w:hAnsi="宋体" w:cs="宋体"/>
                <w:color w:val="auto"/>
                <w:kern w:val="0"/>
                <w:szCs w:val="21"/>
              </w:rPr>
            </w:pPr>
            <w:r>
              <w:rPr>
                <w:rFonts w:hint="eastAsia" w:ascii="宋体" w:hAnsi="宋体" w:cs="宋体"/>
                <w:color w:val="auto"/>
                <w:kern w:val="0"/>
                <w:szCs w:val="21"/>
              </w:rPr>
              <w:t>隧洞通风、排水、爆破、通讯、施工支护、超前地质预报等不符合要求的。</w:t>
            </w:r>
          </w:p>
        </w:tc>
        <w:tc>
          <w:tcPr>
            <w:tcW w:w="407" w:type="pct"/>
            <w:shd w:val="clear" w:color="auto" w:fill="auto"/>
            <w:vAlign w:val="center"/>
          </w:tcPr>
          <w:p w14:paraId="1F66D8EC">
            <w:pPr>
              <w:widowControl/>
              <w:jc w:val="center"/>
              <w:rPr>
                <w:rFonts w:hint="eastAsia" w:ascii="宋体" w:hAnsi="宋体" w:cs="宋体"/>
                <w:color w:val="auto"/>
                <w:kern w:val="0"/>
                <w:szCs w:val="21"/>
              </w:rPr>
            </w:pPr>
            <w:r>
              <w:rPr>
                <w:rFonts w:ascii="宋体" w:hAnsi="宋体" w:cs="宋体"/>
                <w:color w:val="auto"/>
                <w:kern w:val="0"/>
                <w:szCs w:val="21"/>
              </w:rPr>
              <w:t>0.5</w:t>
            </w:r>
          </w:p>
        </w:tc>
        <w:tc>
          <w:tcPr>
            <w:tcW w:w="3199" w:type="pct"/>
            <w:shd w:val="clear" w:color="auto" w:fill="auto"/>
            <w:vAlign w:val="center"/>
          </w:tcPr>
          <w:p w14:paraId="7F7815B1">
            <w:pPr>
              <w:widowControl/>
              <w:jc w:val="left"/>
              <w:rPr>
                <w:rFonts w:hint="eastAsia" w:ascii="宋体" w:hAnsi="宋体" w:cs="宋体"/>
                <w:color w:val="auto"/>
                <w:kern w:val="0"/>
                <w:szCs w:val="21"/>
              </w:rPr>
            </w:pPr>
            <w:r>
              <w:rPr>
                <w:rFonts w:hint="eastAsia" w:ascii="宋体" w:hAnsi="宋体" w:cs="宋体"/>
                <w:color w:val="auto"/>
                <w:kern w:val="0"/>
                <w:szCs w:val="21"/>
              </w:rPr>
              <w:t>出现以下任一不良行为扣</w:t>
            </w:r>
            <w:r>
              <w:rPr>
                <w:rFonts w:ascii="宋体" w:hAnsi="宋体" w:cs="宋体"/>
                <w:color w:val="auto"/>
                <w:kern w:val="0"/>
                <w:szCs w:val="21"/>
              </w:rPr>
              <w:t>0.2分</w:t>
            </w:r>
            <w:r>
              <w:rPr>
                <w:rFonts w:hint="eastAsia" w:ascii="宋体" w:hAnsi="宋体" w:cs="宋体"/>
                <w:color w:val="auto"/>
                <w:kern w:val="0"/>
                <w:szCs w:val="21"/>
              </w:rPr>
              <w:t>，</w:t>
            </w:r>
            <w:r>
              <w:rPr>
                <w:rFonts w:ascii="宋体" w:hAnsi="宋体" w:cs="宋体"/>
                <w:color w:val="auto"/>
                <w:kern w:val="0"/>
                <w:szCs w:val="21"/>
              </w:rPr>
              <w:t>累计扣至0.5分为止：</w:t>
            </w:r>
          </w:p>
          <w:p w14:paraId="7A3AD5F0">
            <w:pPr>
              <w:widowControl/>
              <w:jc w:val="left"/>
              <w:rPr>
                <w:rFonts w:hint="eastAsia" w:ascii="宋体" w:hAnsi="宋体" w:cs="宋体"/>
                <w:color w:val="auto"/>
                <w:kern w:val="0"/>
                <w:szCs w:val="21"/>
              </w:rPr>
            </w:pPr>
            <w:r>
              <w:rPr>
                <w:rFonts w:hint="eastAsia" w:ascii="宋体" w:hAnsi="宋体" w:cs="宋体"/>
                <w:color w:val="auto"/>
                <w:kern w:val="0"/>
                <w:szCs w:val="21"/>
              </w:rPr>
              <w:t>①未编制隧洞工程专项施工方案；专项施工方案未按规定审核、审批；未按规定组织专家论证；</w:t>
            </w:r>
          </w:p>
          <w:p w14:paraId="7CCB1615">
            <w:pPr>
              <w:widowControl/>
              <w:jc w:val="left"/>
              <w:rPr>
                <w:rFonts w:hint="eastAsia" w:ascii="宋体" w:hAnsi="宋体" w:cs="宋体"/>
                <w:color w:val="auto"/>
                <w:kern w:val="0"/>
                <w:szCs w:val="21"/>
              </w:rPr>
            </w:pPr>
            <w:r>
              <w:rPr>
                <w:rFonts w:hint="eastAsia" w:ascii="宋体" w:hAnsi="宋体" w:cs="宋体"/>
                <w:color w:val="auto"/>
                <w:kern w:val="0"/>
                <w:szCs w:val="21"/>
              </w:rPr>
              <w:t>②未配备通风设施；未配备有毒有害气体检测设备；</w:t>
            </w:r>
          </w:p>
          <w:p w14:paraId="4B35828F">
            <w:pPr>
              <w:widowControl/>
              <w:jc w:val="left"/>
              <w:rPr>
                <w:rFonts w:hint="eastAsia" w:ascii="宋体" w:hAnsi="宋体" w:cs="宋体"/>
                <w:color w:val="auto"/>
                <w:kern w:val="0"/>
                <w:szCs w:val="21"/>
              </w:rPr>
            </w:pPr>
            <w:r>
              <w:rPr>
                <w:rFonts w:hint="eastAsia" w:ascii="宋体" w:hAnsi="宋体" w:cs="宋体"/>
                <w:color w:val="auto"/>
                <w:kern w:val="0"/>
                <w:szCs w:val="21"/>
              </w:rPr>
              <w:t>③未设置排水沟、泄水孔等排水措施，隧洞内抽水泵功率不满足排水需求；</w:t>
            </w:r>
          </w:p>
          <w:p w14:paraId="22C0745E">
            <w:pPr>
              <w:widowControl/>
              <w:jc w:val="left"/>
              <w:rPr>
                <w:rFonts w:hint="eastAsia" w:ascii="宋体" w:hAnsi="宋体" w:cs="宋体"/>
                <w:color w:val="auto"/>
                <w:kern w:val="0"/>
                <w:szCs w:val="21"/>
              </w:rPr>
            </w:pPr>
            <w:r>
              <w:rPr>
                <w:rFonts w:hint="eastAsia" w:ascii="宋体" w:hAnsi="宋体" w:cs="宋体"/>
                <w:color w:val="auto"/>
                <w:kern w:val="0"/>
                <w:szCs w:val="21"/>
              </w:rPr>
              <w:t>④洞内爆破作业未确定指挥人员、警戒人员、起爆人员，未进行统一指挥的；</w:t>
            </w:r>
          </w:p>
          <w:p w14:paraId="161DDC11">
            <w:pPr>
              <w:widowControl/>
              <w:jc w:val="left"/>
              <w:rPr>
                <w:rFonts w:hint="eastAsia" w:ascii="宋体" w:hAnsi="宋体" w:cs="宋体"/>
                <w:color w:val="auto"/>
                <w:kern w:val="0"/>
                <w:szCs w:val="21"/>
              </w:rPr>
            </w:pPr>
            <w:r>
              <w:rPr>
                <w:rFonts w:hint="eastAsia" w:ascii="宋体" w:hAnsi="宋体" w:cs="宋体"/>
                <w:color w:val="auto"/>
                <w:kern w:val="0"/>
                <w:szCs w:val="21"/>
              </w:rPr>
              <w:t>⑤未配备通讯设备的；</w:t>
            </w:r>
          </w:p>
          <w:p w14:paraId="357FE99F">
            <w:pPr>
              <w:widowControl/>
              <w:jc w:val="left"/>
              <w:rPr>
                <w:rFonts w:hint="eastAsia" w:ascii="宋体" w:hAnsi="宋体" w:cs="宋体"/>
                <w:color w:val="auto"/>
                <w:kern w:val="0"/>
                <w:szCs w:val="21"/>
              </w:rPr>
            </w:pPr>
            <w:r>
              <w:rPr>
                <w:rFonts w:hint="eastAsia" w:ascii="宋体" w:hAnsi="宋体" w:cs="宋体"/>
                <w:color w:val="auto"/>
                <w:kern w:val="0"/>
                <w:szCs w:val="21"/>
              </w:rPr>
              <w:t>⑥洞内爆破后通风排烟不足</w:t>
            </w:r>
            <w:r>
              <w:rPr>
                <w:rFonts w:ascii="宋体" w:hAnsi="宋体" w:cs="宋体"/>
                <w:color w:val="auto"/>
                <w:kern w:val="0"/>
                <w:szCs w:val="21"/>
              </w:rPr>
              <w:t xml:space="preserve"> 15 分钟，爆破后未进行检查的；</w:t>
            </w:r>
          </w:p>
          <w:p w14:paraId="7651C985">
            <w:pPr>
              <w:widowControl/>
              <w:jc w:val="left"/>
              <w:rPr>
                <w:rFonts w:hint="eastAsia" w:ascii="宋体" w:hAnsi="宋体" w:cs="宋体"/>
                <w:color w:val="auto"/>
                <w:kern w:val="0"/>
                <w:szCs w:val="21"/>
              </w:rPr>
            </w:pPr>
            <w:r>
              <w:rPr>
                <w:rFonts w:hint="eastAsia" w:ascii="宋体" w:hAnsi="宋体" w:cs="宋体"/>
                <w:color w:val="auto"/>
                <w:kern w:val="0"/>
                <w:szCs w:val="21"/>
              </w:rPr>
              <w:t>⑦</w:t>
            </w:r>
            <w:r>
              <w:rPr>
                <w:rFonts w:ascii="宋体" w:hAnsi="宋体" w:cs="宋体"/>
                <w:color w:val="auto"/>
                <w:kern w:val="0"/>
                <w:szCs w:val="21"/>
              </w:rPr>
              <w:t>隧洞支护作业程序不符合要求；支护方式不符合设计及规范要</w:t>
            </w:r>
            <w:r>
              <w:rPr>
                <w:rFonts w:hint="eastAsia" w:ascii="宋体" w:hAnsi="宋体" w:cs="宋体"/>
                <w:color w:val="auto"/>
                <w:kern w:val="0"/>
                <w:szCs w:val="21"/>
              </w:rPr>
              <w:t>求；</w:t>
            </w:r>
          </w:p>
          <w:p w14:paraId="7CCC0A59">
            <w:pPr>
              <w:widowControl/>
              <w:jc w:val="left"/>
              <w:rPr>
                <w:rFonts w:hint="eastAsia" w:ascii="宋体" w:hAnsi="宋体" w:cs="宋体"/>
                <w:color w:val="auto"/>
                <w:kern w:val="0"/>
                <w:szCs w:val="21"/>
              </w:rPr>
            </w:pPr>
            <w:r>
              <w:rPr>
                <w:rFonts w:hint="eastAsia" w:ascii="宋体" w:hAnsi="宋体" w:cs="宋体"/>
                <w:color w:val="auto"/>
                <w:kern w:val="0"/>
                <w:szCs w:val="21"/>
              </w:rPr>
              <w:t>⑧</w:t>
            </w:r>
            <w:r>
              <w:rPr>
                <w:rFonts w:ascii="宋体" w:hAnsi="宋体" w:cs="宋体"/>
                <w:color w:val="auto"/>
                <w:kern w:val="0"/>
                <w:szCs w:val="21"/>
              </w:rPr>
              <w:t>未按要求编制超前地质预报实施大纲；</w:t>
            </w:r>
          </w:p>
          <w:p w14:paraId="377DA076">
            <w:pPr>
              <w:widowControl/>
              <w:jc w:val="left"/>
              <w:rPr>
                <w:rFonts w:hint="eastAsia" w:ascii="宋体" w:hAnsi="宋体" w:cs="宋体"/>
                <w:color w:val="auto"/>
                <w:kern w:val="0"/>
                <w:szCs w:val="21"/>
              </w:rPr>
            </w:pPr>
            <w:r>
              <w:rPr>
                <w:rFonts w:hint="eastAsia" w:ascii="宋体" w:hAnsi="宋体" w:cs="宋体"/>
                <w:color w:val="auto"/>
                <w:kern w:val="0"/>
                <w:szCs w:val="21"/>
              </w:rPr>
              <w:t>⑨</w:t>
            </w:r>
            <w:r>
              <w:rPr>
                <w:rFonts w:ascii="宋体" w:hAnsi="宋体" w:cs="宋体"/>
                <w:color w:val="auto"/>
                <w:kern w:val="0"/>
                <w:szCs w:val="21"/>
              </w:rPr>
              <w:t>未严格执行开挖前超前地质预报措施；未将超前地质预报纳入</w:t>
            </w:r>
            <w:r>
              <w:rPr>
                <w:rFonts w:hint="eastAsia" w:ascii="宋体" w:hAnsi="宋体" w:cs="宋体"/>
                <w:color w:val="auto"/>
                <w:kern w:val="0"/>
                <w:szCs w:val="21"/>
              </w:rPr>
              <w:t>施工组织设计和工序管理。</w:t>
            </w:r>
          </w:p>
        </w:tc>
      </w:tr>
      <w:tr w14:paraId="6766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73" w:type="pct"/>
            <w:shd w:val="clear" w:color="auto" w:fill="auto"/>
            <w:vAlign w:val="center"/>
          </w:tcPr>
          <w:p w14:paraId="4E922DB2">
            <w:pPr>
              <w:widowControl/>
              <w:jc w:val="center"/>
              <w:rPr>
                <w:rFonts w:hint="eastAsia" w:ascii="宋体" w:hAnsi="宋体" w:cs="宋体"/>
                <w:color w:val="auto"/>
                <w:kern w:val="0"/>
                <w:szCs w:val="21"/>
              </w:rPr>
            </w:pPr>
            <w:r>
              <w:rPr>
                <w:rFonts w:ascii="宋体" w:hAnsi="宋体" w:cs="宋体"/>
                <w:color w:val="auto"/>
                <w:kern w:val="0"/>
                <w:szCs w:val="21"/>
              </w:rPr>
              <w:t>14</w:t>
            </w:r>
          </w:p>
        </w:tc>
        <w:tc>
          <w:tcPr>
            <w:tcW w:w="1121" w:type="pct"/>
            <w:shd w:val="clear" w:color="auto" w:fill="auto"/>
            <w:vAlign w:val="center"/>
          </w:tcPr>
          <w:p w14:paraId="485BE5AE">
            <w:pPr>
              <w:widowControl/>
              <w:jc w:val="left"/>
              <w:rPr>
                <w:rFonts w:hint="eastAsia" w:ascii="宋体" w:hAnsi="宋体" w:cs="宋体"/>
                <w:color w:val="auto"/>
                <w:kern w:val="0"/>
                <w:szCs w:val="21"/>
              </w:rPr>
            </w:pPr>
            <w:r>
              <w:rPr>
                <w:rFonts w:hint="eastAsia" w:ascii="宋体" w:hAnsi="宋体" w:cs="宋体"/>
                <w:color w:val="auto"/>
                <w:kern w:val="0"/>
                <w:szCs w:val="21"/>
              </w:rPr>
              <w:t>安全文明施工费用的提取和使用管理不规范。</w:t>
            </w:r>
          </w:p>
        </w:tc>
        <w:tc>
          <w:tcPr>
            <w:tcW w:w="407" w:type="pct"/>
            <w:shd w:val="clear" w:color="auto" w:fill="auto"/>
            <w:noWrap/>
            <w:vAlign w:val="center"/>
          </w:tcPr>
          <w:p w14:paraId="5475BB96">
            <w:pPr>
              <w:widowControl/>
              <w:jc w:val="center"/>
              <w:rPr>
                <w:rFonts w:hint="eastAsia" w:ascii="宋体" w:hAnsi="宋体" w:cs="宋体"/>
                <w:color w:val="auto"/>
                <w:kern w:val="0"/>
                <w:szCs w:val="21"/>
              </w:rPr>
            </w:pPr>
            <w:r>
              <w:rPr>
                <w:rFonts w:ascii="宋体" w:hAnsi="宋体" w:cs="宋体"/>
                <w:color w:val="auto"/>
                <w:kern w:val="0"/>
                <w:szCs w:val="21"/>
              </w:rPr>
              <w:t>0.5</w:t>
            </w:r>
          </w:p>
        </w:tc>
        <w:tc>
          <w:tcPr>
            <w:tcW w:w="3199" w:type="pct"/>
            <w:shd w:val="clear" w:color="auto" w:fill="auto"/>
            <w:vAlign w:val="center"/>
          </w:tcPr>
          <w:p w14:paraId="7633902A">
            <w:pPr>
              <w:widowControl/>
              <w:jc w:val="left"/>
              <w:rPr>
                <w:rFonts w:hint="eastAsia" w:ascii="宋体" w:hAnsi="宋体" w:cs="宋体"/>
                <w:color w:val="auto"/>
                <w:kern w:val="0"/>
                <w:szCs w:val="21"/>
              </w:rPr>
            </w:pPr>
            <w:r>
              <w:rPr>
                <w:rFonts w:hint="eastAsia" w:ascii="宋体" w:hAnsi="宋体" w:cs="宋体"/>
                <w:color w:val="auto"/>
                <w:kern w:val="0"/>
                <w:szCs w:val="21"/>
              </w:rPr>
              <w:t>在使用安全生产费用过程中，出现以下任一不良行为，每处扣</w:t>
            </w:r>
            <w:r>
              <w:rPr>
                <w:rFonts w:ascii="宋体" w:hAnsi="宋体" w:cs="宋体"/>
                <w:color w:val="auto"/>
                <w:kern w:val="0"/>
                <w:szCs w:val="21"/>
              </w:rPr>
              <w:t>0.2</w:t>
            </w:r>
            <w:r>
              <w:rPr>
                <w:rFonts w:hint="eastAsia" w:ascii="宋体" w:hAnsi="宋体" w:cs="宋体"/>
                <w:color w:val="auto"/>
                <w:kern w:val="0"/>
                <w:szCs w:val="21"/>
              </w:rPr>
              <w:t>分，累计扣至</w:t>
            </w:r>
            <w:r>
              <w:rPr>
                <w:rFonts w:ascii="宋体" w:hAnsi="宋体" w:cs="宋体"/>
                <w:color w:val="auto"/>
                <w:kern w:val="0"/>
                <w:szCs w:val="21"/>
              </w:rPr>
              <w:t>0.5分为止：</w:t>
            </w:r>
          </w:p>
          <w:p w14:paraId="2662AC06">
            <w:pPr>
              <w:widowControl/>
              <w:jc w:val="left"/>
              <w:rPr>
                <w:rFonts w:hint="eastAsia" w:ascii="宋体" w:hAnsi="宋体" w:cs="宋体"/>
                <w:color w:val="auto"/>
                <w:kern w:val="0"/>
                <w:szCs w:val="21"/>
              </w:rPr>
            </w:pPr>
            <w:r>
              <w:rPr>
                <w:rFonts w:hint="eastAsia" w:ascii="宋体" w:hAnsi="宋体" w:cs="宋体"/>
                <w:color w:val="auto"/>
                <w:kern w:val="0"/>
                <w:szCs w:val="21"/>
              </w:rPr>
              <w:t>①未按照国家有关规定计列和使用安全生产费用的；</w:t>
            </w:r>
          </w:p>
          <w:p w14:paraId="7E0C7B10">
            <w:pPr>
              <w:widowControl/>
              <w:jc w:val="left"/>
              <w:rPr>
                <w:rFonts w:hint="eastAsia" w:ascii="宋体" w:hAnsi="宋体" w:cs="宋体"/>
                <w:color w:val="auto"/>
                <w:kern w:val="0"/>
                <w:szCs w:val="21"/>
              </w:rPr>
            </w:pPr>
            <w:r>
              <w:rPr>
                <w:rFonts w:hint="eastAsia" w:ascii="宋体" w:hAnsi="宋体" w:cs="宋体"/>
                <w:color w:val="auto"/>
                <w:kern w:val="0"/>
                <w:szCs w:val="21"/>
              </w:rPr>
              <w:t>②未编制安全生产费用使用计划</w:t>
            </w:r>
            <w:r>
              <w:rPr>
                <w:rFonts w:ascii="宋体" w:hAnsi="宋体" w:cs="宋体"/>
                <w:color w:val="auto"/>
                <w:kern w:val="0"/>
                <w:szCs w:val="21"/>
              </w:rPr>
              <w:t>，专款专用的</w:t>
            </w:r>
            <w:r>
              <w:rPr>
                <w:rFonts w:hint="eastAsia" w:ascii="宋体" w:hAnsi="宋体" w:cs="宋体"/>
                <w:color w:val="auto"/>
                <w:kern w:val="0"/>
                <w:szCs w:val="21"/>
              </w:rPr>
              <w:t>；</w:t>
            </w:r>
          </w:p>
          <w:p w14:paraId="2586004C">
            <w:pPr>
              <w:widowControl/>
              <w:jc w:val="left"/>
              <w:rPr>
                <w:rFonts w:hint="eastAsia" w:ascii="宋体" w:hAnsi="宋体" w:cs="宋体"/>
                <w:color w:val="auto"/>
                <w:kern w:val="0"/>
                <w:szCs w:val="21"/>
              </w:rPr>
            </w:pPr>
            <w:r>
              <w:rPr>
                <w:rFonts w:hint="eastAsia" w:ascii="宋体" w:hAnsi="宋体" w:cs="宋体"/>
                <w:color w:val="auto"/>
                <w:kern w:val="0"/>
                <w:szCs w:val="21"/>
              </w:rPr>
              <w:t>③未明确安全费用提取和使用的程序、职责及权限的。</w:t>
            </w:r>
          </w:p>
        </w:tc>
      </w:tr>
      <w:tr w14:paraId="10B5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3" w:type="pct"/>
            <w:shd w:val="clear" w:color="auto" w:fill="auto"/>
            <w:vAlign w:val="center"/>
          </w:tcPr>
          <w:p w14:paraId="3F0A6C42">
            <w:pPr>
              <w:widowControl/>
              <w:jc w:val="center"/>
              <w:rPr>
                <w:rFonts w:hint="eastAsia" w:ascii="宋体" w:hAnsi="宋体" w:cs="宋体"/>
                <w:color w:val="auto"/>
                <w:kern w:val="0"/>
                <w:szCs w:val="21"/>
              </w:rPr>
            </w:pPr>
            <w:r>
              <w:rPr>
                <w:rFonts w:ascii="宋体" w:hAnsi="宋体" w:cs="宋体"/>
                <w:color w:val="auto"/>
                <w:kern w:val="0"/>
                <w:szCs w:val="21"/>
              </w:rPr>
              <w:t>15</w:t>
            </w:r>
          </w:p>
        </w:tc>
        <w:tc>
          <w:tcPr>
            <w:tcW w:w="1121" w:type="pct"/>
            <w:shd w:val="clear" w:color="auto" w:fill="auto"/>
            <w:vAlign w:val="center"/>
          </w:tcPr>
          <w:p w14:paraId="59D4605B">
            <w:pPr>
              <w:widowControl/>
              <w:rPr>
                <w:rFonts w:hint="eastAsia" w:ascii="宋体" w:hAnsi="宋体" w:cs="宋体"/>
                <w:color w:val="auto"/>
                <w:kern w:val="0"/>
                <w:szCs w:val="21"/>
              </w:rPr>
            </w:pPr>
            <w:r>
              <w:rPr>
                <w:rFonts w:hint="eastAsia" w:ascii="宋体" w:hAnsi="宋体" w:cs="宋体"/>
                <w:color w:val="auto"/>
                <w:kern w:val="0"/>
                <w:szCs w:val="21"/>
              </w:rPr>
              <w:t>项目建设阶段发生生产安全事故的。</w:t>
            </w:r>
          </w:p>
        </w:tc>
        <w:tc>
          <w:tcPr>
            <w:tcW w:w="407" w:type="pct"/>
            <w:shd w:val="clear" w:color="auto" w:fill="auto"/>
            <w:vAlign w:val="center"/>
          </w:tcPr>
          <w:p w14:paraId="35AFD193">
            <w:pPr>
              <w:widowControl/>
              <w:jc w:val="center"/>
              <w:rPr>
                <w:rFonts w:hint="eastAsia" w:ascii="宋体" w:hAnsi="宋体" w:cs="宋体"/>
                <w:color w:val="auto"/>
                <w:kern w:val="0"/>
                <w:szCs w:val="21"/>
              </w:rPr>
            </w:pPr>
            <w:r>
              <w:rPr>
                <w:rFonts w:ascii="宋体" w:hAnsi="宋体" w:cs="宋体"/>
                <w:color w:val="auto"/>
                <w:kern w:val="0"/>
                <w:szCs w:val="21"/>
              </w:rPr>
              <w:t>12</w:t>
            </w:r>
          </w:p>
        </w:tc>
        <w:tc>
          <w:tcPr>
            <w:tcW w:w="3199" w:type="pct"/>
            <w:shd w:val="clear" w:color="000000" w:fill="FFFFFF"/>
            <w:vAlign w:val="center"/>
          </w:tcPr>
          <w:tbl>
            <w:tblPr>
              <w:tblStyle w:val="39"/>
              <w:tblW w:w="0" w:type="auto"/>
              <w:tblInd w:w="0" w:type="dxa"/>
              <w:tblLayout w:type="autofit"/>
              <w:tblCellMar>
                <w:top w:w="0" w:type="dxa"/>
                <w:left w:w="108" w:type="dxa"/>
                <w:bottom w:w="0" w:type="dxa"/>
                <w:right w:w="108" w:type="dxa"/>
              </w:tblCellMar>
            </w:tblPr>
            <w:tblGrid>
              <w:gridCol w:w="5236"/>
            </w:tblGrid>
            <w:tr w14:paraId="1AF26975">
              <w:tblPrEx>
                <w:tblCellMar>
                  <w:top w:w="0" w:type="dxa"/>
                  <w:left w:w="108" w:type="dxa"/>
                  <w:bottom w:w="0" w:type="dxa"/>
                  <w:right w:w="108" w:type="dxa"/>
                </w:tblCellMar>
              </w:tblPrEx>
              <w:trPr>
                <w:trHeight w:val="99" w:hRule="atLeast"/>
              </w:trPr>
              <w:tc>
                <w:tcPr>
                  <w:tcW w:w="0" w:type="auto"/>
                </w:tcPr>
                <w:p w14:paraId="3DB5C8CA">
                  <w:pPr>
                    <w:widowControl/>
                    <w:jc w:val="left"/>
                    <w:rPr>
                      <w:rFonts w:hint="eastAsia" w:ascii="宋体" w:hAnsi="宋体" w:cs="宋体"/>
                      <w:color w:val="auto"/>
                      <w:kern w:val="0"/>
                      <w:szCs w:val="21"/>
                    </w:rPr>
                  </w:pPr>
                  <w:r>
                    <w:rPr>
                      <w:rFonts w:hint="eastAsia" w:ascii="宋体" w:hAnsi="宋体" w:cs="宋体"/>
                      <w:color w:val="auto"/>
                      <w:kern w:val="0"/>
                      <w:szCs w:val="21"/>
                    </w:rPr>
                    <w:t>发生亡人生产安全事故的，根据生产安全事故责任扣分。</w:t>
                  </w:r>
                </w:p>
              </w:tc>
            </w:tr>
          </w:tbl>
          <w:p w14:paraId="2D352EE5">
            <w:pPr>
              <w:widowControl/>
              <w:jc w:val="left"/>
              <w:rPr>
                <w:rFonts w:hint="eastAsia" w:ascii="宋体" w:hAnsi="宋体" w:cs="宋体"/>
                <w:color w:val="auto"/>
                <w:kern w:val="0"/>
                <w:szCs w:val="21"/>
              </w:rPr>
            </w:pPr>
          </w:p>
        </w:tc>
      </w:tr>
    </w:tbl>
    <w:p w14:paraId="673B614F">
      <w:pPr>
        <w:spacing w:before="312" w:beforeLines="100" w:after="312" w:afterLines="100"/>
        <w:jc w:val="left"/>
        <w:rPr>
          <w:rFonts w:hint="eastAsia" w:ascii="宋体" w:hAnsi="宋体" w:cs="宋体"/>
          <w:color w:val="auto"/>
        </w:rPr>
      </w:pPr>
    </w:p>
    <w:p w14:paraId="79A52057">
      <w:pPr>
        <w:spacing w:before="312" w:beforeLines="100" w:after="312" w:afterLines="100"/>
        <w:jc w:val="left"/>
        <w:rPr>
          <w:rFonts w:hint="eastAsia" w:ascii="宋体" w:hAnsi="宋体" w:cs="宋体"/>
          <w:color w:val="auto"/>
        </w:rPr>
      </w:pPr>
    </w:p>
    <w:p w14:paraId="6B014ED2">
      <w:pPr>
        <w:spacing w:before="312" w:beforeLines="100" w:after="312" w:afterLines="100"/>
        <w:jc w:val="left"/>
        <w:rPr>
          <w:rFonts w:hint="eastAsia" w:ascii="仿宋" w:hAnsi="仿宋" w:cs="仿宋"/>
          <w:color w:val="auto"/>
          <w:szCs w:val="21"/>
        </w:rPr>
      </w:pPr>
    </w:p>
    <w:p w14:paraId="19127F79">
      <w:pPr>
        <w:rPr>
          <w:rFonts w:hint="eastAsia"/>
          <w:color w:val="auto"/>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Microsoft JhengHei Light">
    <w:panose1 w:val="020B0304030504040204"/>
    <w:charset w:val="88"/>
    <w:family w:val="swiss"/>
    <w:pitch w:val="default"/>
    <w:sig w:usb0="8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D3"/>
    <w:rsid w:val="002E2F8C"/>
    <w:rsid w:val="005555D0"/>
    <w:rsid w:val="006967D7"/>
    <w:rsid w:val="00700ED1"/>
    <w:rsid w:val="0073341C"/>
    <w:rsid w:val="00762001"/>
    <w:rsid w:val="007A7E8C"/>
    <w:rsid w:val="009006C3"/>
    <w:rsid w:val="00986708"/>
    <w:rsid w:val="0099673F"/>
    <w:rsid w:val="00A241FB"/>
    <w:rsid w:val="00BD38D3"/>
    <w:rsid w:val="00BE6A25"/>
    <w:rsid w:val="00CA44A5"/>
    <w:rsid w:val="00CA794E"/>
    <w:rsid w:val="00D30CDA"/>
    <w:rsid w:val="00DC3F50"/>
    <w:rsid w:val="00E24781"/>
    <w:rsid w:val="00E521CB"/>
    <w:rsid w:val="00E758CB"/>
    <w:rsid w:val="0CAF6D72"/>
    <w:rsid w:val="0FBF2BE4"/>
    <w:rsid w:val="154A108C"/>
    <w:rsid w:val="22010E3A"/>
    <w:rsid w:val="34382116"/>
    <w:rsid w:val="36282A77"/>
    <w:rsid w:val="43E24568"/>
    <w:rsid w:val="4C8A18A8"/>
    <w:rsid w:val="5307162A"/>
    <w:rsid w:val="54884150"/>
    <w:rsid w:val="5B48305A"/>
    <w:rsid w:val="5C237623"/>
    <w:rsid w:val="6CDB1A5B"/>
    <w:rsid w:val="73026744"/>
    <w:rsid w:val="75624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0"/>
    <w:pPr>
      <w:keepNext/>
      <w:keepLines/>
      <w:spacing w:line="360" w:lineRule="auto"/>
      <w:outlineLvl w:val="0"/>
    </w:pPr>
    <w:rPr>
      <w:rFonts w:ascii="Calibri" w:hAnsi="Calibri" w:eastAsia="宋体" w:cs="Times New Roman"/>
      <w:b/>
      <w:bCs/>
      <w:kern w:val="44"/>
      <w:sz w:val="24"/>
      <w:szCs w:val="44"/>
    </w:rPr>
  </w:style>
  <w:style w:type="paragraph" w:styleId="3">
    <w:name w:val="heading 2"/>
    <w:basedOn w:val="1"/>
    <w:next w:val="1"/>
    <w:link w:val="49"/>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0"/>
    <w:qFormat/>
    <w:uiPriority w:val="0"/>
    <w:pPr>
      <w:keepNext/>
      <w:keepLines/>
      <w:spacing w:before="120" w:after="120" w:line="400" w:lineRule="exact"/>
      <w:jc w:val="left"/>
      <w:outlineLvl w:val="2"/>
    </w:pPr>
    <w:rPr>
      <w:rFonts w:ascii="宋体" w:hAnsi="宋体" w:eastAsia="宋体" w:cs="Times New Roman"/>
      <w:b/>
      <w:bCs/>
      <w:sz w:val="24"/>
      <w:szCs w:val="24"/>
    </w:rPr>
  </w:style>
  <w:style w:type="paragraph" w:styleId="5">
    <w:name w:val="heading 4"/>
    <w:basedOn w:val="1"/>
    <w:next w:val="1"/>
    <w:link w:val="51"/>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7">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rFonts w:ascii="Calibri" w:hAnsi="Calibri" w:eastAsia="宋体" w:cs="Times New Roman"/>
      <w:b/>
      <w:bCs/>
      <w:kern w:val="0"/>
      <w:sz w:val="24"/>
      <w:szCs w:val="24"/>
    </w:rPr>
  </w:style>
  <w:style w:type="paragraph" w:styleId="8">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9">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unhideWhenUsed/>
    <w:qFormat/>
    <w:uiPriority w:val="39"/>
    <w:pPr>
      <w:ind w:left="1260"/>
      <w:jc w:val="left"/>
    </w:pPr>
    <w:rPr>
      <w:rFonts w:eastAsia="宋体" w:cstheme="minorHAnsi"/>
      <w:sz w:val="18"/>
      <w:szCs w:val="18"/>
    </w:rPr>
  </w:style>
  <w:style w:type="paragraph" w:styleId="11">
    <w:name w:val="Normal Indent"/>
    <w:basedOn w:val="1"/>
    <w:qFormat/>
    <w:uiPriority w:val="0"/>
    <w:pPr>
      <w:ind w:firstLine="420" w:firstLineChars="200"/>
    </w:pPr>
    <w:rPr>
      <w:rFonts w:ascii="Calibri" w:hAnsi="Calibri" w:eastAsia="宋体" w:cs="Times New Roman"/>
      <w:szCs w:val="24"/>
    </w:rPr>
  </w:style>
  <w:style w:type="paragraph" w:styleId="12">
    <w:name w:val="Document Map"/>
    <w:basedOn w:val="1"/>
    <w:link w:val="91"/>
    <w:qFormat/>
    <w:uiPriority w:val="0"/>
    <w:pPr>
      <w:shd w:val="clear" w:color="auto" w:fill="000080"/>
    </w:pPr>
    <w:rPr>
      <w:rFonts w:ascii="Calibri" w:hAnsi="Calibri" w:eastAsia="宋体" w:cs="Times New Roman"/>
      <w:szCs w:val="24"/>
    </w:rPr>
  </w:style>
  <w:style w:type="paragraph" w:styleId="13">
    <w:name w:val="annotation text"/>
    <w:basedOn w:val="1"/>
    <w:link w:val="60"/>
    <w:unhideWhenUsed/>
    <w:qFormat/>
    <w:uiPriority w:val="0"/>
    <w:pPr>
      <w:jc w:val="left"/>
    </w:pPr>
  </w:style>
  <w:style w:type="paragraph" w:styleId="14">
    <w:name w:val="Body Text 3"/>
    <w:basedOn w:val="1"/>
    <w:link w:val="85"/>
    <w:qFormat/>
    <w:uiPriority w:val="0"/>
    <w:rPr>
      <w:rFonts w:ascii="宋体" w:hAnsi="Calibri" w:eastAsia="宋体" w:cs="Times New Roman"/>
      <w:sz w:val="24"/>
      <w:szCs w:val="20"/>
    </w:rPr>
  </w:style>
  <w:style w:type="paragraph" w:styleId="15">
    <w:name w:val="Body Text"/>
    <w:basedOn w:val="1"/>
    <w:link w:val="74"/>
    <w:qFormat/>
    <w:uiPriority w:val="0"/>
    <w:pPr>
      <w:spacing w:after="120"/>
    </w:pPr>
    <w:rPr>
      <w:rFonts w:ascii="Calibri" w:hAnsi="Calibri" w:eastAsia="宋体" w:cs="Times New Roman"/>
      <w:szCs w:val="24"/>
    </w:rPr>
  </w:style>
  <w:style w:type="paragraph" w:styleId="16">
    <w:name w:val="Body Text Indent"/>
    <w:basedOn w:val="1"/>
    <w:link w:val="82"/>
    <w:qFormat/>
    <w:uiPriority w:val="0"/>
    <w:pPr>
      <w:spacing w:after="120"/>
      <w:ind w:left="420" w:leftChars="200"/>
    </w:pPr>
    <w:rPr>
      <w:rFonts w:ascii="Calibri" w:hAnsi="Calibri" w:eastAsia="宋体" w:cs="Times New Roman"/>
      <w:szCs w:val="24"/>
    </w:rPr>
  </w:style>
  <w:style w:type="paragraph" w:styleId="17">
    <w:name w:val="toc 5"/>
    <w:basedOn w:val="1"/>
    <w:next w:val="1"/>
    <w:unhideWhenUsed/>
    <w:qFormat/>
    <w:uiPriority w:val="39"/>
    <w:pPr>
      <w:ind w:left="840"/>
      <w:jc w:val="left"/>
    </w:pPr>
    <w:rPr>
      <w:rFonts w:eastAsia="宋体" w:cstheme="minorHAnsi"/>
      <w:sz w:val="18"/>
      <w:szCs w:val="18"/>
    </w:rPr>
  </w:style>
  <w:style w:type="paragraph" w:styleId="18">
    <w:name w:val="toc 3"/>
    <w:basedOn w:val="1"/>
    <w:next w:val="1"/>
    <w:unhideWhenUsed/>
    <w:qFormat/>
    <w:uiPriority w:val="39"/>
    <w:pPr>
      <w:ind w:left="420"/>
      <w:jc w:val="left"/>
    </w:pPr>
    <w:rPr>
      <w:rFonts w:eastAsia="宋体" w:cstheme="minorHAnsi"/>
      <w:i/>
      <w:iCs/>
      <w:sz w:val="20"/>
      <w:szCs w:val="20"/>
    </w:rPr>
  </w:style>
  <w:style w:type="paragraph" w:styleId="19">
    <w:name w:val="Plain Text"/>
    <w:basedOn w:val="1"/>
    <w:link w:val="88"/>
    <w:qFormat/>
    <w:uiPriority w:val="0"/>
    <w:rPr>
      <w:rFonts w:ascii="Courier New" w:hAnsi="Courier New" w:eastAsia="宋体" w:cs="Times New Roman"/>
      <w:szCs w:val="20"/>
    </w:rPr>
  </w:style>
  <w:style w:type="paragraph" w:styleId="20">
    <w:name w:val="toc 8"/>
    <w:basedOn w:val="1"/>
    <w:next w:val="1"/>
    <w:unhideWhenUsed/>
    <w:qFormat/>
    <w:uiPriority w:val="39"/>
    <w:pPr>
      <w:ind w:left="1470"/>
      <w:jc w:val="left"/>
    </w:pPr>
    <w:rPr>
      <w:rFonts w:eastAsia="宋体" w:cstheme="minorHAnsi"/>
      <w:sz w:val="18"/>
      <w:szCs w:val="18"/>
    </w:rPr>
  </w:style>
  <w:style w:type="paragraph" w:styleId="21">
    <w:name w:val="Date"/>
    <w:basedOn w:val="1"/>
    <w:next w:val="1"/>
    <w:link w:val="81"/>
    <w:qFormat/>
    <w:uiPriority w:val="0"/>
    <w:rPr>
      <w:rFonts w:ascii="Calibri" w:hAnsi="Calibri" w:eastAsia="宋体" w:cs="Times New Roman"/>
      <w:sz w:val="24"/>
      <w:szCs w:val="20"/>
    </w:rPr>
  </w:style>
  <w:style w:type="paragraph" w:styleId="22">
    <w:name w:val="Body Text Indent 2"/>
    <w:basedOn w:val="1"/>
    <w:link w:val="83"/>
    <w:qFormat/>
    <w:uiPriority w:val="0"/>
    <w:pPr>
      <w:spacing w:after="120" w:line="480" w:lineRule="auto"/>
      <w:ind w:left="420" w:leftChars="200"/>
    </w:pPr>
    <w:rPr>
      <w:rFonts w:ascii="Calibri" w:hAnsi="Calibri" w:eastAsia="宋体" w:cs="Times New Roman"/>
      <w:szCs w:val="24"/>
    </w:rPr>
  </w:style>
  <w:style w:type="paragraph" w:styleId="23">
    <w:name w:val="Balloon Text"/>
    <w:basedOn w:val="1"/>
    <w:link w:val="89"/>
    <w:qFormat/>
    <w:uiPriority w:val="0"/>
    <w:rPr>
      <w:rFonts w:ascii="Calibri" w:hAnsi="Calibri" w:eastAsia="宋体" w:cs="Times New Roman"/>
      <w:sz w:val="18"/>
      <w:szCs w:val="18"/>
    </w:rPr>
  </w:style>
  <w:style w:type="paragraph" w:styleId="24">
    <w:name w:val="footer"/>
    <w:basedOn w:val="1"/>
    <w:link w:val="47"/>
    <w:unhideWhenUsed/>
    <w:qFormat/>
    <w:uiPriority w:val="0"/>
    <w:pPr>
      <w:tabs>
        <w:tab w:val="center" w:pos="4153"/>
        <w:tab w:val="right" w:pos="8306"/>
      </w:tabs>
      <w:snapToGrid w:val="0"/>
      <w:jc w:val="left"/>
    </w:pPr>
    <w:rPr>
      <w:sz w:val="18"/>
      <w:szCs w:val="18"/>
    </w:rPr>
  </w:style>
  <w:style w:type="paragraph" w:styleId="25">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eastAsia="宋体" w:cstheme="minorHAnsi"/>
      <w:b/>
      <w:bCs/>
      <w:caps/>
      <w:sz w:val="20"/>
      <w:szCs w:val="20"/>
    </w:rPr>
  </w:style>
  <w:style w:type="paragraph" w:styleId="27">
    <w:name w:val="toc 4"/>
    <w:basedOn w:val="1"/>
    <w:next w:val="1"/>
    <w:unhideWhenUsed/>
    <w:qFormat/>
    <w:uiPriority w:val="39"/>
    <w:pPr>
      <w:ind w:left="630"/>
      <w:jc w:val="left"/>
    </w:pPr>
    <w:rPr>
      <w:rFonts w:eastAsia="宋体" w:cstheme="minorHAnsi"/>
      <w:sz w:val="18"/>
      <w:szCs w:val="18"/>
    </w:rPr>
  </w:style>
  <w:style w:type="paragraph" w:styleId="28">
    <w:name w:val="toc 6"/>
    <w:basedOn w:val="1"/>
    <w:next w:val="1"/>
    <w:unhideWhenUsed/>
    <w:qFormat/>
    <w:uiPriority w:val="39"/>
    <w:pPr>
      <w:ind w:left="1050"/>
      <w:jc w:val="left"/>
    </w:pPr>
    <w:rPr>
      <w:rFonts w:eastAsia="宋体" w:cstheme="minorHAnsi"/>
      <w:sz w:val="18"/>
      <w:szCs w:val="18"/>
    </w:rPr>
  </w:style>
  <w:style w:type="paragraph" w:styleId="29">
    <w:name w:val="Body Text Indent 3"/>
    <w:basedOn w:val="1"/>
    <w:link w:val="90"/>
    <w:qFormat/>
    <w:uiPriority w:val="0"/>
    <w:pPr>
      <w:spacing w:after="120"/>
      <w:ind w:left="420" w:leftChars="200"/>
    </w:pPr>
    <w:rPr>
      <w:rFonts w:ascii="Calibri" w:hAnsi="Calibri" w:eastAsia="宋体" w:cs="Times New Roman"/>
      <w:sz w:val="16"/>
      <w:szCs w:val="16"/>
    </w:rPr>
  </w:style>
  <w:style w:type="paragraph" w:styleId="30">
    <w:name w:val="toc 2"/>
    <w:basedOn w:val="1"/>
    <w:next w:val="1"/>
    <w:qFormat/>
    <w:uiPriority w:val="39"/>
    <w:pPr>
      <w:ind w:left="210"/>
      <w:jc w:val="left"/>
    </w:pPr>
    <w:rPr>
      <w:rFonts w:eastAsia="宋体" w:cstheme="minorHAnsi"/>
      <w:smallCaps/>
      <w:sz w:val="20"/>
      <w:szCs w:val="20"/>
    </w:rPr>
  </w:style>
  <w:style w:type="paragraph" w:styleId="31">
    <w:name w:val="toc 9"/>
    <w:basedOn w:val="1"/>
    <w:next w:val="1"/>
    <w:unhideWhenUsed/>
    <w:qFormat/>
    <w:uiPriority w:val="39"/>
    <w:pPr>
      <w:ind w:left="1680"/>
      <w:jc w:val="left"/>
    </w:pPr>
    <w:rPr>
      <w:rFonts w:eastAsia="宋体" w:cstheme="minorHAnsi"/>
      <w:sz w:val="18"/>
      <w:szCs w:val="18"/>
    </w:rPr>
  </w:style>
  <w:style w:type="paragraph" w:styleId="32">
    <w:name w:val="Body Text 2"/>
    <w:basedOn w:val="1"/>
    <w:link w:val="64"/>
    <w:qFormat/>
    <w:uiPriority w:val="0"/>
    <w:pPr>
      <w:spacing w:after="120" w:line="480" w:lineRule="auto"/>
    </w:pPr>
    <w:rPr>
      <w:rFonts w:ascii="Calibri" w:hAnsi="Calibri" w:eastAsia="宋体" w:cs="Times New Roman"/>
      <w:szCs w:val="24"/>
    </w:rPr>
  </w:style>
  <w:style w:type="paragraph" w:styleId="33">
    <w:name w:val="Normal (Web)"/>
    <w:basedOn w:val="1"/>
    <w:qFormat/>
    <w:uiPriority w:val="0"/>
    <w:pPr>
      <w:widowControl/>
      <w:spacing w:before="100" w:beforeAutospacing="1" w:after="100" w:afterAutospacing="1"/>
      <w:jc w:val="left"/>
    </w:pPr>
    <w:rPr>
      <w:rFonts w:ascii="Calibri" w:hAnsi="Calibri" w:eastAsia="宋体" w:cs="Times New Roman"/>
      <w:kern w:val="0"/>
      <w:sz w:val="24"/>
      <w:szCs w:val="24"/>
    </w:rPr>
  </w:style>
  <w:style w:type="paragraph" w:styleId="34">
    <w:name w:val="index 1"/>
    <w:basedOn w:val="1"/>
    <w:next w:val="1"/>
    <w:qFormat/>
    <w:uiPriority w:val="0"/>
    <w:pPr>
      <w:spacing w:line="220" w:lineRule="exact"/>
      <w:jc w:val="center"/>
    </w:pPr>
    <w:rPr>
      <w:rFonts w:ascii="仿宋_GB2312" w:hAnsi="Calibri" w:eastAsia="仿宋_GB2312" w:cs="Times New Roman"/>
      <w:szCs w:val="21"/>
    </w:rPr>
  </w:style>
  <w:style w:type="paragraph" w:styleId="35">
    <w:name w:val="Title"/>
    <w:basedOn w:val="1"/>
    <w:link w:val="76"/>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36">
    <w:name w:val="annotation subject"/>
    <w:basedOn w:val="13"/>
    <w:next w:val="13"/>
    <w:link w:val="59"/>
    <w:qFormat/>
    <w:uiPriority w:val="0"/>
    <w:rPr>
      <w:b/>
      <w:bCs/>
      <w:szCs w:val="24"/>
    </w:rPr>
  </w:style>
  <w:style w:type="paragraph" w:styleId="37">
    <w:name w:val="Body Text First Indent"/>
    <w:basedOn w:val="15"/>
    <w:link w:val="99"/>
    <w:unhideWhenUsed/>
    <w:qFormat/>
    <w:uiPriority w:val="0"/>
    <w:pPr>
      <w:ind w:firstLine="420" w:firstLineChars="100"/>
    </w:pPr>
  </w:style>
  <w:style w:type="paragraph" w:styleId="38">
    <w:name w:val="Body Text First Indent 2"/>
    <w:basedOn w:val="16"/>
    <w:link w:val="104"/>
    <w:unhideWhenUsed/>
    <w:qFormat/>
    <w:uiPriority w:val="99"/>
    <w:pPr>
      <w:spacing w:after="0" w:line="360" w:lineRule="auto"/>
      <w:ind w:left="0" w:leftChars="0" w:firstLine="420" w:firstLineChars="200"/>
    </w:pPr>
    <w:rPr>
      <w:rFonts w:ascii="宋体" w:hAnsi="宋体" w:cs="宋体"/>
      <w:sz w:val="28"/>
      <w:szCs w:val="28"/>
    </w:rPr>
  </w:style>
  <w:style w:type="table" w:styleId="40">
    <w:name w:val="Table Grid"/>
    <w:basedOn w:val="39"/>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qFormat/>
    <w:uiPriority w:val="0"/>
    <w:rPr>
      <w:rFonts w:ascii="Arial" w:hAnsi="Arial" w:eastAsia="黑体"/>
      <w:kern w:val="2"/>
      <w:sz w:val="21"/>
      <w:szCs w:val="21"/>
      <w:lang w:val="en-US" w:eastAsia="zh-CN" w:bidi="ar-SA"/>
    </w:rPr>
  </w:style>
  <w:style w:type="character" w:styleId="43">
    <w:name w:val="FollowedHyperlink"/>
    <w:qFormat/>
    <w:uiPriority w:val="0"/>
    <w:rPr>
      <w:rFonts w:ascii="Arial" w:hAnsi="Arial" w:eastAsia="黑体"/>
      <w:color w:val="800080"/>
      <w:kern w:val="2"/>
      <w:sz w:val="21"/>
      <w:szCs w:val="21"/>
      <w:u w:val="single"/>
      <w:lang w:val="en-US" w:eastAsia="zh-CN" w:bidi="ar-SA"/>
    </w:rPr>
  </w:style>
  <w:style w:type="character" w:styleId="44">
    <w:name w:val="Hyperlink"/>
    <w:qFormat/>
    <w:uiPriority w:val="99"/>
    <w:rPr>
      <w:rFonts w:ascii="Arial" w:hAnsi="Arial" w:eastAsia="黑体"/>
      <w:color w:val="0000FF"/>
      <w:kern w:val="2"/>
      <w:sz w:val="21"/>
      <w:szCs w:val="21"/>
      <w:u w:val="single"/>
      <w:lang w:val="en-US" w:eastAsia="zh-CN" w:bidi="ar-SA"/>
    </w:rPr>
  </w:style>
  <w:style w:type="character" w:styleId="45">
    <w:name w:val="annotation reference"/>
    <w:qFormat/>
    <w:uiPriority w:val="0"/>
    <w:rPr>
      <w:rFonts w:ascii="Times New Roman" w:hAnsi="Times New Roman" w:eastAsia="宋体" w:cs="Times New Roman"/>
      <w:sz w:val="21"/>
      <w:szCs w:val="21"/>
    </w:rPr>
  </w:style>
  <w:style w:type="character" w:customStyle="1" w:styleId="46">
    <w:name w:val="页眉 字符"/>
    <w:basedOn w:val="41"/>
    <w:link w:val="25"/>
    <w:qFormat/>
    <w:uiPriority w:val="99"/>
    <w:rPr>
      <w:sz w:val="18"/>
      <w:szCs w:val="18"/>
    </w:rPr>
  </w:style>
  <w:style w:type="character" w:customStyle="1" w:styleId="47">
    <w:name w:val="页脚 字符"/>
    <w:basedOn w:val="41"/>
    <w:link w:val="24"/>
    <w:qFormat/>
    <w:uiPriority w:val="0"/>
    <w:rPr>
      <w:sz w:val="18"/>
      <w:szCs w:val="18"/>
    </w:rPr>
  </w:style>
  <w:style w:type="character" w:customStyle="1" w:styleId="48">
    <w:name w:val="标题 1 字符"/>
    <w:basedOn w:val="41"/>
    <w:link w:val="2"/>
    <w:qFormat/>
    <w:uiPriority w:val="0"/>
    <w:rPr>
      <w:rFonts w:ascii="Calibri" w:hAnsi="Calibri" w:eastAsia="宋体" w:cs="Times New Roman"/>
      <w:b/>
      <w:bCs/>
      <w:kern w:val="44"/>
      <w:sz w:val="24"/>
      <w:szCs w:val="44"/>
    </w:rPr>
  </w:style>
  <w:style w:type="character" w:customStyle="1" w:styleId="49">
    <w:name w:val="标题 2 字符"/>
    <w:basedOn w:val="41"/>
    <w:link w:val="3"/>
    <w:qFormat/>
    <w:uiPriority w:val="0"/>
    <w:rPr>
      <w:rFonts w:ascii="Arial" w:hAnsi="Arial" w:eastAsia="黑体" w:cs="Times New Roman"/>
      <w:b/>
      <w:bCs/>
      <w:sz w:val="32"/>
      <w:szCs w:val="32"/>
    </w:rPr>
  </w:style>
  <w:style w:type="character" w:customStyle="1" w:styleId="50">
    <w:name w:val="标题 3 字符"/>
    <w:basedOn w:val="41"/>
    <w:link w:val="4"/>
    <w:qFormat/>
    <w:uiPriority w:val="0"/>
    <w:rPr>
      <w:rFonts w:ascii="宋体" w:hAnsi="宋体" w:eastAsia="宋体" w:cs="Times New Roman"/>
      <w:b/>
      <w:bCs/>
      <w:sz w:val="24"/>
      <w:szCs w:val="24"/>
    </w:rPr>
  </w:style>
  <w:style w:type="character" w:customStyle="1" w:styleId="51">
    <w:name w:val="标题 4 字符"/>
    <w:basedOn w:val="41"/>
    <w:link w:val="5"/>
    <w:qFormat/>
    <w:uiPriority w:val="0"/>
    <w:rPr>
      <w:rFonts w:ascii="Arial" w:hAnsi="Arial" w:eastAsia="黑体" w:cs="Times New Roman"/>
      <w:b/>
      <w:bCs/>
      <w:sz w:val="28"/>
      <w:szCs w:val="28"/>
    </w:rPr>
  </w:style>
  <w:style w:type="character" w:customStyle="1" w:styleId="52">
    <w:name w:val="标题 6 字符"/>
    <w:basedOn w:val="41"/>
    <w:link w:val="6"/>
    <w:qFormat/>
    <w:uiPriority w:val="0"/>
    <w:rPr>
      <w:rFonts w:ascii="Arial" w:hAnsi="Arial" w:eastAsia="黑体" w:cs="Times New Roman"/>
      <w:b/>
      <w:bCs/>
      <w:kern w:val="0"/>
      <w:sz w:val="24"/>
      <w:szCs w:val="24"/>
    </w:rPr>
  </w:style>
  <w:style w:type="character" w:customStyle="1" w:styleId="53">
    <w:name w:val="标题 7 字符"/>
    <w:basedOn w:val="41"/>
    <w:link w:val="7"/>
    <w:qFormat/>
    <w:uiPriority w:val="0"/>
    <w:rPr>
      <w:rFonts w:ascii="Calibri" w:hAnsi="Calibri" w:eastAsia="宋体" w:cs="Times New Roman"/>
      <w:b/>
      <w:bCs/>
      <w:kern w:val="0"/>
      <w:sz w:val="24"/>
      <w:szCs w:val="24"/>
    </w:rPr>
  </w:style>
  <w:style w:type="character" w:customStyle="1" w:styleId="54">
    <w:name w:val="标题 8 字符"/>
    <w:basedOn w:val="41"/>
    <w:link w:val="8"/>
    <w:qFormat/>
    <w:uiPriority w:val="0"/>
    <w:rPr>
      <w:rFonts w:ascii="Arial" w:hAnsi="Arial" w:eastAsia="黑体" w:cs="Times New Roman"/>
      <w:kern w:val="0"/>
      <w:sz w:val="24"/>
      <w:szCs w:val="24"/>
    </w:rPr>
  </w:style>
  <w:style w:type="character" w:customStyle="1" w:styleId="55">
    <w:name w:val="标题 9 字符"/>
    <w:basedOn w:val="41"/>
    <w:link w:val="9"/>
    <w:qFormat/>
    <w:uiPriority w:val="0"/>
    <w:rPr>
      <w:rFonts w:ascii="Arial" w:hAnsi="Arial" w:eastAsia="黑体" w:cs="Times New Roman"/>
      <w:kern w:val="0"/>
      <w:szCs w:val="21"/>
    </w:rPr>
  </w:style>
  <w:style w:type="character" w:customStyle="1" w:styleId="56">
    <w:name w:val="font5 Char Char"/>
    <w:link w:val="57"/>
    <w:qFormat/>
    <w:uiPriority w:val="0"/>
    <w:rPr>
      <w:rFonts w:ascii="宋体" w:hAnsi="宋体" w:eastAsia="宋体"/>
      <w:sz w:val="24"/>
      <w:szCs w:val="24"/>
    </w:rPr>
  </w:style>
  <w:style w:type="paragraph" w:customStyle="1" w:styleId="57">
    <w:name w:val="font5"/>
    <w:basedOn w:val="1"/>
    <w:link w:val="56"/>
    <w:qFormat/>
    <w:uiPriority w:val="0"/>
    <w:pPr>
      <w:widowControl/>
      <w:spacing w:before="100" w:beforeAutospacing="1" w:after="100" w:afterAutospacing="1"/>
      <w:jc w:val="left"/>
    </w:pPr>
    <w:rPr>
      <w:rFonts w:ascii="宋体" w:hAnsi="宋体" w:eastAsia="宋体"/>
      <w:sz w:val="24"/>
      <w:szCs w:val="24"/>
    </w:rPr>
  </w:style>
  <w:style w:type="character" w:customStyle="1" w:styleId="58">
    <w:name w:val="标题 11"/>
    <w:qFormat/>
    <w:uiPriority w:val="0"/>
    <w:rPr>
      <w:rFonts w:ascii="宋体" w:hAnsi="宋体" w:eastAsia="宋体"/>
      <w:b/>
      <w:kern w:val="44"/>
      <w:sz w:val="28"/>
      <w:lang w:val="en-US" w:eastAsia="zh-CN"/>
    </w:rPr>
  </w:style>
  <w:style w:type="character" w:customStyle="1" w:styleId="59">
    <w:name w:val="批注主题 字符"/>
    <w:link w:val="36"/>
    <w:qFormat/>
    <w:uiPriority w:val="0"/>
    <w:rPr>
      <w:b/>
      <w:bCs/>
      <w:szCs w:val="24"/>
    </w:rPr>
  </w:style>
  <w:style w:type="character" w:customStyle="1" w:styleId="60">
    <w:name w:val="批注文字 字符"/>
    <w:basedOn w:val="41"/>
    <w:link w:val="13"/>
    <w:qFormat/>
    <w:uiPriority w:val="0"/>
  </w:style>
  <w:style w:type="character" w:customStyle="1" w:styleId="61">
    <w:name w:val="批注主题 字符1"/>
    <w:basedOn w:val="60"/>
    <w:semiHidden/>
    <w:qFormat/>
    <w:uiPriority w:val="99"/>
    <w:rPr>
      <w:b/>
      <w:bCs/>
    </w:rPr>
  </w:style>
  <w:style w:type="character" w:customStyle="1" w:styleId="62">
    <w:name w:val="font161"/>
    <w:qFormat/>
    <w:uiPriority w:val="0"/>
    <w:rPr>
      <w:rFonts w:ascii="Arial" w:hAnsi="Arial" w:eastAsia="黑体"/>
      <w:b/>
      <w:bCs/>
      <w:kern w:val="2"/>
      <w:sz w:val="32"/>
      <w:szCs w:val="32"/>
      <w:lang w:val="en-US" w:eastAsia="zh-CN" w:bidi="ar-SA"/>
    </w:rPr>
  </w:style>
  <w:style w:type="paragraph" w:customStyle="1" w:styleId="63">
    <w:name w:val="表格2"/>
    <w:basedOn w:val="1"/>
    <w:qFormat/>
    <w:uiPriority w:val="0"/>
    <w:pPr>
      <w:adjustRightInd w:val="0"/>
      <w:spacing w:before="60" w:after="60"/>
      <w:jc w:val="center"/>
    </w:pPr>
    <w:rPr>
      <w:rFonts w:ascii="宋体" w:hAnsi="Calibri" w:eastAsia="宋体" w:cs="Times New Roman"/>
      <w:color w:val="000000"/>
      <w:kern w:val="0"/>
      <w:sz w:val="24"/>
      <w:szCs w:val="20"/>
    </w:rPr>
  </w:style>
  <w:style w:type="character" w:customStyle="1" w:styleId="64">
    <w:name w:val="正文文本 2 字符"/>
    <w:basedOn w:val="41"/>
    <w:link w:val="32"/>
    <w:qFormat/>
    <w:uiPriority w:val="0"/>
    <w:rPr>
      <w:rFonts w:ascii="Calibri" w:hAnsi="Calibri" w:eastAsia="宋体" w:cs="Times New Roman"/>
      <w:szCs w:val="24"/>
    </w:rPr>
  </w:style>
  <w:style w:type="paragraph" w:customStyle="1" w:styleId="65">
    <w:name w:val="表格"/>
    <w:basedOn w:val="1"/>
    <w:link w:val="66"/>
    <w:qFormat/>
    <w:uiPriority w:val="0"/>
    <w:pPr>
      <w:jc w:val="center"/>
      <w:textAlignment w:val="center"/>
    </w:pPr>
    <w:rPr>
      <w:rFonts w:ascii="华文细黑" w:hAnsi="华文细黑" w:eastAsia="宋体" w:cs="Times New Roman"/>
      <w:kern w:val="0"/>
      <w:szCs w:val="20"/>
    </w:rPr>
  </w:style>
  <w:style w:type="character" w:customStyle="1" w:styleId="66">
    <w:name w:val="表格 Char"/>
    <w:link w:val="65"/>
    <w:qFormat/>
    <w:uiPriority w:val="0"/>
    <w:rPr>
      <w:rFonts w:ascii="华文细黑" w:hAnsi="华文细黑" w:eastAsia="宋体" w:cs="Times New Roman"/>
      <w:kern w:val="0"/>
      <w:szCs w:val="20"/>
    </w:rPr>
  </w:style>
  <w:style w:type="paragraph" w:styleId="67">
    <w:name w:val="List Paragraph"/>
    <w:basedOn w:val="1"/>
    <w:link w:val="106"/>
    <w:qFormat/>
    <w:uiPriority w:val="34"/>
    <w:pPr>
      <w:ind w:firstLine="420" w:firstLineChars="200"/>
    </w:pPr>
    <w:rPr>
      <w:rFonts w:ascii="Calibri" w:hAnsi="Calibri" w:eastAsia="宋体" w:cs="Times New Roman"/>
      <w:szCs w:val="24"/>
    </w:rPr>
  </w:style>
  <w:style w:type="paragraph" w:customStyle="1" w:styleId="6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font7"/>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70">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71">
    <w:name w:val="样式 标题 3 + (中文) 黑体 小四 非加粗 段前: 7.8 磅 段后: 0 磅 行距: 固定值 20 磅"/>
    <w:basedOn w:val="4"/>
    <w:qFormat/>
    <w:uiPriority w:val="0"/>
    <w:pPr>
      <w:spacing w:before="0" w:after="0"/>
    </w:pPr>
    <w:rPr>
      <w:rFonts w:eastAsia="黑体" w:cs="宋体"/>
      <w:b w:val="0"/>
      <w:bCs w:val="0"/>
      <w:szCs w:val="20"/>
    </w:rPr>
  </w:style>
  <w:style w:type="paragraph" w:customStyle="1" w:styleId="72">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7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74">
    <w:name w:val="正文文本 字符"/>
    <w:basedOn w:val="41"/>
    <w:link w:val="15"/>
    <w:qFormat/>
    <w:uiPriority w:val="0"/>
    <w:rPr>
      <w:rFonts w:ascii="Calibri" w:hAnsi="Calibri" w:eastAsia="宋体" w:cs="Times New Roman"/>
      <w:szCs w:val="24"/>
    </w:rPr>
  </w:style>
  <w:style w:type="paragraph" w:customStyle="1" w:styleId="75">
    <w:name w:val="6'"/>
    <w:basedOn w:val="1"/>
    <w:qFormat/>
    <w:uiPriority w:val="0"/>
    <w:pPr>
      <w:autoSpaceDE w:val="0"/>
      <w:autoSpaceDN w:val="0"/>
      <w:adjustRightInd w:val="0"/>
      <w:snapToGrid w:val="0"/>
      <w:spacing w:line="320" w:lineRule="exact"/>
      <w:jc w:val="center"/>
      <w:textAlignment w:val="baseline"/>
    </w:pPr>
    <w:rPr>
      <w:rFonts w:ascii="Calibri" w:hAnsi="Calibri" w:eastAsia="宋体" w:cs="Times New Roman"/>
      <w:spacing w:val="20"/>
      <w:kern w:val="28"/>
      <w:szCs w:val="20"/>
    </w:rPr>
  </w:style>
  <w:style w:type="character" w:customStyle="1" w:styleId="76">
    <w:name w:val="标题 字符"/>
    <w:basedOn w:val="41"/>
    <w:link w:val="35"/>
    <w:qFormat/>
    <w:uiPriority w:val="0"/>
    <w:rPr>
      <w:rFonts w:ascii="Arial" w:hAnsi="Arial" w:eastAsia="宋体" w:cs="Times New Roman"/>
      <w:b/>
      <w:kern w:val="0"/>
      <w:sz w:val="32"/>
      <w:szCs w:val="20"/>
    </w:rPr>
  </w:style>
  <w:style w:type="paragraph" w:customStyle="1" w:styleId="77">
    <w:name w:val="xl31"/>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78">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79">
    <w:name w:val="表格文字"/>
    <w:basedOn w:val="1"/>
    <w:qFormat/>
    <w:uiPriority w:val="0"/>
    <w:pPr>
      <w:adjustRightInd w:val="0"/>
      <w:spacing w:line="420" w:lineRule="atLeast"/>
      <w:jc w:val="left"/>
      <w:textAlignment w:val="baseline"/>
    </w:pPr>
    <w:rPr>
      <w:rFonts w:ascii="Calibri" w:hAnsi="Calibri" w:eastAsia="宋体" w:cs="Times New Roman"/>
      <w:kern w:val="0"/>
      <w:szCs w:val="20"/>
    </w:rPr>
  </w:style>
  <w:style w:type="paragraph" w:customStyle="1" w:styleId="80">
    <w:name w:val="正文缩进1"/>
    <w:basedOn w:val="1"/>
    <w:qFormat/>
    <w:uiPriority w:val="0"/>
    <w:pPr>
      <w:ind w:firstLine="420"/>
    </w:pPr>
    <w:rPr>
      <w:rFonts w:ascii="Calibri" w:hAnsi="Calibri" w:eastAsia="宋体" w:cs="Times New Roman"/>
      <w:szCs w:val="24"/>
    </w:rPr>
  </w:style>
  <w:style w:type="character" w:customStyle="1" w:styleId="81">
    <w:name w:val="日期 字符"/>
    <w:basedOn w:val="41"/>
    <w:link w:val="21"/>
    <w:qFormat/>
    <w:uiPriority w:val="0"/>
    <w:rPr>
      <w:rFonts w:ascii="Calibri" w:hAnsi="Calibri" w:eastAsia="宋体" w:cs="Times New Roman"/>
      <w:sz w:val="24"/>
      <w:szCs w:val="20"/>
    </w:rPr>
  </w:style>
  <w:style w:type="character" w:customStyle="1" w:styleId="82">
    <w:name w:val="正文文本缩进 字符"/>
    <w:basedOn w:val="41"/>
    <w:link w:val="16"/>
    <w:qFormat/>
    <w:uiPriority w:val="0"/>
    <w:rPr>
      <w:rFonts w:ascii="Calibri" w:hAnsi="Calibri" w:eastAsia="宋体" w:cs="Times New Roman"/>
      <w:szCs w:val="24"/>
    </w:rPr>
  </w:style>
  <w:style w:type="character" w:customStyle="1" w:styleId="83">
    <w:name w:val="正文文本缩进 2 字符"/>
    <w:basedOn w:val="41"/>
    <w:link w:val="22"/>
    <w:qFormat/>
    <w:uiPriority w:val="0"/>
    <w:rPr>
      <w:rFonts w:ascii="Calibri" w:hAnsi="Calibri" w:eastAsia="宋体" w:cs="Times New Roman"/>
      <w:szCs w:val="24"/>
    </w:rPr>
  </w:style>
  <w:style w:type="paragraph" w:customStyle="1" w:styleId="84">
    <w:name w:val="1"/>
    <w:basedOn w:val="1"/>
    <w:next w:val="1"/>
    <w:qFormat/>
    <w:uiPriority w:val="0"/>
    <w:rPr>
      <w:rFonts w:ascii="Calibri" w:hAnsi="Calibri" w:eastAsia="宋体" w:cs="Times New Roman"/>
      <w:szCs w:val="24"/>
    </w:rPr>
  </w:style>
  <w:style w:type="character" w:customStyle="1" w:styleId="85">
    <w:name w:val="正文文本 3 字符"/>
    <w:basedOn w:val="41"/>
    <w:link w:val="14"/>
    <w:qFormat/>
    <w:uiPriority w:val="0"/>
    <w:rPr>
      <w:rFonts w:ascii="宋体" w:hAnsi="Calibri" w:eastAsia="宋体" w:cs="Times New Roman"/>
      <w:sz w:val="24"/>
      <w:szCs w:val="20"/>
    </w:rPr>
  </w:style>
  <w:style w:type="paragraph" w:customStyle="1" w:styleId="86">
    <w:name w:val="Char"/>
    <w:basedOn w:val="1"/>
    <w:qFormat/>
    <w:uiPriority w:val="0"/>
    <w:pPr>
      <w:snapToGrid w:val="0"/>
      <w:spacing w:line="360" w:lineRule="auto"/>
      <w:ind w:firstLine="200" w:firstLineChars="200"/>
    </w:pPr>
    <w:rPr>
      <w:rFonts w:ascii="Arial" w:hAnsi="Arial" w:eastAsia="黑体" w:cs="Times New Roman"/>
      <w:szCs w:val="21"/>
    </w:rPr>
  </w:style>
  <w:style w:type="paragraph" w:customStyle="1" w:styleId="87">
    <w:name w:val="标题2"/>
    <w:basedOn w:val="3"/>
    <w:next w:val="1"/>
    <w:qFormat/>
    <w:uiPriority w:val="0"/>
    <w:pPr>
      <w:snapToGrid w:val="0"/>
      <w:spacing w:before="120" w:after="120" w:line="240" w:lineRule="auto"/>
      <w:jc w:val="left"/>
    </w:pPr>
    <w:rPr>
      <w:b w:val="0"/>
      <w:bCs w:val="0"/>
      <w:sz w:val="21"/>
      <w:szCs w:val="21"/>
    </w:rPr>
  </w:style>
  <w:style w:type="character" w:customStyle="1" w:styleId="88">
    <w:name w:val="纯文本 字符"/>
    <w:basedOn w:val="41"/>
    <w:link w:val="19"/>
    <w:qFormat/>
    <w:uiPriority w:val="0"/>
    <w:rPr>
      <w:rFonts w:ascii="Courier New" w:hAnsi="Courier New" w:eastAsia="宋体" w:cs="Times New Roman"/>
      <w:szCs w:val="20"/>
    </w:rPr>
  </w:style>
  <w:style w:type="character" w:customStyle="1" w:styleId="89">
    <w:name w:val="批注框文本 字符"/>
    <w:basedOn w:val="41"/>
    <w:link w:val="23"/>
    <w:qFormat/>
    <w:uiPriority w:val="0"/>
    <w:rPr>
      <w:rFonts w:ascii="Calibri" w:hAnsi="Calibri" w:eastAsia="宋体" w:cs="Times New Roman"/>
      <w:sz w:val="18"/>
      <w:szCs w:val="18"/>
    </w:rPr>
  </w:style>
  <w:style w:type="character" w:customStyle="1" w:styleId="90">
    <w:name w:val="正文文本缩进 3 字符"/>
    <w:basedOn w:val="41"/>
    <w:link w:val="29"/>
    <w:qFormat/>
    <w:uiPriority w:val="0"/>
    <w:rPr>
      <w:rFonts w:ascii="Calibri" w:hAnsi="Calibri" w:eastAsia="宋体" w:cs="Times New Roman"/>
      <w:sz w:val="16"/>
      <w:szCs w:val="16"/>
    </w:rPr>
  </w:style>
  <w:style w:type="character" w:customStyle="1" w:styleId="91">
    <w:name w:val="文档结构图 字符"/>
    <w:basedOn w:val="41"/>
    <w:link w:val="12"/>
    <w:qFormat/>
    <w:uiPriority w:val="0"/>
    <w:rPr>
      <w:rFonts w:ascii="Calibri" w:hAnsi="Calibri" w:eastAsia="宋体" w:cs="Times New Roman"/>
      <w:szCs w:val="24"/>
      <w:shd w:val="clear" w:color="auto" w:fill="000080"/>
    </w:rPr>
  </w:style>
  <w:style w:type="paragraph" w:customStyle="1" w:styleId="92">
    <w:name w:val="列表段落1"/>
    <w:basedOn w:val="1"/>
    <w:qFormat/>
    <w:uiPriority w:val="34"/>
    <w:pPr>
      <w:ind w:firstLine="420" w:firstLineChars="200"/>
    </w:pPr>
    <w:rPr>
      <w:rFonts w:ascii="Calibri" w:hAnsi="Calibri" w:eastAsia="宋体" w:cs="黑体"/>
    </w:rPr>
  </w:style>
  <w:style w:type="paragraph" w:customStyle="1" w:styleId="93">
    <w:name w:val="纯文本1"/>
    <w:basedOn w:val="1"/>
    <w:qFormat/>
    <w:uiPriority w:val="0"/>
    <w:pPr>
      <w:adjustRightInd w:val="0"/>
      <w:spacing w:line="312" w:lineRule="atLeast"/>
      <w:textAlignment w:val="baseline"/>
    </w:pPr>
    <w:rPr>
      <w:rFonts w:ascii="宋体" w:hAnsi="Courier New" w:eastAsia="宋体" w:cs="Times New Roman"/>
      <w:szCs w:val="20"/>
    </w:rPr>
  </w:style>
  <w:style w:type="paragraph" w:customStyle="1" w:styleId="94">
    <w:name w:val="p0"/>
    <w:basedOn w:val="1"/>
    <w:qFormat/>
    <w:uiPriority w:val="0"/>
    <w:pPr>
      <w:widowControl/>
    </w:pPr>
    <w:rPr>
      <w:rFonts w:ascii="Calibri" w:hAnsi="Calibri" w:eastAsia="宋体" w:cs="宋体"/>
      <w:kern w:val="0"/>
      <w:szCs w:val="21"/>
    </w:rPr>
  </w:style>
  <w:style w:type="paragraph" w:customStyle="1" w:styleId="95">
    <w:name w:val="列出段落1"/>
    <w:basedOn w:val="1"/>
    <w:qFormat/>
    <w:uiPriority w:val="0"/>
    <w:pPr>
      <w:ind w:firstLine="420" w:firstLineChars="200"/>
    </w:pPr>
    <w:rPr>
      <w:rFonts w:ascii="Calibri" w:hAnsi="Calibri" w:eastAsia="宋体" w:cs="Times New Roman"/>
    </w:rPr>
  </w:style>
  <w:style w:type="paragraph" w:customStyle="1" w:styleId="96">
    <w:name w:val="xl47"/>
    <w:basedOn w:val="1"/>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97">
    <w:name w:val="TOC 标题1"/>
    <w:basedOn w:val="2"/>
    <w:next w:val="1"/>
    <w:qFormat/>
    <w:uiPriority w:val="39"/>
    <w:pPr>
      <w:widowControl/>
      <w:spacing w:before="240" w:line="259" w:lineRule="auto"/>
      <w:jc w:val="left"/>
      <w:outlineLvl w:val="9"/>
    </w:pPr>
    <w:rPr>
      <w:rFonts w:ascii="Calibri Light" w:hAnsi="Calibri Light"/>
      <w:b w:val="0"/>
      <w:bCs w:val="0"/>
      <w:color w:val="2E74B5"/>
      <w:kern w:val="0"/>
      <w:sz w:val="32"/>
      <w:szCs w:val="32"/>
    </w:rPr>
  </w:style>
  <w:style w:type="paragraph" w:customStyle="1" w:styleId="98">
    <w:name w:val="修订1"/>
    <w:unhideWhenUsed/>
    <w:qFormat/>
    <w:uiPriority w:val="99"/>
    <w:rPr>
      <w:rFonts w:ascii="Calibri" w:hAnsi="Calibri" w:eastAsia="宋体" w:cs="Times New Roman"/>
      <w:kern w:val="2"/>
      <w:sz w:val="21"/>
      <w:szCs w:val="24"/>
      <w:lang w:val="en-US" w:eastAsia="zh-CN" w:bidi="ar-SA"/>
    </w:rPr>
  </w:style>
  <w:style w:type="character" w:customStyle="1" w:styleId="99">
    <w:name w:val="正文文本首行缩进 字符"/>
    <w:basedOn w:val="74"/>
    <w:link w:val="37"/>
    <w:qFormat/>
    <w:uiPriority w:val="0"/>
    <w:rPr>
      <w:rFonts w:ascii="Calibri" w:hAnsi="Calibri" w:eastAsia="宋体" w:cs="Times New Roman"/>
      <w:szCs w:val="24"/>
    </w:rPr>
  </w:style>
  <w:style w:type="paragraph" w:customStyle="1" w:styleId="100">
    <w:name w:val="列出段落2"/>
    <w:basedOn w:val="1"/>
    <w:qFormat/>
    <w:uiPriority w:val="34"/>
    <w:pPr>
      <w:ind w:firstLine="420" w:firstLineChars="200"/>
    </w:pPr>
    <w:rPr>
      <w:rFonts w:ascii="Times New Roman" w:hAnsi="Times New Roman" w:eastAsia="宋体" w:cs="黑体"/>
    </w:rPr>
  </w:style>
  <w:style w:type="character" w:customStyle="1" w:styleId="101">
    <w:name w:val="font51"/>
    <w:qFormat/>
    <w:uiPriority w:val="0"/>
    <w:rPr>
      <w:rFonts w:hint="eastAsia" w:ascii="宋体" w:hAnsi="宋体" w:eastAsia="宋体" w:cs="宋体"/>
      <w:color w:val="000000"/>
      <w:sz w:val="22"/>
      <w:szCs w:val="22"/>
      <w:u w:val="none"/>
    </w:rPr>
  </w:style>
  <w:style w:type="character" w:customStyle="1" w:styleId="102">
    <w:name w:val="font81"/>
    <w:qFormat/>
    <w:uiPriority w:val="0"/>
    <w:rPr>
      <w:rFonts w:hint="eastAsia" w:ascii="宋体" w:hAnsi="宋体" w:eastAsia="宋体" w:cs="宋体"/>
      <w:color w:val="000000"/>
      <w:sz w:val="22"/>
      <w:szCs w:val="22"/>
      <w:u w:val="none"/>
    </w:rPr>
  </w:style>
  <w:style w:type="character" w:customStyle="1" w:styleId="103">
    <w:name w:val="font41"/>
    <w:qFormat/>
    <w:uiPriority w:val="0"/>
    <w:rPr>
      <w:rFonts w:hint="default" w:ascii="仿宋_GB2312" w:hAnsi="Times New Roman" w:eastAsia="仿宋_GB2312" w:cs="仿宋_GB2312"/>
      <w:color w:val="000000"/>
      <w:sz w:val="24"/>
      <w:szCs w:val="24"/>
      <w:u w:val="none"/>
    </w:rPr>
  </w:style>
  <w:style w:type="character" w:customStyle="1" w:styleId="104">
    <w:name w:val="正文文本首行缩进 2 字符"/>
    <w:basedOn w:val="82"/>
    <w:link w:val="38"/>
    <w:qFormat/>
    <w:uiPriority w:val="99"/>
    <w:rPr>
      <w:rFonts w:ascii="宋体" w:hAnsi="宋体" w:eastAsia="宋体" w:cs="宋体"/>
      <w:sz w:val="28"/>
      <w:szCs w:val="28"/>
    </w:rPr>
  </w:style>
  <w:style w:type="table" w:customStyle="1" w:styleId="105">
    <w:name w:val="网格型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6">
    <w:name w:val="列表段落 字符"/>
    <w:link w:val="67"/>
    <w:qFormat/>
    <w:uiPriority w:val="34"/>
    <w:rPr>
      <w:rFonts w:ascii="Calibri" w:hAnsi="Calibri" w:eastAsia="宋体" w:cs="Times New Roman"/>
      <w:szCs w:val="24"/>
    </w:rPr>
  </w:style>
  <w:style w:type="paragraph" w:customStyle="1" w:styleId="10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19366</Words>
  <Characters>19687</Characters>
  <Lines>179</Lines>
  <Paragraphs>50</Paragraphs>
  <TotalTime>1</TotalTime>
  <ScaleCrop>false</ScaleCrop>
  <LinksUpToDate>false</LinksUpToDate>
  <CharactersWithSpaces>19784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2025-01-16T13:03:00Z</dcterms:created>
  <dc:creator>吴友旺</dc:creator>
  <cp:lastModifiedBy>Iron～SO! </cp:lastModifiedBy>
  <dcterms:modified xsi:type="dcterms:W3CDTF">2025-03-12T13:01:23Z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eyJoZGlkIjoiMGRjMjkzN2FmYzg2NzA2MDIyZmYzMjA1NmRlNTdlMDMiLCJ1c2VySWQiOiIzMTE3Nzk3MzkifQ==</vt:lpwstr>
  </property>
  <property fmtid="{D5CDD505-2E9C-101B-9397-08002B2CF9AE}" pid="3" name="KSOProductBuildVer">
    <vt:lpwstr>2052-12.1.0.20305</vt:lpwstr>
  </property>
  <property fmtid="{D5CDD505-2E9C-101B-9397-08002B2CF9AE}" pid="4" name="ICV">
    <vt:lpwstr>3B96F4B2EC0449A092CB492299623E28_13</vt:lpwstr>
  </property>
</Properties>
</file>