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DBA54">
      <w:pPr>
        <w:spacing w:line="360" w:lineRule="auto"/>
        <w:rPr>
          <w:rFonts w:ascii="宋体" w:hAnsi="宋体" w:cs="宋体"/>
          <w:color w:val="auto"/>
          <w:highlight w:val="none"/>
        </w:rPr>
      </w:pPr>
    </w:p>
    <w:p w14:paraId="262AFDF7">
      <w:pPr>
        <w:spacing w:line="360" w:lineRule="auto"/>
        <w:rPr>
          <w:rFonts w:ascii="宋体" w:hAnsi="宋体" w:cs="宋体"/>
          <w:color w:val="auto"/>
          <w:highlight w:val="none"/>
        </w:rPr>
      </w:pPr>
    </w:p>
    <w:p w14:paraId="67CEA3B0">
      <w:pPr>
        <w:spacing w:line="60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番禺汽车城金轩二路B线工程检测（监测）</w:t>
      </w:r>
    </w:p>
    <w:p w14:paraId="7B72F257">
      <w:pPr>
        <w:pStyle w:val="15"/>
        <w:spacing w:after="0" w:line="600" w:lineRule="auto"/>
        <w:rPr>
          <w:rFonts w:ascii="宋体" w:hAnsi="宋体" w:cs="宋体"/>
          <w:color w:val="auto"/>
          <w:highlight w:val="none"/>
        </w:rPr>
      </w:pPr>
    </w:p>
    <w:p w14:paraId="6472B71A">
      <w:pPr>
        <w:spacing w:line="360" w:lineRule="auto"/>
        <w:rPr>
          <w:rFonts w:ascii="宋体" w:hAnsi="宋体" w:cs="宋体"/>
          <w:color w:val="auto"/>
          <w:sz w:val="36"/>
          <w:szCs w:val="36"/>
          <w:highlight w:val="none"/>
        </w:rPr>
      </w:pPr>
    </w:p>
    <w:p w14:paraId="69F330A9">
      <w:pPr>
        <w:spacing w:line="360" w:lineRule="auto"/>
        <w:rPr>
          <w:rFonts w:ascii="宋体" w:hAnsi="宋体" w:cs="宋体"/>
          <w:color w:val="auto"/>
          <w:sz w:val="36"/>
          <w:szCs w:val="36"/>
          <w:highlight w:val="none"/>
        </w:rPr>
      </w:pPr>
    </w:p>
    <w:p w14:paraId="6E76E183">
      <w:pPr>
        <w:spacing w:line="360" w:lineRule="auto"/>
        <w:rPr>
          <w:rFonts w:ascii="宋体" w:hAnsi="宋体" w:cs="宋体"/>
          <w:color w:val="auto"/>
          <w:sz w:val="36"/>
          <w:szCs w:val="36"/>
          <w:highlight w:val="none"/>
        </w:rPr>
      </w:pPr>
    </w:p>
    <w:p w14:paraId="3E222D1C">
      <w:pPr>
        <w:spacing w:line="360" w:lineRule="auto"/>
        <w:rPr>
          <w:rFonts w:ascii="宋体" w:hAnsi="宋体" w:cs="宋体"/>
          <w:color w:val="auto"/>
          <w:sz w:val="36"/>
          <w:szCs w:val="36"/>
          <w:highlight w:val="none"/>
        </w:rPr>
      </w:pPr>
    </w:p>
    <w:p w14:paraId="33432F5F">
      <w:pPr>
        <w:spacing w:line="360" w:lineRule="auto"/>
        <w:jc w:val="center"/>
        <w:rPr>
          <w:rFonts w:ascii="宋体" w:hAnsi="宋体" w:cs="宋体"/>
          <w:b/>
          <w:color w:val="auto"/>
          <w:sz w:val="84"/>
          <w:szCs w:val="84"/>
          <w:highlight w:val="none"/>
        </w:rPr>
      </w:pPr>
      <w:r>
        <w:rPr>
          <w:rFonts w:hint="eastAsia" w:ascii="宋体" w:hAnsi="宋体" w:cs="宋体"/>
          <w:b/>
          <w:color w:val="auto"/>
          <w:sz w:val="84"/>
          <w:szCs w:val="84"/>
          <w:highlight w:val="none"/>
        </w:rPr>
        <w:t>招标文件</w:t>
      </w:r>
    </w:p>
    <w:p w14:paraId="65B0AD5A">
      <w:pPr>
        <w:spacing w:line="360" w:lineRule="auto"/>
        <w:rPr>
          <w:rFonts w:ascii="宋体" w:hAnsi="宋体" w:cs="宋体"/>
          <w:color w:val="auto"/>
          <w:sz w:val="36"/>
          <w:szCs w:val="36"/>
          <w:highlight w:val="none"/>
        </w:rPr>
      </w:pPr>
    </w:p>
    <w:p w14:paraId="5B65C285">
      <w:pPr>
        <w:spacing w:line="360" w:lineRule="auto"/>
        <w:rPr>
          <w:rFonts w:ascii="宋体" w:hAnsi="宋体" w:cs="宋体"/>
          <w:color w:val="auto"/>
          <w:sz w:val="36"/>
          <w:szCs w:val="36"/>
          <w:highlight w:val="none"/>
        </w:rPr>
      </w:pPr>
    </w:p>
    <w:p w14:paraId="36499C12">
      <w:pPr>
        <w:spacing w:line="360" w:lineRule="auto"/>
        <w:rPr>
          <w:rFonts w:ascii="宋体" w:hAnsi="宋体" w:cs="宋体"/>
          <w:color w:val="auto"/>
          <w:sz w:val="36"/>
          <w:szCs w:val="36"/>
          <w:highlight w:val="none"/>
        </w:rPr>
      </w:pPr>
    </w:p>
    <w:p w14:paraId="75838F68">
      <w:pPr>
        <w:spacing w:line="360" w:lineRule="auto"/>
        <w:rPr>
          <w:rFonts w:ascii="宋体" w:hAnsi="宋体" w:cs="宋体"/>
          <w:color w:val="auto"/>
          <w:sz w:val="36"/>
          <w:szCs w:val="36"/>
          <w:highlight w:val="none"/>
        </w:rPr>
      </w:pPr>
    </w:p>
    <w:p w14:paraId="3C334AF9">
      <w:pPr>
        <w:spacing w:line="360" w:lineRule="auto"/>
        <w:rPr>
          <w:rFonts w:ascii="宋体" w:hAnsi="宋体" w:cs="宋体"/>
          <w:color w:val="auto"/>
          <w:sz w:val="36"/>
          <w:szCs w:val="36"/>
          <w:highlight w:val="none"/>
        </w:rPr>
      </w:pPr>
    </w:p>
    <w:p w14:paraId="08C8C98F">
      <w:pPr>
        <w:spacing w:line="360" w:lineRule="auto"/>
        <w:rPr>
          <w:rFonts w:ascii="宋体" w:hAnsi="宋体" w:cs="宋体"/>
          <w:color w:val="auto"/>
          <w:sz w:val="36"/>
          <w:szCs w:val="36"/>
          <w:highlight w:val="none"/>
        </w:rPr>
      </w:pPr>
    </w:p>
    <w:p w14:paraId="7A35BE74">
      <w:pPr>
        <w:spacing w:line="360" w:lineRule="auto"/>
        <w:ind w:firstLine="964" w:firstLineChars="300"/>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招标单位：广州市番禺区基本建设投资管理中心</w:t>
      </w:r>
    </w:p>
    <w:p w14:paraId="1C66BE65">
      <w:pPr>
        <w:spacing w:line="360" w:lineRule="auto"/>
        <w:ind w:firstLine="945"/>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招标代理单位：</w:t>
      </w:r>
      <w:r>
        <w:rPr>
          <w:rFonts w:hint="eastAsia" w:ascii="宋体" w:hAnsi="宋体" w:cs="宋体"/>
          <w:b/>
          <w:bCs/>
          <w:color w:val="auto"/>
          <w:sz w:val="32"/>
          <w:szCs w:val="32"/>
          <w:highlight w:val="none"/>
          <w:lang w:eastAsia="zh-CN"/>
        </w:rPr>
        <w:t>广东粤能工程管理有限公司</w:t>
      </w:r>
      <w:r>
        <w:rPr>
          <w:rFonts w:hint="eastAsia" w:ascii="宋体" w:hAnsi="宋体" w:cs="宋体"/>
          <w:b/>
          <w:bCs/>
          <w:color w:val="auto"/>
          <w:sz w:val="32"/>
          <w:szCs w:val="32"/>
          <w:highlight w:val="none"/>
        </w:rPr>
        <w:t xml:space="preserve"> </w:t>
      </w:r>
    </w:p>
    <w:p w14:paraId="1CDF277F">
      <w:pPr>
        <w:spacing w:line="360" w:lineRule="auto"/>
        <w:ind w:firstLine="945"/>
        <w:rPr>
          <w:rFonts w:ascii="宋体" w:hAnsi="宋体" w:cs="宋体"/>
          <w:b/>
          <w:bCs/>
          <w:color w:val="auto"/>
          <w:sz w:val="32"/>
          <w:szCs w:val="32"/>
          <w:highlight w:val="none"/>
        </w:rPr>
      </w:pPr>
      <w:r>
        <w:rPr>
          <w:rFonts w:hint="eastAsia" w:ascii="宋体" w:hAnsi="宋体" w:cs="宋体"/>
          <w:b/>
          <w:bCs/>
          <w:color w:val="auto"/>
          <w:sz w:val="32"/>
          <w:szCs w:val="32"/>
          <w:highlight w:val="none"/>
        </w:rPr>
        <w:t>日期：</w:t>
      </w:r>
      <w:r>
        <w:rPr>
          <w:rFonts w:ascii="宋体" w:hAnsi="宋体" w:cs="宋体"/>
          <w:b/>
          <w:bCs/>
          <w:color w:val="auto"/>
          <w:sz w:val="32"/>
          <w:szCs w:val="32"/>
          <w:highlight w:val="none"/>
        </w:rPr>
        <w:t>20</w:t>
      </w:r>
      <w:r>
        <w:rPr>
          <w:rFonts w:hint="eastAsia" w:ascii="宋体" w:hAnsi="宋体" w:cs="宋体"/>
          <w:b/>
          <w:bCs/>
          <w:color w:val="auto"/>
          <w:sz w:val="32"/>
          <w:szCs w:val="32"/>
          <w:highlight w:val="none"/>
        </w:rPr>
        <w:t>25年</w:t>
      </w:r>
      <w:r>
        <w:rPr>
          <w:rFonts w:hint="eastAsia" w:ascii="宋体" w:hAnsi="宋体" w:cs="宋体"/>
          <w:b/>
          <w:bCs/>
          <w:color w:val="auto"/>
          <w:sz w:val="32"/>
          <w:szCs w:val="32"/>
          <w:highlight w:val="none"/>
          <w:lang w:val="en-US" w:eastAsia="zh-CN"/>
        </w:rPr>
        <w:t>3</w:t>
      </w:r>
      <w:r>
        <w:rPr>
          <w:rFonts w:hint="eastAsia" w:ascii="宋体" w:hAnsi="宋体" w:cs="宋体"/>
          <w:b/>
          <w:bCs/>
          <w:color w:val="auto"/>
          <w:sz w:val="32"/>
          <w:szCs w:val="32"/>
          <w:highlight w:val="none"/>
        </w:rPr>
        <w:t>月</w:t>
      </w:r>
    </w:p>
    <w:p w14:paraId="5B107310">
      <w:pPr>
        <w:pStyle w:val="15"/>
        <w:spacing w:after="0" w:line="360" w:lineRule="auto"/>
        <w:rPr>
          <w:rFonts w:ascii="宋体" w:hAnsi="宋体" w:cs="宋体"/>
          <w:color w:val="auto"/>
          <w:sz w:val="28"/>
          <w:highlight w:val="none"/>
        </w:rPr>
      </w:pPr>
    </w:p>
    <w:p w14:paraId="6A70F6E9">
      <w:pPr>
        <w:pStyle w:val="15"/>
        <w:spacing w:after="0" w:line="360" w:lineRule="auto"/>
        <w:rPr>
          <w:rFonts w:ascii="宋体" w:hAnsi="宋体" w:cs="宋体"/>
          <w:color w:val="auto"/>
          <w:sz w:val="28"/>
          <w:highlight w:val="none"/>
        </w:rPr>
        <w:sectPr>
          <w:footerReference r:id="rId3" w:type="default"/>
          <w:pgSz w:w="11905" w:h="16838"/>
          <w:pgMar w:top="1417" w:right="1417" w:bottom="1417" w:left="1417" w:header="851" w:footer="850" w:gutter="0"/>
          <w:cols w:space="720" w:num="1"/>
          <w:titlePg/>
          <w:docGrid w:type="lines" w:linePitch="312" w:charSpace="0"/>
        </w:sectPr>
      </w:pPr>
    </w:p>
    <w:p w14:paraId="42FBF2A9">
      <w:pPr>
        <w:spacing w:line="360" w:lineRule="auto"/>
        <w:jc w:val="center"/>
        <w:rPr>
          <w:rFonts w:ascii="宋体" w:hAnsi="宋体" w:cs="宋体"/>
          <w:bCs/>
          <w:color w:val="auto"/>
          <w:sz w:val="52"/>
          <w:highlight w:val="none"/>
        </w:rPr>
      </w:pPr>
      <w:r>
        <w:rPr>
          <w:rFonts w:hint="eastAsia" w:ascii="宋体" w:hAnsi="宋体" w:cs="宋体"/>
          <w:bCs/>
          <w:color w:val="auto"/>
          <w:sz w:val="52"/>
          <w:highlight w:val="none"/>
        </w:rPr>
        <w:t>重要提示</w:t>
      </w:r>
    </w:p>
    <w:p w14:paraId="6D6DA7E4">
      <w:pPr>
        <w:spacing w:line="360" w:lineRule="auto"/>
        <w:ind w:firstLine="537" w:firstLineChars="224"/>
        <w:jc w:val="center"/>
        <w:rPr>
          <w:rFonts w:ascii="宋体" w:hAnsi="宋体" w:cs="宋体"/>
          <w:bCs/>
          <w:color w:val="auto"/>
          <w:sz w:val="24"/>
          <w:highlight w:val="none"/>
        </w:rPr>
      </w:pPr>
    </w:p>
    <w:p w14:paraId="49285B06">
      <w:pPr>
        <w:spacing w:line="360" w:lineRule="auto"/>
        <w:ind w:firstLine="480" w:firstLineChars="200"/>
        <w:rPr>
          <w:rFonts w:ascii="宋体" w:hAnsi="宋体" w:cs="宋体"/>
          <w:color w:val="auto"/>
          <w:sz w:val="24"/>
          <w:highlight w:val="none"/>
        </w:rPr>
        <w:sectPr>
          <w:pgSz w:w="11905" w:h="16838"/>
          <w:pgMar w:top="1418" w:right="1701" w:bottom="1418" w:left="1701" w:header="851" w:footer="794" w:gutter="0"/>
          <w:pgNumType w:start="1"/>
          <w:cols w:space="720" w:num="1"/>
          <w:docGrid w:type="lines" w:linePitch="312" w:charSpace="0"/>
        </w:sectPr>
      </w:pPr>
      <w:r>
        <w:rPr>
          <w:rFonts w:hint="eastAsia" w:ascii="宋体" w:hAnsi="宋体" w:cs="宋体"/>
          <w:color w:val="auto"/>
          <w:sz w:val="24"/>
          <w:highlight w:val="none"/>
        </w:rPr>
        <w:t>本项目实施电子招投标，投标人应先认真阅读《房屋建筑和市政基础设施工程全流程电子化项目专章》。</w:t>
      </w:r>
    </w:p>
    <w:p w14:paraId="6120CEC9">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14:paraId="7545A2EB">
      <w:pPr>
        <w:pStyle w:val="13"/>
        <w:tabs>
          <w:tab w:val="right" w:leader="dot" w:pos="8503"/>
        </w:tabs>
        <w:spacing w:before="0" w:after="0" w:line="360" w:lineRule="auto"/>
        <w:rPr>
          <w:color w:val="auto"/>
          <w:highlight w:val="none"/>
        </w:rPr>
      </w:pPr>
      <w:bookmarkStart w:id="0" w:name="_Toc377719897"/>
      <w:r>
        <w:rPr>
          <w:rFonts w:hint="eastAsia" w:ascii="宋体" w:hAnsi="宋体" w:cs="宋体"/>
          <w:b w:val="0"/>
          <w:bCs w:val="0"/>
          <w:color w:val="auto"/>
          <w:kern w:val="44"/>
          <w:sz w:val="21"/>
          <w:szCs w:val="21"/>
          <w:highlight w:val="none"/>
        </w:rPr>
        <w:fldChar w:fldCharType="begin"/>
      </w:r>
      <w:r>
        <w:rPr>
          <w:rFonts w:hint="eastAsia" w:ascii="宋体" w:hAnsi="宋体" w:cs="宋体"/>
          <w:b w:val="0"/>
          <w:bCs w:val="0"/>
          <w:color w:val="auto"/>
          <w:kern w:val="44"/>
          <w:sz w:val="21"/>
          <w:szCs w:val="21"/>
          <w:highlight w:val="none"/>
        </w:rPr>
        <w:instrText xml:space="preserve">TOC \o "1-2" \h \u </w:instrText>
      </w:r>
      <w:r>
        <w:rPr>
          <w:rFonts w:hint="eastAsia" w:ascii="宋体" w:hAnsi="宋体" w:cs="宋体"/>
          <w:b w:val="0"/>
          <w:bCs w:val="0"/>
          <w:color w:val="auto"/>
          <w:kern w:val="44"/>
          <w:sz w:val="21"/>
          <w:szCs w:val="21"/>
          <w:highlight w:val="none"/>
        </w:rPr>
        <w:fldChar w:fldCharType="separate"/>
      </w:r>
      <w:r>
        <w:rPr>
          <w:color w:val="auto"/>
          <w:highlight w:val="none"/>
        </w:rPr>
        <w:fldChar w:fldCharType="begin"/>
      </w:r>
      <w:r>
        <w:rPr>
          <w:color w:val="auto"/>
          <w:highlight w:val="none"/>
        </w:rPr>
        <w:instrText xml:space="preserve"> HYPERLINK \l "_Toc3058" </w:instrText>
      </w:r>
      <w:r>
        <w:rPr>
          <w:color w:val="auto"/>
          <w:highlight w:val="none"/>
        </w:rPr>
        <w:fldChar w:fldCharType="separate"/>
      </w:r>
      <w:r>
        <w:rPr>
          <w:rFonts w:hint="eastAsia" w:ascii="宋体"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_Toc3058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4A457F0">
      <w:pPr>
        <w:pStyle w:val="13"/>
        <w:tabs>
          <w:tab w:val="right" w:leader="dot" w:pos="8503"/>
        </w:tabs>
        <w:spacing w:before="0" w:after="0" w:line="360" w:lineRule="auto"/>
        <w:rPr>
          <w:color w:val="auto"/>
          <w:highlight w:val="none"/>
        </w:rPr>
      </w:pPr>
      <w:r>
        <w:rPr>
          <w:color w:val="auto"/>
          <w:highlight w:val="none"/>
        </w:rPr>
        <w:fldChar w:fldCharType="begin"/>
      </w:r>
      <w:r>
        <w:rPr>
          <w:color w:val="auto"/>
          <w:highlight w:val="none"/>
        </w:rPr>
        <w:instrText xml:space="preserve"> HYPERLINK \l "_Toc11430" </w:instrText>
      </w:r>
      <w:r>
        <w:rPr>
          <w:color w:val="auto"/>
          <w:highlight w:val="none"/>
        </w:rPr>
        <w:fldChar w:fldCharType="separate"/>
      </w:r>
      <w:r>
        <w:rPr>
          <w:rFonts w:hint="eastAsia" w:ascii="宋体" w:hAnsi="宋体" w:cs="宋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_Toc11430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62381F0E">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"_Toc25358" </w:instrText>
      </w:r>
      <w:r>
        <w:rPr>
          <w:color w:val="auto"/>
          <w:highlight w:val="none"/>
        </w:rPr>
        <w:fldChar w:fldCharType="separate"/>
      </w:r>
      <w:r>
        <w:rPr>
          <w:rFonts w:hint="eastAsia" w:ascii="宋体" w:hAnsi="宋体" w:cs="宋体"/>
          <w:color w:val="auto"/>
          <w:szCs w:val="36"/>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_Toc25358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1BDA4CA">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"_Toc12986" </w:instrText>
      </w:r>
      <w:r>
        <w:rPr>
          <w:color w:val="auto"/>
          <w:highlight w:val="none"/>
        </w:rPr>
        <w:fldChar w:fldCharType="separate"/>
      </w:r>
      <w:r>
        <w:rPr>
          <w:rFonts w:hint="eastAsia" w:ascii="宋体" w:hAnsi="宋体" w:cs="宋体"/>
          <w:bCs/>
          <w:color w:val="auto"/>
          <w:kern w:val="44"/>
          <w:szCs w:val="36"/>
          <w:highlight w:val="none"/>
        </w:rPr>
        <w:t>投标人须知</w:t>
      </w:r>
      <w:r>
        <w:rPr>
          <w:color w:val="auto"/>
          <w:highlight w:val="none"/>
        </w:rPr>
        <w:tab/>
      </w:r>
      <w:r>
        <w:rPr>
          <w:color w:val="auto"/>
          <w:highlight w:val="none"/>
        </w:rPr>
        <w:fldChar w:fldCharType="begin"/>
      </w:r>
      <w:r>
        <w:rPr>
          <w:color w:val="auto"/>
          <w:highlight w:val="none"/>
        </w:rPr>
        <w:instrText xml:space="preserve"> PAGEREF _Toc12986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8D3FF9F">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"_Toc30141" </w:instrText>
      </w:r>
      <w:r>
        <w:rPr>
          <w:color w:val="auto"/>
          <w:highlight w:val="none"/>
        </w:rPr>
        <w:fldChar w:fldCharType="separate"/>
      </w:r>
      <w:r>
        <w:rPr>
          <w:rFonts w:hint="eastAsia" w:ascii="宋体" w:hAnsi="宋体" w:cs="宋体"/>
          <w:bCs/>
          <w:color w:val="auto"/>
          <w:szCs w:val="32"/>
          <w:highlight w:val="none"/>
        </w:rPr>
        <w:t>1.总则</w:t>
      </w:r>
      <w:r>
        <w:rPr>
          <w:color w:val="auto"/>
          <w:highlight w:val="none"/>
        </w:rPr>
        <w:tab/>
      </w:r>
      <w:r>
        <w:rPr>
          <w:color w:val="auto"/>
          <w:highlight w:val="none"/>
        </w:rPr>
        <w:fldChar w:fldCharType="begin"/>
      </w:r>
      <w:r>
        <w:rPr>
          <w:color w:val="auto"/>
          <w:highlight w:val="none"/>
        </w:rPr>
        <w:instrText xml:space="preserve"> PAGEREF _Toc30141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687A788">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"_Toc13966" </w:instrText>
      </w:r>
      <w:r>
        <w:rPr>
          <w:color w:val="auto"/>
          <w:highlight w:val="none"/>
        </w:rPr>
        <w:fldChar w:fldCharType="separate"/>
      </w:r>
      <w:r>
        <w:rPr>
          <w:rFonts w:hint="eastAsia" w:ascii="宋体" w:hAnsi="宋体" w:cs="宋体"/>
          <w:bCs/>
          <w:color w:val="auto"/>
          <w:szCs w:val="32"/>
          <w:highlight w:val="none"/>
        </w:rPr>
        <w:t>2.招标文件</w:t>
      </w:r>
      <w:r>
        <w:rPr>
          <w:color w:val="auto"/>
          <w:highlight w:val="none"/>
        </w:rPr>
        <w:tab/>
      </w:r>
      <w:r>
        <w:rPr>
          <w:color w:val="auto"/>
          <w:highlight w:val="none"/>
        </w:rPr>
        <w:fldChar w:fldCharType="begin"/>
      </w:r>
      <w:r>
        <w:rPr>
          <w:color w:val="auto"/>
          <w:highlight w:val="none"/>
        </w:rPr>
        <w:instrText xml:space="preserve"> PAGEREF _Toc13966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F350562">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"_Toc14013" </w:instrText>
      </w:r>
      <w:r>
        <w:rPr>
          <w:color w:val="auto"/>
          <w:highlight w:val="none"/>
        </w:rPr>
        <w:fldChar w:fldCharType="separate"/>
      </w:r>
      <w:r>
        <w:rPr>
          <w:rFonts w:hint="eastAsia" w:ascii="宋体" w:hAnsi="宋体" w:cs="宋体"/>
          <w:bCs/>
          <w:color w:val="auto"/>
          <w:szCs w:val="32"/>
          <w:highlight w:val="none"/>
        </w:rPr>
        <w:t>3.投标文件</w:t>
      </w:r>
      <w:r>
        <w:rPr>
          <w:color w:val="auto"/>
          <w:highlight w:val="none"/>
        </w:rPr>
        <w:tab/>
      </w:r>
      <w:r>
        <w:rPr>
          <w:color w:val="auto"/>
          <w:highlight w:val="none"/>
        </w:rPr>
        <w:fldChar w:fldCharType="begin"/>
      </w:r>
      <w:r>
        <w:rPr>
          <w:color w:val="auto"/>
          <w:highlight w:val="none"/>
        </w:rPr>
        <w:instrText xml:space="preserve"> PAGEREF _Toc14013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61754A1">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"_Toc3516" </w:instrText>
      </w:r>
      <w:r>
        <w:rPr>
          <w:color w:val="auto"/>
          <w:highlight w:val="none"/>
        </w:rPr>
        <w:fldChar w:fldCharType="separate"/>
      </w:r>
      <w:r>
        <w:rPr>
          <w:rFonts w:hint="eastAsia" w:ascii="宋体" w:hAnsi="宋体" w:cs="宋体"/>
          <w:bCs/>
          <w:color w:val="auto"/>
          <w:szCs w:val="32"/>
          <w:highlight w:val="none"/>
        </w:rPr>
        <w:t>4.投标</w:t>
      </w:r>
      <w:r>
        <w:rPr>
          <w:color w:val="auto"/>
          <w:highlight w:val="none"/>
        </w:rPr>
        <w:tab/>
      </w:r>
      <w:r>
        <w:rPr>
          <w:color w:val="auto"/>
          <w:highlight w:val="none"/>
        </w:rPr>
        <w:fldChar w:fldCharType="begin"/>
      </w:r>
      <w:r>
        <w:rPr>
          <w:color w:val="auto"/>
          <w:highlight w:val="none"/>
        </w:rPr>
        <w:instrText xml:space="preserve"> PAGEREF _Toc3516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EBBB9B3">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"_Toc25545" </w:instrText>
      </w:r>
      <w:r>
        <w:rPr>
          <w:color w:val="auto"/>
          <w:highlight w:val="none"/>
        </w:rPr>
        <w:fldChar w:fldCharType="separate"/>
      </w:r>
      <w:r>
        <w:rPr>
          <w:rFonts w:hint="eastAsia" w:ascii="宋体" w:hAnsi="宋体" w:cs="宋体"/>
          <w:bCs/>
          <w:color w:val="auto"/>
          <w:szCs w:val="32"/>
          <w:highlight w:val="none"/>
        </w:rPr>
        <w:t>5.开标</w:t>
      </w:r>
      <w:r>
        <w:rPr>
          <w:color w:val="auto"/>
          <w:highlight w:val="none"/>
        </w:rPr>
        <w:tab/>
      </w:r>
      <w:r>
        <w:rPr>
          <w:color w:val="auto"/>
          <w:highlight w:val="none"/>
        </w:rPr>
        <w:fldChar w:fldCharType="begin"/>
      </w:r>
      <w:r>
        <w:rPr>
          <w:color w:val="auto"/>
          <w:highlight w:val="none"/>
        </w:rPr>
        <w:instrText xml:space="preserve"> PAGEREF _Toc25545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DD30A84">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"_Toc27507" </w:instrText>
      </w:r>
      <w:r>
        <w:rPr>
          <w:color w:val="auto"/>
          <w:highlight w:val="none"/>
        </w:rPr>
        <w:fldChar w:fldCharType="separate"/>
      </w:r>
      <w:r>
        <w:rPr>
          <w:rFonts w:hint="eastAsia" w:ascii="宋体" w:hAnsi="宋体" w:cs="宋体"/>
          <w:bCs/>
          <w:color w:val="auto"/>
          <w:szCs w:val="32"/>
          <w:highlight w:val="none"/>
        </w:rPr>
        <w:t>6.评标</w:t>
      </w:r>
      <w:r>
        <w:rPr>
          <w:color w:val="auto"/>
          <w:highlight w:val="none"/>
        </w:rPr>
        <w:tab/>
      </w:r>
      <w:r>
        <w:rPr>
          <w:color w:val="auto"/>
          <w:highlight w:val="none"/>
        </w:rPr>
        <w:fldChar w:fldCharType="begin"/>
      </w:r>
      <w:r>
        <w:rPr>
          <w:color w:val="auto"/>
          <w:highlight w:val="none"/>
        </w:rPr>
        <w:instrText xml:space="preserve"> PAGEREF _Toc27507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9E2AD3B">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"_Toc9775" </w:instrText>
      </w:r>
      <w:r>
        <w:rPr>
          <w:color w:val="auto"/>
          <w:highlight w:val="none"/>
        </w:rPr>
        <w:fldChar w:fldCharType="separate"/>
      </w:r>
      <w:r>
        <w:rPr>
          <w:rFonts w:hint="eastAsia" w:ascii="宋体" w:hAnsi="宋体" w:cs="宋体"/>
          <w:bCs/>
          <w:color w:val="auto"/>
          <w:szCs w:val="32"/>
          <w:highlight w:val="none"/>
        </w:rPr>
        <w:t>7.合同授予</w:t>
      </w:r>
      <w:r>
        <w:rPr>
          <w:color w:val="auto"/>
          <w:highlight w:val="none"/>
        </w:rPr>
        <w:tab/>
      </w:r>
      <w:r>
        <w:rPr>
          <w:color w:val="auto"/>
          <w:highlight w:val="none"/>
        </w:rPr>
        <w:fldChar w:fldCharType="begin"/>
      </w:r>
      <w:r>
        <w:rPr>
          <w:color w:val="auto"/>
          <w:highlight w:val="none"/>
        </w:rPr>
        <w:instrText xml:space="preserve"> PAGEREF _Toc9775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7C213D26">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"_Toc29502" </w:instrText>
      </w:r>
      <w:r>
        <w:rPr>
          <w:color w:val="auto"/>
          <w:highlight w:val="none"/>
        </w:rPr>
        <w:fldChar w:fldCharType="separate"/>
      </w:r>
      <w:r>
        <w:rPr>
          <w:rFonts w:hint="eastAsia" w:ascii="宋体" w:hAnsi="宋体" w:cs="宋体"/>
          <w:bCs/>
          <w:color w:val="auto"/>
          <w:szCs w:val="32"/>
          <w:highlight w:val="none"/>
        </w:rPr>
        <w:t>8.纪律和监督</w:t>
      </w:r>
      <w:r>
        <w:rPr>
          <w:color w:val="auto"/>
          <w:highlight w:val="none"/>
        </w:rPr>
        <w:tab/>
      </w:r>
      <w:r>
        <w:rPr>
          <w:color w:val="auto"/>
          <w:highlight w:val="none"/>
        </w:rPr>
        <w:fldChar w:fldCharType="begin"/>
      </w:r>
      <w:r>
        <w:rPr>
          <w:color w:val="auto"/>
          <w:highlight w:val="none"/>
        </w:rPr>
        <w:instrText xml:space="preserve"> PAGEREF _Toc29502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23E6226E">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"_Toc31993" </w:instrText>
      </w:r>
      <w:r>
        <w:rPr>
          <w:color w:val="auto"/>
          <w:highlight w:val="none"/>
        </w:rPr>
        <w:fldChar w:fldCharType="separate"/>
      </w:r>
      <w:r>
        <w:rPr>
          <w:rFonts w:hint="eastAsia" w:ascii="宋体" w:hAnsi="宋体" w:cs="宋体"/>
          <w:bCs/>
          <w:color w:val="auto"/>
          <w:szCs w:val="32"/>
          <w:highlight w:val="none"/>
        </w:rPr>
        <w:t>9.是否采用电子招标投标</w:t>
      </w:r>
      <w:r>
        <w:rPr>
          <w:color w:val="auto"/>
          <w:highlight w:val="none"/>
        </w:rPr>
        <w:tab/>
      </w:r>
      <w:r>
        <w:rPr>
          <w:color w:val="auto"/>
          <w:highlight w:val="none"/>
        </w:rPr>
        <w:fldChar w:fldCharType="begin"/>
      </w:r>
      <w:r>
        <w:rPr>
          <w:color w:val="auto"/>
          <w:highlight w:val="none"/>
        </w:rPr>
        <w:instrText xml:space="preserve"> PAGEREF _Toc31993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9DD8343">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"_Toc4862" </w:instrText>
      </w:r>
      <w:r>
        <w:rPr>
          <w:color w:val="auto"/>
          <w:highlight w:val="none"/>
        </w:rPr>
        <w:fldChar w:fldCharType="separate"/>
      </w:r>
      <w:r>
        <w:rPr>
          <w:rFonts w:hint="eastAsia" w:ascii="宋体" w:hAnsi="宋体" w:cs="宋体"/>
          <w:bCs/>
          <w:color w:val="auto"/>
          <w:szCs w:val="32"/>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_Toc4862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521FAED0">
      <w:pPr>
        <w:pStyle w:val="13"/>
        <w:tabs>
          <w:tab w:val="right" w:leader="dot" w:pos="8503"/>
        </w:tabs>
        <w:spacing w:before="0" w:after="0" w:line="360" w:lineRule="auto"/>
        <w:rPr>
          <w:color w:val="auto"/>
          <w:highlight w:val="none"/>
        </w:rPr>
      </w:pPr>
      <w:r>
        <w:rPr>
          <w:color w:val="auto"/>
          <w:highlight w:val="none"/>
        </w:rPr>
        <w:fldChar w:fldCharType="begin"/>
      </w:r>
      <w:r>
        <w:rPr>
          <w:color w:val="auto"/>
          <w:highlight w:val="none"/>
        </w:rPr>
        <w:instrText xml:space="preserve"> HYPERLINK \l "_Toc25981" </w:instrText>
      </w:r>
      <w:r>
        <w:rPr>
          <w:color w:val="auto"/>
          <w:highlight w:val="none"/>
        </w:rPr>
        <w:fldChar w:fldCharType="separate"/>
      </w:r>
      <w:r>
        <w:rPr>
          <w:rFonts w:hint="eastAsia" w:ascii="宋体" w:hAnsi="宋体" w:cs="宋体"/>
          <w:color w:val="auto"/>
          <w:highlight w:val="none"/>
        </w:rPr>
        <w:t>第三章  评标办法（综合评分法）</w:t>
      </w:r>
      <w:r>
        <w:rPr>
          <w:color w:val="auto"/>
          <w:highlight w:val="none"/>
        </w:rPr>
        <w:tab/>
      </w:r>
      <w:r>
        <w:rPr>
          <w:color w:val="auto"/>
          <w:highlight w:val="none"/>
        </w:rPr>
        <w:fldChar w:fldCharType="begin"/>
      </w:r>
      <w:r>
        <w:rPr>
          <w:color w:val="auto"/>
          <w:highlight w:val="none"/>
        </w:rPr>
        <w:instrText xml:space="preserve"> PAGEREF _Toc25981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06FB77EF">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"_Toc26053" </w:instrText>
      </w:r>
      <w:r>
        <w:rPr>
          <w:color w:val="auto"/>
          <w:highlight w:val="none"/>
        </w:rPr>
        <w:fldChar w:fldCharType="separate"/>
      </w:r>
      <w:r>
        <w:rPr>
          <w:rFonts w:hint="eastAsia" w:ascii="宋体" w:hAnsi="宋体" w:cs="宋体"/>
          <w:color w:val="auto"/>
          <w:szCs w:val="36"/>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_Toc26053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53E5904">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"_Toc7506" </w:instrText>
      </w:r>
      <w:r>
        <w:rPr>
          <w:color w:val="auto"/>
          <w:highlight w:val="none"/>
        </w:rPr>
        <w:fldChar w:fldCharType="separate"/>
      </w:r>
      <w:r>
        <w:rPr>
          <w:rFonts w:hint="eastAsia" w:ascii="宋体" w:hAnsi="宋体" w:cs="宋体"/>
          <w:color w:val="auto"/>
          <w:szCs w:val="36"/>
          <w:highlight w:val="none"/>
        </w:rPr>
        <w:t>评标方法</w:t>
      </w:r>
      <w:r>
        <w:rPr>
          <w:color w:val="auto"/>
          <w:highlight w:val="none"/>
        </w:rPr>
        <w:tab/>
      </w:r>
      <w:r>
        <w:rPr>
          <w:color w:val="auto"/>
          <w:highlight w:val="none"/>
        </w:rPr>
        <w:fldChar w:fldCharType="begin"/>
      </w:r>
      <w:r>
        <w:rPr>
          <w:color w:val="auto"/>
          <w:highlight w:val="none"/>
        </w:rPr>
        <w:instrText xml:space="preserve"> PAGEREF _Toc7506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786FFE1">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"_Toc11888" </w:instrText>
      </w:r>
      <w:r>
        <w:rPr>
          <w:color w:val="auto"/>
          <w:highlight w:val="none"/>
        </w:rPr>
        <w:fldChar w:fldCharType="separate"/>
      </w:r>
      <w:r>
        <w:rPr>
          <w:rFonts w:hint="eastAsia" w:ascii="宋体" w:hAnsi="宋体" w:cs="宋体"/>
          <w:bCs/>
          <w:color w:val="auto"/>
          <w:szCs w:val="32"/>
          <w:highlight w:val="none"/>
        </w:rPr>
        <w:t>1.评标方法</w:t>
      </w:r>
      <w:r>
        <w:rPr>
          <w:color w:val="auto"/>
          <w:highlight w:val="none"/>
        </w:rPr>
        <w:tab/>
      </w:r>
      <w:r>
        <w:rPr>
          <w:color w:val="auto"/>
          <w:highlight w:val="none"/>
        </w:rPr>
        <w:fldChar w:fldCharType="begin"/>
      </w:r>
      <w:r>
        <w:rPr>
          <w:color w:val="auto"/>
          <w:highlight w:val="none"/>
        </w:rPr>
        <w:instrText xml:space="preserve"> PAGEREF _Toc11888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1868232D">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"_Toc28918" </w:instrText>
      </w:r>
      <w:r>
        <w:rPr>
          <w:color w:val="auto"/>
          <w:highlight w:val="none"/>
        </w:rPr>
        <w:fldChar w:fldCharType="separate"/>
      </w:r>
      <w:r>
        <w:rPr>
          <w:rFonts w:hint="eastAsia" w:ascii="宋体" w:hAnsi="宋体" w:cs="宋体"/>
          <w:bCs/>
          <w:color w:val="auto"/>
          <w:szCs w:val="32"/>
          <w:highlight w:val="none"/>
        </w:rPr>
        <w:t>2.评审标准</w:t>
      </w:r>
      <w:r>
        <w:rPr>
          <w:color w:val="auto"/>
          <w:highlight w:val="none"/>
        </w:rPr>
        <w:tab/>
      </w:r>
      <w:r>
        <w:rPr>
          <w:color w:val="auto"/>
          <w:highlight w:val="none"/>
        </w:rPr>
        <w:fldChar w:fldCharType="begin"/>
      </w:r>
      <w:r>
        <w:rPr>
          <w:color w:val="auto"/>
          <w:highlight w:val="none"/>
        </w:rPr>
        <w:instrText xml:space="preserve"> PAGEREF _Toc28918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0E17A7FF">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"_Toc12342" </w:instrText>
      </w:r>
      <w:r>
        <w:rPr>
          <w:color w:val="auto"/>
          <w:highlight w:val="none"/>
        </w:rPr>
        <w:fldChar w:fldCharType="separate"/>
      </w:r>
      <w:r>
        <w:rPr>
          <w:rFonts w:hint="eastAsia" w:ascii="宋体" w:hAnsi="宋体" w:cs="宋体"/>
          <w:bCs/>
          <w:color w:val="auto"/>
          <w:szCs w:val="32"/>
          <w:highlight w:val="none"/>
        </w:rPr>
        <w:t>3. 评标程序</w:t>
      </w:r>
      <w:r>
        <w:rPr>
          <w:color w:val="auto"/>
          <w:highlight w:val="none"/>
        </w:rPr>
        <w:tab/>
      </w:r>
      <w:r>
        <w:rPr>
          <w:color w:val="auto"/>
          <w:highlight w:val="none"/>
        </w:rPr>
        <w:fldChar w:fldCharType="begin"/>
      </w:r>
      <w:r>
        <w:rPr>
          <w:color w:val="auto"/>
          <w:highlight w:val="none"/>
        </w:rPr>
        <w:instrText xml:space="preserve"> PAGEREF _Toc12342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2C9B43DD">
      <w:pPr>
        <w:pStyle w:val="13"/>
        <w:tabs>
          <w:tab w:val="right" w:leader="dot" w:pos="8503"/>
        </w:tabs>
        <w:spacing w:before="0" w:after="0" w:line="360" w:lineRule="auto"/>
        <w:rPr>
          <w:color w:val="auto"/>
          <w:highlight w:val="none"/>
        </w:rPr>
      </w:pPr>
      <w:r>
        <w:rPr>
          <w:color w:val="auto"/>
          <w:highlight w:val="none"/>
        </w:rPr>
        <w:fldChar w:fldCharType="begin"/>
      </w:r>
      <w:r>
        <w:rPr>
          <w:color w:val="auto"/>
          <w:highlight w:val="none"/>
        </w:rPr>
        <w:instrText xml:space="preserve"> HYPERLINK \l "_Toc25775" </w:instrText>
      </w:r>
      <w:r>
        <w:rPr>
          <w:color w:val="auto"/>
          <w:highlight w:val="none"/>
        </w:rPr>
        <w:fldChar w:fldCharType="separate"/>
      </w:r>
      <w:r>
        <w:rPr>
          <w:rFonts w:hint="eastAsia" w:ascii="宋体" w:hAnsi="宋体" w:cs="宋体"/>
          <w:color w:val="auto"/>
          <w:szCs w:val="44"/>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_Toc25775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826428D">
      <w:pPr>
        <w:pStyle w:val="13"/>
        <w:tabs>
          <w:tab w:val="right" w:leader="dot" w:pos="8503"/>
        </w:tabs>
        <w:spacing w:before="0" w:after="0" w:line="360" w:lineRule="auto"/>
        <w:rPr>
          <w:color w:val="auto"/>
          <w:highlight w:val="none"/>
        </w:rPr>
      </w:pPr>
      <w:r>
        <w:rPr>
          <w:color w:val="auto"/>
          <w:highlight w:val="none"/>
        </w:rPr>
        <w:fldChar w:fldCharType="begin"/>
      </w:r>
      <w:r>
        <w:rPr>
          <w:color w:val="auto"/>
          <w:highlight w:val="none"/>
        </w:rPr>
        <w:instrText xml:space="preserve"> HYPERLINK \l "_Toc7302" </w:instrText>
      </w:r>
      <w:r>
        <w:rPr>
          <w:color w:val="auto"/>
          <w:highlight w:val="none"/>
        </w:rPr>
        <w:fldChar w:fldCharType="separate"/>
      </w:r>
      <w:r>
        <w:rPr>
          <w:rFonts w:hint="eastAsia" w:ascii="宋体" w:hAnsi="宋体" w:cs="宋体"/>
          <w:color w:val="auto"/>
          <w:szCs w:val="32"/>
          <w:highlight w:val="none"/>
        </w:rPr>
        <w:t>（另册）</w:t>
      </w:r>
      <w:r>
        <w:rPr>
          <w:rFonts w:hint="eastAsia" w:ascii="宋体" w:hAnsi="宋体" w:cs="宋体"/>
          <w:color w:val="auto"/>
          <w:szCs w:val="44"/>
          <w:highlight w:val="none"/>
        </w:rPr>
        <w:t>第五章  招标人要求</w:t>
      </w:r>
      <w:r>
        <w:rPr>
          <w:color w:val="auto"/>
          <w:highlight w:val="none"/>
        </w:rPr>
        <w:tab/>
      </w:r>
      <w:r>
        <w:rPr>
          <w:color w:val="auto"/>
          <w:highlight w:val="none"/>
        </w:rPr>
        <w:fldChar w:fldCharType="begin"/>
      </w:r>
      <w:r>
        <w:rPr>
          <w:color w:val="auto"/>
          <w:highlight w:val="none"/>
        </w:rPr>
        <w:instrText xml:space="preserve"> PAGEREF _Toc7302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24C4F692">
      <w:pPr>
        <w:pStyle w:val="13"/>
        <w:tabs>
          <w:tab w:val="right" w:leader="dot" w:pos="8503"/>
        </w:tabs>
        <w:spacing w:before="0" w:after="0" w:line="360" w:lineRule="auto"/>
        <w:rPr>
          <w:color w:val="auto"/>
          <w:highlight w:val="none"/>
        </w:rPr>
      </w:pPr>
      <w:r>
        <w:rPr>
          <w:color w:val="auto"/>
          <w:highlight w:val="none"/>
        </w:rPr>
        <w:fldChar w:fldCharType="begin"/>
      </w:r>
      <w:r>
        <w:rPr>
          <w:color w:val="auto"/>
          <w:highlight w:val="none"/>
        </w:rPr>
        <w:instrText xml:space="preserve"> HYPERLINK \l "_Toc12654" </w:instrText>
      </w:r>
      <w:r>
        <w:rPr>
          <w:color w:val="auto"/>
          <w:highlight w:val="none"/>
        </w:rPr>
        <w:fldChar w:fldCharType="separate"/>
      </w:r>
      <w:r>
        <w:rPr>
          <w:rFonts w:hint="eastAsia" w:ascii="宋体" w:hAnsi="宋体" w:cs="宋体"/>
          <w:bCs w:val="0"/>
          <w:color w:val="auto"/>
          <w:szCs w:val="44"/>
          <w:highlight w:val="none"/>
        </w:rPr>
        <w:t xml:space="preserve">第六章 </w:t>
      </w:r>
      <w:r>
        <w:rPr>
          <w:rFonts w:hint="eastAsia" w:ascii="宋体" w:hAnsi="宋体" w:cs="宋体"/>
          <w:color w:val="auto"/>
          <w:szCs w:val="44"/>
          <w:highlight w:val="none"/>
        </w:rPr>
        <w:t>工程量清单</w:t>
      </w:r>
      <w:r>
        <w:rPr>
          <w:color w:val="auto"/>
          <w:highlight w:val="none"/>
        </w:rPr>
        <w:tab/>
      </w:r>
      <w:r>
        <w:rPr>
          <w:color w:val="auto"/>
          <w:highlight w:val="none"/>
        </w:rPr>
        <w:fldChar w:fldCharType="begin"/>
      </w:r>
      <w:r>
        <w:rPr>
          <w:color w:val="auto"/>
          <w:highlight w:val="none"/>
        </w:rPr>
        <w:instrText xml:space="preserve"> PAGEREF _Toc12654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41F0D0AF">
      <w:pPr>
        <w:pStyle w:val="13"/>
        <w:tabs>
          <w:tab w:val="right" w:leader="dot" w:pos="8503"/>
        </w:tabs>
        <w:spacing w:before="0" w:after="0" w:line="360" w:lineRule="auto"/>
        <w:rPr>
          <w:color w:val="auto"/>
          <w:highlight w:val="none"/>
        </w:rPr>
      </w:pPr>
      <w:r>
        <w:rPr>
          <w:color w:val="auto"/>
          <w:highlight w:val="none"/>
        </w:rPr>
        <w:fldChar w:fldCharType="begin"/>
      </w:r>
      <w:r>
        <w:rPr>
          <w:color w:val="auto"/>
          <w:highlight w:val="none"/>
        </w:rPr>
        <w:instrText xml:space="preserve"> HYPERLINK \l "_Toc18657" </w:instrText>
      </w:r>
      <w:r>
        <w:rPr>
          <w:color w:val="auto"/>
          <w:highlight w:val="none"/>
        </w:rPr>
        <w:fldChar w:fldCharType="separate"/>
      </w:r>
      <w:r>
        <w:rPr>
          <w:rFonts w:hint="eastAsia" w:ascii="宋体" w:hAnsi="宋体" w:cs="宋体"/>
          <w:color w:val="auto"/>
          <w:highlight w:val="none"/>
        </w:rPr>
        <w:t>第七章  投标文件格式</w:t>
      </w:r>
      <w:r>
        <w:rPr>
          <w:color w:val="auto"/>
          <w:highlight w:val="none"/>
        </w:rPr>
        <w:tab/>
      </w:r>
      <w:r>
        <w:rPr>
          <w:color w:val="auto"/>
          <w:highlight w:val="none"/>
        </w:rPr>
        <w:fldChar w:fldCharType="begin"/>
      </w:r>
      <w:r>
        <w:rPr>
          <w:color w:val="auto"/>
          <w:highlight w:val="none"/>
        </w:rPr>
        <w:instrText xml:space="preserve"> PAGEREF _Toc18657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1A27B490">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"_Toc7606" </w:instrText>
      </w:r>
      <w:r>
        <w:rPr>
          <w:color w:val="auto"/>
          <w:highlight w:val="none"/>
        </w:rPr>
        <w:fldChar w:fldCharType="separate"/>
      </w:r>
      <w:r>
        <w:rPr>
          <w:rFonts w:hint="eastAsia" w:ascii="宋体" w:hAnsi="宋体" w:cs="宋体"/>
          <w:color w:val="auto"/>
          <w:highlight w:val="none"/>
        </w:rPr>
        <w:t>一、</w:t>
      </w:r>
      <w:r>
        <w:rPr>
          <w:rFonts w:hint="eastAsia" w:ascii="宋体" w:hAnsi="宋体" w:cs="宋体"/>
          <w:bCs/>
          <w:color w:val="auto"/>
          <w:szCs w:val="32"/>
          <w:highlight w:val="none"/>
        </w:rPr>
        <w:t>投标函及投标函附录</w:t>
      </w:r>
      <w:r>
        <w:rPr>
          <w:color w:val="auto"/>
          <w:highlight w:val="none"/>
        </w:rPr>
        <w:tab/>
      </w:r>
      <w:r>
        <w:rPr>
          <w:color w:val="auto"/>
          <w:highlight w:val="none"/>
        </w:rPr>
        <w:fldChar w:fldCharType="begin"/>
      </w:r>
      <w:r>
        <w:rPr>
          <w:color w:val="auto"/>
          <w:highlight w:val="none"/>
        </w:rPr>
        <w:instrText xml:space="preserve"> PAGEREF _Toc7606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432C99E5">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"_Toc13471" </w:instrText>
      </w:r>
      <w:r>
        <w:rPr>
          <w:color w:val="auto"/>
          <w:highlight w:val="none"/>
        </w:rPr>
        <w:fldChar w:fldCharType="separate"/>
      </w:r>
      <w:r>
        <w:rPr>
          <w:rFonts w:hint="eastAsia" w:ascii="宋体" w:hAnsi="宋体" w:cs="宋体"/>
          <w:bCs/>
          <w:color w:val="auto"/>
          <w:szCs w:val="32"/>
          <w:highlight w:val="none"/>
        </w:rPr>
        <w:t>二、法定代表人证明书及授权委托书</w:t>
      </w:r>
      <w:r>
        <w:rPr>
          <w:color w:val="auto"/>
          <w:highlight w:val="none"/>
        </w:rPr>
        <w:tab/>
      </w:r>
      <w:r>
        <w:rPr>
          <w:color w:val="auto"/>
          <w:highlight w:val="none"/>
        </w:rPr>
        <w:fldChar w:fldCharType="begin"/>
      </w:r>
      <w:r>
        <w:rPr>
          <w:color w:val="auto"/>
          <w:highlight w:val="none"/>
        </w:rPr>
        <w:instrText xml:space="preserve"> PAGEREF _Toc13471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06A09CAB">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"_Toc15064" </w:instrText>
      </w:r>
      <w:r>
        <w:rPr>
          <w:color w:val="auto"/>
          <w:highlight w:val="none"/>
        </w:rPr>
        <w:fldChar w:fldCharType="separate"/>
      </w:r>
      <w:r>
        <w:rPr>
          <w:rFonts w:hint="eastAsia" w:ascii="宋体" w:hAnsi="宋体" w:cs="宋体"/>
          <w:bCs/>
          <w:color w:val="auto"/>
          <w:szCs w:val="32"/>
          <w:highlight w:val="none"/>
        </w:rPr>
        <w:t>三、关于投标保证金的承诺</w:t>
      </w:r>
      <w:r>
        <w:rPr>
          <w:color w:val="auto"/>
          <w:highlight w:val="none"/>
        </w:rPr>
        <w:tab/>
      </w:r>
      <w:r>
        <w:rPr>
          <w:color w:val="auto"/>
          <w:highlight w:val="none"/>
        </w:rPr>
        <w:fldChar w:fldCharType="begin"/>
      </w:r>
      <w:r>
        <w:rPr>
          <w:color w:val="auto"/>
          <w:highlight w:val="none"/>
        </w:rPr>
        <w:instrText xml:space="preserve"> PAGEREF _Toc15064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2B72CC9C">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"_Toc26045" </w:instrText>
      </w:r>
      <w:r>
        <w:rPr>
          <w:color w:val="auto"/>
          <w:highlight w:val="none"/>
        </w:rPr>
        <w:fldChar w:fldCharType="separate"/>
      </w:r>
      <w:r>
        <w:rPr>
          <w:rFonts w:hint="eastAsia" w:ascii="宋体" w:hAnsi="宋体" w:cs="宋体"/>
          <w:bCs/>
          <w:color w:val="auto"/>
          <w:szCs w:val="32"/>
          <w:highlight w:val="none"/>
        </w:rPr>
        <w:t>四、联合体协议书（如有）</w:t>
      </w:r>
      <w:r>
        <w:rPr>
          <w:color w:val="auto"/>
          <w:highlight w:val="none"/>
        </w:rPr>
        <w:tab/>
      </w:r>
      <w:r>
        <w:rPr>
          <w:color w:val="auto"/>
          <w:highlight w:val="none"/>
        </w:rPr>
        <w:fldChar w:fldCharType="begin"/>
      </w:r>
      <w:r>
        <w:rPr>
          <w:color w:val="auto"/>
          <w:highlight w:val="none"/>
        </w:rPr>
        <w:instrText xml:space="preserve"> PAGEREF _Toc26045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7C087AC4">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"_Toc4362" </w:instrText>
      </w:r>
      <w:r>
        <w:rPr>
          <w:color w:val="auto"/>
          <w:highlight w:val="none"/>
        </w:rPr>
        <w:fldChar w:fldCharType="separate"/>
      </w:r>
      <w:r>
        <w:rPr>
          <w:rFonts w:hint="eastAsia" w:ascii="宋体" w:hAnsi="宋体" w:cs="宋体"/>
          <w:bCs/>
          <w:color w:val="auto"/>
          <w:szCs w:val="32"/>
          <w:highlight w:val="none"/>
        </w:rPr>
        <w:t>五、资格审查资料</w:t>
      </w:r>
      <w:r>
        <w:rPr>
          <w:color w:val="auto"/>
          <w:highlight w:val="none"/>
        </w:rPr>
        <w:tab/>
      </w:r>
      <w:r>
        <w:rPr>
          <w:color w:val="auto"/>
          <w:highlight w:val="none"/>
        </w:rPr>
        <w:fldChar w:fldCharType="begin"/>
      </w:r>
      <w:r>
        <w:rPr>
          <w:color w:val="auto"/>
          <w:highlight w:val="none"/>
        </w:rPr>
        <w:instrText xml:space="preserve"> PAGEREF _Toc4362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3E57A634">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"_Toc7456" </w:instrText>
      </w:r>
      <w:r>
        <w:rPr>
          <w:color w:val="auto"/>
          <w:highlight w:val="none"/>
        </w:rPr>
        <w:fldChar w:fldCharType="separate"/>
      </w:r>
      <w:r>
        <w:rPr>
          <w:rFonts w:hint="eastAsia" w:ascii="宋体" w:hAnsi="宋体" w:cs="宋体"/>
          <w:bCs/>
          <w:color w:val="auto"/>
          <w:szCs w:val="32"/>
          <w:highlight w:val="none"/>
        </w:rPr>
        <w:t>六、类似项目业绩表</w:t>
      </w:r>
      <w:r>
        <w:rPr>
          <w:color w:val="auto"/>
          <w:highlight w:val="none"/>
        </w:rPr>
        <w:tab/>
      </w:r>
      <w:r>
        <w:rPr>
          <w:color w:val="auto"/>
          <w:highlight w:val="none"/>
        </w:rPr>
        <w:fldChar w:fldCharType="begin"/>
      </w:r>
      <w:r>
        <w:rPr>
          <w:color w:val="auto"/>
          <w:highlight w:val="none"/>
        </w:rPr>
        <w:instrText xml:space="preserve"> PAGEREF _Toc7456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282033D5">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"_Toc22808" </w:instrText>
      </w:r>
      <w:r>
        <w:rPr>
          <w:color w:val="auto"/>
          <w:highlight w:val="none"/>
        </w:rPr>
        <w:fldChar w:fldCharType="separate"/>
      </w:r>
      <w:r>
        <w:rPr>
          <w:rFonts w:hint="eastAsia" w:ascii="宋体" w:hAnsi="宋体" w:cs="宋体"/>
          <w:color w:val="auto"/>
          <w:highlight w:val="none"/>
        </w:rPr>
        <w:t>七、拟投入本项目的人员一览表</w:t>
      </w:r>
      <w:r>
        <w:rPr>
          <w:color w:val="auto"/>
          <w:highlight w:val="none"/>
        </w:rPr>
        <w:tab/>
      </w:r>
      <w:r>
        <w:rPr>
          <w:color w:val="auto"/>
          <w:highlight w:val="none"/>
        </w:rPr>
        <w:fldChar w:fldCharType="begin"/>
      </w:r>
      <w:r>
        <w:rPr>
          <w:color w:val="auto"/>
          <w:highlight w:val="none"/>
        </w:rPr>
        <w:instrText xml:space="preserve"> PAGEREF _Toc22808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223517FF">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"_Toc9717" </w:instrText>
      </w:r>
      <w:r>
        <w:rPr>
          <w:color w:val="auto"/>
          <w:highlight w:val="none"/>
        </w:rPr>
        <w:fldChar w:fldCharType="separate"/>
      </w:r>
      <w:r>
        <w:rPr>
          <w:rFonts w:hint="eastAsia" w:ascii="宋体" w:hAnsi="宋体" w:cs="宋体"/>
          <w:color w:val="auto"/>
          <w:highlight w:val="none"/>
        </w:rPr>
        <w:t>八、拟投入本项目的人员简历表</w:t>
      </w:r>
      <w:r>
        <w:rPr>
          <w:color w:val="auto"/>
          <w:highlight w:val="none"/>
        </w:rPr>
        <w:tab/>
      </w:r>
      <w:r>
        <w:rPr>
          <w:color w:val="auto"/>
          <w:highlight w:val="none"/>
        </w:rPr>
        <w:fldChar w:fldCharType="begin"/>
      </w:r>
      <w:r>
        <w:rPr>
          <w:color w:val="auto"/>
          <w:highlight w:val="none"/>
        </w:rPr>
        <w:instrText xml:space="preserve"> PAGEREF _Toc9717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3247E74A">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"_Toc6338" </w:instrText>
      </w:r>
      <w:r>
        <w:rPr>
          <w:color w:val="auto"/>
          <w:highlight w:val="none"/>
        </w:rPr>
        <w:fldChar w:fldCharType="separate"/>
      </w:r>
      <w:r>
        <w:rPr>
          <w:rFonts w:hint="eastAsia" w:ascii="宋体" w:hAnsi="宋体" w:cs="宋体"/>
          <w:color w:val="auto"/>
          <w:highlight w:val="none"/>
        </w:rPr>
        <w:t>九、拟投入本项目的主要仪器设备一览表</w:t>
      </w:r>
      <w:r>
        <w:rPr>
          <w:color w:val="auto"/>
          <w:highlight w:val="none"/>
        </w:rPr>
        <w:tab/>
      </w:r>
      <w:r>
        <w:rPr>
          <w:color w:val="auto"/>
          <w:highlight w:val="none"/>
        </w:rPr>
        <w:fldChar w:fldCharType="begin"/>
      </w:r>
      <w:r>
        <w:rPr>
          <w:color w:val="auto"/>
          <w:highlight w:val="none"/>
        </w:rPr>
        <w:instrText xml:space="preserve"> PAGEREF _Toc6338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6881E8DF">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"_Toc24856" </w:instrText>
      </w:r>
      <w:r>
        <w:rPr>
          <w:color w:val="auto"/>
          <w:highlight w:val="none"/>
        </w:rPr>
        <w:fldChar w:fldCharType="separate"/>
      </w:r>
      <w:r>
        <w:rPr>
          <w:rFonts w:hint="eastAsia" w:ascii="宋体" w:hAnsi="宋体" w:cs="宋体"/>
          <w:bCs/>
          <w:color w:val="auto"/>
          <w:szCs w:val="32"/>
          <w:highlight w:val="none"/>
        </w:rPr>
        <w:t>十、检测监测技术方案</w:t>
      </w:r>
      <w:r>
        <w:rPr>
          <w:color w:val="auto"/>
          <w:highlight w:val="none"/>
        </w:rPr>
        <w:tab/>
      </w:r>
      <w:r>
        <w:rPr>
          <w:color w:val="auto"/>
          <w:highlight w:val="none"/>
        </w:rPr>
        <w:fldChar w:fldCharType="begin"/>
      </w:r>
      <w:r>
        <w:rPr>
          <w:color w:val="auto"/>
          <w:highlight w:val="none"/>
        </w:rPr>
        <w:instrText xml:space="preserve"> PAGEREF _Toc24856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42143AF3">
      <w:pPr>
        <w:pStyle w:val="14"/>
        <w:tabs>
          <w:tab w:val="right" w:leader="dot" w:pos="8503"/>
        </w:tabs>
        <w:spacing w:line="360" w:lineRule="auto"/>
        <w:rPr>
          <w:color w:val="auto"/>
          <w:highlight w:val="none"/>
        </w:rPr>
      </w:pPr>
      <w:r>
        <w:rPr>
          <w:color w:val="auto"/>
          <w:highlight w:val="none"/>
        </w:rPr>
        <w:fldChar w:fldCharType="begin"/>
      </w:r>
      <w:r>
        <w:rPr>
          <w:color w:val="auto"/>
          <w:highlight w:val="none"/>
        </w:rPr>
        <w:instrText xml:space="preserve"> HYPERLINK \l "_Toc24338" </w:instrText>
      </w:r>
      <w:r>
        <w:rPr>
          <w:color w:val="auto"/>
          <w:highlight w:val="none"/>
        </w:rPr>
        <w:fldChar w:fldCharType="separate"/>
      </w:r>
      <w:r>
        <w:rPr>
          <w:rFonts w:hint="eastAsia" w:ascii="宋体" w:hAnsi="宋体" w:cs="宋体"/>
          <w:bCs/>
          <w:color w:val="auto"/>
          <w:szCs w:val="32"/>
          <w:highlight w:val="none"/>
        </w:rPr>
        <w:t>十一、投标人认为应该提供的其他资料</w:t>
      </w:r>
      <w:r>
        <w:rPr>
          <w:color w:val="auto"/>
          <w:highlight w:val="none"/>
        </w:rPr>
        <w:tab/>
      </w:r>
      <w:r>
        <w:rPr>
          <w:color w:val="auto"/>
          <w:highlight w:val="none"/>
        </w:rPr>
        <w:fldChar w:fldCharType="begin"/>
      </w:r>
      <w:r>
        <w:rPr>
          <w:color w:val="auto"/>
          <w:highlight w:val="none"/>
        </w:rPr>
        <w:instrText xml:space="preserve"> PAGEREF _Toc24338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0AA349CA">
      <w:pPr>
        <w:spacing w:line="360" w:lineRule="auto"/>
        <w:rPr>
          <w:rFonts w:ascii="宋体" w:hAnsi="宋体" w:cs="宋体"/>
          <w:b/>
          <w:bCs/>
          <w:color w:val="auto"/>
          <w:sz w:val="24"/>
          <w:szCs w:val="24"/>
          <w:highlight w:val="none"/>
        </w:rPr>
        <w:sectPr>
          <w:footerReference r:id="rId4" w:type="default"/>
          <w:pgSz w:w="11905" w:h="16838"/>
          <w:pgMar w:top="1418" w:right="1701" w:bottom="1418" w:left="1701" w:header="851" w:footer="794" w:gutter="0"/>
          <w:cols w:space="720" w:num="1"/>
          <w:docGrid w:type="lines" w:linePitch="312" w:charSpace="0"/>
        </w:sectPr>
      </w:pPr>
      <w:r>
        <w:rPr>
          <w:rFonts w:hint="eastAsia" w:ascii="宋体" w:hAnsi="宋体" w:cs="宋体"/>
          <w:color w:val="auto"/>
          <w:kern w:val="44"/>
          <w:szCs w:val="21"/>
          <w:highlight w:val="none"/>
        </w:rPr>
        <w:fldChar w:fldCharType="end"/>
      </w:r>
    </w:p>
    <w:p w14:paraId="1047F55A">
      <w:pPr>
        <w:pStyle w:val="3"/>
        <w:keepNext w:val="0"/>
        <w:keepLines w:val="0"/>
        <w:numPr>
          <w:ilvl w:val="0"/>
          <w:numId w:val="1"/>
        </w:numPr>
        <w:spacing w:line="360" w:lineRule="auto"/>
        <w:jc w:val="center"/>
        <w:rPr>
          <w:rFonts w:ascii="宋体" w:hAnsi="宋体" w:eastAsia="宋体" w:cs="宋体"/>
          <w:color w:val="auto"/>
          <w:highlight w:val="none"/>
        </w:rPr>
      </w:pPr>
      <w:bookmarkStart w:id="1" w:name="_Toc532367869"/>
      <w:bookmarkStart w:id="2" w:name="_Toc17573"/>
      <w:bookmarkStart w:id="3" w:name="_Toc8029"/>
      <w:bookmarkStart w:id="4" w:name="_Toc5050"/>
      <w:bookmarkStart w:id="5" w:name="_Toc525063243"/>
      <w:bookmarkStart w:id="6" w:name="_Toc30437"/>
      <w:bookmarkStart w:id="7" w:name="_Toc3857"/>
      <w:bookmarkStart w:id="8" w:name="_Toc18030"/>
      <w:bookmarkStart w:id="9" w:name="_Toc11832"/>
      <w:r>
        <w:rPr>
          <w:rFonts w:hint="eastAsia" w:ascii="宋体" w:hAnsi="宋体" w:eastAsia="宋体" w:cs="宋体"/>
          <w:color w:val="auto"/>
          <w:highlight w:val="none"/>
        </w:rPr>
        <w:t xml:space="preserve"> </w:t>
      </w:r>
      <w:bookmarkStart w:id="10" w:name="_Toc3058"/>
      <w:r>
        <w:rPr>
          <w:rFonts w:hint="eastAsia" w:ascii="宋体" w:hAnsi="宋体" w:eastAsia="宋体" w:cs="宋体"/>
          <w:color w:val="auto"/>
          <w:highlight w:val="none"/>
        </w:rPr>
        <w:t>招标公告</w:t>
      </w:r>
      <w:bookmarkEnd w:id="1"/>
      <w:bookmarkEnd w:id="2"/>
      <w:bookmarkEnd w:id="3"/>
      <w:bookmarkEnd w:id="4"/>
      <w:bookmarkEnd w:id="5"/>
      <w:bookmarkEnd w:id="6"/>
      <w:bookmarkEnd w:id="7"/>
      <w:bookmarkEnd w:id="8"/>
      <w:bookmarkEnd w:id="9"/>
      <w:bookmarkEnd w:id="10"/>
    </w:p>
    <w:p w14:paraId="28577EF7">
      <w:pPr>
        <w:spacing w:line="360" w:lineRule="auto"/>
        <w:rPr>
          <w:color w:val="auto"/>
          <w:highlight w:val="none"/>
        </w:rPr>
      </w:pPr>
    </w:p>
    <w:p w14:paraId="2F7B0B4E">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番禺汽车城金轩二路B线工程检测（监测）</w:t>
      </w:r>
      <w:r>
        <w:rPr>
          <w:rFonts w:hint="eastAsia" w:ascii="宋体" w:hAnsi="宋体" w:cs="宋体"/>
          <w:color w:val="auto"/>
          <w:sz w:val="28"/>
          <w:szCs w:val="28"/>
          <w:highlight w:val="none"/>
        </w:rPr>
        <w:t>招标公告（另册）</w:t>
      </w:r>
    </w:p>
    <w:p w14:paraId="5CC1ED02">
      <w:pPr>
        <w:spacing w:line="360" w:lineRule="auto"/>
        <w:rPr>
          <w:rFonts w:ascii="宋体" w:hAnsi="宋体" w:cs="宋体"/>
          <w:b/>
          <w:bCs/>
          <w:color w:val="auto"/>
          <w:sz w:val="44"/>
          <w:szCs w:val="44"/>
          <w:highlight w:val="none"/>
        </w:rPr>
      </w:pPr>
    </w:p>
    <w:p w14:paraId="4E04AF67">
      <w:pPr>
        <w:spacing w:line="360" w:lineRule="auto"/>
        <w:rPr>
          <w:rFonts w:ascii="宋体" w:hAnsi="宋体" w:cs="宋体"/>
          <w:b/>
          <w:bCs/>
          <w:color w:val="auto"/>
          <w:sz w:val="44"/>
          <w:szCs w:val="44"/>
          <w:highlight w:val="none"/>
        </w:rPr>
        <w:sectPr>
          <w:footerReference r:id="rId5" w:type="default"/>
          <w:pgSz w:w="11905" w:h="16838"/>
          <w:pgMar w:top="1418" w:right="1701" w:bottom="1418" w:left="1701" w:header="851" w:footer="794" w:gutter="0"/>
          <w:cols w:space="720" w:num="1"/>
          <w:docGrid w:type="lines" w:linePitch="312" w:charSpace="0"/>
        </w:sectPr>
      </w:pPr>
    </w:p>
    <w:bookmarkEnd w:id="0"/>
    <w:p w14:paraId="5D9D99A1">
      <w:pPr>
        <w:pStyle w:val="3"/>
        <w:keepNext w:val="0"/>
        <w:keepLines w:val="0"/>
        <w:spacing w:line="360" w:lineRule="auto"/>
        <w:jc w:val="center"/>
        <w:rPr>
          <w:rFonts w:ascii="宋体" w:hAnsi="宋体" w:eastAsia="宋体" w:cs="宋体"/>
          <w:color w:val="auto"/>
          <w:highlight w:val="none"/>
        </w:rPr>
      </w:pPr>
      <w:bookmarkStart w:id="11" w:name="_Toc11430"/>
      <w:bookmarkStart w:id="12" w:name="_Toc32023"/>
      <w:bookmarkStart w:id="13" w:name="_Toc8572"/>
      <w:bookmarkStart w:id="14" w:name="_Toc532367870"/>
      <w:bookmarkStart w:id="15" w:name="_Toc25508"/>
      <w:bookmarkStart w:id="16" w:name="_Toc525063244"/>
      <w:bookmarkStart w:id="17" w:name="_Toc10944"/>
      <w:bookmarkStart w:id="18" w:name="_Toc25716"/>
      <w:bookmarkStart w:id="19" w:name="_Toc17191"/>
      <w:bookmarkStart w:id="20" w:name="_Toc21577"/>
      <w:r>
        <w:rPr>
          <w:rFonts w:hint="eastAsia" w:ascii="宋体" w:hAnsi="宋体" w:eastAsia="宋体" w:cs="宋体"/>
          <w:color w:val="auto"/>
          <w:highlight w:val="none"/>
        </w:rPr>
        <w:t>第二章  投标人须知</w:t>
      </w:r>
      <w:bookmarkEnd w:id="11"/>
      <w:bookmarkEnd w:id="12"/>
      <w:bookmarkEnd w:id="13"/>
      <w:bookmarkEnd w:id="14"/>
      <w:bookmarkEnd w:id="15"/>
      <w:bookmarkEnd w:id="16"/>
      <w:bookmarkEnd w:id="17"/>
      <w:bookmarkEnd w:id="18"/>
      <w:bookmarkEnd w:id="19"/>
      <w:bookmarkEnd w:id="20"/>
    </w:p>
    <w:p w14:paraId="2A2BE353">
      <w:pPr>
        <w:pStyle w:val="4"/>
        <w:keepNext w:val="0"/>
        <w:keepLines w:val="0"/>
        <w:spacing w:before="0" w:after="0" w:line="360" w:lineRule="auto"/>
        <w:jc w:val="center"/>
        <w:rPr>
          <w:rFonts w:ascii="宋体" w:hAnsi="宋体" w:eastAsia="宋体" w:cs="宋体"/>
          <w:color w:val="auto"/>
          <w:sz w:val="36"/>
          <w:szCs w:val="36"/>
          <w:highlight w:val="none"/>
        </w:rPr>
      </w:pPr>
      <w:bookmarkStart w:id="21" w:name="_Toc24433"/>
      <w:bookmarkStart w:id="22" w:name="_Toc25608"/>
      <w:bookmarkStart w:id="23" w:name="_Toc32479"/>
      <w:bookmarkStart w:id="24" w:name="_Toc525063245"/>
      <w:bookmarkStart w:id="25" w:name="_Toc25358"/>
      <w:bookmarkStart w:id="26" w:name="_Toc16303"/>
      <w:bookmarkStart w:id="27" w:name="_Toc25024"/>
      <w:bookmarkStart w:id="28" w:name="_Toc21151"/>
      <w:bookmarkStart w:id="29" w:name="_Toc532367871"/>
      <w:bookmarkStart w:id="30" w:name="_Toc390"/>
      <w:r>
        <w:rPr>
          <w:rFonts w:hint="eastAsia" w:ascii="宋体" w:hAnsi="宋体" w:eastAsia="宋体" w:cs="宋体"/>
          <w:color w:val="auto"/>
          <w:sz w:val="36"/>
          <w:szCs w:val="36"/>
          <w:highlight w:val="none"/>
        </w:rPr>
        <w:t>投标人须知前附表</w:t>
      </w:r>
      <w:bookmarkEnd w:id="21"/>
      <w:bookmarkEnd w:id="22"/>
      <w:bookmarkEnd w:id="23"/>
      <w:bookmarkEnd w:id="24"/>
      <w:bookmarkEnd w:id="25"/>
      <w:bookmarkEnd w:id="26"/>
      <w:bookmarkEnd w:id="27"/>
      <w:bookmarkEnd w:id="28"/>
      <w:bookmarkEnd w:id="29"/>
      <w:bookmarkEnd w:id="30"/>
    </w:p>
    <w:tbl>
      <w:tblPr>
        <w:tblStyle w:val="17"/>
        <w:tblW w:w="93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613"/>
        <w:gridCol w:w="5774"/>
      </w:tblGrid>
      <w:tr w14:paraId="21F98B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tblHeader/>
          <w:jc w:val="center"/>
        </w:trPr>
        <w:tc>
          <w:tcPr>
            <w:tcW w:w="959" w:type="dxa"/>
            <w:vAlign w:val="center"/>
          </w:tcPr>
          <w:p w14:paraId="1A9A5A1F">
            <w:pPr>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613" w:type="dxa"/>
            <w:vAlign w:val="center"/>
          </w:tcPr>
          <w:p w14:paraId="0B59AE6F">
            <w:pPr>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5774" w:type="dxa"/>
            <w:vAlign w:val="center"/>
          </w:tcPr>
          <w:p w14:paraId="33E86EAF">
            <w:pPr>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14:paraId="69F471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2" w:hRule="atLeast"/>
          <w:jc w:val="center"/>
        </w:trPr>
        <w:tc>
          <w:tcPr>
            <w:tcW w:w="959" w:type="dxa"/>
            <w:vAlign w:val="center"/>
          </w:tcPr>
          <w:p w14:paraId="667A152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613" w:type="dxa"/>
            <w:vAlign w:val="center"/>
          </w:tcPr>
          <w:p w14:paraId="79A1B2D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5774" w:type="dxa"/>
            <w:vAlign w:val="center"/>
          </w:tcPr>
          <w:p w14:paraId="6C53F493">
            <w:pPr>
              <w:spacing w:line="276" w:lineRule="auto"/>
              <w:rPr>
                <w:rFonts w:ascii="宋体" w:hAnsi="宋体" w:cs="宋体"/>
                <w:color w:val="auto"/>
                <w:szCs w:val="21"/>
                <w:highlight w:val="none"/>
                <w:u w:val="singl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广州市番禺区基本建设投资管理中心</w:t>
            </w:r>
          </w:p>
          <w:p w14:paraId="24662108">
            <w:pPr>
              <w:spacing w:line="276" w:lineRule="auto"/>
              <w:rPr>
                <w:rFonts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广州市番禺区清河东路319号西副楼六楼</w:t>
            </w:r>
          </w:p>
          <w:p w14:paraId="501D5AF2">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周工</w:t>
            </w:r>
          </w:p>
          <w:p w14:paraId="4FF02B29">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u w:val="single"/>
              </w:rPr>
              <w:t>020-84612339</w:t>
            </w:r>
          </w:p>
        </w:tc>
      </w:tr>
      <w:tr w14:paraId="06592B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8" w:hRule="atLeast"/>
          <w:jc w:val="center"/>
        </w:trPr>
        <w:tc>
          <w:tcPr>
            <w:tcW w:w="959" w:type="dxa"/>
            <w:vAlign w:val="center"/>
          </w:tcPr>
          <w:p w14:paraId="2593BAA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613" w:type="dxa"/>
            <w:vAlign w:val="center"/>
          </w:tcPr>
          <w:p w14:paraId="06502A5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5774" w:type="dxa"/>
            <w:vAlign w:val="center"/>
          </w:tcPr>
          <w:p w14:paraId="0BE6E4C6">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广东粤能工程管理有限公司</w:t>
            </w:r>
            <w:r>
              <w:rPr>
                <w:rFonts w:hint="eastAsia" w:ascii="宋体" w:hAnsi="宋体" w:cs="宋体"/>
                <w:color w:val="auto"/>
                <w:szCs w:val="21"/>
                <w:highlight w:val="none"/>
              </w:rPr>
              <w:t xml:space="preserve"> </w:t>
            </w:r>
          </w:p>
          <w:p w14:paraId="7B5CAE3E">
            <w:pPr>
              <w:snapToGrid w:val="0"/>
              <w:spacing w:line="276"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eastAsia="宋体" w:cs="宋体"/>
                <w:color w:val="auto"/>
                <w:szCs w:val="21"/>
                <w:highlight w:val="none"/>
                <w:lang w:eastAsia="zh-CN"/>
              </w:rPr>
              <w:t>广州市</w:t>
            </w:r>
            <w:r>
              <w:rPr>
                <w:rFonts w:hint="eastAsia" w:ascii="宋体" w:hAnsi="宋体" w:eastAsia="宋体" w:cs="宋体"/>
                <w:color w:val="auto"/>
                <w:szCs w:val="21"/>
                <w:highlight w:val="none"/>
                <w:lang w:val="en-US" w:eastAsia="zh-CN"/>
              </w:rPr>
              <w:t>番禺区南堤东路668号三楼</w:t>
            </w:r>
          </w:p>
          <w:p w14:paraId="5011D61F">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许</w:t>
            </w:r>
            <w:r>
              <w:rPr>
                <w:rFonts w:hint="eastAsia" w:ascii="宋体" w:hAnsi="宋体" w:cs="宋体"/>
                <w:color w:val="auto"/>
                <w:szCs w:val="21"/>
                <w:highlight w:val="none"/>
              </w:rPr>
              <w:t>工</w:t>
            </w:r>
          </w:p>
          <w:p w14:paraId="2AD3CC8B">
            <w:pPr>
              <w:snapToGrid w:val="0"/>
              <w:spacing w:line="276"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13070216361</w:t>
            </w:r>
          </w:p>
        </w:tc>
      </w:tr>
      <w:tr w14:paraId="701101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0EEA133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613" w:type="dxa"/>
            <w:vAlign w:val="center"/>
          </w:tcPr>
          <w:p w14:paraId="5636FDA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招标项目名称</w:t>
            </w:r>
          </w:p>
        </w:tc>
        <w:tc>
          <w:tcPr>
            <w:tcW w:w="5774" w:type="dxa"/>
            <w:vAlign w:val="center"/>
          </w:tcPr>
          <w:p w14:paraId="6DC72AB7">
            <w:pPr>
              <w:snapToGrid w:val="0"/>
              <w:spacing w:line="276"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番禺汽车城金轩二路B线工程检测（监测）</w:t>
            </w:r>
          </w:p>
        </w:tc>
      </w:tr>
      <w:tr w14:paraId="6A8C0D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2D7D2A5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1.1.5</w:t>
            </w:r>
          </w:p>
        </w:tc>
        <w:tc>
          <w:tcPr>
            <w:tcW w:w="2613" w:type="dxa"/>
            <w:vAlign w:val="center"/>
          </w:tcPr>
          <w:p w14:paraId="40E639A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项目建设地点</w:t>
            </w:r>
          </w:p>
        </w:tc>
        <w:tc>
          <w:tcPr>
            <w:tcW w:w="5774" w:type="dxa"/>
            <w:vAlign w:val="center"/>
          </w:tcPr>
          <w:p w14:paraId="4AA93CBD">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6F4EF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1D431B6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1.1.6</w:t>
            </w:r>
          </w:p>
        </w:tc>
        <w:tc>
          <w:tcPr>
            <w:tcW w:w="2613" w:type="dxa"/>
            <w:vAlign w:val="center"/>
          </w:tcPr>
          <w:p w14:paraId="14062BA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项目建设规模</w:t>
            </w:r>
          </w:p>
        </w:tc>
        <w:tc>
          <w:tcPr>
            <w:tcW w:w="5774" w:type="dxa"/>
            <w:vAlign w:val="center"/>
          </w:tcPr>
          <w:p w14:paraId="192FB9D5">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详见招标公告</w:t>
            </w:r>
          </w:p>
        </w:tc>
      </w:tr>
      <w:tr w14:paraId="78E651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36" w:hRule="atLeast"/>
          <w:jc w:val="center"/>
        </w:trPr>
        <w:tc>
          <w:tcPr>
            <w:tcW w:w="959" w:type="dxa"/>
            <w:vAlign w:val="center"/>
          </w:tcPr>
          <w:p w14:paraId="11C9568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1.1.7</w:t>
            </w:r>
          </w:p>
        </w:tc>
        <w:tc>
          <w:tcPr>
            <w:tcW w:w="2613" w:type="dxa"/>
            <w:vAlign w:val="center"/>
          </w:tcPr>
          <w:p w14:paraId="1E6DFD4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工程项目施工预计开工日期和建设周期</w:t>
            </w:r>
          </w:p>
        </w:tc>
        <w:tc>
          <w:tcPr>
            <w:tcW w:w="5774" w:type="dxa"/>
            <w:vAlign w:val="center"/>
          </w:tcPr>
          <w:p w14:paraId="7D68B868">
            <w:pPr>
              <w:pStyle w:val="5"/>
              <w:spacing w:before="0" w:after="0" w:line="276" w:lineRule="auto"/>
              <w:rPr>
                <w:rFonts w:ascii="宋体" w:hAnsi="宋体" w:cs="宋体"/>
                <w:b w:val="0"/>
                <w:color w:val="auto"/>
                <w:kern w:val="2"/>
                <w:sz w:val="21"/>
                <w:szCs w:val="21"/>
                <w:highlight w:val="none"/>
              </w:rPr>
            </w:pPr>
            <w:r>
              <w:rPr>
                <w:rFonts w:hint="eastAsia" w:ascii="宋体" w:hAnsi="宋体" w:cs="宋体"/>
                <w:b w:val="0"/>
                <w:color w:val="auto"/>
                <w:kern w:val="2"/>
                <w:sz w:val="21"/>
                <w:szCs w:val="21"/>
                <w:highlight w:val="none"/>
              </w:rPr>
              <w:t>工程项目施工预计开工日期：具体以招标人通知为准。</w:t>
            </w:r>
          </w:p>
          <w:p w14:paraId="308DEC68">
            <w:pPr>
              <w:spacing w:line="276" w:lineRule="auto"/>
              <w:rPr>
                <w:rFonts w:ascii="宋体" w:hAnsi="宋体" w:cs="宋体"/>
                <w:color w:val="auto"/>
                <w:szCs w:val="21"/>
                <w:highlight w:val="none"/>
              </w:rPr>
            </w:pPr>
            <w:r>
              <w:rPr>
                <w:rFonts w:hint="eastAsia" w:ascii="宋体" w:hAnsi="宋体" w:cs="宋体"/>
                <w:color w:val="auto"/>
                <w:szCs w:val="21"/>
                <w:highlight w:val="none"/>
              </w:rPr>
              <w:t>建设周期为</w:t>
            </w:r>
            <w:r>
              <w:rPr>
                <w:rFonts w:hint="eastAsia" w:ascii="宋体" w:hAnsi="宋体" w:cs="宋体"/>
                <w:color w:val="auto"/>
                <w:szCs w:val="21"/>
                <w:highlight w:val="none"/>
                <w:lang w:val="en-US" w:eastAsia="zh-CN"/>
              </w:rPr>
              <w:t>270</w:t>
            </w:r>
            <w:r>
              <w:rPr>
                <w:rFonts w:hint="eastAsia" w:ascii="宋体" w:hAnsi="宋体" w:cs="宋体"/>
                <w:color w:val="auto"/>
                <w:szCs w:val="21"/>
                <w:highlight w:val="none"/>
              </w:rPr>
              <w:t>日</w:t>
            </w:r>
            <w:r>
              <w:rPr>
                <w:rFonts w:hint="eastAsia" w:ascii="宋体" w:hAnsi="宋体" w:cs="宋体"/>
                <w:color w:val="auto"/>
                <w:szCs w:val="21"/>
                <w:highlight w:val="none"/>
              </w:rPr>
              <w:t>历天。服务期限：自招标人书面通知进场至项目完成竣工验收备案为止，服务周期必须满足实际施工要求和验收要求。</w:t>
            </w:r>
          </w:p>
        </w:tc>
      </w:tr>
      <w:tr w14:paraId="0B2AA6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59" w:type="dxa"/>
            <w:vAlign w:val="center"/>
          </w:tcPr>
          <w:p w14:paraId="30FD657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1.1.8</w:t>
            </w:r>
          </w:p>
        </w:tc>
        <w:tc>
          <w:tcPr>
            <w:tcW w:w="2613" w:type="dxa"/>
            <w:vAlign w:val="center"/>
          </w:tcPr>
          <w:p w14:paraId="2710A018">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建筑安装工程费/工程概算</w:t>
            </w:r>
          </w:p>
        </w:tc>
        <w:tc>
          <w:tcPr>
            <w:tcW w:w="5774" w:type="dxa"/>
            <w:vAlign w:val="center"/>
          </w:tcPr>
          <w:p w14:paraId="62EE0365">
            <w:pPr>
              <w:snapToGrid w:val="0"/>
              <w:spacing w:line="276" w:lineRule="auto"/>
              <w:jc w:val="lef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5DDAB7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485507F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613" w:type="dxa"/>
            <w:vAlign w:val="center"/>
          </w:tcPr>
          <w:p w14:paraId="77F977B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5774" w:type="dxa"/>
            <w:vAlign w:val="center"/>
          </w:tcPr>
          <w:p w14:paraId="79033D71">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详见招标公告</w:t>
            </w:r>
          </w:p>
        </w:tc>
      </w:tr>
      <w:tr w14:paraId="28C562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2C3F98B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613" w:type="dxa"/>
            <w:vAlign w:val="center"/>
          </w:tcPr>
          <w:p w14:paraId="2822C7D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774" w:type="dxa"/>
            <w:vAlign w:val="center"/>
          </w:tcPr>
          <w:p w14:paraId="51BD756C">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已落实</w:t>
            </w:r>
          </w:p>
        </w:tc>
      </w:tr>
      <w:tr w14:paraId="636ED5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Align w:val="center"/>
          </w:tcPr>
          <w:p w14:paraId="0493DA5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613" w:type="dxa"/>
            <w:vAlign w:val="center"/>
          </w:tcPr>
          <w:p w14:paraId="7E8B924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5774" w:type="dxa"/>
            <w:vAlign w:val="center"/>
          </w:tcPr>
          <w:p w14:paraId="51B885F6">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详见招标公告</w:t>
            </w:r>
          </w:p>
        </w:tc>
      </w:tr>
      <w:tr w14:paraId="67FEC3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959" w:type="dxa"/>
            <w:vAlign w:val="center"/>
          </w:tcPr>
          <w:p w14:paraId="13CB471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613" w:type="dxa"/>
            <w:vAlign w:val="center"/>
          </w:tcPr>
          <w:p w14:paraId="5E1464F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5774" w:type="dxa"/>
            <w:vAlign w:val="center"/>
          </w:tcPr>
          <w:p w14:paraId="3892DA19">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u w:val="single"/>
              </w:rPr>
              <w:t>自招标人书面通知进场至项目完成竣工验收备案为止，服务周期必须满足实际施工要求和验收要求。</w:t>
            </w:r>
          </w:p>
        </w:tc>
      </w:tr>
      <w:tr w14:paraId="56AB34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959" w:type="dxa"/>
            <w:vAlign w:val="center"/>
          </w:tcPr>
          <w:p w14:paraId="51A6068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613" w:type="dxa"/>
            <w:vAlign w:val="center"/>
          </w:tcPr>
          <w:p w14:paraId="5AB66CC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5774" w:type="dxa"/>
            <w:vAlign w:val="center"/>
          </w:tcPr>
          <w:p w14:paraId="1F4B3F43">
            <w:pPr>
              <w:pStyle w:val="15"/>
              <w:snapToGrid w:val="0"/>
              <w:spacing w:after="0" w:line="276" w:lineRule="auto"/>
              <w:ind w:firstLine="0"/>
              <w:rPr>
                <w:rFonts w:ascii="宋体" w:hAnsi="宋体" w:cs="宋体"/>
                <w:color w:val="auto"/>
                <w:szCs w:val="21"/>
                <w:highlight w:val="none"/>
              </w:rPr>
            </w:pPr>
            <w:r>
              <w:rPr>
                <w:rFonts w:hint="eastAsia" w:ascii="宋体" w:hAnsi="宋体" w:cs="宋体"/>
                <w:color w:val="auto"/>
                <w:szCs w:val="21"/>
                <w:highlight w:val="none"/>
                <w:u w:val="single"/>
              </w:rPr>
              <w:t>符合国家和省、市检测和监测规范和规章制度要求。</w:t>
            </w:r>
          </w:p>
        </w:tc>
      </w:tr>
      <w:tr w14:paraId="0DB216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959" w:type="dxa"/>
            <w:vAlign w:val="center"/>
          </w:tcPr>
          <w:p w14:paraId="4B8A14D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613" w:type="dxa"/>
            <w:vAlign w:val="center"/>
          </w:tcPr>
          <w:p w14:paraId="72EBFC1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投标人资质条件、能力、信誉</w:t>
            </w:r>
          </w:p>
        </w:tc>
        <w:tc>
          <w:tcPr>
            <w:tcW w:w="5774" w:type="dxa"/>
            <w:vAlign w:val="center"/>
          </w:tcPr>
          <w:p w14:paraId="21831B27">
            <w:pPr>
              <w:snapToGrid w:val="0"/>
              <w:spacing w:line="276" w:lineRule="auto"/>
              <w:ind w:firstLine="29" w:firstLineChars="14"/>
              <w:rPr>
                <w:rFonts w:ascii="宋体" w:hAnsi="宋体" w:cs="宋体"/>
                <w:color w:val="auto"/>
                <w:szCs w:val="21"/>
                <w:highlight w:val="none"/>
              </w:rPr>
            </w:pPr>
            <w:r>
              <w:rPr>
                <w:rFonts w:hint="eastAsia" w:ascii="宋体" w:hAnsi="宋体" w:cs="宋体"/>
                <w:color w:val="auto"/>
                <w:szCs w:val="21"/>
                <w:highlight w:val="none"/>
              </w:rPr>
              <w:t>（1）资质要求：详见招标公告投标人资格要求。</w:t>
            </w:r>
          </w:p>
          <w:p w14:paraId="795CD357">
            <w:pPr>
              <w:snapToGrid w:val="0"/>
              <w:spacing w:line="276" w:lineRule="auto"/>
              <w:ind w:firstLine="29" w:firstLineChars="14"/>
              <w:rPr>
                <w:rFonts w:ascii="宋体" w:hAnsi="宋体" w:cs="宋体"/>
                <w:color w:val="auto"/>
                <w:szCs w:val="21"/>
                <w:highlight w:val="none"/>
              </w:rPr>
            </w:pPr>
            <w:r>
              <w:rPr>
                <w:rFonts w:hint="eastAsia" w:ascii="宋体" w:hAnsi="宋体" w:cs="宋体"/>
                <w:color w:val="auto"/>
                <w:szCs w:val="21"/>
                <w:highlight w:val="none"/>
              </w:rPr>
              <w:t>（2）财务要求：/（不作为资格审查内容）</w:t>
            </w:r>
          </w:p>
          <w:p w14:paraId="429286AD">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（3）业绩要求：/（不作为资格审查内容）</w:t>
            </w:r>
          </w:p>
          <w:p w14:paraId="492D69E7">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（4）信誉要求：/（不作为资格审查内容）</w:t>
            </w:r>
          </w:p>
          <w:p w14:paraId="45D59697">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（5）项目负责人的资格要求：详见招标公告投标人资格要求。</w:t>
            </w:r>
          </w:p>
          <w:p w14:paraId="6FADC654">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（6）其他主要人员要求：/（不作为资格审查内容）</w:t>
            </w:r>
          </w:p>
          <w:p w14:paraId="609D3974">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（7）试验仪器设备要求：/（不作为资格审查内容）</w:t>
            </w:r>
          </w:p>
          <w:p w14:paraId="3AE350EB">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（8）其他要求：见招标公告投标人资格要求。</w:t>
            </w:r>
          </w:p>
        </w:tc>
      </w:tr>
      <w:tr w14:paraId="0AE6E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959" w:type="dxa"/>
            <w:vAlign w:val="center"/>
          </w:tcPr>
          <w:p w14:paraId="015CA53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613" w:type="dxa"/>
            <w:vAlign w:val="center"/>
          </w:tcPr>
          <w:p w14:paraId="7FAE8E7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5774" w:type="dxa"/>
            <w:vAlign w:val="center"/>
          </w:tcPr>
          <w:p w14:paraId="3F1C03E4">
            <w:pPr>
              <w:topLinePunct/>
              <w:spacing w:line="276" w:lineRule="auto"/>
              <w:rPr>
                <w:rFonts w:ascii="宋体" w:hAnsi="宋体" w:cs="宋体"/>
                <w:color w:val="auto"/>
                <w:szCs w:val="21"/>
                <w:highlight w:val="none"/>
              </w:rPr>
            </w:pPr>
            <w:r>
              <w:rPr>
                <w:rFonts w:hint="eastAsia" w:ascii="宋体" w:hAnsi="宋体" w:cs="宋体"/>
                <w:color w:val="auto"/>
                <w:szCs w:val="21"/>
                <w:highlight w:val="none"/>
              </w:rPr>
              <w:t>□不接受</w:t>
            </w:r>
          </w:p>
          <w:p w14:paraId="5F488B3B">
            <w:pPr>
              <w:topLinePunct/>
              <w:spacing w:line="276" w:lineRule="auto"/>
              <w:rPr>
                <w:rFonts w:ascii="宋体" w:hAnsi="宋体" w:cs="宋体"/>
                <w:color w:val="auto"/>
                <w:szCs w:val="21"/>
                <w:highlight w:val="none"/>
              </w:rPr>
            </w:pPr>
            <w:r>
              <w:rPr>
                <w:rFonts w:hint="eastAsia" w:ascii="宋体" w:hAnsi="宋体" w:cs="宋体"/>
                <w:color w:val="auto"/>
                <w:szCs w:val="21"/>
                <w:highlight w:val="none"/>
              </w:rPr>
              <w:t>■接受，应满足</w:t>
            </w:r>
            <w:r>
              <w:rPr>
                <w:rFonts w:hint="eastAsia" w:ascii="宋体" w:hAnsi="宋体" w:cs="宋体"/>
                <w:color w:val="auto"/>
                <w:szCs w:val="21"/>
                <w:highlight w:val="none"/>
                <w:u w:val="single"/>
              </w:rPr>
              <w:t>招标公告</w:t>
            </w:r>
            <w:r>
              <w:rPr>
                <w:rFonts w:hint="eastAsia" w:ascii="宋体" w:hAnsi="宋体" w:cs="宋体"/>
                <w:color w:val="auto"/>
                <w:szCs w:val="21"/>
                <w:highlight w:val="none"/>
              </w:rPr>
              <w:t>要求</w:t>
            </w:r>
          </w:p>
        </w:tc>
      </w:tr>
      <w:tr w14:paraId="2556B7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959" w:type="dxa"/>
            <w:vAlign w:val="center"/>
          </w:tcPr>
          <w:p w14:paraId="7EB9DDA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1.4.3</w:t>
            </w:r>
          </w:p>
        </w:tc>
        <w:tc>
          <w:tcPr>
            <w:tcW w:w="2613" w:type="dxa"/>
            <w:vAlign w:val="center"/>
          </w:tcPr>
          <w:p w14:paraId="1E7D2F0A">
            <w:pPr>
              <w:snapToGrid w:val="0"/>
              <w:spacing w:line="276"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投标人不得存在的其他情形</w:t>
            </w:r>
          </w:p>
        </w:tc>
        <w:tc>
          <w:tcPr>
            <w:tcW w:w="5774" w:type="dxa"/>
            <w:vAlign w:val="center"/>
          </w:tcPr>
          <w:p w14:paraId="2043DFBA">
            <w:pPr>
              <w:pStyle w:val="15"/>
              <w:spacing w:after="0" w:line="276" w:lineRule="auto"/>
              <w:ind w:firstLine="0"/>
              <w:rPr>
                <w:rFonts w:ascii="宋体" w:hAnsi="宋体" w:cs="宋体"/>
                <w:color w:val="auto"/>
                <w:szCs w:val="21"/>
                <w:highlight w:val="none"/>
              </w:rPr>
            </w:pPr>
            <w:r>
              <w:rPr>
                <w:rFonts w:hint="eastAsia" w:ascii="宋体" w:hAnsi="宋体" w:cs="宋体"/>
                <w:color w:val="auto"/>
                <w:szCs w:val="21"/>
                <w:highlight w:val="none"/>
                <w:u w:val="single"/>
              </w:rPr>
              <w:t>/</w:t>
            </w:r>
          </w:p>
        </w:tc>
      </w:tr>
      <w:tr w14:paraId="427186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959" w:type="dxa"/>
            <w:vAlign w:val="center"/>
          </w:tcPr>
          <w:p w14:paraId="09689C2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613" w:type="dxa"/>
            <w:vAlign w:val="center"/>
          </w:tcPr>
          <w:p w14:paraId="6DC2AD3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774" w:type="dxa"/>
            <w:vAlign w:val="center"/>
          </w:tcPr>
          <w:p w14:paraId="6F74C634">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■不组织</w:t>
            </w:r>
          </w:p>
          <w:p w14:paraId="5F049F9D">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□组织，踏勘时间：         踏勘集中地点：</w:t>
            </w:r>
          </w:p>
        </w:tc>
      </w:tr>
      <w:tr w14:paraId="347166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959" w:type="dxa"/>
            <w:vAlign w:val="center"/>
          </w:tcPr>
          <w:p w14:paraId="4822622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613" w:type="dxa"/>
            <w:vAlign w:val="center"/>
          </w:tcPr>
          <w:p w14:paraId="102D377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5774" w:type="dxa"/>
            <w:vAlign w:val="center"/>
          </w:tcPr>
          <w:p w14:paraId="211FFF6F">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■不召开</w:t>
            </w:r>
          </w:p>
          <w:p w14:paraId="748B9B24">
            <w:pPr>
              <w:spacing w:line="276" w:lineRule="auto"/>
              <w:rPr>
                <w:rFonts w:ascii="宋体" w:hAnsi="宋体" w:cs="宋体"/>
                <w:color w:val="auto"/>
                <w:szCs w:val="21"/>
                <w:highlight w:val="none"/>
              </w:rPr>
            </w:pPr>
            <w:r>
              <w:rPr>
                <w:rFonts w:hint="eastAsia" w:ascii="宋体" w:hAnsi="宋体" w:cs="宋体"/>
                <w:color w:val="auto"/>
                <w:szCs w:val="21"/>
                <w:highlight w:val="none"/>
              </w:rPr>
              <w:t>□召开，召开时间：         召开地点：</w:t>
            </w:r>
          </w:p>
        </w:tc>
      </w:tr>
      <w:tr w14:paraId="01DE3A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959" w:type="dxa"/>
            <w:vMerge w:val="restart"/>
            <w:vAlign w:val="center"/>
          </w:tcPr>
          <w:p w14:paraId="3FD9663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1.10.2</w:t>
            </w:r>
          </w:p>
        </w:tc>
        <w:tc>
          <w:tcPr>
            <w:tcW w:w="2613" w:type="dxa"/>
            <w:vMerge w:val="restart"/>
            <w:vAlign w:val="center"/>
          </w:tcPr>
          <w:p w14:paraId="29A2BD3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5774" w:type="dxa"/>
            <w:vAlign w:val="center"/>
          </w:tcPr>
          <w:p w14:paraId="6C998CEB">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 （本项目不召开投标预备会）</w:t>
            </w:r>
          </w:p>
        </w:tc>
      </w:tr>
      <w:tr w14:paraId="500700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959" w:type="dxa"/>
            <w:vMerge w:val="continue"/>
            <w:vAlign w:val="center"/>
          </w:tcPr>
          <w:p w14:paraId="561A3253">
            <w:pPr>
              <w:keepNext/>
              <w:keepLines/>
              <w:snapToGrid w:val="0"/>
              <w:spacing w:line="276" w:lineRule="auto"/>
              <w:jc w:val="center"/>
              <w:outlineLvl w:val="2"/>
              <w:rPr>
                <w:rFonts w:ascii="宋体" w:hAnsi="宋体" w:cs="宋体"/>
                <w:color w:val="auto"/>
                <w:szCs w:val="21"/>
                <w:highlight w:val="none"/>
              </w:rPr>
            </w:pPr>
          </w:p>
        </w:tc>
        <w:tc>
          <w:tcPr>
            <w:tcW w:w="2613" w:type="dxa"/>
            <w:vMerge w:val="continue"/>
            <w:vAlign w:val="center"/>
          </w:tcPr>
          <w:p w14:paraId="2E27B167">
            <w:pPr>
              <w:keepNext/>
              <w:keepLines/>
              <w:snapToGrid w:val="0"/>
              <w:spacing w:line="276" w:lineRule="auto"/>
              <w:jc w:val="center"/>
              <w:outlineLvl w:val="2"/>
              <w:rPr>
                <w:rFonts w:ascii="宋体" w:hAnsi="宋体" w:cs="宋体"/>
                <w:color w:val="auto"/>
                <w:szCs w:val="21"/>
                <w:highlight w:val="none"/>
              </w:rPr>
            </w:pPr>
          </w:p>
        </w:tc>
        <w:tc>
          <w:tcPr>
            <w:tcW w:w="5774" w:type="dxa"/>
            <w:vAlign w:val="center"/>
          </w:tcPr>
          <w:p w14:paraId="4A327A48">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 xml:space="preserve"> / （本项目不召开投标预备会）</w:t>
            </w:r>
          </w:p>
        </w:tc>
      </w:tr>
      <w:tr w14:paraId="0A65D1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959" w:type="dxa"/>
            <w:vAlign w:val="center"/>
          </w:tcPr>
          <w:p w14:paraId="53875A5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1.10.3</w:t>
            </w:r>
          </w:p>
        </w:tc>
        <w:tc>
          <w:tcPr>
            <w:tcW w:w="2613" w:type="dxa"/>
            <w:vAlign w:val="center"/>
          </w:tcPr>
          <w:p w14:paraId="14F4497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5774" w:type="dxa"/>
            <w:vAlign w:val="center"/>
          </w:tcPr>
          <w:p w14:paraId="54C34F2A">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   /  （不召开投标预备会，此为投标预备会的答疑澄清）</w:t>
            </w:r>
          </w:p>
        </w:tc>
      </w:tr>
      <w:tr w14:paraId="49A2B0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959" w:type="dxa"/>
            <w:vAlign w:val="center"/>
          </w:tcPr>
          <w:p w14:paraId="661D9C28">
            <w:pPr>
              <w:snapToGrid w:val="0"/>
              <w:spacing w:line="276"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1.11</w:t>
            </w:r>
          </w:p>
        </w:tc>
        <w:tc>
          <w:tcPr>
            <w:tcW w:w="2613" w:type="dxa"/>
            <w:vAlign w:val="center"/>
          </w:tcPr>
          <w:p w14:paraId="1F196CAF">
            <w:pPr>
              <w:snapToGrid w:val="0"/>
              <w:spacing w:line="276"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分包</w:t>
            </w:r>
          </w:p>
        </w:tc>
        <w:tc>
          <w:tcPr>
            <w:tcW w:w="5774" w:type="dxa"/>
            <w:vAlign w:val="center"/>
          </w:tcPr>
          <w:p w14:paraId="3E21CBE6">
            <w:pPr>
              <w:snapToGrid w:val="0"/>
              <w:spacing w:line="276" w:lineRule="auto"/>
              <w:rPr>
                <w:rFonts w:ascii="宋体" w:hAnsi="宋体" w:cs="宋体"/>
                <w:color w:val="auto"/>
                <w:szCs w:val="21"/>
                <w:highlight w:val="none"/>
                <w:u w:val="single"/>
              </w:rPr>
            </w:pPr>
            <w:r>
              <w:rPr>
                <w:rFonts w:hint="eastAsia" w:ascii="宋体" w:hAnsi="宋体" w:cs="宋体"/>
                <w:color w:val="auto"/>
                <w:sz w:val="24"/>
                <w:szCs w:val="24"/>
                <w:highlight w:val="none"/>
                <w:u w:val="single"/>
              </w:rPr>
              <w:t>中标人需要独立完成本项目70%以上的检测工作（主要检测工作需要由中标人完成），剩余的非主要检测工作，如中标人不具备资质的，经招标人书面同意后可依法分包给具备相关资质的检测单位，但分包的检测工作不得再次分包。分包项目的检测质量和检测工期由中标单位负责。分包合同原则上由中标单位与分包方签订。该部分检测内容纳入中标单位合同一并进行结算。</w:t>
            </w:r>
          </w:p>
        </w:tc>
      </w:tr>
      <w:tr w14:paraId="1AD854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959" w:type="dxa"/>
            <w:vAlign w:val="center"/>
          </w:tcPr>
          <w:p w14:paraId="6447C20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1.12.1</w:t>
            </w:r>
          </w:p>
        </w:tc>
        <w:tc>
          <w:tcPr>
            <w:tcW w:w="2613" w:type="dxa"/>
            <w:vAlign w:val="center"/>
          </w:tcPr>
          <w:p w14:paraId="469E381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实质性要求和条件</w:t>
            </w:r>
          </w:p>
        </w:tc>
        <w:tc>
          <w:tcPr>
            <w:tcW w:w="5774" w:type="dxa"/>
            <w:vAlign w:val="center"/>
          </w:tcPr>
          <w:p w14:paraId="48B63147">
            <w:pPr>
              <w:pStyle w:val="7"/>
              <w:topLinePunct/>
              <w:snapToGrid w:val="0"/>
              <w:spacing w:line="276" w:lineRule="auto"/>
              <w:rPr>
                <w:rFonts w:hAnsi="宋体" w:cs="宋体"/>
                <w:color w:val="auto"/>
                <w:sz w:val="21"/>
                <w:szCs w:val="21"/>
                <w:highlight w:val="none"/>
              </w:rPr>
            </w:pPr>
            <w:r>
              <w:rPr>
                <w:rFonts w:hint="eastAsia" w:hAnsi="宋体" w:cs="宋体"/>
                <w:color w:val="auto"/>
                <w:sz w:val="21"/>
                <w:szCs w:val="21"/>
                <w:highlight w:val="none"/>
                <w:u w:val="single"/>
              </w:rPr>
              <w:t xml:space="preserve">  /  </w:t>
            </w:r>
          </w:p>
        </w:tc>
      </w:tr>
      <w:tr w14:paraId="27B4A9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9" w:hRule="atLeast"/>
          <w:jc w:val="center"/>
        </w:trPr>
        <w:tc>
          <w:tcPr>
            <w:tcW w:w="959" w:type="dxa"/>
            <w:vAlign w:val="center"/>
          </w:tcPr>
          <w:p w14:paraId="0F76EBC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1.12.3</w:t>
            </w:r>
          </w:p>
        </w:tc>
        <w:tc>
          <w:tcPr>
            <w:tcW w:w="2613" w:type="dxa"/>
            <w:vAlign w:val="center"/>
          </w:tcPr>
          <w:p w14:paraId="03A8F8A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偏差</w:t>
            </w:r>
          </w:p>
        </w:tc>
        <w:tc>
          <w:tcPr>
            <w:tcW w:w="5774" w:type="dxa"/>
            <w:vAlign w:val="center"/>
          </w:tcPr>
          <w:p w14:paraId="6A59DF9E">
            <w:pPr>
              <w:spacing w:line="276" w:lineRule="auto"/>
              <w:rPr>
                <w:rFonts w:ascii="宋体" w:hAnsi="宋体" w:cs="宋体"/>
                <w:color w:val="auto"/>
                <w:szCs w:val="21"/>
                <w:highlight w:val="none"/>
              </w:rPr>
            </w:pPr>
            <w:r>
              <w:rPr>
                <w:rFonts w:hint="eastAsia" w:ascii="宋体" w:hAnsi="宋体" w:cs="宋体"/>
                <w:color w:val="auto"/>
                <w:szCs w:val="21"/>
                <w:highlight w:val="none"/>
              </w:rPr>
              <w:t>■不允许</w:t>
            </w:r>
          </w:p>
          <w:p w14:paraId="0EAB0ED7">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□允许，偏差范围：         偏差幅度：</w:t>
            </w:r>
          </w:p>
        </w:tc>
      </w:tr>
      <w:tr w14:paraId="78894A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959" w:type="dxa"/>
            <w:vAlign w:val="center"/>
          </w:tcPr>
          <w:p w14:paraId="5060737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613" w:type="dxa"/>
            <w:vAlign w:val="center"/>
          </w:tcPr>
          <w:p w14:paraId="7B8997E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5774" w:type="dxa"/>
            <w:vAlign w:val="center"/>
          </w:tcPr>
          <w:p w14:paraId="62029166">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349D34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49" w:hRule="atLeast"/>
          <w:jc w:val="center"/>
        </w:trPr>
        <w:tc>
          <w:tcPr>
            <w:tcW w:w="959" w:type="dxa"/>
            <w:vAlign w:val="center"/>
          </w:tcPr>
          <w:p w14:paraId="48D30C6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613" w:type="dxa"/>
            <w:vAlign w:val="center"/>
          </w:tcPr>
          <w:p w14:paraId="6017910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5774" w:type="dxa"/>
            <w:vAlign w:val="center"/>
          </w:tcPr>
          <w:p w14:paraId="7DE7967A">
            <w:pPr>
              <w:snapToGrid w:val="0"/>
              <w:spacing w:line="276" w:lineRule="auto"/>
              <w:rPr>
                <w:rFonts w:ascii="宋体" w:hAnsi="宋体"/>
                <w:color w:val="auto"/>
                <w:szCs w:val="21"/>
                <w:highlight w:val="none"/>
              </w:rPr>
            </w:pPr>
            <w:r>
              <w:rPr>
                <w:rFonts w:hint="eastAsia" w:ascii="宋体" w:hAnsi="宋体"/>
                <w:color w:val="auto"/>
                <w:szCs w:val="21"/>
                <w:highlight w:val="none"/>
              </w:rPr>
              <w:t>时间：提交投标文件截止时间18天前提出</w:t>
            </w:r>
          </w:p>
          <w:p w14:paraId="3D15A62E">
            <w:pPr>
              <w:snapToGrid w:val="0"/>
              <w:spacing w:line="276" w:lineRule="auto"/>
              <w:rPr>
                <w:rFonts w:ascii="宋体" w:hAnsi="宋体"/>
                <w:color w:val="auto"/>
                <w:szCs w:val="21"/>
                <w:highlight w:val="none"/>
              </w:rPr>
            </w:pPr>
            <w:r>
              <w:rPr>
                <w:rFonts w:hint="eastAsia" w:ascii="宋体" w:hAnsi="宋体"/>
                <w:color w:val="auto"/>
                <w:szCs w:val="21"/>
                <w:highlight w:val="none"/>
              </w:rPr>
              <w:t>形式：投标人疑问通过网上提交。</w:t>
            </w:r>
          </w:p>
          <w:p w14:paraId="002D491E">
            <w:pPr>
              <w:pStyle w:val="15"/>
              <w:snapToGrid w:val="0"/>
              <w:spacing w:after="0" w:line="276" w:lineRule="auto"/>
              <w:rPr>
                <w:rFonts w:ascii="宋体" w:hAnsi="宋体" w:cs="宋体"/>
                <w:color w:val="auto"/>
                <w:szCs w:val="21"/>
                <w:highlight w:val="none"/>
              </w:rPr>
            </w:pPr>
            <w:r>
              <w:rPr>
                <w:rFonts w:hint="eastAsia" w:ascii="宋体" w:hAnsi="宋体"/>
                <w:color w:val="auto"/>
                <w:szCs w:val="21"/>
                <w:highlight w:val="none"/>
              </w:rPr>
              <w:t>网上答疑的操作指南为：登陆广州公共资源交易中心新建设工程交易平台中“我是投标人”→“我的投标”→“招标答疑提问”通过项目编号或名称找到所需的项目→在上述的答疑时间内点击“答疑提问”→无记名或匿名提出问题以及查看所有的问题（提交问题时需插入投标人CA证书）。</w:t>
            </w:r>
          </w:p>
        </w:tc>
      </w:tr>
      <w:tr w14:paraId="25FBC7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vAlign w:val="center"/>
          </w:tcPr>
          <w:p w14:paraId="37AB3F7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613" w:type="dxa"/>
            <w:vAlign w:val="center"/>
          </w:tcPr>
          <w:p w14:paraId="29523A9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5774" w:type="dxa"/>
            <w:vAlign w:val="center"/>
          </w:tcPr>
          <w:p w14:paraId="5F64E091">
            <w:pPr>
              <w:pStyle w:val="15"/>
              <w:snapToGrid w:val="0"/>
              <w:spacing w:after="0" w:line="276" w:lineRule="auto"/>
              <w:ind w:firstLine="0"/>
              <w:rPr>
                <w:rFonts w:ascii="宋体" w:hAnsi="宋体" w:cs="宋体"/>
                <w:color w:val="auto"/>
                <w:szCs w:val="21"/>
                <w:highlight w:val="none"/>
                <w:u w:val="single"/>
              </w:rPr>
            </w:pPr>
            <w:r>
              <w:rPr>
                <w:rFonts w:hint="eastAsia" w:ascii="宋体" w:hAnsi="宋体" w:cs="宋体"/>
                <w:color w:val="auto"/>
                <w:szCs w:val="21"/>
                <w:highlight w:val="none"/>
                <w:u w:val="single"/>
              </w:rPr>
              <w:t>招标人应在投标截止时间15日前解答投标人对招标文件提出的疑问，在广州交易集团有限公司（广州公共资源交易中心）网站项目答疑专区发布。</w:t>
            </w:r>
          </w:p>
        </w:tc>
      </w:tr>
      <w:tr w14:paraId="2D9C1C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959" w:type="dxa"/>
            <w:vMerge w:val="restart"/>
            <w:vAlign w:val="center"/>
          </w:tcPr>
          <w:p w14:paraId="178E8C1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613" w:type="dxa"/>
            <w:vMerge w:val="restart"/>
            <w:vAlign w:val="center"/>
          </w:tcPr>
          <w:p w14:paraId="20AC4CC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5774" w:type="dxa"/>
            <w:vAlign w:val="center"/>
          </w:tcPr>
          <w:p w14:paraId="0DF104D1">
            <w:pPr>
              <w:spacing w:line="276"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14:paraId="3B899A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959" w:type="dxa"/>
            <w:vMerge w:val="continue"/>
            <w:vAlign w:val="center"/>
          </w:tcPr>
          <w:p w14:paraId="7949EC6D">
            <w:pPr>
              <w:keepNext/>
              <w:keepLines/>
              <w:snapToGrid w:val="0"/>
              <w:spacing w:line="276" w:lineRule="auto"/>
              <w:jc w:val="center"/>
              <w:outlineLvl w:val="2"/>
              <w:rPr>
                <w:rFonts w:ascii="宋体" w:hAnsi="宋体" w:cs="宋体"/>
                <w:color w:val="auto"/>
                <w:szCs w:val="21"/>
                <w:highlight w:val="none"/>
              </w:rPr>
            </w:pPr>
          </w:p>
        </w:tc>
        <w:tc>
          <w:tcPr>
            <w:tcW w:w="2613" w:type="dxa"/>
            <w:vMerge w:val="continue"/>
            <w:vAlign w:val="center"/>
          </w:tcPr>
          <w:p w14:paraId="74211BC2">
            <w:pPr>
              <w:keepNext/>
              <w:keepLines/>
              <w:snapToGrid w:val="0"/>
              <w:spacing w:line="276" w:lineRule="auto"/>
              <w:jc w:val="center"/>
              <w:outlineLvl w:val="2"/>
              <w:rPr>
                <w:rFonts w:ascii="宋体" w:hAnsi="宋体" w:cs="宋体"/>
                <w:color w:val="auto"/>
                <w:szCs w:val="21"/>
                <w:highlight w:val="none"/>
              </w:rPr>
            </w:pPr>
          </w:p>
        </w:tc>
        <w:tc>
          <w:tcPr>
            <w:tcW w:w="5774" w:type="dxa"/>
            <w:vAlign w:val="center"/>
          </w:tcPr>
          <w:p w14:paraId="10F80D29">
            <w:pPr>
              <w:spacing w:line="276"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招标文件澄清（招标答疑纪要）一经在广州交易集团有限公司（广州公共资源交易中心）网站发布，视作已发放给所有投标人，无需确认。</w:t>
            </w:r>
          </w:p>
        </w:tc>
      </w:tr>
      <w:tr w14:paraId="03C97C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959" w:type="dxa"/>
            <w:vAlign w:val="center"/>
          </w:tcPr>
          <w:p w14:paraId="471C249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613" w:type="dxa"/>
            <w:vAlign w:val="center"/>
          </w:tcPr>
          <w:p w14:paraId="72AF499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5774" w:type="dxa"/>
            <w:vAlign w:val="center"/>
          </w:tcPr>
          <w:p w14:paraId="2CF33352">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以补充公告或项目答疑澄清的方式在广州交易集团有限公司（广州公共资源交易中心）网站发布</w:t>
            </w:r>
          </w:p>
        </w:tc>
      </w:tr>
      <w:tr w14:paraId="4D04B4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959" w:type="dxa"/>
            <w:vMerge w:val="restart"/>
            <w:vAlign w:val="center"/>
          </w:tcPr>
          <w:p w14:paraId="797C8149">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613" w:type="dxa"/>
            <w:vMerge w:val="restart"/>
            <w:vAlign w:val="center"/>
          </w:tcPr>
          <w:p w14:paraId="4B4D44D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5774" w:type="dxa"/>
            <w:vAlign w:val="center"/>
          </w:tcPr>
          <w:p w14:paraId="51F509D6">
            <w:pPr>
              <w:spacing w:line="276" w:lineRule="auto"/>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14:paraId="67B79D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5" w:hRule="atLeast"/>
          <w:jc w:val="center"/>
        </w:trPr>
        <w:tc>
          <w:tcPr>
            <w:tcW w:w="959" w:type="dxa"/>
            <w:vMerge w:val="continue"/>
            <w:vAlign w:val="center"/>
          </w:tcPr>
          <w:p w14:paraId="7528E510">
            <w:pPr>
              <w:keepNext/>
              <w:keepLines/>
              <w:snapToGrid w:val="0"/>
              <w:spacing w:line="276" w:lineRule="auto"/>
              <w:jc w:val="center"/>
              <w:outlineLvl w:val="2"/>
              <w:rPr>
                <w:rFonts w:ascii="宋体" w:hAnsi="宋体" w:cs="宋体"/>
                <w:color w:val="auto"/>
                <w:szCs w:val="21"/>
                <w:highlight w:val="none"/>
              </w:rPr>
            </w:pPr>
          </w:p>
        </w:tc>
        <w:tc>
          <w:tcPr>
            <w:tcW w:w="2613" w:type="dxa"/>
            <w:vMerge w:val="continue"/>
            <w:vAlign w:val="center"/>
          </w:tcPr>
          <w:p w14:paraId="6ACDD909">
            <w:pPr>
              <w:keepNext/>
              <w:keepLines/>
              <w:snapToGrid w:val="0"/>
              <w:spacing w:line="276" w:lineRule="auto"/>
              <w:jc w:val="center"/>
              <w:outlineLvl w:val="2"/>
              <w:rPr>
                <w:rFonts w:ascii="宋体" w:hAnsi="宋体" w:cs="宋体"/>
                <w:color w:val="auto"/>
                <w:szCs w:val="21"/>
                <w:highlight w:val="none"/>
              </w:rPr>
            </w:pPr>
          </w:p>
        </w:tc>
        <w:tc>
          <w:tcPr>
            <w:tcW w:w="5774" w:type="dxa"/>
            <w:vAlign w:val="center"/>
          </w:tcPr>
          <w:p w14:paraId="441A4B8E">
            <w:pPr>
              <w:spacing w:line="276" w:lineRule="auto"/>
              <w:rPr>
                <w:rFonts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修改一经在广州交易集团有限公司（广州公共资源交易中心）网站发布，视作已发放给所有投标人，无需确认。潜在投标人应自行关注招标公告公布的网站公告，投标人自行下载，招标人不再一一通知。投标人因自身贻误行为导致投标失败的，责任自负。</w:t>
            </w:r>
          </w:p>
        </w:tc>
      </w:tr>
      <w:tr w14:paraId="13232A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59" w:type="dxa"/>
            <w:vAlign w:val="center"/>
          </w:tcPr>
          <w:p w14:paraId="1CEF5F2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613" w:type="dxa"/>
            <w:vAlign w:val="center"/>
          </w:tcPr>
          <w:p w14:paraId="0A16F8A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5774" w:type="dxa"/>
            <w:vAlign w:val="center"/>
          </w:tcPr>
          <w:p w14:paraId="54CF8675">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满足本项目评审要求的其他资料。</w:t>
            </w:r>
          </w:p>
        </w:tc>
      </w:tr>
      <w:tr w14:paraId="6436E9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959" w:type="dxa"/>
            <w:vAlign w:val="center"/>
          </w:tcPr>
          <w:p w14:paraId="5144F8B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3.2.1</w:t>
            </w:r>
          </w:p>
        </w:tc>
        <w:tc>
          <w:tcPr>
            <w:tcW w:w="2613" w:type="dxa"/>
            <w:vAlign w:val="center"/>
          </w:tcPr>
          <w:p w14:paraId="750F89A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增值税税金的计算方法</w:t>
            </w:r>
          </w:p>
        </w:tc>
        <w:tc>
          <w:tcPr>
            <w:tcW w:w="5774" w:type="dxa"/>
            <w:vAlign w:val="center"/>
          </w:tcPr>
          <w:p w14:paraId="4F9F9A6F">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按国家税务机关的规定执行。</w:t>
            </w:r>
          </w:p>
        </w:tc>
      </w:tr>
      <w:tr w14:paraId="4CC57A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959" w:type="dxa"/>
            <w:vAlign w:val="center"/>
          </w:tcPr>
          <w:p w14:paraId="509F875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3.2.3</w:t>
            </w:r>
          </w:p>
        </w:tc>
        <w:tc>
          <w:tcPr>
            <w:tcW w:w="2613" w:type="dxa"/>
            <w:vAlign w:val="center"/>
          </w:tcPr>
          <w:p w14:paraId="1FD05F0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774" w:type="dxa"/>
            <w:vAlign w:val="center"/>
          </w:tcPr>
          <w:p w14:paraId="15B7E5F9">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自行报价（以“元”为单位，精确到小数位后2位）。</w:t>
            </w:r>
          </w:p>
        </w:tc>
      </w:tr>
      <w:tr w14:paraId="73F0D0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4" w:hRule="atLeast"/>
          <w:jc w:val="center"/>
        </w:trPr>
        <w:tc>
          <w:tcPr>
            <w:tcW w:w="959" w:type="dxa"/>
            <w:vAlign w:val="center"/>
          </w:tcPr>
          <w:p w14:paraId="26D3948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3.2.4</w:t>
            </w:r>
          </w:p>
        </w:tc>
        <w:tc>
          <w:tcPr>
            <w:tcW w:w="2613" w:type="dxa"/>
            <w:vAlign w:val="center"/>
          </w:tcPr>
          <w:p w14:paraId="5C7363B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5774" w:type="dxa"/>
            <w:vAlign w:val="center"/>
          </w:tcPr>
          <w:p w14:paraId="3151E55E">
            <w:pPr>
              <w:tabs>
                <w:tab w:val="left" w:pos="7513"/>
              </w:tabs>
              <w:spacing w:line="276" w:lineRule="auto"/>
              <w:rPr>
                <w:rFonts w:ascii="宋体" w:hAnsi="宋体" w:cs="宋体"/>
                <w:color w:val="auto"/>
                <w:szCs w:val="21"/>
                <w:highlight w:val="none"/>
              </w:rPr>
            </w:pPr>
            <w:r>
              <w:rPr>
                <w:rFonts w:hint="eastAsia" w:ascii="宋体" w:hAnsi="宋体" w:cs="宋体"/>
                <w:color w:val="auto"/>
                <w:szCs w:val="21"/>
                <w:highlight w:val="none"/>
              </w:rPr>
              <w:t>□无</w:t>
            </w:r>
          </w:p>
          <w:p w14:paraId="56AE23BB">
            <w:pPr>
              <w:tabs>
                <w:tab w:val="left" w:pos="7513"/>
              </w:tabs>
              <w:spacing w:line="276" w:lineRule="auto"/>
              <w:rPr>
                <w:rFonts w:ascii="宋体" w:hAnsi="宋体"/>
                <w:color w:val="auto"/>
                <w:szCs w:val="21"/>
                <w:highlight w:val="none"/>
                <w:u w:val="single"/>
              </w:rPr>
            </w:pPr>
            <w:r>
              <w:rPr>
                <w:rFonts w:hint="eastAsia" w:ascii="宋体" w:hAnsi="宋体" w:cs="宋体"/>
                <w:color w:val="auto"/>
                <w:szCs w:val="21"/>
                <w:highlight w:val="none"/>
              </w:rPr>
              <w:t>■有，最高投标限价</w:t>
            </w:r>
            <w:bookmarkStart w:id="31" w:name="OLE_LINK1"/>
            <w:r>
              <w:rPr>
                <w:rFonts w:hint="eastAsia" w:ascii="宋体" w:hAnsi="宋体" w:cs="宋体"/>
                <w:color w:val="auto"/>
                <w:szCs w:val="21"/>
                <w:highlight w:val="none"/>
              </w:rPr>
              <w:t>（总价）</w:t>
            </w:r>
            <w:bookmarkEnd w:id="31"/>
            <w:r>
              <w:rPr>
                <w:rFonts w:hint="eastAsia" w:ascii="宋体" w:hAnsi="宋体" w:cs="宋体"/>
                <w:color w:val="auto"/>
                <w:szCs w:val="21"/>
                <w:highlight w:val="none"/>
              </w:rPr>
              <w:t>：</w:t>
            </w:r>
            <w:r>
              <w:rPr>
                <w:rFonts w:hint="eastAsia" w:ascii="宋体" w:hAnsi="宋体"/>
                <w:bCs/>
                <w:color w:val="auto"/>
                <w:sz w:val="24"/>
                <w:szCs w:val="24"/>
                <w:highlight w:val="none"/>
                <w:u w:val="single"/>
                <w:lang w:val="en-US" w:eastAsia="zh-CN"/>
              </w:rPr>
              <w:t>1342828.01</w:t>
            </w:r>
            <w:r>
              <w:rPr>
                <w:rFonts w:hint="eastAsia" w:ascii="宋体" w:hAnsi="宋体"/>
                <w:bCs/>
                <w:color w:val="auto"/>
                <w:sz w:val="24"/>
                <w:szCs w:val="24"/>
                <w:highlight w:val="none"/>
                <w:u w:val="single"/>
              </w:rPr>
              <w:t>元</w:t>
            </w:r>
            <w:r>
              <w:rPr>
                <w:rFonts w:hint="eastAsia" w:ascii="宋体" w:hAnsi="宋体"/>
                <w:color w:val="auto"/>
                <w:szCs w:val="21"/>
                <w:highlight w:val="none"/>
                <w:u w:val="single"/>
              </w:rPr>
              <w:t>。</w:t>
            </w:r>
          </w:p>
          <w:p w14:paraId="2DA62AD4">
            <w:pPr>
              <w:tabs>
                <w:tab w:val="left" w:pos="7513"/>
              </w:tabs>
              <w:rPr>
                <w:rFonts w:ascii="宋体" w:hAnsi="宋体" w:cs="宋体"/>
                <w:color w:val="auto"/>
                <w:szCs w:val="21"/>
                <w:highlight w:val="none"/>
                <w:u w:val="single"/>
              </w:rPr>
            </w:pPr>
            <w:r>
              <w:rPr>
                <w:rFonts w:hint="eastAsia" w:ascii="宋体" w:hAnsi="宋体" w:cs="宋体"/>
                <w:color w:val="auto"/>
                <w:szCs w:val="21"/>
                <w:highlight w:val="none"/>
                <w:u w:val="single"/>
              </w:rPr>
              <w:t>注：投标人在总价以内（含本数）自行填报投标价及投标下浮率，超出最高投标限价的报价做废标处理。</w:t>
            </w:r>
          </w:p>
          <w:p w14:paraId="1668175C">
            <w:pPr>
              <w:tabs>
                <w:tab w:val="left" w:pos="7513"/>
              </w:tabs>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74675A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0" w:hRule="atLeast"/>
          <w:jc w:val="center"/>
        </w:trPr>
        <w:tc>
          <w:tcPr>
            <w:tcW w:w="959" w:type="dxa"/>
            <w:vAlign w:val="center"/>
          </w:tcPr>
          <w:p w14:paraId="4B928B4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3.2.5</w:t>
            </w:r>
          </w:p>
        </w:tc>
        <w:tc>
          <w:tcPr>
            <w:tcW w:w="2613" w:type="dxa"/>
            <w:vAlign w:val="center"/>
          </w:tcPr>
          <w:p w14:paraId="310032B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投标报价的其他要求</w:t>
            </w:r>
          </w:p>
        </w:tc>
        <w:tc>
          <w:tcPr>
            <w:tcW w:w="5774" w:type="dxa"/>
            <w:vAlign w:val="center"/>
          </w:tcPr>
          <w:p w14:paraId="197493C9">
            <w:pPr>
              <w:tabs>
                <w:tab w:val="left" w:pos="7513"/>
              </w:tabs>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本项目投标价及下浮率：投标价以发布的项目控制价（详见招标文件）乘以中标人的投标报价下浮率计算，投标下浮率为投标人投标总报价相对于最高投标限价（招标控制价）的投标下浮率。</w:t>
            </w:r>
          </w:p>
          <w:p w14:paraId="58DF84A4">
            <w:pPr>
              <w:tabs>
                <w:tab w:val="left" w:pos="7513"/>
              </w:tabs>
              <w:spacing w:line="276" w:lineRule="auto"/>
              <w:rPr>
                <w:color w:val="auto"/>
                <w:highlight w:val="none"/>
              </w:rPr>
            </w:pPr>
            <w:r>
              <w:rPr>
                <w:rFonts w:hint="eastAsia" w:ascii="宋体" w:hAnsi="宋体" w:cs="宋体"/>
                <w:color w:val="auto"/>
                <w:szCs w:val="21"/>
                <w:highlight w:val="none"/>
                <w:u w:val="single"/>
              </w:rPr>
              <w:t>本合同工程量以实际发生（按业主、监理人、中标人确认）进行计算，结算时依据实际工程量</w:t>
            </w:r>
            <w:r>
              <w:rPr>
                <w:rFonts w:ascii="宋体" w:hAnsi="宋体" w:cs="宋体"/>
                <w:color w:val="auto"/>
                <w:szCs w:val="21"/>
                <w:highlight w:val="none"/>
                <w:u w:val="single"/>
              </w:rPr>
              <w:t>×</w:t>
            </w:r>
            <w:r>
              <w:rPr>
                <w:rFonts w:hint="eastAsia" w:ascii="宋体" w:hAnsi="宋体" w:cs="宋体"/>
                <w:color w:val="auto"/>
                <w:szCs w:val="21"/>
                <w:highlight w:val="none"/>
                <w:u w:val="single"/>
              </w:rPr>
              <w:t>收费标准单价</w:t>
            </w:r>
            <w:r>
              <w:rPr>
                <w:rFonts w:ascii="宋体" w:hAnsi="宋体" w:cs="宋体"/>
                <w:color w:val="auto"/>
                <w:szCs w:val="21"/>
                <w:highlight w:val="none"/>
                <w:u w:val="single"/>
              </w:rPr>
              <w:t>×</w:t>
            </w:r>
            <w:r>
              <w:rPr>
                <w:rFonts w:hint="eastAsia" w:ascii="宋体" w:hAnsi="宋体" w:cs="宋体"/>
                <w:color w:val="auto"/>
                <w:szCs w:val="21"/>
                <w:highlight w:val="none"/>
                <w:u w:val="single"/>
              </w:rPr>
              <w:t>（1-投标下浮率）结算，结算价超过经评审的概算中对应的检测、监测费的审定金额的，则按最终概算审定金额为最终结算价（如有审计、以审计结果为准）。</w:t>
            </w:r>
          </w:p>
          <w:p w14:paraId="17C2A0CE">
            <w:pPr>
              <w:snapToGrid w:val="0"/>
              <w:rPr>
                <w:rFonts w:ascii="宋体" w:hAnsi="宋体" w:cs="宋体"/>
                <w:color w:val="auto"/>
                <w:szCs w:val="21"/>
                <w:highlight w:val="none"/>
              </w:rPr>
            </w:pPr>
            <w:r>
              <w:rPr>
                <w:rFonts w:hint="eastAsia" w:ascii="宋体" w:hAnsi="宋体" w:cs="宋体"/>
                <w:color w:val="auto"/>
                <w:szCs w:val="21"/>
                <w:highlight w:val="none"/>
              </w:rPr>
              <w:t>最终结算价已包含了为完成本项目招标内容要求所产生的所有不可预见的费用,包括但不限于包工、包料、包设备设施、包工期、包质量、包安全、包文明作业、包与建设项目相关单位的协调以及本项目可能产生的风险等所有费用。</w:t>
            </w:r>
          </w:p>
          <w:p w14:paraId="19D90996">
            <w:pPr>
              <w:snapToGrid w:val="0"/>
              <w:rPr>
                <w:rFonts w:ascii="宋体" w:hAnsi="宋体" w:cs="宋体"/>
                <w:color w:val="auto"/>
                <w:szCs w:val="21"/>
                <w:highlight w:val="none"/>
              </w:rPr>
            </w:pPr>
            <w:r>
              <w:rPr>
                <w:rFonts w:hint="eastAsia" w:ascii="宋体" w:hAnsi="宋体" w:cs="宋体"/>
                <w:color w:val="auto"/>
                <w:szCs w:val="21"/>
                <w:highlight w:val="none"/>
              </w:rPr>
              <w:t>4、项目实际发生的工程量单价按不超过《广东省房屋建筑和市政工程质量安全检测收费指导价（第一批）》（粤建检协〔2015〕8号）、《广东省既有房屋建筑安全性鉴定收费指导价》的通知（粤建检协〔2015〕8号）、《工程勘察设计收费管理规定》计价格[2002]10号的收费依据，基础上再结合投标下浮率计算的单价确定，如上述相关收费标准没有的项目，按以下优先顺序参照《房屋建筑和市政基础设施工程设计收费导则》中所附的《工程勘察设计收费标准》（2002年修订本）、《番禺区住房和建设局关于调整番禺区建设工程质量检测单位库检测收费标准的通知》，上述计费文件均没有的单价，按由甲乙双方参照市场价格协商确定，最终以评审审定为准，结算时按中标人投标时的下浮率结合合同相关条款进行结算，结算价超过经财政评审的概算中对应的检测服务的审定金额或最高投标限价的，则按评审审定金额和最高投标限价的低者为最终结算价（如有审计，以审计结果为准）。</w:t>
            </w:r>
          </w:p>
          <w:p w14:paraId="7658E7B5">
            <w:pPr>
              <w:snapToGrid w:val="0"/>
              <w:rPr>
                <w:rFonts w:ascii="宋体" w:hAnsi="宋体" w:cs="宋体"/>
                <w:color w:val="auto"/>
                <w:szCs w:val="21"/>
                <w:highlight w:val="none"/>
              </w:rPr>
            </w:pPr>
            <w:r>
              <w:rPr>
                <w:rFonts w:hint="eastAsia" w:ascii="宋体" w:hAnsi="宋体" w:cs="宋体"/>
                <w:color w:val="auto"/>
                <w:szCs w:val="21"/>
                <w:highlight w:val="none"/>
              </w:rPr>
              <w:t>5、中标总价已包括但不限于人工费、材料费、设备使用费、设备进出场费、检测试验费、各项措施费（包括但不限于：安全文明施工、临水临电安装、临时道路铺设、机械设备进出场、工作面清理及整理、检测配载、桩头处理、试坑开挖、疏干排水、工作搭架、工作棚、锚桩及焊接等相关费用）、报告编写费、各项管理费、以及所有因工程质量检测应交纳的政府规费、利润、税金、风险费用等，不论实际费用有无发生，亦不论各项费用有无涨落，均不再调整。招标人现场不提供办公及住宿等条件，所有费用由中标人在投标报价中综合考虑。</w:t>
            </w:r>
          </w:p>
          <w:p w14:paraId="66E9A192">
            <w:pPr>
              <w:snapToGrid w:val="0"/>
              <w:rPr>
                <w:rFonts w:ascii="宋体" w:hAnsi="宋体" w:cs="宋体"/>
                <w:color w:val="auto"/>
                <w:szCs w:val="21"/>
                <w:highlight w:val="none"/>
                <w:u w:val="single"/>
              </w:rPr>
            </w:pPr>
            <w:r>
              <w:rPr>
                <w:rFonts w:hint="eastAsia" w:ascii="宋体" w:hAnsi="宋体" w:cs="宋体"/>
                <w:color w:val="auto"/>
                <w:szCs w:val="21"/>
                <w:highlight w:val="none"/>
              </w:rPr>
              <w:t>6、检测服务的工作量根据经招标人批准的检测方案，并结合现场实际情况由招标人、监理人、中标人三方进行签证确认，中标人自行增加的额外工作量将不被承认，最终以番禺区财政评审机构审定为准结算。</w:t>
            </w:r>
          </w:p>
        </w:tc>
      </w:tr>
      <w:tr w14:paraId="5D4C96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959" w:type="dxa"/>
            <w:vAlign w:val="center"/>
          </w:tcPr>
          <w:p w14:paraId="0A56136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613" w:type="dxa"/>
            <w:vAlign w:val="center"/>
          </w:tcPr>
          <w:p w14:paraId="14CF0A4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774" w:type="dxa"/>
            <w:vAlign w:val="center"/>
          </w:tcPr>
          <w:p w14:paraId="7A38E4F4">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w:t>
            </w:r>
          </w:p>
        </w:tc>
      </w:tr>
      <w:tr w14:paraId="639EF3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59" w:type="dxa"/>
            <w:vAlign w:val="center"/>
          </w:tcPr>
          <w:p w14:paraId="6BF42460">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613" w:type="dxa"/>
            <w:vAlign w:val="center"/>
          </w:tcPr>
          <w:p w14:paraId="187C028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5774" w:type="dxa"/>
            <w:vAlign w:val="center"/>
          </w:tcPr>
          <w:p w14:paraId="47952041">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是否要求投标人递交投标保证金：</w:t>
            </w:r>
          </w:p>
          <w:p w14:paraId="7FF0109B">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sym w:font="Wingdings 2" w:char="00A3"/>
            </w:r>
            <w:r>
              <w:rPr>
                <w:rFonts w:hint="eastAsia" w:hAnsi="宋体" w:cs="宋体"/>
                <w:color w:val="auto"/>
                <w:sz w:val="21"/>
                <w:szCs w:val="21"/>
                <w:highlight w:val="none"/>
              </w:rPr>
              <w:t>要求</w:t>
            </w:r>
          </w:p>
          <w:p w14:paraId="0DBAC8B5">
            <w:pPr>
              <w:pStyle w:val="7"/>
              <w:topLinePunct/>
              <w:snapToGrid w:val="0"/>
              <w:spacing w:line="276" w:lineRule="auto"/>
              <w:rPr>
                <w:rFonts w:hAnsi="宋体" w:cs="宋体"/>
                <w:color w:val="auto"/>
                <w:sz w:val="21"/>
                <w:szCs w:val="21"/>
                <w:highlight w:val="none"/>
              </w:rPr>
            </w:pPr>
            <w:r>
              <w:rPr>
                <w:rFonts w:hint="eastAsia" w:hAnsi="宋体" w:cs="宋体"/>
                <w:b/>
                <w:color w:val="auto"/>
                <w:sz w:val="21"/>
                <w:szCs w:val="21"/>
                <w:highlight w:val="none"/>
              </w:rPr>
              <w:t>■</w:t>
            </w:r>
            <w:r>
              <w:rPr>
                <w:rFonts w:hint="eastAsia" w:hAnsi="宋体" w:cs="宋体"/>
                <w:color w:val="auto"/>
                <w:sz w:val="21"/>
                <w:szCs w:val="21"/>
                <w:highlight w:val="none"/>
              </w:rPr>
              <w:t>不要求</w:t>
            </w:r>
          </w:p>
          <w:p w14:paraId="7D865053">
            <w:pPr>
              <w:pStyle w:val="7"/>
              <w:topLinePunct/>
              <w:snapToGrid w:val="0"/>
              <w:spacing w:line="276" w:lineRule="auto"/>
              <w:rPr>
                <w:rFonts w:hAnsi="宋体" w:cs="宋体"/>
                <w:color w:val="auto"/>
                <w:sz w:val="21"/>
                <w:szCs w:val="21"/>
                <w:highlight w:val="none"/>
              </w:rPr>
            </w:pPr>
            <w:r>
              <w:rPr>
                <w:rFonts w:hint="eastAsia" w:hAnsi="宋体" w:cs="宋体"/>
                <w:color w:val="auto"/>
                <w:sz w:val="21"/>
                <w:szCs w:val="21"/>
                <w:highlight w:val="none"/>
              </w:rPr>
              <w:t>1.本项目免收投标保证金，具体规定如下：提供《关于投标保证金的承诺》（详见投标文件格式三）。</w:t>
            </w:r>
          </w:p>
          <w:p w14:paraId="0428A855">
            <w:pPr>
              <w:pStyle w:val="7"/>
              <w:topLinePunct/>
              <w:snapToGrid w:val="0"/>
              <w:spacing w:line="276" w:lineRule="auto"/>
              <w:rPr>
                <w:rFonts w:hAnsi="宋体" w:cs="宋体"/>
                <w:color w:val="auto"/>
                <w:sz w:val="21"/>
                <w:szCs w:val="21"/>
                <w:highlight w:val="none"/>
              </w:rPr>
            </w:pPr>
            <w:r>
              <w:rPr>
                <w:rFonts w:hint="eastAsia" w:hAnsi="宋体" w:cs="宋体"/>
                <w:color w:val="auto"/>
                <w:sz w:val="21"/>
                <w:szCs w:val="21"/>
                <w:highlight w:val="none"/>
              </w:rPr>
              <w:t>2.对于投标人已提供《关于投标保证金的承诺》，若投标人存在3.4.4条款所列情形，该投标人应在发现存在3.4.4条款所列情形之日起5个工作日内补交人民币4万元投标保证金；若未按要求补交投标保证金的将暂停其参与招标人后续工程投标，直至完成补交手续为止。</w:t>
            </w:r>
          </w:p>
        </w:tc>
      </w:tr>
      <w:tr w14:paraId="3776D2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59" w:type="dxa"/>
            <w:vAlign w:val="center"/>
          </w:tcPr>
          <w:p w14:paraId="3F563FD9">
            <w:pPr>
              <w:snapToGrid w:val="0"/>
              <w:spacing w:line="276" w:lineRule="auto"/>
              <w:jc w:val="center"/>
              <w:rPr>
                <w:rFonts w:ascii="宋体" w:hAnsi="宋体" w:cs="宋体"/>
                <w:color w:val="auto"/>
                <w:szCs w:val="21"/>
                <w:highlight w:val="none"/>
              </w:rPr>
            </w:pPr>
            <w:r>
              <w:rPr>
                <w:rFonts w:ascii="宋体" w:hAnsi="宋体"/>
                <w:color w:val="auto"/>
                <w:szCs w:val="21"/>
                <w:highlight w:val="none"/>
              </w:rPr>
              <w:t>3.4.4</w:t>
            </w:r>
          </w:p>
        </w:tc>
        <w:tc>
          <w:tcPr>
            <w:tcW w:w="2613" w:type="dxa"/>
            <w:vAlign w:val="center"/>
          </w:tcPr>
          <w:p w14:paraId="5AC95337">
            <w:pPr>
              <w:snapToGrid w:val="0"/>
              <w:spacing w:line="276" w:lineRule="auto"/>
              <w:jc w:val="center"/>
              <w:rPr>
                <w:rFonts w:ascii="宋体" w:hAnsi="宋体" w:cs="宋体"/>
                <w:color w:val="auto"/>
                <w:szCs w:val="21"/>
                <w:highlight w:val="none"/>
              </w:rPr>
            </w:pPr>
            <w:r>
              <w:rPr>
                <w:rFonts w:ascii="宋体" w:hAnsi="宋体"/>
                <w:color w:val="auto"/>
                <w:szCs w:val="21"/>
                <w:highlight w:val="none"/>
              </w:rPr>
              <w:t>其他可以不予退还投标保证金的情形</w:t>
            </w:r>
          </w:p>
        </w:tc>
        <w:tc>
          <w:tcPr>
            <w:tcW w:w="5774" w:type="dxa"/>
            <w:vAlign w:val="center"/>
          </w:tcPr>
          <w:p w14:paraId="32989B36">
            <w:pPr>
              <w:spacing w:line="276" w:lineRule="auto"/>
              <w:rPr>
                <w:rFonts w:ascii="宋体" w:hAnsi="宋体" w:cs="宋体"/>
                <w:color w:val="auto"/>
                <w:szCs w:val="21"/>
                <w:highlight w:val="none"/>
              </w:rPr>
            </w:pPr>
            <w:r>
              <w:rPr>
                <w:rFonts w:hint="eastAsia" w:ascii="宋体" w:hAnsi="宋体" w:cs="宋体"/>
                <w:color w:val="auto"/>
                <w:szCs w:val="21"/>
                <w:highlight w:val="none"/>
              </w:rPr>
              <w:t>（1）若在中标通知书发放后15个日历天内，中标人未提交履约担保且未征得招标人同意延期缴交的，招标人有权取消其中标资格并没收其投标保证金，并由其他中标候选人顺次序替补。</w:t>
            </w:r>
          </w:p>
          <w:p w14:paraId="52789F89">
            <w:pPr>
              <w:spacing w:line="276" w:lineRule="auto"/>
              <w:rPr>
                <w:rFonts w:ascii="宋体" w:hAnsi="宋体" w:cs="宋体"/>
                <w:color w:val="auto"/>
                <w:szCs w:val="21"/>
                <w:highlight w:val="none"/>
              </w:rPr>
            </w:pPr>
            <w:r>
              <w:rPr>
                <w:rFonts w:hint="eastAsia" w:ascii="宋体" w:hAnsi="宋体" w:cs="宋体"/>
                <w:color w:val="auto"/>
                <w:szCs w:val="21"/>
                <w:highlight w:val="none"/>
              </w:rPr>
              <w:t>（2）中标通知书自广州公共资源交易中心交易平台发出之日，视作中标人确认收到。</w:t>
            </w:r>
          </w:p>
          <w:p w14:paraId="61D124C4">
            <w:pPr>
              <w:spacing w:line="276" w:lineRule="auto"/>
              <w:rPr>
                <w:rFonts w:ascii="宋体" w:hAnsi="宋体" w:cs="宋体"/>
                <w:color w:val="auto"/>
                <w:szCs w:val="21"/>
                <w:highlight w:val="none"/>
              </w:rPr>
            </w:pPr>
            <w:r>
              <w:rPr>
                <w:rFonts w:hint="eastAsia" w:ascii="宋体" w:hAnsi="宋体" w:cs="宋体"/>
                <w:color w:val="auto"/>
                <w:szCs w:val="21"/>
                <w:highlight w:val="none"/>
              </w:rPr>
              <w:t>（3）投标人采用不正当的手段，骗取中标，经查实的，招标人有权取消其中标资格，并由其他中标候选人顺次序替补。</w:t>
            </w:r>
          </w:p>
          <w:p w14:paraId="1335356F">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（4）中标人在发放中标通知书后</w:t>
            </w:r>
            <w:r>
              <w:rPr>
                <w:rFonts w:hint="eastAsia" w:hAnsi="宋体" w:cs="宋体"/>
                <w:color w:val="auto"/>
                <w:sz w:val="21"/>
                <w:szCs w:val="21"/>
                <w:highlight w:val="none"/>
                <w:u w:val="single"/>
              </w:rPr>
              <w:t>30</w:t>
            </w:r>
            <w:r>
              <w:rPr>
                <w:rFonts w:hint="eastAsia" w:hAnsi="宋体" w:cs="宋体"/>
                <w:color w:val="auto"/>
                <w:sz w:val="21"/>
                <w:szCs w:val="21"/>
                <w:highlight w:val="none"/>
              </w:rPr>
              <w:t>个日历天内，无正当理由不与招标人订立合同，在签订合同时向招标人提出附加条件的，招标人有权取消其中标资格并没收其补交的投标保证金，并由其他中标候选人顺次序替补。</w:t>
            </w:r>
          </w:p>
        </w:tc>
      </w:tr>
      <w:tr w14:paraId="37A407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959" w:type="dxa"/>
            <w:vAlign w:val="center"/>
          </w:tcPr>
          <w:p w14:paraId="42EF722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w:t>
            </w:r>
          </w:p>
        </w:tc>
        <w:tc>
          <w:tcPr>
            <w:tcW w:w="2613" w:type="dxa"/>
            <w:vAlign w:val="center"/>
          </w:tcPr>
          <w:p w14:paraId="576BA2B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5774" w:type="dxa"/>
            <w:vAlign w:val="center"/>
          </w:tcPr>
          <w:p w14:paraId="40CADAA7">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■无</w:t>
            </w:r>
          </w:p>
          <w:p w14:paraId="3EC38569">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sym w:font="Wingdings 2" w:char="00A3"/>
            </w:r>
            <w:r>
              <w:rPr>
                <w:rFonts w:hint="eastAsia" w:hAnsi="宋体" w:cs="宋体"/>
                <w:color w:val="auto"/>
                <w:sz w:val="21"/>
                <w:szCs w:val="21"/>
                <w:highlight w:val="none"/>
              </w:rPr>
              <w:t>有，具体要求：</w:t>
            </w:r>
            <w:r>
              <w:rPr>
                <w:rFonts w:hint="eastAsia" w:hAnsi="宋体"/>
                <w:color w:val="auto"/>
                <w:spacing w:val="-1"/>
                <w:sz w:val="21"/>
                <w:szCs w:val="21"/>
                <w:highlight w:val="none"/>
              </w:rPr>
              <w:t>/</w:t>
            </w:r>
          </w:p>
        </w:tc>
      </w:tr>
      <w:tr w14:paraId="124206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959" w:type="dxa"/>
            <w:vAlign w:val="center"/>
          </w:tcPr>
          <w:p w14:paraId="1F7742F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613" w:type="dxa"/>
            <w:vAlign w:val="center"/>
          </w:tcPr>
          <w:p w14:paraId="3B01513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5774" w:type="dxa"/>
            <w:vAlign w:val="center"/>
          </w:tcPr>
          <w:p w14:paraId="489588DF">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tc>
      </w:tr>
      <w:tr w14:paraId="43EEB4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959" w:type="dxa"/>
            <w:vAlign w:val="center"/>
          </w:tcPr>
          <w:p w14:paraId="0B58042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3.5.3</w:t>
            </w:r>
          </w:p>
        </w:tc>
        <w:tc>
          <w:tcPr>
            <w:tcW w:w="2613" w:type="dxa"/>
            <w:vAlign w:val="center"/>
          </w:tcPr>
          <w:p w14:paraId="2313FD8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近年完成的类似项目情况的时间要求</w:t>
            </w:r>
          </w:p>
        </w:tc>
        <w:tc>
          <w:tcPr>
            <w:tcW w:w="5774" w:type="dxa"/>
            <w:vAlign w:val="center"/>
          </w:tcPr>
          <w:p w14:paraId="13878560">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rPr>
              <w:t xml:space="preserve">/ </w:t>
            </w:r>
          </w:p>
        </w:tc>
      </w:tr>
      <w:tr w14:paraId="14C5F2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959" w:type="dxa"/>
            <w:vAlign w:val="center"/>
          </w:tcPr>
          <w:p w14:paraId="0BFD956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3.5.5</w:t>
            </w:r>
          </w:p>
        </w:tc>
        <w:tc>
          <w:tcPr>
            <w:tcW w:w="2613" w:type="dxa"/>
            <w:vAlign w:val="center"/>
          </w:tcPr>
          <w:p w14:paraId="1486F6B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近年发生的诉讼及仲裁情况的时间要求</w:t>
            </w:r>
          </w:p>
        </w:tc>
        <w:tc>
          <w:tcPr>
            <w:tcW w:w="5774" w:type="dxa"/>
            <w:vAlign w:val="center"/>
          </w:tcPr>
          <w:p w14:paraId="3C6D0EA0">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w:t>
            </w:r>
          </w:p>
        </w:tc>
      </w:tr>
      <w:tr w14:paraId="2B54BF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959" w:type="dxa"/>
            <w:vAlign w:val="center"/>
          </w:tcPr>
          <w:p w14:paraId="20E8EB8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3.6.1</w:t>
            </w:r>
          </w:p>
        </w:tc>
        <w:tc>
          <w:tcPr>
            <w:tcW w:w="2613" w:type="dxa"/>
            <w:vAlign w:val="center"/>
          </w:tcPr>
          <w:p w14:paraId="2BC6A04C">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5774" w:type="dxa"/>
            <w:vAlign w:val="center"/>
          </w:tcPr>
          <w:p w14:paraId="12531449">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■不允许</w:t>
            </w:r>
          </w:p>
          <w:p w14:paraId="4A00998B">
            <w:pPr>
              <w:spacing w:line="276" w:lineRule="auto"/>
              <w:rPr>
                <w:rFonts w:ascii="宋体" w:hAnsi="宋体" w:cs="宋体"/>
                <w:color w:val="auto"/>
                <w:szCs w:val="21"/>
                <w:highlight w:val="none"/>
              </w:rPr>
            </w:pPr>
            <w:r>
              <w:rPr>
                <w:rFonts w:hint="eastAsia" w:ascii="宋体" w:hAnsi="宋体" w:cs="宋体"/>
                <w:color w:val="auto"/>
                <w:szCs w:val="21"/>
                <w:highlight w:val="none"/>
              </w:rPr>
              <w:t>□允许</w:t>
            </w:r>
          </w:p>
        </w:tc>
      </w:tr>
      <w:tr w14:paraId="393C26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3" w:hRule="atLeast"/>
          <w:jc w:val="center"/>
        </w:trPr>
        <w:tc>
          <w:tcPr>
            <w:tcW w:w="959" w:type="dxa"/>
            <w:vAlign w:val="center"/>
          </w:tcPr>
          <w:p w14:paraId="4DC0EB4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613" w:type="dxa"/>
            <w:vAlign w:val="center"/>
          </w:tcPr>
          <w:p w14:paraId="04AE6864">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5774" w:type="dxa"/>
            <w:vAlign w:val="center"/>
          </w:tcPr>
          <w:p w14:paraId="44D8D64E">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证书证件需为原件清晰扫描件，并采用单位数字证书，按照招标文件要求在相应位置加盖电子印章。</w:t>
            </w:r>
          </w:p>
        </w:tc>
      </w:tr>
      <w:tr w14:paraId="7B02BD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959" w:type="dxa"/>
            <w:vAlign w:val="center"/>
          </w:tcPr>
          <w:p w14:paraId="2CA6210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613" w:type="dxa"/>
            <w:vAlign w:val="center"/>
          </w:tcPr>
          <w:p w14:paraId="1922649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5774" w:type="dxa"/>
            <w:vAlign w:val="center"/>
          </w:tcPr>
          <w:p w14:paraId="41DDA855">
            <w:pPr>
              <w:pStyle w:val="7"/>
              <w:topLinePunct/>
              <w:snapToGrid w:val="0"/>
              <w:spacing w:line="276" w:lineRule="auto"/>
              <w:rPr>
                <w:rFonts w:hAnsi="宋体" w:cs="宋体"/>
                <w:color w:val="auto"/>
                <w:sz w:val="21"/>
                <w:szCs w:val="21"/>
                <w:highlight w:val="none"/>
                <w:u w:val="single"/>
              </w:rPr>
            </w:pPr>
            <w:r>
              <w:rPr>
                <w:rFonts w:hint="eastAsia" w:hAnsi="宋体" w:cs="宋体"/>
                <w:color w:val="auto"/>
                <w:sz w:val="21"/>
                <w:szCs w:val="21"/>
                <w:highlight w:val="none"/>
                <w:u w:val="single"/>
              </w:rPr>
              <w:t>取消在招标文件中采用个人数字证书和加盖个人电子印章要求，投标文件中需个人签字或盖章的，应手签后扫描上传。投标文件按招标文件要求加盖单位电子印章。具体操作详见广州交易集团有限公司（广州公共资源交易中心）网站发布的最新版操作指引。</w:t>
            </w:r>
          </w:p>
          <w:p w14:paraId="4753D91E">
            <w:pPr>
              <w:pStyle w:val="7"/>
              <w:topLinePunct/>
              <w:snapToGrid w:val="0"/>
              <w:spacing w:line="276" w:lineRule="auto"/>
              <w:rPr>
                <w:rFonts w:hAnsi="宋体" w:cs="宋体"/>
                <w:color w:val="auto"/>
                <w:szCs w:val="21"/>
                <w:highlight w:val="none"/>
                <w:u w:val="single"/>
              </w:rPr>
            </w:pPr>
            <w:r>
              <w:rPr>
                <w:rFonts w:hAnsi="宋体" w:cs="宋体"/>
                <w:color w:val="auto"/>
                <w:sz w:val="21"/>
                <w:szCs w:val="21"/>
                <w:highlight w:val="none"/>
                <w:u w:val="single"/>
              </w:rPr>
              <w:t>联合体投标时，除“联合体协议书”需由联合体各方分别按要求进行签字或盖章外，其他资料若需要签字或盖章的均可由联合体</w:t>
            </w:r>
            <w:r>
              <w:rPr>
                <w:rFonts w:hint="eastAsia" w:hAnsi="宋体" w:cs="宋体"/>
                <w:color w:val="auto"/>
                <w:sz w:val="21"/>
                <w:szCs w:val="21"/>
                <w:highlight w:val="none"/>
                <w:u w:val="single"/>
              </w:rPr>
              <w:t>牵头方</w:t>
            </w:r>
            <w:r>
              <w:rPr>
                <w:rFonts w:hAnsi="宋体" w:cs="宋体"/>
                <w:color w:val="auto"/>
                <w:sz w:val="21"/>
                <w:szCs w:val="21"/>
                <w:highlight w:val="none"/>
                <w:u w:val="single"/>
              </w:rPr>
              <w:t>签字或盖章即可；投标资料封面及其他内容及落款中的“</w:t>
            </w:r>
            <w:r>
              <w:rPr>
                <w:rFonts w:hint="eastAsia" w:hAnsi="宋体" w:cs="宋体"/>
                <w:color w:val="auto"/>
                <w:sz w:val="21"/>
                <w:szCs w:val="21"/>
                <w:highlight w:val="none"/>
                <w:u w:val="single"/>
              </w:rPr>
              <w:t>投标单位</w:t>
            </w:r>
            <w:r>
              <w:rPr>
                <w:rFonts w:hAnsi="宋体" w:cs="宋体"/>
                <w:color w:val="auto"/>
                <w:sz w:val="21"/>
                <w:szCs w:val="21"/>
                <w:highlight w:val="none"/>
                <w:u w:val="single"/>
              </w:rPr>
              <w:t>”应填写联合体各方的单位全称【格式示例为：（主）单位全称（成）单位全称】，由联合体</w:t>
            </w:r>
            <w:r>
              <w:rPr>
                <w:rFonts w:hint="eastAsia" w:hAnsi="宋体" w:cs="宋体"/>
                <w:color w:val="auto"/>
                <w:sz w:val="21"/>
                <w:szCs w:val="21"/>
                <w:highlight w:val="none"/>
                <w:u w:val="single"/>
              </w:rPr>
              <w:t>牵头方</w:t>
            </w:r>
            <w:r>
              <w:rPr>
                <w:rFonts w:hAnsi="宋体" w:cs="宋体"/>
                <w:color w:val="auto"/>
                <w:sz w:val="21"/>
                <w:szCs w:val="21"/>
                <w:highlight w:val="none"/>
                <w:u w:val="single"/>
              </w:rPr>
              <w:t>按要求签字或盖章即可。电子</w:t>
            </w:r>
            <w:r>
              <w:rPr>
                <w:rFonts w:hint="eastAsia" w:hAnsi="宋体" w:cs="宋体"/>
                <w:color w:val="auto"/>
                <w:sz w:val="21"/>
                <w:szCs w:val="21"/>
                <w:highlight w:val="none"/>
                <w:u w:val="single"/>
              </w:rPr>
              <w:t>印</w:t>
            </w:r>
            <w:r>
              <w:rPr>
                <w:rFonts w:hAnsi="宋体" w:cs="宋体"/>
                <w:color w:val="auto"/>
                <w:sz w:val="21"/>
                <w:szCs w:val="21"/>
                <w:highlight w:val="none"/>
                <w:u w:val="single"/>
              </w:rPr>
              <w:t>章由</w:t>
            </w:r>
            <w:r>
              <w:rPr>
                <w:rFonts w:hint="eastAsia" w:hAnsi="宋体" w:cs="宋体"/>
                <w:color w:val="auto"/>
                <w:sz w:val="21"/>
                <w:szCs w:val="21"/>
                <w:highlight w:val="none"/>
                <w:u w:val="single"/>
              </w:rPr>
              <w:t>牵头方</w:t>
            </w:r>
            <w:r>
              <w:rPr>
                <w:rFonts w:hAnsi="宋体" w:cs="宋体"/>
                <w:color w:val="auto"/>
                <w:sz w:val="21"/>
                <w:szCs w:val="21"/>
                <w:highlight w:val="none"/>
                <w:u w:val="single"/>
              </w:rPr>
              <w:t>进行签章即可。</w:t>
            </w:r>
          </w:p>
        </w:tc>
      </w:tr>
      <w:tr w14:paraId="0B628C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959" w:type="dxa"/>
            <w:vAlign w:val="center"/>
          </w:tcPr>
          <w:p w14:paraId="7EA1587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613" w:type="dxa"/>
            <w:vAlign w:val="center"/>
          </w:tcPr>
          <w:p w14:paraId="797A6F4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投标文件加密要求</w:t>
            </w:r>
          </w:p>
        </w:tc>
        <w:tc>
          <w:tcPr>
            <w:tcW w:w="5774" w:type="dxa"/>
            <w:vAlign w:val="center"/>
          </w:tcPr>
          <w:p w14:paraId="63838AC5">
            <w:pPr>
              <w:pStyle w:val="7"/>
              <w:topLinePunct/>
              <w:snapToGrid w:val="0"/>
              <w:spacing w:line="276" w:lineRule="auto"/>
              <w:rPr>
                <w:rFonts w:hAnsi="宋体" w:cs="宋体"/>
                <w:color w:val="auto"/>
                <w:sz w:val="21"/>
                <w:szCs w:val="21"/>
                <w:highlight w:val="none"/>
                <w:u w:val="single"/>
              </w:rPr>
            </w:pPr>
            <w:r>
              <w:rPr>
                <w:rFonts w:hint="eastAsia" w:hAnsi="宋体" w:cs="宋体"/>
                <w:color w:val="auto"/>
                <w:sz w:val="21"/>
                <w:szCs w:val="21"/>
                <w:highlight w:val="none"/>
              </w:rPr>
              <w:t>网上递交的电子投标文件须进行加密。具体操作详见广州交易集团有限公司（广州公共资源交易中心）网站发布的最新版操作指引。</w:t>
            </w:r>
          </w:p>
        </w:tc>
      </w:tr>
      <w:tr w14:paraId="452C51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69" w:hRule="atLeast"/>
          <w:jc w:val="center"/>
        </w:trPr>
        <w:tc>
          <w:tcPr>
            <w:tcW w:w="959" w:type="dxa"/>
            <w:vAlign w:val="center"/>
          </w:tcPr>
          <w:p w14:paraId="7294D59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613" w:type="dxa"/>
            <w:vAlign w:val="center"/>
          </w:tcPr>
          <w:p w14:paraId="468E1DC7">
            <w:pPr>
              <w:snapToGrid w:val="0"/>
              <w:spacing w:line="276" w:lineRule="auto"/>
              <w:jc w:val="center"/>
              <w:rPr>
                <w:rFonts w:ascii="宋体" w:hAnsi="宋体" w:cs="宋体"/>
                <w:color w:val="auto"/>
                <w:szCs w:val="21"/>
                <w:highlight w:val="none"/>
                <w:shd w:val="clear" w:color="FFFFFF" w:fill="D9D9D9"/>
              </w:rPr>
            </w:pPr>
            <w:r>
              <w:rPr>
                <w:rFonts w:hint="eastAsia" w:ascii="宋体" w:hAnsi="宋体" w:cs="宋体"/>
                <w:color w:val="auto"/>
                <w:szCs w:val="21"/>
                <w:highlight w:val="none"/>
              </w:rPr>
              <w:t>封套上应载明的信息</w:t>
            </w:r>
          </w:p>
        </w:tc>
        <w:tc>
          <w:tcPr>
            <w:tcW w:w="5774" w:type="dxa"/>
            <w:vAlign w:val="center"/>
          </w:tcPr>
          <w:p w14:paraId="63182F03">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对递交的备用投标文件电子光盘要求封装。</w:t>
            </w:r>
          </w:p>
          <w:p w14:paraId="0E328696">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招标人名称：广州市番禺区基本建设投资管理中心</w:t>
            </w:r>
          </w:p>
          <w:p w14:paraId="5FCCFB36">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招标人地址：广州市番禺区清河东路319号西副楼六楼</w:t>
            </w:r>
          </w:p>
          <w:p w14:paraId="6232665C">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lang w:eastAsia="zh-CN"/>
              </w:rPr>
              <w:t>番禺汽车城金轩二路B线工程检测（监测）</w:t>
            </w:r>
            <w:r>
              <w:rPr>
                <w:rFonts w:hint="eastAsia" w:hAnsi="宋体" w:cs="宋体"/>
                <w:color w:val="auto"/>
                <w:sz w:val="21"/>
                <w:szCs w:val="21"/>
                <w:highlight w:val="none"/>
              </w:rPr>
              <w:t>投标文件</w:t>
            </w:r>
          </w:p>
          <w:p w14:paraId="54DC4AF7">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招标项目编号：</w:t>
            </w:r>
          </w:p>
          <w:p w14:paraId="4062F11A">
            <w:pPr>
              <w:pStyle w:val="7"/>
              <w:topLinePunct/>
              <w:snapToGrid w:val="0"/>
              <w:spacing w:line="276" w:lineRule="auto"/>
              <w:rPr>
                <w:rFonts w:hAnsi="宋体" w:cs="宋体"/>
                <w:color w:val="auto"/>
                <w:sz w:val="21"/>
                <w:szCs w:val="21"/>
                <w:highlight w:val="none"/>
              </w:rPr>
            </w:pPr>
            <w:r>
              <w:rPr>
                <w:rFonts w:hint="eastAsia" w:hAnsi="宋体" w:cs="宋体"/>
                <w:color w:val="auto"/>
                <w:sz w:val="21"/>
                <w:szCs w:val="21"/>
                <w:highlight w:val="none"/>
              </w:rPr>
              <w:t>在2025年  月  日   时前不得开启</w:t>
            </w:r>
          </w:p>
        </w:tc>
      </w:tr>
      <w:tr w14:paraId="4F3850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959" w:type="dxa"/>
            <w:vAlign w:val="center"/>
          </w:tcPr>
          <w:p w14:paraId="2B8F115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4.2.1</w:t>
            </w:r>
          </w:p>
        </w:tc>
        <w:tc>
          <w:tcPr>
            <w:tcW w:w="2613" w:type="dxa"/>
            <w:vAlign w:val="center"/>
          </w:tcPr>
          <w:p w14:paraId="334994B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774" w:type="dxa"/>
            <w:vAlign w:val="center"/>
          </w:tcPr>
          <w:p w14:paraId="44F0993F">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2025年  月  日  时  分（北京时间）</w:t>
            </w:r>
          </w:p>
          <w:p w14:paraId="2BA562BE">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（详见广州交易集团有限公司（广州公共资源交易中心）网站信息）</w:t>
            </w:r>
          </w:p>
        </w:tc>
      </w:tr>
      <w:tr w14:paraId="13E16D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6" w:hRule="atLeast"/>
          <w:jc w:val="center"/>
        </w:trPr>
        <w:tc>
          <w:tcPr>
            <w:tcW w:w="959" w:type="dxa"/>
            <w:vAlign w:val="center"/>
          </w:tcPr>
          <w:p w14:paraId="3CEE248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613" w:type="dxa"/>
            <w:vAlign w:val="center"/>
          </w:tcPr>
          <w:p w14:paraId="49518FB4">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递交电子投标文件交易平台</w:t>
            </w:r>
          </w:p>
        </w:tc>
        <w:tc>
          <w:tcPr>
            <w:tcW w:w="5774" w:type="dxa"/>
            <w:vAlign w:val="center"/>
          </w:tcPr>
          <w:p w14:paraId="002DDDDC">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1.递交方式：网上递交投标文件</w:t>
            </w:r>
          </w:p>
          <w:p w14:paraId="5D88D7DC">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2.递交投标文件的起始时间：（详见广州交易集团有限公司（广州公共资源交易中心）网站信息）。</w:t>
            </w:r>
          </w:p>
          <w:p w14:paraId="77922FF3">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截止时间：（详见广州交易集团有限公司（广州公共资源交易中心）网站信息）</w:t>
            </w:r>
          </w:p>
          <w:p w14:paraId="6755FC56">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3.地点：广州交易集团有限公司（广州公共资源交易中心）网站。</w:t>
            </w:r>
          </w:p>
          <w:p w14:paraId="456729C8">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u w:val="single"/>
              </w:rPr>
              <w:t>4.上述时间及地点是否有改变，请密切留意招标答疑中的相关信息。也可登录广州交易集团有限公司（广州公共资源交易中心）网站首页，点击“服务指南”专栏中的“交易活动安排”，输入项目编号或项目名称查询最新信息。</w:t>
            </w:r>
          </w:p>
        </w:tc>
      </w:tr>
      <w:tr w14:paraId="72BD86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959" w:type="dxa"/>
            <w:vAlign w:val="center"/>
          </w:tcPr>
          <w:p w14:paraId="08FCD98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613" w:type="dxa"/>
            <w:vAlign w:val="center"/>
          </w:tcPr>
          <w:p w14:paraId="3CAB20C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投标文件是否退还</w:t>
            </w:r>
          </w:p>
        </w:tc>
        <w:tc>
          <w:tcPr>
            <w:tcW w:w="5774" w:type="dxa"/>
            <w:vAlign w:val="center"/>
          </w:tcPr>
          <w:p w14:paraId="6B7D21A5">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■否</w:t>
            </w:r>
          </w:p>
          <w:p w14:paraId="3704BE02">
            <w:pPr>
              <w:pStyle w:val="7"/>
              <w:topLinePunct/>
              <w:spacing w:line="276" w:lineRule="auto"/>
              <w:rPr>
                <w:rFonts w:hAnsi="宋体" w:cs="宋体"/>
                <w:color w:val="auto"/>
                <w:sz w:val="21"/>
                <w:szCs w:val="21"/>
                <w:highlight w:val="none"/>
              </w:rPr>
            </w:pPr>
            <w:r>
              <w:rPr>
                <w:rFonts w:hint="eastAsia" w:hAnsi="宋体" w:cs="宋体"/>
                <w:color w:val="auto"/>
                <w:sz w:val="21"/>
                <w:szCs w:val="21"/>
                <w:highlight w:val="none"/>
              </w:rPr>
              <w:t>□是，退还时间：</w:t>
            </w:r>
          </w:p>
        </w:tc>
      </w:tr>
      <w:tr w14:paraId="4AFA60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16" w:hRule="atLeast"/>
          <w:jc w:val="center"/>
        </w:trPr>
        <w:tc>
          <w:tcPr>
            <w:tcW w:w="959" w:type="dxa"/>
            <w:vAlign w:val="center"/>
          </w:tcPr>
          <w:p w14:paraId="7A9182B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613" w:type="dxa"/>
            <w:vAlign w:val="center"/>
          </w:tcPr>
          <w:p w14:paraId="3535723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5774" w:type="dxa"/>
            <w:vAlign w:val="center"/>
          </w:tcPr>
          <w:p w14:paraId="3F6479AC">
            <w:pPr>
              <w:snapToGrid w:val="0"/>
              <w:spacing w:line="276" w:lineRule="auto"/>
              <w:jc w:val="left"/>
              <w:rPr>
                <w:rFonts w:ascii="宋体" w:hAnsi="宋体" w:cs="宋体"/>
                <w:color w:val="auto"/>
                <w:szCs w:val="21"/>
                <w:highlight w:val="none"/>
              </w:rPr>
            </w:pPr>
            <w:r>
              <w:rPr>
                <w:rFonts w:hint="eastAsia" w:ascii="宋体" w:hAnsi="宋体" w:cs="宋体"/>
                <w:color w:val="auto"/>
                <w:szCs w:val="21"/>
                <w:highlight w:val="none"/>
              </w:rPr>
              <w:t>招标人在本章第 4.2.1 项规定的投标截止时间（开标时间），通过电子招标投标交易平台公开开标；开标地点在广州公共资源交易中心，详见广州公共资源交易中心公布本项目的日程安排，投标人可登录广州公共资源交易中心网站首页，点击“交易业务-建设工程”专栏中的“项目查询（日程安排、答疑纪要）”，输入项目编号或项目名称查询最新信息。</w:t>
            </w:r>
          </w:p>
          <w:p w14:paraId="130EBD2B">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开标时，投标人代表有权出席开标会，也可以自主决定不参加开标会。</w:t>
            </w:r>
          </w:p>
        </w:tc>
      </w:tr>
      <w:tr w14:paraId="7F81B1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2" w:hRule="atLeast"/>
          <w:jc w:val="center"/>
        </w:trPr>
        <w:tc>
          <w:tcPr>
            <w:tcW w:w="959" w:type="dxa"/>
            <w:vAlign w:val="center"/>
          </w:tcPr>
          <w:p w14:paraId="0380328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613" w:type="dxa"/>
            <w:vAlign w:val="center"/>
          </w:tcPr>
          <w:p w14:paraId="64D0CB7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5774" w:type="dxa"/>
            <w:vAlign w:val="center"/>
          </w:tcPr>
          <w:p w14:paraId="059512BD">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电子招投标项目开标按下列程序进行：</w:t>
            </w:r>
          </w:p>
          <w:p w14:paraId="346A2FF8">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5.2.1主持人按下列程序进行开标：</w:t>
            </w:r>
          </w:p>
          <w:p w14:paraId="3AB80192">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（1）宣布开标纪律；</w:t>
            </w:r>
          </w:p>
          <w:p w14:paraId="05047544">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（2）公布在投标截止时间前递交投标文件的投标人名称；</w:t>
            </w:r>
          </w:p>
          <w:p w14:paraId="617B916F">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（3）宣布开标人、唱标人、记录人、监标人等有关人员姓名；</w:t>
            </w:r>
          </w:p>
          <w:p w14:paraId="4F77D09C">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（4）投标人通过电子招标投标交易平台对已递交的电子投标文件进行解密，公布招标项目名称、投标人名称、投标总报价、服务期限及其他内容，并记录在案；</w:t>
            </w:r>
          </w:p>
          <w:p w14:paraId="553DD05C">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（5）投标人代表、招标人代表、监标人、记录人等有关人员在开标记录上签字确认；若有关人员不签字的，不影响开标程序；</w:t>
            </w:r>
          </w:p>
          <w:p w14:paraId="3B0F6285">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（6）开标结束。</w:t>
            </w:r>
          </w:p>
          <w:p w14:paraId="3EAD6569">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5.2.2投标截止时间前未完成投标文件传输的或因投标人之外的原因造成投标文件未解密的或未在投标截止时间后半小时解密的，视为投标人其撤回投标文件。因投标人原因造成投标文件未解密的，或因投标人之外原因解密失败且未递交电子光盘或递交的电子光盘不能读取的，视为撤销其投标文件。</w:t>
            </w:r>
          </w:p>
          <w:p w14:paraId="7933F4EF">
            <w:pPr>
              <w:snapToGrid w:val="0"/>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5.2.3开标时，两个（含两个）以上的投标人加密打包投标文件电脑机器特征码一致的，不参与下一程序，并由评标委员会否决其投标。</w:t>
            </w:r>
          </w:p>
        </w:tc>
      </w:tr>
      <w:tr w14:paraId="77EE75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959" w:type="dxa"/>
            <w:vAlign w:val="center"/>
          </w:tcPr>
          <w:p w14:paraId="3D76DD97">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613" w:type="dxa"/>
            <w:vAlign w:val="center"/>
          </w:tcPr>
          <w:p w14:paraId="04228A4A">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5774" w:type="dxa"/>
            <w:vAlign w:val="center"/>
          </w:tcPr>
          <w:p w14:paraId="6EBADDE4">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评标委员会由招标人依法组建。</w:t>
            </w:r>
          </w:p>
        </w:tc>
      </w:tr>
      <w:tr w14:paraId="16C827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959" w:type="dxa"/>
            <w:vAlign w:val="center"/>
          </w:tcPr>
          <w:p w14:paraId="2DD9BF2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6.3.2</w:t>
            </w:r>
          </w:p>
        </w:tc>
        <w:tc>
          <w:tcPr>
            <w:tcW w:w="2613" w:type="dxa"/>
            <w:vAlign w:val="center"/>
          </w:tcPr>
          <w:p w14:paraId="3C75917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5774" w:type="dxa"/>
            <w:vAlign w:val="center"/>
          </w:tcPr>
          <w:p w14:paraId="50366BDD">
            <w:pPr>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推荐中标候选人：</w:t>
            </w:r>
            <w:r>
              <w:rPr>
                <w:rFonts w:hint="eastAsia" w:ascii="宋体" w:hAnsi="宋体" w:cs="宋体"/>
                <w:color w:val="auto"/>
                <w:szCs w:val="21"/>
                <w:highlight w:val="none"/>
                <w:u w:val="single"/>
              </w:rPr>
              <w:t>3人</w:t>
            </w:r>
          </w:p>
        </w:tc>
      </w:tr>
      <w:tr w14:paraId="1D10CA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959" w:type="dxa"/>
            <w:vAlign w:val="center"/>
          </w:tcPr>
          <w:p w14:paraId="64E23143">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7.1</w:t>
            </w:r>
          </w:p>
        </w:tc>
        <w:tc>
          <w:tcPr>
            <w:tcW w:w="2613" w:type="dxa"/>
            <w:vAlign w:val="center"/>
          </w:tcPr>
          <w:p w14:paraId="72A11252">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5774" w:type="dxa"/>
            <w:vAlign w:val="center"/>
          </w:tcPr>
          <w:p w14:paraId="2DBD6D70">
            <w:pPr>
              <w:spacing w:line="276" w:lineRule="auto"/>
              <w:rPr>
                <w:rFonts w:ascii="宋体" w:hAnsi="宋体" w:cs="宋体"/>
                <w:color w:val="auto"/>
                <w:szCs w:val="21"/>
                <w:highlight w:val="none"/>
              </w:rPr>
            </w:pPr>
            <w:r>
              <w:rPr>
                <w:rFonts w:hint="eastAsia" w:ascii="宋体" w:hAnsi="宋体" w:cs="宋体"/>
                <w:color w:val="auto"/>
                <w:szCs w:val="21"/>
                <w:highlight w:val="none"/>
              </w:rPr>
              <w:t>公示媒介：</w:t>
            </w:r>
            <w:r>
              <w:rPr>
                <w:rFonts w:hint="eastAsia" w:ascii="宋体" w:hAnsi="宋体" w:cs="宋体"/>
                <w:color w:val="auto"/>
                <w:szCs w:val="21"/>
                <w:highlight w:val="none"/>
                <w:u w:val="single"/>
              </w:rPr>
              <w:t>广州交易集团有限公司（广州公共资源交易中心）网站、广东省招标投标监管网、中国招标投标公共服务平台</w:t>
            </w:r>
          </w:p>
          <w:p w14:paraId="7CFB2CB3">
            <w:pPr>
              <w:snapToGrid w:val="0"/>
              <w:spacing w:line="276" w:lineRule="auto"/>
              <w:ind w:right="106"/>
              <w:rPr>
                <w:rFonts w:ascii="宋体" w:hAnsi="宋体" w:cs="宋体"/>
                <w:color w:val="auto"/>
                <w:szCs w:val="21"/>
                <w:highlight w:val="none"/>
              </w:rPr>
            </w:pPr>
            <w:r>
              <w:rPr>
                <w:rFonts w:hint="eastAsia" w:ascii="宋体" w:hAnsi="宋体" w:cs="宋体"/>
                <w:color w:val="auto"/>
                <w:szCs w:val="21"/>
                <w:highlight w:val="none"/>
              </w:rPr>
              <w:t>公示期限：</w:t>
            </w:r>
            <w:r>
              <w:rPr>
                <w:rFonts w:hint="eastAsia" w:ascii="宋体" w:hAnsi="宋体" w:cs="宋体"/>
                <w:color w:val="auto"/>
                <w:szCs w:val="21"/>
                <w:highlight w:val="none"/>
                <w:u w:val="single"/>
              </w:rPr>
              <w:t>3</w:t>
            </w:r>
            <w:r>
              <w:rPr>
                <w:rFonts w:hint="eastAsia" w:ascii="宋体" w:hAnsi="宋体" w:cs="宋体"/>
                <w:color w:val="auto"/>
                <w:szCs w:val="21"/>
                <w:highlight w:val="none"/>
              </w:rPr>
              <w:t>日</w:t>
            </w:r>
          </w:p>
        </w:tc>
      </w:tr>
      <w:tr w14:paraId="13FF88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959" w:type="dxa"/>
            <w:vAlign w:val="center"/>
          </w:tcPr>
          <w:p w14:paraId="00A16571">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7.4</w:t>
            </w:r>
          </w:p>
        </w:tc>
        <w:tc>
          <w:tcPr>
            <w:tcW w:w="2613" w:type="dxa"/>
            <w:vAlign w:val="center"/>
          </w:tcPr>
          <w:p w14:paraId="3EB84F5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5774" w:type="dxa"/>
            <w:vAlign w:val="center"/>
          </w:tcPr>
          <w:p w14:paraId="77AFE835">
            <w:pPr>
              <w:spacing w:line="276" w:lineRule="auto"/>
              <w:rPr>
                <w:rFonts w:ascii="宋体" w:hAnsi="宋体" w:cs="宋体"/>
                <w:color w:val="auto"/>
                <w:szCs w:val="21"/>
                <w:highlight w:val="none"/>
              </w:rPr>
            </w:pPr>
            <w:r>
              <w:rPr>
                <w:rFonts w:hint="eastAsia" w:ascii="宋体" w:hAnsi="宋体" w:cs="宋体"/>
                <w:color w:val="auto"/>
                <w:szCs w:val="21"/>
                <w:highlight w:val="none"/>
              </w:rPr>
              <w:t>□是</w:t>
            </w:r>
          </w:p>
          <w:p w14:paraId="245FE763">
            <w:pPr>
              <w:spacing w:line="276" w:lineRule="auto"/>
              <w:rPr>
                <w:rFonts w:ascii="宋体" w:hAnsi="宋体" w:cs="宋体"/>
                <w:color w:val="auto"/>
                <w:szCs w:val="21"/>
                <w:highlight w:val="none"/>
              </w:rPr>
            </w:pPr>
            <w:r>
              <w:rPr>
                <w:rFonts w:hint="eastAsia" w:ascii="宋体" w:hAnsi="宋体" w:cs="宋体"/>
                <w:color w:val="auto"/>
                <w:szCs w:val="21"/>
                <w:highlight w:val="none"/>
              </w:rPr>
              <w:t>■否</w:t>
            </w:r>
          </w:p>
        </w:tc>
      </w:tr>
      <w:tr w14:paraId="3D0B6F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959" w:type="dxa"/>
            <w:vAlign w:val="center"/>
          </w:tcPr>
          <w:p w14:paraId="7610DFB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7.6.1</w:t>
            </w:r>
          </w:p>
        </w:tc>
        <w:tc>
          <w:tcPr>
            <w:tcW w:w="2613" w:type="dxa"/>
            <w:vAlign w:val="center"/>
          </w:tcPr>
          <w:p w14:paraId="7B6A8E48">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5774" w:type="dxa"/>
            <w:vAlign w:val="center"/>
          </w:tcPr>
          <w:p w14:paraId="2C806652">
            <w:pPr>
              <w:pStyle w:val="7"/>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是否要求中标人提交履约担保。</w:t>
            </w:r>
          </w:p>
          <w:p w14:paraId="17C07985">
            <w:pPr>
              <w:pStyle w:val="7"/>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□否</w:t>
            </w:r>
          </w:p>
          <w:p w14:paraId="4B524992">
            <w:pPr>
              <w:pStyle w:val="7"/>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√要求</w:t>
            </w:r>
          </w:p>
          <w:p w14:paraId="3C00547C">
            <w:pPr>
              <w:pStyle w:val="7"/>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中标人提供的履约担保为中标价的10% ，中标通知书发放后15个日历天内,中标人须向招标人提交履约担保，履约担保可采用现金或支票或汇票等有效方式提交，若中标人以银行转账或银行保函方式提供的，可按以下方式提交：</w:t>
            </w:r>
          </w:p>
          <w:p w14:paraId="67C72BA9">
            <w:pPr>
              <w:pStyle w:val="7"/>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方式一：从中标人开户银行帐户中转帐或汇款到招标人以下三个银行帐户﹙收款单位：广州市番禺区基本建设投资管理中心，银行帐号一：3602070119200076312，开户银行：工商银行广州番禺平康支行；银行帐号二：44001531416059000078，开户银行：中国建设银行番禺东区支行；银行帐号三：391160100100059844，开户银行：兴业银行番禺支行﹚中的任一个帐户内。</w:t>
            </w:r>
          </w:p>
          <w:p w14:paraId="391A9A81">
            <w:pPr>
              <w:pStyle w:val="7"/>
              <w:topLinePunct/>
              <w:spacing w:line="276" w:lineRule="auto"/>
              <w:rPr>
                <w:rFonts w:hAnsi="宋体" w:cs="宋体"/>
                <w:bCs/>
                <w:color w:val="auto"/>
                <w:sz w:val="21"/>
                <w:szCs w:val="21"/>
                <w:highlight w:val="none"/>
              </w:rPr>
            </w:pPr>
            <w:r>
              <w:rPr>
                <w:rFonts w:hint="eastAsia" w:hAnsi="宋体" w:cs="宋体"/>
                <w:bCs/>
                <w:color w:val="auto"/>
                <w:sz w:val="21"/>
                <w:szCs w:val="21"/>
                <w:highlight w:val="none"/>
              </w:rPr>
              <w:t>方式二：中标人按本合同附件中的格式1向发包人提供保证额为中标价款的10%的履约保证金银行保函，该银行保函应由在中国注册的银行开具。</w:t>
            </w:r>
          </w:p>
          <w:p w14:paraId="3285B463">
            <w:pPr>
              <w:pStyle w:val="7"/>
              <w:topLinePunct/>
              <w:spacing w:line="276" w:lineRule="auto"/>
              <w:rPr>
                <w:rFonts w:hAnsi="宋体" w:cs="宋体"/>
                <w:color w:val="auto"/>
                <w:sz w:val="21"/>
                <w:szCs w:val="21"/>
                <w:highlight w:val="none"/>
              </w:rPr>
            </w:pPr>
            <w:r>
              <w:rPr>
                <w:rFonts w:hint="eastAsia" w:hAnsi="宋体" w:cs="宋体"/>
                <w:bCs/>
                <w:color w:val="auto"/>
                <w:sz w:val="21"/>
                <w:szCs w:val="21"/>
                <w:highlight w:val="none"/>
              </w:rPr>
              <w:t>若在中标通知书发放后15个日历天内，中标人未提交履约担保且未征得招标人同意延期缴交的，招标人有权取消其中标资格并没收补交的投标保证金，并由其他中标候选人顺次序替补。</w:t>
            </w:r>
          </w:p>
        </w:tc>
      </w:tr>
      <w:tr w14:paraId="4B570B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8" w:hRule="atLeast"/>
          <w:jc w:val="center"/>
        </w:trPr>
        <w:tc>
          <w:tcPr>
            <w:tcW w:w="959" w:type="dxa"/>
            <w:vAlign w:val="center"/>
          </w:tcPr>
          <w:p w14:paraId="0F3AD76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613" w:type="dxa"/>
            <w:vAlign w:val="center"/>
          </w:tcPr>
          <w:p w14:paraId="709D2A9F">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是否采用电子招标投标</w:t>
            </w:r>
          </w:p>
        </w:tc>
        <w:tc>
          <w:tcPr>
            <w:tcW w:w="5774" w:type="dxa"/>
            <w:vAlign w:val="center"/>
          </w:tcPr>
          <w:p w14:paraId="7988865E">
            <w:pPr>
              <w:spacing w:line="276" w:lineRule="auto"/>
              <w:rPr>
                <w:rFonts w:ascii="宋体" w:hAnsi="宋体" w:cs="宋体"/>
                <w:color w:val="auto"/>
                <w:szCs w:val="21"/>
                <w:highlight w:val="none"/>
              </w:rPr>
            </w:pPr>
            <w:r>
              <w:rPr>
                <w:rFonts w:hint="eastAsia" w:ascii="宋体" w:hAnsi="宋体" w:cs="宋体"/>
                <w:color w:val="auto"/>
                <w:szCs w:val="21"/>
                <w:highlight w:val="none"/>
              </w:rPr>
              <w:t>□否</w:t>
            </w:r>
          </w:p>
          <w:p w14:paraId="70EE6C17">
            <w:pPr>
              <w:spacing w:line="276" w:lineRule="auto"/>
              <w:ind w:left="2099" w:leftChars="3" w:hanging="2093" w:hangingChars="997"/>
              <w:rPr>
                <w:rFonts w:ascii="宋体" w:hAnsi="宋体" w:cs="宋体"/>
                <w:color w:val="auto"/>
                <w:szCs w:val="21"/>
                <w:highlight w:val="none"/>
              </w:rPr>
            </w:pPr>
            <w:r>
              <w:rPr>
                <w:rFonts w:hint="eastAsia" w:ascii="宋体" w:hAnsi="宋体" w:cs="宋体"/>
                <w:color w:val="auto"/>
                <w:szCs w:val="21"/>
                <w:highlight w:val="none"/>
              </w:rPr>
              <w:t>■是，具体要求：</w:t>
            </w:r>
          </w:p>
          <w:p w14:paraId="32FA3946">
            <w:pPr>
              <w:spacing w:line="276" w:lineRule="auto"/>
              <w:ind w:left="187" w:leftChars="89"/>
              <w:rPr>
                <w:rFonts w:ascii="宋体" w:hAnsi="宋体" w:cs="宋体"/>
                <w:color w:val="auto"/>
                <w:szCs w:val="21"/>
                <w:highlight w:val="none"/>
                <w:u w:val="single"/>
              </w:rPr>
            </w:pPr>
            <w:r>
              <w:rPr>
                <w:rFonts w:hint="eastAsia" w:ascii="宋体" w:hAnsi="宋体" w:cs="宋体"/>
                <w:color w:val="auto"/>
                <w:szCs w:val="21"/>
                <w:highlight w:val="none"/>
                <w:u w:val="single"/>
              </w:rPr>
              <w:t>1.具体操作详见广州交易集团有限公司（广州公共资源交易中心）网站发布的最新版操作指引。</w:t>
            </w:r>
          </w:p>
          <w:p w14:paraId="013157E3">
            <w:pPr>
              <w:spacing w:line="276"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2.提交投标文件光盘备用</w:t>
            </w:r>
          </w:p>
          <w:p w14:paraId="3392FB66">
            <w:pPr>
              <w:spacing w:line="276"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投标人可按广州交易集团有限公司（广州公共资源交易中心）网站发布的最新版操作指引的操作方法制作的非加密的电子投标文件刻入光盘（1份），</w:t>
            </w:r>
            <w:r>
              <w:rPr>
                <w:rFonts w:hint="eastAsia" w:ascii="宋体" w:hAnsi="宋体" w:cs="宋体"/>
                <w:color w:val="auto"/>
                <w:szCs w:val="21"/>
                <w:highlight w:val="none"/>
              </w:rPr>
              <w:t>在开标现场（投标截止时间前）</w:t>
            </w:r>
            <w:r>
              <w:rPr>
                <w:rFonts w:hint="eastAsia" w:ascii="宋体" w:hAnsi="宋体" w:cs="宋体"/>
                <w:color w:val="auto"/>
                <w:szCs w:val="21"/>
                <w:highlight w:val="none"/>
                <w:u w:val="single"/>
              </w:rPr>
              <w:t>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读取现场提交的光盘。</w:t>
            </w:r>
          </w:p>
          <w:p w14:paraId="576AFC4C">
            <w:pPr>
              <w:spacing w:line="276" w:lineRule="auto"/>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3.补救方案</w:t>
            </w:r>
          </w:p>
          <w:p w14:paraId="62A51408">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（1）投标文件解密失败的补救方案：</w:t>
            </w:r>
          </w:p>
          <w:p w14:paraId="0C313E58">
            <w:pPr>
              <w:spacing w:line="276"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14:paraId="1A170C9E">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（2）评标时突发情况的补救方案</w:t>
            </w:r>
          </w:p>
          <w:p w14:paraId="749CFDE7">
            <w:pPr>
              <w:spacing w:line="276" w:lineRule="auto"/>
              <w:ind w:firstLine="315" w:firstLineChars="150"/>
              <w:rPr>
                <w:rFonts w:ascii="宋体" w:hAnsi="宋体" w:cs="宋体"/>
                <w:color w:val="auto"/>
                <w:szCs w:val="21"/>
                <w:highlight w:val="none"/>
                <w:u w:val="single"/>
              </w:rPr>
            </w:pPr>
            <w:r>
              <w:rPr>
                <w:rFonts w:hint="eastAsia" w:ascii="宋体" w:hAnsi="宋体" w:cs="宋体"/>
                <w:color w:val="auto"/>
                <w:szCs w:val="21"/>
                <w:highlight w:val="none"/>
                <w:u w:val="single"/>
              </w:rPr>
              <w:t>若遇不可抗力发生（如：网络瘫痪、服务器损坏、交易系统故障短期无法恢复等因素），由评标委员会开启递交的全部投标文件光盘，并按光盘内容进行评审。</w:t>
            </w:r>
          </w:p>
          <w:p w14:paraId="30A6EAED">
            <w:pPr>
              <w:spacing w:line="276" w:lineRule="auto"/>
              <w:rPr>
                <w:rFonts w:ascii="宋体" w:hAnsi="宋体" w:cs="宋体"/>
                <w:color w:val="auto"/>
                <w:szCs w:val="21"/>
                <w:highlight w:val="none"/>
                <w:u w:val="single"/>
              </w:rPr>
            </w:pPr>
            <w:r>
              <w:rPr>
                <w:rFonts w:hint="eastAsia" w:ascii="宋体" w:hAnsi="宋体" w:cs="宋体"/>
                <w:color w:val="auto"/>
                <w:szCs w:val="21"/>
                <w:highlight w:val="none"/>
                <w:u w:val="single"/>
              </w:rPr>
              <w:t>（3）除发生上述情况外，开标评标均以投标人通过交易平台网上递交的电子投标文件为准。</w:t>
            </w:r>
          </w:p>
        </w:tc>
      </w:tr>
      <w:tr w14:paraId="787234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959" w:type="dxa"/>
            <w:vAlign w:val="center"/>
          </w:tcPr>
          <w:p w14:paraId="7158A25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613" w:type="dxa"/>
            <w:vAlign w:val="center"/>
          </w:tcPr>
          <w:p w14:paraId="226E71BE">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74" w:type="dxa"/>
            <w:vAlign w:val="center"/>
          </w:tcPr>
          <w:p w14:paraId="29128896">
            <w:pPr>
              <w:keepNext/>
              <w:keepLines/>
              <w:snapToGrid w:val="0"/>
              <w:spacing w:line="276" w:lineRule="auto"/>
              <w:outlineLvl w:val="0"/>
              <w:rPr>
                <w:rFonts w:ascii="宋体" w:hAnsi="宋体" w:cs="宋体"/>
                <w:color w:val="auto"/>
                <w:szCs w:val="21"/>
                <w:highlight w:val="none"/>
              </w:rPr>
            </w:pPr>
          </w:p>
        </w:tc>
      </w:tr>
      <w:tr w14:paraId="517D69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73" w:hRule="atLeast"/>
          <w:jc w:val="center"/>
        </w:trPr>
        <w:tc>
          <w:tcPr>
            <w:tcW w:w="959" w:type="dxa"/>
            <w:vAlign w:val="center"/>
          </w:tcPr>
          <w:p w14:paraId="2005274D">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613" w:type="dxa"/>
            <w:vAlign w:val="center"/>
          </w:tcPr>
          <w:p w14:paraId="14203A46">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特别提示</w:t>
            </w:r>
          </w:p>
        </w:tc>
        <w:tc>
          <w:tcPr>
            <w:tcW w:w="5774" w:type="dxa"/>
            <w:vAlign w:val="center"/>
          </w:tcPr>
          <w:p w14:paraId="57F66803">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14:paraId="7CB36ECB">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1.将中标工程转包或者违法分包的；</w:t>
            </w:r>
          </w:p>
          <w:p w14:paraId="67F35D38">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14:paraId="6FAB97F4">
            <w:pPr>
              <w:widowControl/>
              <w:shd w:val="clear" w:color="auto" w:fill="FFFFFF"/>
              <w:spacing w:line="276" w:lineRule="auto"/>
              <w:jc w:val="left"/>
              <w:rPr>
                <w:rFonts w:ascii="宋体" w:hAnsi="宋体"/>
                <w:color w:val="auto"/>
                <w:szCs w:val="21"/>
                <w:highlight w:val="none"/>
              </w:rPr>
            </w:pPr>
            <w:r>
              <w:rPr>
                <w:rFonts w:hint="eastAsia" w:ascii="宋体" w:hAnsi="宋体"/>
                <w:color w:val="auto"/>
                <w:szCs w:val="21"/>
                <w:highlight w:val="none"/>
              </w:rPr>
              <w:t>3.存在围标或串标情形的；</w:t>
            </w:r>
          </w:p>
          <w:p w14:paraId="38835C7E">
            <w:pPr>
              <w:spacing w:line="276" w:lineRule="auto"/>
              <w:rPr>
                <w:rFonts w:ascii="宋体" w:hAnsi="宋体" w:cs="宋体"/>
                <w:color w:val="auto"/>
                <w:szCs w:val="21"/>
                <w:highlight w:val="none"/>
              </w:rPr>
            </w:pPr>
            <w:r>
              <w:rPr>
                <w:rFonts w:hint="eastAsia" w:ascii="宋体" w:hAnsi="宋体"/>
                <w:color w:val="auto"/>
                <w:szCs w:val="21"/>
                <w:highlight w:val="none"/>
              </w:rPr>
              <w:t>4.存在弄虚作假骗取中标情形的；</w:t>
            </w:r>
          </w:p>
        </w:tc>
      </w:tr>
      <w:tr w14:paraId="747226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1" w:hRule="atLeast"/>
          <w:jc w:val="center"/>
        </w:trPr>
        <w:tc>
          <w:tcPr>
            <w:tcW w:w="959" w:type="dxa"/>
            <w:vAlign w:val="center"/>
          </w:tcPr>
          <w:p w14:paraId="44BEB68B">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613" w:type="dxa"/>
            <w:vAlign w:val="center"/>
          </w:tcPr>
          <w:p w14:paraId="57252B2E">
            <w:pPr>
              <w:widowControl/>
              <w:shd w:val="clear" w:color="auto" w:fill="FFFFFF"/>
              <w:adjustRightIn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招标失败情形</w:t>
            </w:r>
          </w:p>
        </w:tc>
        <w:tc>
          <w:tcPr>
            <w:tcW w:w="5774" w:type="dxa"/>
            <w:vAlign w:val="center"/>
          </w:tcPr>
          <w:p w14:paraId="60798A5E">
            <w:pPr>
              <w:pStyle w:val="6"/>
              <w:spacing w:line="276" w:lineRule="auto"/>
              <w:rPr>
                <w:rFonts w:ascii="宋体" w:hAnsi="宋体" w:cs="宋体"/>
                <w:strike/>
                <w:color w:val="auto"/>
                <w:szCs w:val="21"/>
                <w:highlight w:val="none"/>
              </w:rPr>
            </w:pPr>
            <w:r>
              <w:rPr>
                <w:rFonts w:hint="eastAsia" w:ascii="宋体" w:hAnsi="宋体"/>
                <w:color w:val="auto"/>
                <w:szCs w:val="21"/>
                <w:highlight w:val="none"/>
              </w:rPr>
              <w:t>本项目采用资格后审方式，满足资格审查合格条件或通过初步评审的投标申请人不足3名时为招标失败。招标人分析招标失败原因，修正招标方案，报有关管理部门核准后，重新组织招标。</w:t>
            </w:r>
          </w:p>
        </w:tc>
      </w:tr>
      <w:tr w14:paraId="30EB9D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9" w:hRule="atLeast"/>
          <w:jc w:val="center"/>
        </w:trPr>
        <w:tc>
          <w:tcPr>
            <w:tcW w:w="959" w:type="dxa"/>
            <w:vAlign w:val="center"/>
          </w:tcPr>
          <w:p w14:paraId="4D6FDFB5">
            <w:pPr>
              <w:snapToGri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613" w:type="dxa"/>
            <w:vAlign w:val="center"/>
          </w:tcPr>
          <w:p w14:paraId="1B6ACBE3">
            <w:pPr>
              <w:widowControl/>
              <w:shd w:val="clear" w:color="auto" w:fill="FFFFFF"/>
              <w:adjustRightInd w:val="0"/>
              <w:spacing w:line="276" w:lineRule="auto"/>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74" w:type="dxa"/>
            <w:vAlign w:val="center"/>
          </w:tcPr>
          <w:p w14:paraId="48DF6613">
            <w:pPr>
              <w:pStyle w:val="6"/>
              <w:spacing w:line="276" w:lineRule="auto"/>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 xml:space="preserve"> </w:t>
            </w:r>
            <w:r>
              <w:rPr>
                <w:rFonts w:hint="eastAsia" w:ascii="宋体" w:hAnsi="宋体"/>
                <w:color w:val="auto"/>
                <w:szCs w:val="21"/>
                <w:highlight w:val="none"/>
              </w:rPr>
              <w:t>在产生中标候选人后，招标人将中标候选人的投标文件商务部分的电子版（报价清单、方案等涉及商业秘密的内容除外）在广州公共资源交易中心网站公开。</w:t>
            </w:r>
          </w:p>
          <w:p w14:paraId="632B62E7">
            <w:pPr>
              <w:pStyle w:val="6"/>
              <w:spacing w:line="276" w:lineRule="auto"/>
              <w:rPr>
                <w:rFonts w:ascii="宋体" w:hAnsi="宋体"/>
                <w:color w:val="auto"/>
                <w:szCs w:val="21"/>
                <w:highlight w:val="none"/>
              </w:rPr>
            </w:pPr>
            <w:r>
              <w:rPr>
                <w:rFonts w:hint="eastAsia" w:ascii="宋体" w:hAnsi="宋体"/>
                <w:color w:val="auto"/>
                <w:szCs w:val="21"/>
                <w:highlight w:val="none"/>
              </w:rPr>
              <w:t>2.中标人代缴广州公共资源交易中心交易服务费，其费用包含在中标人报价中，由广州公共资源交易中心向中标人开具增值税发票。</w:t>
            </w:r>
          </w:p>
          <w:p w14:paraId="3B55C486">
            <w:pPr>
              <w:pStyle w:val="6"/>
              <w:spacing w:line="276" w:lineRule="auto"/>
              <w:rPr>
                <w:rFonts w:ascii="宋体" w:hAnsi="宋体"/>
                <w:color w:val="auto"/>
                <w:szCs w:val="21"/>
                <w:highlight w:val="none"/>
              </w:rPr>
            </w:pPr>
            <w:r>
              <w:rPr>
                <w:rFonts w:hint="eastAsia" w:ascii="宋体" w:hAnsi="宋体"/>
                <w:color w:val="auto"/>
                <w:szCs w:val="21"/>
                <w:highlight w:val="none"/>
              </w:rPr>
              <w:t>3.发放中标通知书后3个工作日内投标人需到招标人处，在招标人、招标代理、投标人三方共同见证下，将在广州公共资源交易中心网站下载的投标文件打印，并三方签名确认，投标人加盖公章，然后再复印4套，合共5套投标文件提供给招标人，相关费用由投标人支付。</w:t>
            </w:r>
          </w:p>
        </w:tc>
      </w:tr>
    </w:tbl>
    <w:p w14:paraId="5C7A91BA">
      <w:pPr>
        <w:keepNext/>
        <w:keepLines/>
        <w:spacing w:line="360" w:lineRule="auto"/>
        <w:jc w:val="center"/>
        <w:outlineLvl w:val="1"/>
        <w:rPr>
          <w:rFonts w:ascii="宋体" w:hAnsi="宋体" w:cs="宋体"/>
          <w:b/>
          <w:bCs/>
          <w:color w:val="auto"/>
          <w:kern w:val="44"/>
          <w:sz w:val="36"/>
          <w:szCs w:val="36"/>
          <w:highlight w:val="none"/>
        </w:rPr>
      </w:pPr>
      <w:r>
        <w:rPr>
          <w:rFonts w:hint="eastAsia" w:ascii="宋体" w:hAnsi="宋体" w:cs="宋体"/>
          <w:b/>
          <w:bCs/>
          <w:color w:val="auto"/>
          <w:kern w:val="44"/>
          <w:sz w:val="44"/>
          <w:szCs w:val="44"/>
          <w:highlight w:val="none"/>
        </w:rPr>
        <w:br w:type="page"/>
      </w:r>
      <w:bookmarkStart w:id="32" w:name="_Toc191"/>
      <w:bookmarkStart w:id="33" w:name="_Toc532367872"/>
      <w:bookmarkStart w:id="34" w:name="_Toc12986"/>
      <w:bookmarkStart w:id="35" w:name="_Toc7730"/>
      <w:bookmarkStart w:id="36" w:name="_Toc21141"/>
      <w:r>
        <w:rPr>
          <w:rFonts w:hint="eastAsia" w:ascii="宋体" w:hAnsi="宋体" w:cs="宋体"/>
          <w:b/>
          <w:bCs/>
          <w:color w:val="auto"/>
          <w:kern w:val="44"/>
          <w:sz w:val="36"/>
          <w:szCs w:val="36"/>
          <w:highlight w:val="none"/>
        </w:rPr>
        <w:t>投标人须知</w:t>
      </w:r>
      <w:bookmarkEnd w:id="32"/>
      <w:bookmarkEnd w:id="33"/>
      <w:bookmarkEnd w:id="34"/>
      <w:bookmarkEnd w:id="35"/>
      <w:bookmarkEnd w:id="36"/>
    </w:p>
    <w:p w14:paraId="23DF643B">
      <w:pPr>
        <w:keepNext/>
        <w:keepLines/>
        <w:spacing w:line="360" w:lineRule="auto"/>
        <w:jc w:val="left"/>
        <w:outlineLvl w:val="1"/>
        <w:rPr>
          <w:rFonts w:ascii="宋体" w:hAnsi="宋体" w:cs="宋体"/>
          <w:b/>
          <w:bCs/>
          <w:color w:val="auto"/>
          <w:sz w:val="32"/>
          <w:szCs w:val="32"/>
          <w:highlight w:val="none"/>
        </w:rPr>
      </w:pPr>
      <w:bookmarkStart w:id="37" w:name="_Toc13865"/>
      <w:bookmarkStart w:id="38" w:name="_Toc8300"/>
      <w:bookmarkStart w:id="39" w:name="_Toc29394"/>
      <w:bookmarkStart w:id="40" w:name="_Toc7950"/>
      <w:bookmarkStart w:id="41" w:name="_Toc532367873"/>
      <w:bookmarkStart w:id="42" w:name="_Toc21041"/>
      <w:bookmarkStart w:id="43" w:name="_Toc377719900"/>
      <w:bookmarkStart w:id="44" w:name="_Toc30141"/>
      <w:bookmarkStart w:id="45" w:name="_Toc32719"/>
      <w:bookmarkStart w:id="46" w:name="_Toc6964"/>
      <w:bookmarkStart w:id="47" w:name="_Toc31905"/>
      <w:bookmarkStart w:id="48" w:name="_Toc27896"/>
      <w:bookmarkStart w:id="49" w:name="_Toc9352"/>
      <w:r>
        <w:rPr>
          <w:rFonts w:hint="eastAsia" w:ascii="宋体" w:hAnsi="宋体" w:cs="宋体"/>
          <w:b/>
          <w:bCs/>
          <w:color w:val="auto"/>
          <w:sz w:val="32"/>
          <w:szCs w:val="32"/>
          <w:highlight w:val="none"/>
        </w:rPr>
        <w:t>1.总则</w:t>
      </w:r>
      <w:bookmarkEnd w:id="37"/>
      <w:bookmarkEnd w:id="38"/>
      <w:bookmarkEnd w:id="39"/>
      <w:bookmarkEnd w:id="40"/>
      <w:bookmarkEnd w:id="41"/>
      <w:bookmarkEnd w:id="42"/>
      <w:bookmarkEnd w:id="43"/>
      <w:bookmarkEnd w:id="44"/>
      <w:bookmarkEnd w:id="45"/>
      <w:bookmarkEnd w:id="46"/>
      <w:bookmarkEnd w:id="47"/>
      <w:bookmarkEnd w:id="48"/>
      <w:bookmarkEnd w:id="49"/>
    </w:p>
    <w:p w14:paraId="60E81E8D">
      <w:pPr>
        <w:keepNext/>
        <w:keepLines/>
        <w:spacing w:line="360" w:lineRule="auto"/>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1.1 招标项目概况</w:t>
      </w:r>
    </w:p>
    <w:p w14:paraId="36AAA8CB">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1.1.1根据《中华人民共和国招标投标法》、《中华人民共和国招标投标法实施条例》等有关法律、法规和规章的规定，本招标项目已具备招标条件，现对检测、监测服务进行招标。</w:t>
      </w:r>
    </w:p>
    <w:p w14:paraId="4541C38D">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1.1.2招标人：见投标人须知前附表。</w:t>
      </w:r>
    </w:p>
    <w:p w14:paraId="407A5ACC">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1.1.3招标代理机构：见投标人须知前附表。</w:t>
      </w:r>
    </w:p>
    <w:p w14:paraId="3245A7E0">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1.1.4招标项目名称：见投标人须知前附表。</w:t>
      </w:r>
    </w:p>
    <w:p w14:paraId="657B97FF">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1.1.5项目建设地点：见投标人须知前附表。</w:t>
      </w:r>
    </w:p>
    <w:p w14:paraId="47189CDF">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1.1.6项目建设规模：见投标人须知前附表。</w:t>
      </w:r>
    </w:p>
    <w:p w14:paraId="057D1C83">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1.1.7工程项目施工预计开工日期和建设周期：见投标人须知前附表。</w:t>
      </w:r>
    </w:p>
    <w:p w14:paraId="678E2002">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1.1.8建筑安装工程费/工程概算：见投标人须知前附表。</w:t>
      </w:r>
    </w:p>
    <w:p w14:paraId="0E56F3A8">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1.2 招标项目的资金来源和落实情况</w:t>
      </w:r>
    </w:p>
    <w:p w14:paraId="30321786">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1.2.1资金来源及比例：见投标人须知前附表。</w:t>
      </w:r>
    </w:p>
    <w:p w14:paraId="699FAA97">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1.2.2资金落实情况：见投标人须知前附表。</w:t>
      </w:r>
    </w:p>
    <w:p w14:paraId="1C35F990">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1.3 招标内容、服务期限和质量标准</w:t>
      </w:r>
    </w:p>
    <w:p w14:paraId="26A28C54">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1.3.1招标范围及内容：见投标人须知前附表。</w:t>
      </w:r>
    </w:p>
    <w:p w14:paraId="599D4D3A">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1.3.2服务期限：见投标人须知前附表。</w:t>
      </w:r>
    </w:p>
    <w:p w14:paraId="7EF0253F">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1.3.3质量标准：见投标人须知前附表。</w:t>
      </w:r>
    </w:p>
    <w:p w14:paraId="776EF024">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1.4 投标人资格要求</w:t>
      </w:r>
    </w:p>
    <w:p w14:paraId="73F46D3C">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1.4.1投标人应具备承担本招标项目资质条件、能力和信誉：</w:t>
      </w:r>
    </w:p>
    <w:p w14:paraId="74BE585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（1）资质要求：见投标人须知前附表；</w:t>
      </w:r>
    </w:p>
    <w:p w14:paraId="0E8ADE5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（2）财务要求：见投标人须知前附表；</w:t>
      </w:r>
    </w:p>
    <w:p w14:paraId="437F2D8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（3）业绩要求：见投标人须知前附表；</w:t>
      </w:r>
    </w:p>
    <w:p w14:paraId="4C06C38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（4）信誉要求：见投标人须知前附表；</w:t>
      </w:r>
    </w:p>
    <w:p w14:paraId="1379C41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（5）项目负责人的资格要求：具体要求见投标人须知前附表；</w:t>
      </w:r>
    </w:p>
    <w:p w14:paraId="5F82E3D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（6）其他主要人员要求：见投标人须知前附表。</w:t>
      </w:r>
    </w:p>
    <w:p w14:paraId="29901BB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（7）试验检测及监测仪器设备要求：见投标人须知前附表。</w:t>
      </w:r>
    </w:p>
    <w:p w14:paraId="4945CAE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（8）其他要求：见投标人须知前附表。</w:t>
      </w:r>
    </w:p>
    <w:p w14:paraId="7BDED70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1.4.2投标人须知前附表规定接受联合体投标的，联合体除应符合本章第1.4.1项和投标人须知前附表的要求外，还应遵守以下规定：</w:t>
      </w:r>
    </w:p>
    <w:p w14:paraId="4DD927C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（1）联合体各方应按招标文件提供的格式签订联合体协议书，明确联合体牵头方和各方权利义务，并承诺就中标项目向招标人承担连带责任；</w:t>
      </w:r>
    </w:p>
    <w:p w14:paraId="5DEF6FB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（2）联合体各方不得再以自己名义单独或参加其他联合体在本招标项目中投标，否则各相关投标均无效。</w:t>
      </w:r>
    </w:p>
    <w:p w14:paraId="42B226E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1.4.3投标人不得存在下列情形之一：</w:t>
      </w:r>
    </w:p>
    <w:p w14:paraId="7F245E36">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（1）为招标人不具有独立法人资格的附属机构（单位）；</w:t>
      </w:r>
    </w:p>
    <w:p w14:paraId="50246E4D">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（2）与招标人存在利害关系且可能影响招标公正性；</w:t>
      </w:r>
    </w:p>
    <w:p w14:paraId="39723828">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（3）与本招标项目的其他投标人为同一个单位负责人；</w:t>
      </w:r>
    </w:p>
    <w:p w14:paraId="5EEE486B">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（4）与本招标项目的其他投标人存在控股、管理关系；</w:t>
      </w:r>
    </w:p>
    <w:p w14:paraId="58FF281D">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（5）为本招标项目的代建人；</w:t>
      </w:r>
    </w:p>
    <w:p w14:paraId="1FA5C2AD">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（6）为本招标项目的招标代理机构；</w:t>
      </w:r>
    </w:p>
    <w:p w14:paraId="35841EC8">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（7）与本招标项目的代建人或招标代理机构同为一个法定代表人；</w:t>
      </w:r>
    </w:p>
    <w:p w14:paraId="679C0203">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（8）与本招标项目的代建人或招标代理机构存在控股或参股关系；</w:t>
      </w:r>
    </w:p>
    <w:p w14:paraId="51B651F1">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（9）与本招标项目的施工承包人以及建筑材料、建筑构配件和设备供应商有隶属关系或者其他利害关系；</w:t>
      </w:r>
    </w:p>
    <w:p w14:paraId="67DB58DC">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（10）被依法暂停或者取消投标资格；</w:t>
      </w:r>
    </w:p>
    <w:p w14:paraId="6D892906">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（11）被责令停产停业、暂扣或者吊销许可证、暂扣或者吊销执照；</w:t>
      </w:r>
    </w:p>
    <w:p w14:paraId="2D237EC2">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（12）进入清算程序，或被宣告破产，或其他丧失履约能力的情形；</w:t>
      </w:r>
    </w:p>
    <w:p w14:paraId="013DDDCE">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（13）在最近两年内发生重大检测质量问题（以相关行业主管部门的行政处罚决定或司法机关出具的有关法律文书为准）；</w:t>
      </w:r>
    </w:p>
    <w:p w14:paraId="0BC42BCE">
      <w:pPr>
        <w:pStyle w:val="15"/>
        <w:spacing w:after="0" w:line="360" w:lineRule="auto"/>
        <w:rPr>
          <w:rFonts w:ascii="宋体" w:hAnsi="宋体" w:cs="宋体"/>
          <w:color w:val="auto"/>
          <w:sz w:val="24"/>
          <w:highlight w:val="none"/>
        </w:rPr>
      </w:pPr>
      <w:r>
        <w:rPr>
          <w:rFonts w:hint="eastAsia" w:ascii="宋体" w:hAnsi="宋体" w:cs="宋体"/>
          <w:color w:val="auto"/>
          <w:sz w:val="24"/>
          <w:highlight w:val="none"/>
        </w:rPr>
        <w:t>（14）法律法规或投标人须知前附表规定的其他情形。</w:t>
      </w:r>
    </w:p>
    <w:p w14:paraId="36CBF903">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1.5 费用承担</w:t>
      </w:r>
    </w:p>
    <w:p w14:paraId="456C090E">
      <w:pPr>
        <w:pStyle w:val="8"/>
        <w:kinsoku w:val="0"/>
        <w:overflowPunct w:val="0"/>
        <w:spacing w:after="0"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投标人准备和参加投标活动发生的费用自理。</w:t>
      </w:r>
    </w:p>
    <w:p w14:paraId="3C70C8A6">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1.6 保密</w:t>
      </w:r>
    </w:p>
    <w:p w14:paraId="5F373D0A">
      <w:pPr>
        <w:pStyle w:val="8"/>
        <w:kinsoku w:val="0"/>
        <w:overflowPunct w:val="0"/>
        <w:spacing w:after="0"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参与招标投标活动的各方应对招标文件和投标文件中的商业和技术等秘密保密，否则应承担相应的法律责任。</w:t>
      </w:r>
    </w:p>
    <w:p w14:paraId="1A442CF1">
      <w:pPr>
        <w:kinsoku w:val="0"/>
        <w:overflowPunct w:val="0"/>
        <w:spacing w:line="360" w:lineRule="auto"/>
        <w:outlineLvl w:val="2"/>
        <w:rPr>
          <w:rFonts w:ascii="宋体" w:hAnsi="宋体" w:cs="宋体"/>
          <w:b/>
          <w:bCs/>
          <w:color w:val="auto"/>
          <w:sz w:val="28"/>
          <w:szCs w:val="32"/>
          <w:highlight w:val="none"/>
        </w:rPr>
      </w:pPr>
      <w:bookmarkStart w:id="50" w:name="bookmark27"/>
      <w:bookmarkEnd w:id="50"/>
      <w:r>
        <w:rPr>
          <w:rFonts w:hint="eastAsia" w:ascii="宋体" w:hAnsi="宋体" w:cs="宋体"/>
          <w:b/>
          <w:bCs/>
          <w:color w:val="auto"/>
          <w:sz w:val="28"/>
          <w:szCs w:val="32"/>
          <w:highlight w:val="none"/>
        </w:rPr>
        <w:t>1.7 语言文字</w:t>
      </w:r>
    </w:p>
    <w:p w14:paraId="15F3F4E3">
      <w:pPr>
        <w:pStyle w:val="8"/>
        <w:kinsoku w:val="0"/>
        <w:overflowPunct w:val="0"/>
        <w:spacing w:after="0"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招标投标文件使用的语言文字为中文。专用术语使用外文的，应附有中文注释。</w:t>
      </w:r>
    </w:p>
    <w:p w14:paraId="2318AA66">
      <w:pPr>
        <w:kinsoku w:val="0"/>
        <w:overflowPunct w:val="0"/>
        <w:spacing w:line="360" w:lineRule="auto"/>
        <w:outlineLvl w:val="2"/>
        <w:rPr>
          <w:rFonts w:ascii="宋体" w:hAnsi="宋体" w:cs="宋体"/>
          <w:b/>
          <w:bCs/>
          <w:color w:val="auto"/>
          <w:sz w:val="28"/>
          <w:szCs w:val="32"/>
          <w:highlight w:val="none"/>
        </w:rPr>
      </w:pPr>
      <w:bookmarkStart w:id="51" w:name="bookmark28"/>
      <w:bookmarkEnd w:id="51"/>
      <w:r>
        <w:rPr>
          <w:rFonts w:hint="eastAsia" w:ascii="宋体" w:hAnsi="宋体" w:cs="宋体"/>
          <w:b/>
          <w:bCs/>
          <w:color w:val="auto"/>
          <w:sz w:val="28"/>
          <w:szCs w:val="32"/>
          <w:highlight w:val="none"/>
        </w:rPr>
        <w:t>1.8 计量单位</w:t>
      </w:r>
    </w:p>
    <w:p w14:paraId="2580BD65">
      <w:pPr>
        <w:pStyle w:val="8"/>
        <w:kinsoku w:val="0"/>
        <w:overflowPunct w:val="0"/>
        <w:spacing w:after="0" w:line="360" w:lineRule="auto"/>
        <w:ind w:firstLine="476" w:firstLineChars="200"/>
        <w:rPr>
          <w:rFonts w:ascii="宋体" w:hAnsi="宋体" w:cs="宋体"/>
          <w:color w:val="auto"/>
          <w:sz w:val="24"/>
          <w:highlight w:val="none"/>
        </w:rPr>
      </w:pPr>
      <w:r>
        <w:rPr>
          <w:rFonts w:hint="eastAsia" w:ascii="宋体" w:hAnsi="宋体" w:cs="宋体"/>
          <w:color w:val="auto"/>
          <w:spacing w:val="-1"/>
          <w:sz w:val="24"/>
          <w:highlight w:val="none"/>
        </w:rPr>
        <w:t>所有计量均采用中华人民共和国法定计量单位。</w:t>
      </w:r>
    </w:p>
    <w:p w14:paraId="35833352">
      <w:pPr>
        <w:kinsoku w:val="0"/>
        <w:overflowPunct w:val="0"/>
        <w:spacing w:line="360" w:lineRule="auto"/>
        <w:outlineLvl w:val="2"/>
        <w:rPr>
          <w:rFonts w:ascii="宋体" w:hAnsi="宋体" w:cs="宋体"/>
          <w:b/>
          <w:bCs/>
          <w:color w:val="auto"/>
          <w:sz w:val="28"/>
          <w:szCs w:val="32"/>
          <w:highlight w:val="none"/>
        </w:rPr>
      </w:pPr>
      <w:bookmarkStart w:id="52" w:name="bookmark29"/>
      <w:bookmarkEnd w:id="52"/>
      <w:r>
        <w:rPr>
          <w:rFonts w:hint="eastAsia" w:ascii="宋体" w:hAnsi="宋体" w:cs="宋体"/>
          <w:b/>
          <w:bCs/>
          <w:color w:val="auto"/>
          <w:sz w:val="28"/>
          <w:szCs w:val="32"/>
          <w:highlight w:val="none"/>
        </w:rPr>
        <w:t>1.9 踏勘现场</w:t>
      </w:r>
    </w:p>
    <w:p w14:paraId="583DAE37">
      <w:pPr>
        <w:pStyle w:val="8"/>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1.9.1投标人须知前附表规定组织踏勘现场的，招标人按投标人须知前附表规定的时间、地点组织投标人踏勘项目现场。部分投标人未按时参加踏勘现场的，不影响踏勘现场的正常进行。</w:t>
      </w:r>
    </w:p>
    <w:p w14:paraId="0A5B10F7">
      <w:pPr>
        <w:pStyle w:val="8"/>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1.9.2投标人踏勘现场发生的费用自理。</w:t>
      </w:r>
    </w:p>
    <w:p w14:paraId="0144AB0E">
      <w:pPr>
        <w:pStyle w:val="8"/>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1.9.3除招标人的原因外，投标人自行负责在踏勘现场中所发生的人员伤亡和财产损失。</w:t>
      </w:r>
    </w:p>
    <w:p w14:paraId="727886FE">
      <w:pPr>
        <w:pStyle w:val="8"/>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1.9.4招标人在踏勘现场中介绍的工程场地和相关的周边环境情况，供投标人在编制投标文件时参考，招标人不对投标人据此作出的判断和决策负责。</w:t>
      </w:r>
    </w:p>
    <w:p w14:paraId="26B54C2F">
      <w:pPr>
        <w:kinsoku w:val="0"/>
        <w:overflowPunct w:val="0"/>
        <w:spacing w:line="360" w:lineRule="auto"/>
        <w:outlineLvl w:val="2"/>
        <w:rPr>
          <w:rFonts w:ascii="宋体" w:hAnsi="宋体" w:cs="宋体"/>
          <w:b/>
          <w:bCs/>
          <w:color w:val="auto"/>
          <w:sz w:val="28"/>
          <w:szCs w:val="32"/>
          <w:highlight w:val="none"/>
        </w:rPr>
      </w:pPr>
      <w:bookmarkStart w:id="53" w:name="bookmark30"/>
      <w:bookmarkEnd w:id="53"/>
      <w:r>
        <w:rPr>
          <w:rFonts w:hint="eastAsia" w:ascii="宋体" w:hAnsi="宋体" w:cs="宋体"/>
          <w:b/>
          <w:bCs/>
          <w:color w:val="auto"/>
          <w:sz w:val="28"/>
          <w:szCs w:val="32"/>
          <w:highlight w:val="none"/>
        </w:rPr>
        <w:t>1.10 投标预备会</w:t>
      </w:r>
    </w:p>
    <w:p w14:paraId="51E47403">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1.10.1投标人须知前附表规定召开投标预备会的，招标人按投标人须知前附表规定的时间和地点召开投标预备会，澄清投标人提出的问题。</w:t>
      </w:r>
    </w:p>
    <w:p w14:paraId="462F43BE">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1.10.2投标人应按投标人须知前附表规定的时间和形式将提出的问题送达招标人，以便招标人在会议期间澄清。</w:t>
      </w:r>
    </w:p>
    <w:p w14:paraId="45115D8E">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1.10.3投标预备会后，招标人将对投标人所提问题的澄清，以投标人须知前附表规定的形式通知所有潜在投标人。该澄清内容为招标文件的组成部分。</w:t>
      </w:r>
      <w:bookmarkStart w:id="54" w:name="bookmark31"/>
      <w:bookmarkEnd w:id="54"/>
    </w:p>
    <w:p w14:paraId="687F12C6">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1.11 分包</w:t>
      </w:r>
    </w:p>
    <w:p w14:paraId="67AF976F">
      <w:pPr>
        <w:pStyle w:val="8"/>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中标人需要独立完成本项目70%以上的检测工作（主要检测工作需要由中标人完成），剩余的非主要检测工作，如中标人不具备资质的，经招标人书面同意后可依法分包给具备相关资质的检测单位，但分包的检测工作不得再次分包。具体约定按合同相应条款执行。</w:t>
      </w:r>
    </w:p>
    <w:p w14:paraId="374E4FDE">
      <w:pPr>
        <w:kinsoku w:val="0"/>
        <w:overflowPunct w:val="0"/>
        <w:spacing w:line="360" w:lineRule="auto"/>
        <w:outlineLvl w:val="2"/>
        <w:rPr>
          <w:rFonts w:ascii="宋体" w:hAnsi="宋体" w:cs="宋体"/>
          <w:b/>
          <w:bCs/>
          <w:color w:val="auto"/>
          <w:sz w:val="28"/>
          <w:szCs w:val="32"/>
          <w:highlight w:val="none"/>
        </w:rPr>
      </w:pPr>
      <w:bookmarkStart w:id="55" w:name="bookmark32"/>
      <w:bookmarkEnd w:id="55"/>
      <w:r>
        <w:rPr>
          <w:rFonts w:hint="eastAsia" w:ascii="宋体" w:hAnsi="宋体" w:cs="宋体"/>
          <w:b/>
          <w:bCs/>
          <w:color w:val="auto"/>
          <w:sz w:val="28"/>
          <w:szCs w:val="32"/>
          <w:highlight w:val="none"/>
        </w:rPr>
        <w:t>1.12 响应和偏差</w:t>
      </w:r>
    </w:p>
    <w:p w14:paraId="0F8654D4">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1.12.1投标文件应当对招标文件的实质性要求和条件作出满足性或更有利于招标人的响应，否则，投标人的投标将被否决。实质性要求和条件见投标人须知前附表。</w:t>
      </w:r>
    </w:p>
    <w:p w14:paraId="36C78FB1">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1.12.2投标人应根据招标文件的要求提供技术方案等内容以对招标文件作出响应。</w:t>
      </w:r>
    </w:p>
    <w:p w14:paraId="19F8E9E0">
      <w:pPr>
        <w:kinsoku w:val="0"/>
        <w:overflowPunct w:val="0"/>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1.12.3投标人须知前附表允许投标文件偏离招标文件某些要求，偏差应当符合招标文件规定的偏差范围和幅度。</w:t>
      </w:r>
      <w:bookmarkStart w:id="56" w:name="_Toc377719901"/>
      <w:bookmarkStart w:id="57" w:name="_Toc3119"/>
      <w:bookmarkStart w:id="58" w:name="_Toc8160"/>
      <w:bookmarkStart w:id="59" w:name="_Toc31365"/>
      <w:bookmarkStart w:id="60" w:name="_Toc532367874"/>
      <w:bookmarkStart w:id="61" w:name="_Toc8885"/>
      <w:bookmarkStart w:id="62" w:name="_Toc4330"/>
      <w:bookmarkStart w:id="63" w:name="_Toc22910"/>
    </w:p>
    <w:p w14:paraId="176714BD">
      <w:pPr>
        <w:keepNext/>
        <w:keepLines/>
        <w:spacing w:line="360" w:lineRule="auto"/>
        <w:outlineLvl w:val="1"/>
        <w:rPr>
          <w:rFonts w:ascii="宋体" w:hAnsi="宋体" w:cs="宋体"/>
          <w:b/>
          <w:bCs/>
          <w:color w:val="auto"/>
          <w:sz w:val="32"/>
          <w:szCs w:val="32"/>
          <w:highlight w:val="none"/>
        </w:rPr>
      </w:pPr>
      <w:bookmarkStart w:id="64" w:name="_Toc31503"/>
      <w:bookmarkStart w:id="65" w:name="_Toc13966"/>
      <w:bookmarkStart w:id="66" w:name="_Toc32443"/>
      <w:bookmarkStart w:id="67" w:name="_Toc24924"/>
      <w:bookmarkStart w:id="68" w:name="_Toc16602"/>
      <w:r>
        <w:rPr>
          <w:rFonts w:hint="eastAsia" w:ascii="宋体" w:hAnsi="宋体" w:cs="宋体"/>
          <w:b/>
          <w:bCs/>
          <w:color w:val="auto"/>
          <w:sz w:val="32"/>
          <w:szCs w:val="32"/>
          <w:highlight w:val="none"/>
        </w:rPr>
        <w:t>2.招标文件</w:t>
      </w:r>
      <w:bookmarkEnd w:id="56"/>
      <w:bookmarkEnd w:id="57"/>
      <w:bookmarkEnd w:id="58"/>
      <w:bookmarkEnd w:id="59"/>
      <w:bookmarkEnd w:id="60"/>
      <w:bookmarkEnd w:id="61"/>
      <w:bookmarkEnd w:id="62"/>
      <w:bookmarkEnd w:id="63"/>
      <w:bookmarkEnd w:id="64"/>
      <w:bookmarkEnd w:id="65"/>
      <w:bookmarkEnd w:id="66"/>
      <w:bookmarkEnd w:id="67"/>
      <w:bookmarkEnd w:id="68"/>
    </w:p>
    <w:p w14:paraId="162428ED">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2.1  招标文件的组成</w:t>
      </w:r>
    </w:p>
    <w:p w14:paraId="4C4ADEF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本招标文件包括：</w:t>
      </w:r>
    </w:p>
    <w:p w14:paraId="207A8F0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（1）招标公告（或投标邀请书）；</w:t>
      </w:r>
    </w:p>
    <w:p w14:paraId="6111F43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（2）投标人须知；</w:t>
      </w:r>
    </w:p>
    <w:p w14:paraId="5060834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（3）评标办法；</w:t>
      </w:r>
    </w:p>
    <w:p w14:paraId="7D05E29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（4）合同条款及格式</w:t>
      </w:r>
      <w:r>
        <w:rPr>
          <w:rFonts w:hint="eastAsia" w:ascii="宋体" w:hAnsi="宋体" w:cs="宋体"/>
          <w:color w:val="auto"/>
          <w:sz w:val="24"/>
          <w:szCs w:val="24"/>
          <w:highlight w:val="none"/>
          <w:u w:val="single"/>
        </w:rPr>
        <w:t>（另册）</w:t>
      </w:r>
      <w:r>
        <w:rPr>
          <w:rFonts w:hint="eastAsia" w:ascii="宋体" w:hAnsi="宋体" w:cs="宋体"/>
          <w:color w:val="auto"/>
          <w:sz w:val="24"/>
          <w:szCs w:val="24"/>
          <w:highlight w:val="none"/>
        </w:rPr>
        <w:t>；</w:t>
      </w:r>
    </w:p>
    <w:p w14:paraId="6764F13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（5）招标人要求</w:t>
      </w:r>
    </w:p>
    <w:p w14:paraId="027BB683">
      <w:pPr>
        <w:spacing w:line="360" w:lineRule="auto"/>
        <w:ind w:firstLine="484" w:firstLineChars="202"/>
        <w:jc w:val="left"/>
        <w:rPr>
          <w:rFonts w:ascii="宋体" w:hAnsi="宋体" w:cs="宋体"/>
          <w:strike/>
          <w:color w:val="auto"/>
          <w:sz w:val="24"/>
          <w:szCs w:val="24"/>
          <w:highlight w:val="none"/>
        </w:rPr>
      </w:pPr>
      <w:r>
        <w:rPr>
          <w:rFonts w:hint="eastAsia" w:ascii="宋体" w:hAnsi="宋体" w:cs="宋体"/>
          <w:strike/>
          <w:color w:val="auto"/>
          <w:sz w:val="24"/>
          <w:szCs w:val="24"/>
          <w:highlight w:val="none"/>
        </w:rPr>
        <w:t>（6）工程量清单</w:t>
      </w:r>
      <w:r>
        <w:rPr>
          <w:rFonts w:hint="eastAsia" w:ascii="宋体" w:hAnsi="宋体" w:cs="宋体"/>
          <w:strike/>
          <w:color w:val="auto"/>
          <w:sz w:val="24"/>
          <w:szCs w:val="24"/>
          <w:highlight w:val="none"/>
          <w:u w:val="single"/>
        </w:rPr>
        <w:t>（另册）</w:t>
      </w:r>
      <w:r>
        <w:rPr>
          <w:rFonts w:hint="eastAsia" w:ascii="宋体" w:hAnsi="宋体" w:cs="宋体"/>
          <w:strike/>
          <w:color w:val="auto"/>
          <w:sz w:val="24"/>
          <w:szCs w:val="24"/>
          <w:highlight w:val="none"/>
        </w:rPr>
        <w:t>；</w:t>
      </w:r>
    </w:p>
    <w:p w14:paraId="42504D8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（7）投标文件格式；</w:t>
      </w:r>
    </w:p>
    <w:p w14:paraId="717F229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（8）投标人须知前附表规定的其他资料。</w:t>
      </w:r>
    </w:p>
    <w:p w14:paraId="1309872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根据本章第1.10款、第2.2款和第2.3款对招标文件所作的澄清、修改，构成招标文件的组成部分。</w:t>
      </w:r>
    </w:p>
    <w:p w14:paraId="2BF220E3">
      <w:pPr>
        <w:keepNext/>
        <w:keepLines/>
        <w:spacing w:line="360" w:lineRule="auto"/>
        <w:outlineLvl w:val="2"/>
        <w:rPr>
          <w:rFonts w:ascii="宋体" w:hAnsi="宋体" w:cs="宋体"/>
          <w:b/>
          <w:bCs/>
          <w:color w:val="auto"/>
          <w:sz w:val="28"/>
          <w:szCs w:val="32"/>
          <w:highlight w:val="none"/>
        </w:rPr>
      </w:pPr>
      <w:bookmarkStart w:id="69" w:name="_Toc377719902"/>
      <w:r>
        <w:rPr>
          <w:rFonts w:hint="eastAsia" w:ascii="宋体" w:hAnsi="宋体" w:cs="宋体"/>
          <w:b/>
          <w:bCs/>
          <w:color w:val="auto"/>
          <w:sz w:val="28"/>
          <w:szCs w:val="32"/>
          <w:highlight w:val="none"/>
        </w:rPr>
        <w:t>2.2.招标文件的澄清</w:t>
      </w:r>
    </w:p>
    <w:p w14:paraId="48FC7F5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B18BB7B">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2.2.2招标文件的澄清以投标人须知前附表规定的形式发给所有潜在投标人，但不指明澄清问题的来源。澄清发出的时间距本章第4.2.1项规定的投标截止时间不足15日的，并且澄清内容可能影响投标文件编制的，将相应延长投标截止时间。</w:t>
      </w:r>
    </w:p>
    <w:p w14:paraId="03EDEE4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2.2.3 投标人在收到澄清后，应按投标人须知前附表规定的时间和形式通知招标人，确认已收到该澄清。</w:t>
      </w:r>
    </w:p>
    <w:p w14:paraId="78B6F1C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2.2.4除非招标人认为确有必要答复，否则，招标人有权拒绝回复投标人在本章第2.2.1项规定的时间后的任何澄清要求。</w:t>
      </w:r>
    </w:p>
    <w:p w14:paraId="7BE7CEC9">
      <w:pPr>
        <w:kinsoku w:val="0"/>
        <w:overflowPunct w:val="0"/>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2.3 招标文件的修改</w:t>
      </w:r>
    </w:p>
    <w:p w14:paraId="3C55C52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2.3.1招标人以投标人须知前附表规定的形式修改招标文件，并通知所有潜在投标人。修改招标文件的时间距本章第4.2.1项规定的投标截止时间不足15日的，并且修改内容可能影响投标文件编制的，将相应延长投标截止时间。</w:t>
      </w:r>
    </w:p>
    <w:p w14:paraId="32EC2CE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2.3.2投标人收到修改内容后，应按投标人须知前附表规定的时间和形式通知招标人，确认已收到该修改。</w:t>
      </w:r>
    </w:p>
    <w:p w14:paraId="01B95BC7">
      <w:pPr>
        <w:kinsoku w:val="0"/>
        <w:overflowPunct w:val="0"/>
        <w:spacing w:line="360" w:lineRule="auto"/>
        <w:outlineLvl w:val="2"/>
        <w:rPr>
          <w:rFonts w:ascii="宋体" w:hAnsi="宋体" w:cs="宋体"/>
          <w:b/>
          <w:bCs/>
          <w:color w:val="auto"/>
          <w:sz w:val="28"/>
          <w:szCs w:val="32"/>
          <w:highlight w:val="none"/>
        </w:rPr>
      </w:pPr>
      <w:bookmarkStart w:id="70" w:name="bookmark37"/>
      <w:bookmarkEnd w:id="70"/>
      <w:r>
        <w:rPr>
          <w:rFonts w:hint="eastAsia" w:ascii="宋体" w:hAnsi="宋体" w:cs="宋体"/>
          <w:b/>
          <w:bCs/>
          <w:color w:val="auto"/>
          <w:sz w:val="28"/>
          <w:szCs w:val="32"/>
          <w:highlight w:val="none"/>
        </w:rPr>
        <w:t>2.4 招标文件的异议</w:t>
      </w:r>
    </w:p>
    <w:p w14:paraId="1B58461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投标人或者其他利害关系人对招标文件有异议的，应当在投标截止时间10日前以书面形式提出。招标人将在收到异议之日起3日内作出答复；作出答复前，将暂停招标投标活动。</w:t>
      </w:r>
    </w:p>
    <w:p w14:paraId="01E0965F">
      <w:pPr>
        <w:keepNext/>
        <w:keepLines/>
        <w:spacing w:line="360" w:lineRule="auto"/>
        <w:jc w:val="left"/>
        <w:outlineLvl w:val="1"/>
        <w:rPr>
          <w:rFonts w:ascii="宋体" w:hAnsi="宋体" w:cs="宋体"/>
          <w:b/>
          <w:bCs/>
          <w:color w:val="auto"/>
          <w:sz w:val="32"/>
          <w:szCs w:val="32"/>
          <w:highlight w:val="none"/>
        </w:rPr>
      </w:pPr>
      <w:bookmarkStart w:id="71" w:name="_Toc30380"/>
      <w:bookmarkStart w:id="72" w:name="_Toc1157"/>
      <w:bookmarkStart w:id="73" w:name="_Toc3526"/>
      <w:bookmarkStart w:id="74" w:name="_Toc14848"/>
      <w:bookmarkStart w:id="75" w:name="_Toc15723"/>
      <w:bookmarkStart w:id="76" w:name="_Toc532367875"/>
      <w:bookmarkStart w:id="77" w:name="_Toc14013"/>
      <w:bookmarkStart w:id="78" w:name="_Toc25005"/>
      <w:bookmarkStart w:id="79" w:name="_Toc29001"/>
      <w:bookmarkStart w:id="80" w:name="_Toc25907"/>
      <w:bookmarkStart w:id="81" w:name="_Toc6920"/>
      <w:bookmarkStart w:id="82" w:name="_Toc23329"/>
      <w:r>
        <w:rPr>
          <w:rFonts w:hint="eastAsia" w:ascii="宋体" w:hAnsi="宋体" w:cs="宋体"/>
          <w:b/>
          <w:bCs/>
          <w:color w:val="auto"/>
          <w:sz w:val="32"/>
          <w:szCs w:val="32"/>
          <w:highlight w:val="none"/>
        </w:rPr>
        <w:t>3.投标文件</w:t>
      </w:r>
      <w:bookmarkEnd w:id="69"/>
      <w:bookmarkEnd w:id="71"/>
      <w:bookmarkEnd w:id="72"/>
      <w:bookmarkEnd w:id="73"/>
      <w:bookmarkEnd w:id="74"/>
      <w:bookmarkEnd w:id="75"/>
      <w:bookmarkEnd w:id="76"/>
      <w:bookmarkEnd w:id="77"/>
      <w:bookmarkEnd w:id="78"/>
      <w:bookmarkEnd w:id="79"/>
      <w:bookmarkEnd w:id="80"/>
      <w:bookmarkEnd w:id="81"/>
      <w:bookmarkEnd w:id="82"/>
    </w:p>
    <w:p w14:paraId="56335D69">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3.1  组成投标文件的文件</w:t>
      </w:r>
    </w:p>
    <w:p w14:paraId="686DDDF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3.1.1投标文件应包括下列内容：</w:t>
      </w:r>
    </w:p>
    <w:p w14:paraId="040AFBF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（1）投标函及投标函附录</w:t>
      </w:r>
      <w:r>
        <w:rPr>
          <w:rFonts w:hint="eastAsia" w:ascii="宋体" w:hAnsi="宋体" w:cs="宋体"/>
          <w:color w:val="auto"/>
          <w:sz w:val="24"/>
          <w:szCs w:val="24"/>
          <w:highlight w:val="none"/>
        </w:rPr>
        <w:tab/>
      </w:r>
    </w:p>
    <w:p w14:paraId="67E499F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（2）法定代表人证明书及授权委托书</w:t>
      </w:r>
      <w:r>
        <w:rPr>
          <w:rFonts w:hint="eastAsia" w:ascii="宋体" w:hAnsi="宋体" w:cs="宋体"/>
          <w:color w:val="auto"/>
          <w:sz w:val="24"/>
          <w:szCs w:val="24"/>
          <w:highlight w:val="none"/>
        </w:rPr>
        <w:tab/>
      </w:r>
    </w:p>
    <w:p w14:paraId="1FE46C6F">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（3）关于投标保证金的承诺；</w:t>
      </w:r>
    </w:p>
    <w:p w14:paraId="4767B052">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（4）联合体协议书（如有）</w:t>
      </w:r>
      <w:r>
        <w:rPr>
          <w:rFonts w:hint="eastAsia" w:ascii="宋体" w:hAnsi="宋体" w:cs="宋体"/>
          <w:color w:val="auto"/>
          <w:sz w:val="24"/>
          <w:szCs w:val="24"/>
          <w:highlight w:val="none"/>
          <w:u w:val="single"/>
        </w:rPr>
        <w:tab/>
      </w:r>
    </w:p>
    <w:p w14:paraId="560B659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（5）资格审查资料</w:t>
      </w:r>
      <w:r>
        <w:rPr>
          <w:rFonts w:hint="eastAsia" w:ascii="宋体" w:hAnsi="宋体" w:cs="宋体"/>
          <w:color w:val="auto"/>
          <w:sz w:val="24"/>
          <w:szCs w:val="24"/>
          <w:highlight w:val="none"/>
        </w:rPr>
        <w:tab/>
      </w:r>
    </w:p>
    <w:p w14:paraId="4BE9BA2E">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（6）类似项目业绩表</w:t>
      </w:r>
      <w:r>
        <w:rPr>
          <w:rFonts w:hint="eastAsia" w:ascii="宋体" w:hAnsi="宋体" w:cs="宋体"/>
          <w:color w:val="auto"/>
          <w:sz w:val="24"/>
          <w:szCs w:val="24"/>
          <w:highlight w:val="none"/>
          <w:u w:val="single"/>
        </w:rPr>
        <w:tab/>
      </w:r>
    </w:p>
    <w:p w14:paraId="330DE1AE">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（7）拟投入本项目的人员一览表</w:t>
      </w:r>
    </w:p>
    <w:p w14:paraId="73849FF6">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（8）拟投入本项目的人员简历表</w:t>
      </w:r>
    </w:p>
    <w:p w14:paraId="35C9928D">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（9）拟投入本项目的主要仪器设备一览表</w:t>
      </w:r>
    </w:p>
    <w:p w14:paraId="3E5AEF2F">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（10）投标人认为应该提供的其他资料</w:t>
      </w:r>
    </w:p>
    <w:p w14:paraId="2A9F486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投标人在评标过程中作出的符合法律法规和招标文件规定的澄清确认，构成投标文件的组成部分。</w:t>
      </w:r>
    </w:p>
    <w:p w14:paraId="4F54802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3.1.2投标人须知前附表规定不接受联合体投标的，或投标人没有组成联合体的，投标文件不包括本章第3.1.1（3）所指的联合体协议书。</w:t>
      </w:r>
    </w:p>
    <w:p w14:paraId="4F792DE5">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3.2  投标价格</w:t>
      </w:r>
    </w:p>
    <w:p w14:paraId="16558F5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3.2.1投标报价应包括国家规定的增值税税金，除投标人须知前附表另有规定外，增值税税金按一般计税方法计算。投标人应按第七章“投标文件格式”的要求在投标函中进行报价。</w:t>
      </w:r>
    </w:p>
    <w:p w14:paraId="3C5C35C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3.2.2投标人应充分了解该项目的总体情况以及影响投标报价的其他要素。</w:t>
      </w:r>
    </w:p>
    <w:p w14:paraId="2FD0C14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3.2.3本项目的报价方式见投标人须知前附表。投标人在投标截止时间前修改投标函中的投标报价总额。此修改须符合本章第4.3款的有关要求。</w:t>
      </w:r>
    </w:p>
    <w:p w14:paraId="306AAB9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3.2.4招标人设有最高投标限价的，投标人的投标报价不得超过最高投标限价，最高投标限价在投标人须知前附表中载明。</w:t>
      </w:r>
    </w:p>
    <w:p w14:paraId="2497A4E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3.2.5投标报价的其他要求见投标人须知前附表。</w:t>
      </w:r>
    </w:p>
    <w:p w14:paraId="2D611E01">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3.3 投标有效期</w:t>
      </w:r>
    </w:p>
    <w:p w14:paraId="30CFC12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3.3.1除投标人须知前附表另有规定外，投标有效期为90天。</w:t>
      </w:r>
    </w:p>
    <w:p w14:paraId="66C3C5EF">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3.3.2在投标有效期内，投标人撤销投标文件的，应承担招标文件和法律规定的责任。</w:t>
      </w:r>
    </w:p>
    <w:p w14:paraId="312DC77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3.3.3 出现特殊情况需要延长投标有效期的，招标人以书面形式通知所有投标人延长投标有效期。投标人应予以书面答复，同意延长的，</w:t>
      </w:r>
      <w:r>
        <w:rPr>
          <w:rFonts w:hint="eastAsia" w:ascii="宋体" w:hAnsi="宋体" w:cs="宋体"/>
          <w:strike/>
          <w:color w:val="auto"/>
          <w:sz w:val="24"/>
          <w:szCs w:val="24"/>
          <w:highlight w:val="none"/>
        </w:rPr>
        <w:t>应相应延长其投标保证金的有效期，但</w:t>
      </w:r>
      <w:r>
        <w:rPr>
          <w:rFonts w:hint="eastAsia" w:ascii="宋体" w:hAnsi="宋体" w:cs="宋体"/>
          <w:color w:val="auto"/>
          <w:sz w:val="24"/>
          <w:szCs w:val="24"/>
          <w:highlight w:val="none"/>
        </w:rPr>
        <w:t>不得要求或被允许修改其投标文件；投标人拒绝延长的，其投标失效</w:t>
      </w:r>
      <w:r>
        <w:rPr>
          <w:rFonts w:hint="eastAsia" w:ascii="宋体" w:hAnsi="宋体" w:cs="宋体"/>
          <w:strike/>
          <w:color w:val="auto"/>
          <w:sz w:val="24"/>
          <w:szCs w:val="24"/>
          <w:highlight w:val="none"/>
        </w:rPr>
        <w:t>，但投标人有权收回其投标保证金及以现金或者支票形式递交的投标保证金的银行同期存款利息</w:t>
      </w:r>
      <w:r>
        <w:rPr>
          <w:rFonts w:hint="eastAsia" w:ascii="宋体" w:hAnsi="宋体" w:cs="宋体"/>
          <w:color w:val="auto"/>
          <w:sz w:val="24"/>
          <w:szCs w:val="24"/>
          <w:highlight w:val="none"/>
        </w:rPr>
        <w:t>。</w:t>
      </w:r>
    </w:p>
    <w:p w14:paraId="4F68A0FE">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3.4  投标保证金</w:t>
      </w:r>
    </w:p>
    <w:p w14:paraId="3559E2B2">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3.4.1</w:t>
      </w:r>
      <w:r>
        <w:rPr>
          <w:rFonts w:hint="eastAsia" w:ascii="宋体" w:hAnsi="宋体" w:cs="宋体"/>
          <w:color w:val="auto"/>
          <w:sz w:val="24"/>
          <w:szCs w:val="24"/>
          <w:highlight w:val="none"/>
          <w:u w:val="single"/>
        </w:rPr>
        <w:t>本项目免收投标保证金，投标人提供《关于投标保证金的承诺》（详见投标文件格式）。</w:t>
      </w:r>
    </w:p>
    <w:p w14:paraId="59DA8EA5">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3.4.2对于投标人已提供《关于投标保证金的承诺》，若投标人存在3.4.4条款所列情形，该投标人应在发现存在3.4.4条款所列情形之日起5个工作日内按投标人须知前附表第3.4.1项所述金额补交投标保证金。若未按要求补交投标保证金的将暂停其参与招标人后续工程投标，直至完成补交手续为止。</w:t>
      </w:r>
    </w:p>
    <w:p w14:paraId="0D02AF82">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3.4.3开标时投标人没有按招标文件要求提交符合免予提供投标保证金相关证明材料，且未提交投标保证金的投标人，视为未按要求提供投标保证金。</w:t>
      </w:r>
    </w:p>
    <w:p w14:paraId="6D34CCC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3.4.4如有下列情况之一的，招标人可以不予退还投标保证金（是否退还投标保证金由招标人在招标文件中规定）：</w:t>
      </w:r>
    </w:p>
    <w:p w14:paraId="4A0CCAE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3.4.4.1因投标人原因造成投标文件未解密的；</w:t>
      </w:r>
    </w:p>
    <w:p w14:paraId="465F73B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3.4.4.2投标人在投标有效期内撤销投标文件；</w:t>
      </w:r>
    </w:p>
    <w:p w14:paraId="3D50A7A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3.4.4.3中标人未能在规定期限内按要求提交履约担保；</w:t>
      </w:r>
    </w:p>
    <w:p w14:paraId="08DD8CE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3.4.4.4中标人未能在规定期限内签署合同协议。</w:t>
      </w:r>
    </w:p>
    <w:p w14:paraId="19B15CB1">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 xml:space="preserve">3.5  </w:t>
      </w:r>
      <w:bookmarkStart w:id="83" w:name="_Toc511383850"/>
      <w:r>
        <w:rPr>
          <w:rFonts w:hint="eastAsia" w:ascii="宋体" w:hAnsi="宋体" w:cs="宋体"/>
          <w:b/>
          <w:bCs/>
          <w:color w:val="auto"/>
          <w:sz w:val="28"/>
          <w:szCs w:val="32"/>
          <w:highlight w:val="none"/>
        </w:rPr>
        <w:t>资格审查资料（适用于未进行资格预审的）</w:t>
      </w:r>
      <w:bookmarkEnd w:id="83"/>
    </w:p>
    <w:p w14:paraId="0FF752FB">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除投标人须知前附表另有规定外，投标人应按下列规定提供资格审查资料，以证明其满足本章第1.4款规定的资质</w:t>
      </w:r>
      <w:r>
        <w:rPr>
          <w:rFonts w:hint="eastAsia" w:ascii="宋体" w:hAnsi="宋体" w:cs="宋体"/>
          <w:strike/>
          <w:color w:val="auto"/>
          <w:sz w:val="24"/>
          <w:szCs w:val="24"/>
          <w:highlight w:val="none"/>
        </w:rPr>
        <w:t>、财务、业绩、信誉等</w:t>
      </w:r>
      <w:r>
        <w:rPr>
          <w:rFonts w:hint="eastAsia" w:ascii="宋体" w:hAnsi="宋体" w:cs="宋体"/>
          <w:color w:val="auto"/>
          <w:sz w:val="24"/>
          <w:szCs w:val="24"/>
          <w:highlight w:val="none"/>
        </w:rPr>
        <w:t>要求。</w:t>
      </w:r>
    </w:p>
    <w:p w14:paraId="03339F90">
      <w:pPr>
        <w:spacing w:line="360" w:lineRule="auto"/>
        <w:ind w:firstLine="484" w:firstLineChars="202"/>
        <w:jc w:val="left"/>
        <w:rPr>
          <w:rFonts w:ascii="宋体" w:hAnsi="宋体" w:cs="宋体"/>
          <w:color w:val="auto"/>
          <w:sz w:val="24"/>
          <w:szCs w:val="24"/>
          <w:highlight w:val="none"/>
          <w:u w:val="single"/>
          <w:lang w:bidi="ar"/>
        </w:rPr>
      </w:pPr>
      <w:r>
        <w:rPr>
          <w:rFonts w:hint="eastAsia" w:ascii="宋体" w:hAnsi="宋体" w:cs="宋体"/>
          <w:color w:val="auto"/>
          <w:sz w:val="24"/>
          <w:szCs w:val="24"/>
          <w:highlight w:val="none"/>
          <w:u w:val="single"/>
          <w:lang w:bidi="ar"/>
        </w:rPr>
        <w:t>3.5.1“投标人基本情况表”应附投标人营业执照或事业单位法人证书、建设行政主管部门颁发的建设工程质量检测机构资质证书、质量技术监督部门颁发的CMA计量认证合格证书、建设行政主管部门颁发的工程勘察资质证书的</w:t>
      </w:r>
      <w:bookmarkStart w:id="84" w:name="_Hlk66956957"/>
      <w:r>
        <w:rPr>
          <w:rFonts w:hint="eastAsia" w:ascii="宋体" w:hAnsi="宋体" w:cs="宋体"/>
          <w:color w:val="auto"/>
          <w:sz w:val="24"/>
          <w:szCs w:val="24"/>
          <w:highlight w:val="none"/>
          <w:u w:val="single"/>
          <w:lang w:bidi="ar"/>
        </w:rPr>
        <w:t>原件清晰扫描件。</w:t>
      </w:r>
      <w:bookmarkEnd w:id="84"/>
    </w:p>
    <w:p w14:paraId="763F2ED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3.5.2其他满足本章第1.4.1项规定的要求的相关资料。</w:t>
      </w:r>
    </w:p>
    <w:p w14:paraId="687CA24F">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color w:val="auto"/>
          <w:sz w:val="24"/>
          <w:szCs w:val="24"/>
          <w:highlight w:val="none"/>
          <w:u w:val="single"/>
          <w:lang w:bidi="ar"/>
        </w:rPr>
        <w:t xml:space="preserve"> </w:t>
      </w:r>
      <w:r>
        <w:rPr>
          <w:rFonts w:hint="eastAsia" w:ascii="宋体" w:hAnsi="宋体" w:cs="宋体"/>
          <w:b/>
          <w:bCs/>
          <w:color w:val="auto"/>
          <w:sz w:val="28"/>
          <w:szCs w:val="32"/>
          <w:highlight w:val="none"/>
        </w:rPr>
        <w:t>3.6 备选投标方案</w:t>
      </w:r>
    </w:p>
    <w:p w14:paraId="35FAB38E">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3.6.1除投标人须知前附表规定允许外，投标人不得递交备选投标方案，否则其投标将被否决。</w:t>
      </w:r>
    </w:p>
    <w:p w14:paraId="3988D55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7460EE4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3.6.3投标人提供两个或两个以上投标报价，或者在投标文件中提供一个报价，但同时提供两个或两个以上服务方案的，视为提供备选方案。</w:t>
      </w:r>
    </w:p>
    <w:p w14:paraId="34E9D73A">
      <w:pPr>
        <w:keepNext/>
        <w:keepLines/>
        <w:spacing w:line="360" w:lineRule="auto"/>
        <w:jc w:val="left"/>
        <w:outlineLvl w:val="2"/>
        <w:rPr>
          <w:rFonts w:ascii="宋体" w:hAnsi="宋体" w:cs="宋体"/>
          <w:b/>
          <w:bCs/>
          <w:color w:val="auto"/>
          <w:sz w:val="28"/>
          <w:szCs w:val="32"/>
          <w:highlight w:val="none"/>
        </w:rPr>
      </w:pPr>
      <w:bookmarkStart w:id="85" w:name="bookmark46"/>
      <w:bookmarkEnd w:id="85"/>
      <w:r>
        <w:rPr>
          <w:rFonts w:hint="eastAsia" w:ascii="宋体" w:hAnsi="宋体" w:cs="宋体"/>
          <w:b/>
          <w:bCs/>
          <w:color w:val="auto"/>
          <w:sz w:val="28"/>
          <w:szCs w:val="32"/>
          <w:highlight w:val="none"/>
        </w:rPr>
        <w:t>3.7 投标文件的编制</w:t>
      </w:r>
    </w:p>
    <w:p w14:paraId="65BB8EE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3.7.1投标文件应按第七章“投标文件格式”进行编写，如有必要，可以增加附页，作为投标文件的组成部分。</w:t>
      </w:r>
    </w:p>
    <w:p w14:paraId="5119515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3.7.2投标文件应当对招标文件有关服务期限、投标有效期、招标人要求、招标范围等实质性内容作出响应。</w:t>
      </w:r>
    </w:p>
    <w:p w14:paraId="0BB6D62C">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3.7.3</w:t>
      </w:r>
      <w:r>
        <w:rPr>
          <w:rFonts w:hint="eastAsia" w:ascii="宋体" w:hAnsi="宋体" w:cs="宋体"/>
          <w:color w:val="auto"/>
          <w:sz w:val="24"/>
          <w:szCs w:val="24"/>
          <w:highlight w:val="none"/>
          <w:u w:val="single"/>
        </w:rPr>
        <w:t>投标文件全部采用电子文档，投标文件所附证书证件均为原件扫描件，并采用单位数字证书（联合体投标的，由联合体主办方采用其单位数字证书），按招标文件要求在相应位置加盖电子印章。投标文件中需个人签字或盖章的，应加盖个人电子印章或在线下完成后扫描上传。按照交易平台关于全流程电子化项目的相关指南进行操作。相关操作详见广州公共资源交易中心网站最新发布的《房屋建筑和市政基础设施工程全流程电子化项目专章》。签字或盖章的具体要求见投标人须知前附表。</w:t>
      </w:r>
    </w:p>
    <w:p w14:paraId="2DF96D2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联合体投标时，除“联合体协议书”需由联合体各方分别按要求进行签字或盖章外，其他资料若需要签字或盖章的均可由联合体主办方签字或盖章即可；投标资料封面及其他内容及落款中的“投标人”、“投标单位”、“声明企业”应填写联合体各方的单位全称【格式示例为：（主）单位全称（成）单位全称】，由联合体主办方按要求签字或盖章即可。电子签章由主办方进行签章即可。</w:t>
      </w:r>
    </w:p>
    <w:p w14:paraId="511CE6CC">
      <w:pPr>
        <w:keepNext/>
        <w:keepLines/>
        <w:spacing w:line="360" w:lineRule="auto"/>
        <w:jc w:val="left"/>
        <w:outlineLvl w:val="1"/>
        <w:rPr>
          <w:rFonts w:ascii="宋体" w:hAnsi="宋体" w:cs="宋体"/>
          <w:b/>
          <w:bCs/>
          <w:color w:val="auto"/>
          <w:sz w:val="32"/>
          <w:szCs w:val="32"/>
          <w:highlight w:val="none"/>
        </w:rPr>
      </w:pPr>
      <w:bookmarkStart w:id="86" w:name="_Toc23220"/>
      <w:bookmarkStart w:id="87" w:name="_Toc532367876"/>
      <w:bookmarkStart w:id="88" w:name="_Toc3516"/>
      <w:bookmarkStart w:id="89" w:name="_Toc25065"/>
      <w:bookmarkStart w:id="90" w:name="_Toc29593"/>
      <w:bookmarkStart w:id="91" w:name="_Toc32552"/>
      <w:bookmarkStart w:id="92" w:name="_Toc31557"/>
      <w:bookmarkStart w:id="93" w:name="_Toc21930"/>
      <w:bookmarkStart w:id="94" w:name="_Toc377719903"/>
      <w:bookmarkStart w:id="95" w:name="_Toc9342"/>
      <w:bookmarkStart w:id="96" w:name="_Toc24378"/>
      <w:bookmarkStart w:id="97" w:name="_Toc23284"/>
      <w:bookmarkStart w:id="98" w:name="_Toc3554"/>
      <w:r>
        <w:rPr>
          <w:rFonts w:hint="eastAsia" w:ascii="宋体" w:hAnsi="宋体" w:cs="宋体"/>
          <w:b/>
          <w:bCs/>
          <w:color w:val="auto"/>
          <w:sz w:val="32"/>
          <w:szCs w:val="32"/>
          <w:highlight w:val="none"/>
        </w:rPr>
        <w:t>4.投标</w:t>
      </w:r>
      <w:bookmarkEnd w:id="86"/>
      <w:bookmarkEnd w:id="87"/>
      <w:bookmarkEnd w:id="88"/>
      <w:bookmarkEnd w:id="89"/>
      <w:bookmarkEnd w:id="90"/>
      <w:bookmarkEnd w:id="91"/>
      <w:bookmarkEnd w:id="92"/>
      <w:bookmarkEnd w:id="93"/>
      <w:bookmarkEnd w:id="94"/>
      <w:bookmarkEnd w:id="95"/>
      <w:bookmarkEnd w:id="96"/>
      <w:bookmarkEnd w:id="97"/>
      <w:bookmarkEnd w:id="98"/>
    </w:p>
    <w:p w14:paraId="70471FA0">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4.1  投标文件的密封和标记</w:t>
      </w:r>
    </w:p>
    <w:p w14:paraId="0719591B">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4.1.1 投标人应当按照招标文件和电子招标投标交易平台的要求加密投标文件，具体要求见投标人须知前附表。</w:t>
      </w:r>
    </w:p>
    <w:p w14:paraId="7C32840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4.1.2 投标文件封套上应写明的内容见投标人须知前附表。</w:t>
      </w:r>
    </w:p>
    <w:p w14:paraId="271D3074">
      <w:pPr>
        <w:spacing w:line="360" w:lineRule="auto"/>
        <w:ind w:firstLine="484" w:firstLineChars="202"/>
        <w:jc w:val="left"/>
        <w:rPr>
          <w:rFonts w:ascii="宋体" w:hAnsi="宋体" w:cs="宋体"/>
          <w:strike/>
          <w:color w:val="auto"/>
          <w:sz w:val="24"/>
          <w:szCs w:val="24"/>
          <w:highlight w:val="none"/>
        </w:rPr>
      </w:pPr>
      <w:r>
        <w:rPr>
          <w:rFonts w:hint="eastAsia" w:ascii="宋体" w:hAnsi="宋体" w:cs="宋体"/>
          <w:strike/>
          <w:color w:val="auto"/>
          <w:sz w:val="24"/>
          <w:szCs w:val="24"/>
          <w:highlight w:val="none"/>
        </w:rPr>
        <w:t>4.1.3 未按本章第 4.1.1 项要求密封的投标文件，招标人将予以拒收。</w:t>
      </w:r>
    </w:p>
    <w:p w14:paraId="59D4B905">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4.2  投标文件的递交</w:t>
      </w:r>
    </w:p>
    <w:p w14:paraId="5C93AD3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4.2.1 投标人应在投标人须知前附表规定的投标截止时间前递交投标文件。</w:t>
      </w:r>
    </w:p>
    <w:p w14:paraId="180A308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4.2.2 投标人通过下载招标文件的电子招标投标交易平台递交电子投标文件。</w:t>
      </w:r>
    </w:p>
    <w:p w14:paraId="5240310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4.2.3 除投标人须知前附表另有规定外，投标人所递交的投标文件不予退还。</w:t>
      </w:r>
    </w:p>
    <w:p w14:paraId="4E901EA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4.2.4 投标人完成电子投标文件上传后，电子招标投标交易平台即时向投标人发出递交回执通知。递交时间以递交回执通知载明的传输完成时间为准。</w:t>
      </w:r>
    </w:p>
    <w:p w14:paraId="03A190CA">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4.2.5 逾期送达的投标文件，电子招标投标交易平台将予以拒收。</w:t>
      </w:r>
    </w:p>
    <w:p w14:paraId="49ACCC78">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4.3  投标文件的修改与撤回</w:t>
      </w:r>
    </w:p>
    <w:p w14:paraId="28D789F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4.3.1 在本章第 4.2.1 项规定的投标截止时间前，投标人可以修改或撤回已递交的投标文件，但应以书面形式通知招标人。</w:t>
      </w:r>
    </w:p>
    <w:p w14:paraId="3029310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4.3.2 投标人修改或撤回已递交投标文件的通知，应按照本章第 3.7.3项的要求加盖电子印章。电子招标投标交易平台收到通知后，即时向投标人发出确认回执通知。</w:t>
      </w:r>
    </w:p>
    <w:p w14:paraId="4C8CAF1F">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4.3.3 修改的内容为投标文件的组成部分。修改的投标文件应按照本章第 3 条、第 4 条的规定进行编制、密封、标记和递交，并标明“修改”字样。</w:t>
      </w:r>
    </w:p>
    <w:p w14:paraId="6AF4F8E8">
      <w:pPr>
        <w:keepNext/>
        <w:keepLines/>
        <w:spacing w:line="360" w:lineRule="auto"/>
        <w:outlineLvl w:val="1"/>
        <w:rPr>
          <w:rFonts w:ascii="宋体" w:hAnsi="宋体" w:cs="宋体"/>
          <w:b/>
          <w:bCs/>
          <w:color w:val="auto"/>
          <w:sz w:val="32"/>
          <w:szCs w:val="32"/>
          <w:highlight w:val="none"/>
        </w:rPr>
      </w:pPr>
      <w:bookmarkStart w:id="99" w:name="_Toc1684"/>
      <w:bookmarkStart w:id="100" w:name="_Toc11066"/>
      <w:bookmarkStart w:id="101" w:name="_Toc17138"/>
      <w:bookmarkStart w:id="102" w:name="_Toc10549"/>
      <w:bookmarkStart w:id="103" w:name="_Toc377719904"/>
      <w:bookmarkStart w:id="104" w:name="_Toc31567"/>
      <w:bookmarkStart w:id="105" w:name="_Toc532367877"/>
      <w:bookmarkStart w:id="106" w:name="_Toc25545"/>
      <w:bookmarkStart w:id="107" w:name="_Toc111"/>
      <w:bookmarkStart w:id="108" w:name="_Toc17418"/>
      <w:bookmarkStart w:id="109" w:name="_Toc5302"/>
      <w:bookmarkStart w:id="110" w:name="_Toc19088"/>
      <w:bookmarkStart w:id="111" w:name="_Toc6570"/>
      <w:r>
        <w:rPr>
          <w:rFonts w:hint="eastAsia" w:ascii="宋体" w:hAnsi="宋体" w:cs="宋体"/>
          <w:b/>
          <w:bCs/>
          <w:color w:val="auto"/>
          <w:sz w:val="32"/>
          <w:szCs w:val="32"/>
          <w:highlight w:val="none"/>
        </w:rPr>
        <w:t>5.开标</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53E704B5">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5.1 开标时间和地点</w:t>
      </w:r>
    </w:p>
    <w:p w14:paraId="5D193EC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招标人在本章第 4.2.1 项规定的投标截止时间（开标时间）,通过电子招标投标交易平台公开开标，所有投标人的法定代表人或其委托代理人应当准时参加。</w:t>
      </w:r>
    </w:p>
    <w:p w14:paraId="3710891F">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5.2 开标程序</w:t>
      </w:r>
    </w:p>
    <w:p w14:paraId="11E2D8B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5.2.1主持人按下列程序进行开标：</w:t>
      </w:r>
    </w:p>
    <w:p w14:paraId="099CB3A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（1）宣布开标纪律；</w:t>
      </w:r>
    </w:p>
    <w:p w14:paraId="74E356A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（2）公布在投标截止时间前递交投标文件的投标人名称；</w:t>
      </w:r>
    </w:p>
    <w:p w14:paraId="7403E62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（3）宣布开标人、唱标人、记录人、监标人等有关人员姓名；</w:t>
      </w:r>
    </w:p>
    <w:p w14:paraId="6C02834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（4）投标人通过电子招标投标交易平台对已递交的电子投标文件进行解密，公布招标项目名称、投标人名称、投标总报价、服务期限及其他内容，并记录在案；</w:t>
      </w:r>
    </w:p>
    <w:p w14:paraId="67E97C1F">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（5）投标人代表、招标人代表、监标人、记录人等有关人员使用本人的电子印章在开标记录上签字确认；若有关人员不签字的，不影响开标程序；</w:t>
      </w:r>
    </w:p>
    <w:p w14:paraId="32A7F21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（6）开标结束。</w:t>
      </w:r>
    </w:p>
    <w:p w14:paraId="36800B2B">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5.2.2投标截止时间前未完成投标文件传输的或因投标人之外的原因造成投标文件未解密的，视为投标人撤回投标文件。因投标人原因造成投标文件未解密的，视为撤销其投标文件。</w:t>
      </w:r>
    </w:p>
    <w:p w14:paraId="6CB8727C">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5.2.3开标时，两个（含两个）以上的投标人加密打包投标文件电脑机器特征码一致的，不参与下一程序，并由评标委员会否决其投标。</w:t>
      </w:r>
    </w:p>
    <w:p w14:paraId="0FD0C929">
      <w:pPr>
        <w:keepNext/>
        <w:keepLines/>
        <w:spacing w:line="360" w:lineRule="auto"/>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5.3 开标异议</w:t>
      </w:r>
    </w:p>
    <w:p w14:paraId="5E4AABDD">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5.3.1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3099CBEF">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5.3.2参加现场开标的投标人对开标结果有异议的，应当在开标现场提出，该投标人代表须同时出示本人身份证原件，招标人当场作出答复，并制作记录。</w:t>
      </w:r>
    </w:p>
    <w:p w14:paraId="49B4203B">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5.3.3参加在线开标的投标人对开标结果有异议的，应当使用单位数字证书登录交易平台后通过交易平台提出。招标人授权招标代理机构工作人员使用招标代理机构数字证书登录交易平台答复异议，异议答复是招标人真实意思表示。未答复的，开标程序不得结束，投标人若无异议，点击“我没有异议了”按钮即可。</w:t>
      </w:r>
    </w:p>
    <w:p w14:paraId="01D95888">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5.3.4投标人未参加开标或在规定的时间内未提出异议的，视为对开标无异议。</w:t>
      </w:r>
    </w:p>
    <w:p w14:paraId="5D61BC35">
      <w:pPr>
        <w:keepNext/>
        <w:keepLines/>
        <w:spacing w:line="360" w:lineRule="auto"/>
        <w:jc w:val="left"/>
        <w:outlineLvl w:val="1"/>
        <w:rPr>
          <w:rFonts w:ascii="宋体" w:hAnsi="宋体" w:cs="宋体"/>
          <w:b/>
          <w:bCs/>
          <w:color w:val="auto"/>
          <w:sz w:val="32"/>
          <w:szCs w:val="32"/>
          <w:highlight w:val="none"/>
        </w:rPr>
      </w:pPr>
      <w:bookmarkStart w:id="112" w:name="_Toc532367878"/>
      <w:bookmarkStart w:id="113" w:name="_Toc11500"/>
      <w:bookmarkStart w:id="114" w:name="_Toc24608"/>
      <w:bookmarkStart w:id="115" w:name="_Toc5463"/>
      <w:bookmarkStart w:id="116" w:name="_Toc27507"/>
      <w:bookmarkStart w:id="117" w:name="_Toc17328"/>
      <w:r>
        <w:rPr>
          <w:rFonts w:hint="eastAsia" w:ascii="宋体" w:hAnsi="宋体" w:cs="宋体"/>
          <w:b/>
          <w:bCs/>
          <w:color w:val="auto"/>
          <w:sz w:val="32"/>
          <w:szCs w:val="32"/>
          <w:highlight w:val="none"/>
        </w:rPr>
        <w:t>6.评标</w:t>
      </w:r>
      <w:bookmarkEnd w:id="112"/>
      <w:bookmarkEnd w:id="113"/>
      <w:bookmarkEnd w:id="114"/>
      <w:bookmarkEnd w:id="115"/>
      <w:bookmarkEnd w:id="116"/>
      <w:bookmarkEnd w:id="117"/>
    </w:p>
    <w:p w14:paraId="4C848984">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6.1 评标委员会</w:t>
      </w:r>
    </w:p>
    <w:p w14:paraId="6D4935E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6CFF4E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6.1.2 评标委员会成员有下列情形之一的，应当回避：</w:t>
      </w:r>
    </w:p>
    <w:p w14:paraId="71496EA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（1）投标人或投标人主要负责人的近亲属；</w:t>
      </w:r>
    </w:p>
    <w:p w14:paraId="2FC5D82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（2）项目主管部门或者行政监督部门的人员；</w:t>
      </w:r>
    </w:p>
    <w:p w14:paraId="7B9B138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（3）与投标人有经济利益关系，可能影响对投标公正评审的；</w:t>
      </w:r>
    </w:p>
    <w:p w14:paraId="6712B5C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（4）曾因在招标、评标以及其他与招标投标有关活动中从事违法行为而受过行政处罚或刑事处罚的；</w:t>
      </w:r>
    </w:p>
    <w:p w14:paraId="6B154613">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（5）与投标人有其他利害关系。</w:t>
      </w:r>
    </w:p>
    <w:p w14:paraId="2D2E0B8C">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20CB086D">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6.2 评标原则</w:t>
      </w:r>
    </w:p>
    <w:p w14:paraId="618FC79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评标活动遵循公平、公正、科学和择优的原则。</w:t>
      </w:r>
    </w:p>
    <w:p w14:paraId="00B8AC7F">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6.3 评标</w:t>
      </w:r>
    </w:p>
    <w:p w14:paraId="114D3A1F">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6.3.1 评标委员会按照第三章“评标办法”规定的方法、评审因素、标准和程序对投标文件进行评审。第三章“评标办法”没有规定的方法、评审因素和标准，不作为评标依据。</w:t>
      </w:r>
    </w:p>
    <w:p w14:paraId="119611E8">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6.3.2 评标完成后，评标委员会应当向招标人提交书面评标报告和中标候选人名单。评标委员会推荐中标候选人的人数见投标人须知前附表。</w:t>
      </w:r>
    </w:p>
    <w:p w14:paraId="0147705C">
      <w:pPr>
        <w:keepNext/>
        <w:keepLines/>
        <w:spacing w:line="360" w:lineRule="auto"/>
        <w:outlineLvl w:val="1"/>
        <w:rPr>
          <w:rFonts w:ascii="宋体" w:hAnsi="宋体" w:cs="宋体"/>
          <w:b/>
          <w:bCs/>
          <w:color w:val="auto"/>
          <w:sz w:val="32"/>
          <w:szCs w:val="32"/>
          <w:highlight w:val="none"/>
        </w:rPr>
      </w:pPr>
      <w:bookmarkStart w:id="118" w:name="_Toc15742"/>
      <w:bookmarkStart w:id="119" w:name="_Toc377719905"/>
      <w:bookmarkStart w:id="120" w:name="_Toc23147"/>
      <w:bookmarkStart w:id="121" w:name="_Toc17606"/>
      <w:bookmarkStart w:id="122" w:name="_Toc31080"/>
      <w:bookmarkStart w:id="123" w:name="_Toc27928"/>
      <w:bookmarkStart w:id="124" w:name="_Toc24971"/>
      <w:bookmarkStart w:id="125" w:name="_Toc11665"/>
      <w:bookmarkStart w:id="126" w:name="_Toc9775"/>
      <w:bookmarkStart w:id="127" w:name="_Toc18237"/>
      <w:bookmarkStart w:id="128" w:name="_Toc22463"/>
      <w:bookmarkStart w:id="129" w:name="_Toc21343"/>
      <w:bookmarkStart w:id="130" w:name="_Toc532367879"/>
      <w:r>
        <w:rPr>
          <w:rFonts w:hint="eastAsia" w:ascii="宋体" w:hAnsi="宋体" w:cs="宋体"/>
          <w:b/>
          <w:bCs/>
          <w:color w:val="auto"/>
          <w:sz w:val="32"/>
          <w:szCs w:val="32"/>
          <w:highlight w:val="none"/>
        </w:rPr>
        <w:t>7.合同</w:t>
      </w:r>
      <w:bookmarkEnd w:id="118"/>
      <w:bookmarkEnd w:id="119"/>
      <w:bookmarkEnd w:id="120"/>
      <w:bookmarkEnd w:id="121"/>
      <w:bookmarkEnd w:id="122"/>
      <w:bookmarkEnd w:id="123"/>
      <w:bookmarkEnd w:id="124"/>
      <w:r>
        <w:rPr>
          <w:rFonts w:hint="eastAsia" w:ascii="宋体" w:hAnsi="宋体" w:cs="宋体"/>
          <w:b/>
          <w:bCs/>
          <w:color w:val="auto"/>
          <w:sz w:val="32"/>
          <w:szCs w:val="32"/>
          <w:highlight w:val="none"/>
        </w:rPr>
        <w:t>授予</w:t>
      </w:r>
      <w:bookmarkEnd w:id="125"/>
      <w:bookmarkEnd w:id="126"/>
      <w:bookmarkEnd w:id="127"/>
      <w:bookmarkEnd w:id="128"/>
      <w:bookmarkEnd w:id="129"/>
      <w:bookmarkEnd w:id="130"/>
    </w:p>
    <w:p w14:paraId="79F41410">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7.1 中标候选人公示</w:t>
      </w:r>
    </w:p>
    <w:p w14:paraId="52CADBC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招标人在收到评标报告之日起 3 日内，按照投标人须知前附表规定的公示媒介和期限公示中标候选人，公示期不得少于 3 天</w:t>
      </w:r>
      <w:r>
        <w:rPr>
          <w:rFonts w:hint="eastAsia" w:ascii="宋体" w:hAnsi="宋体" w:cs="宋体"/>
          <w:color w:val="auto"/>
          <w:sz w:val="24"/>
          <w:szCs w:val="24"/>
          <w:highlight w:val="none"/>
          <w:u w:val="single"/>
        </w:rPr>
        <w:t>，公示期限最后一天为工作日</w:t>
      </w:r>
      <w:r>
        <w:rPr>
          <w:rFonts w:hint="eastAsia" w:ascii="宋体" w:hAnsi="宋体" w:cs="宋体"/>
          <w:color w:val="auto"/>
          <w:sz w:val="24"/>
          <w:szCs w:val="24"/>
          <w:highlight w:val="none"/>
        </w:rPr>
        <w:t>。</w:t>
      </w:r>
    </w:p>
    <w:p w14:paraId="4886DF76">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7.2 评标结果异议</w:t>
      </w:r>
    </w:p>
    <w:p w14:paraId="765A222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投标人或者其他利害关系人对评标结果有异议的，应当在中标候选人公示期间提出。招标人将在收到异议之日起 3 日内作出答复；作出答复前，将暂停招标投标活动。</w:t>
      </w:r>
    </w:p>
    <w:p w14:paraId="6E888F7B">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7.3 中标候选人履约能力审查</w:t>
      </w:r>
    </w:p>
    <w:p w14:paraId="28EEB7D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6EAB41B2">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7.4 定标</w:t>
      </w:r>
    </w:p>
    <w:p w14:paraId="1F964E4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按照投标人须知前附表的规定，招标人或招标人授权的评标委员会依法确定中标人。</w:t>
      </w:r>
    </w:p>
    <w:p w14:paraId="5983554A">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7.5 中标通知</w:t>
      </w:r>
    </w:p>
    <w:p w14:paraId="5C9E6075">
      <w:pPr>
        <w:spacing w:line="360" w:lineRule="auto"/>
        <w:ind w:firstLine="484" w:firstLineChars="202"/>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在本章第 3.3 款规定的投标有效期内，</w:t>
      </w:r>
      <w:r>
        <w:rPr>
          <w:rFonts w:hint="eastAsia" w:ascii="宋体" w:hAnsi="宋体" w:cs="宋体"/>
          <w:color w:val="auto"/>
          <w:sz w:val="24"/>
          <w:szCs w:val="24"/>
          <w:highlight w:val="none"/>
          <w:u w:val="single"/>
        </w:rPr>
        <w:t>中标通知书及中标信息在广州公共资源交易中心交易平台发布，视为招标人已向中标人发出中标通知书，以及将中标结果通知未中标的投标人。</w:t>
      </w:r>
    </w:p>
    <w:p w14:paraId="4D8D6350">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7.6 履约保证金</w:t>
      </w:r>
    </w:p>
    <w:p w14:paraId="0DD403D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在签订合同前，中标人应按“投标人须知前附表”规定的担保形式和招标文件第四章“合同条款及格式”规定的或者事先经过招标人书面认可的履约担保格式向招标人提交履约保证金。除投标人须知前附表另有规定外，履约保证金为中标合同金额的</w:t>
      </w:r>
      <w:r>
        <w:rPr>
          <w:rFonts w:hint="eastAsia" w:ascii="宋体" w:hAnsi="宋体" w:cs="宋体"/>
          <w:color w:val="auto"/>
          <w:sz w:val="24"/>
          <w:szCs w:val="24"/>
          <w:highlight w:val="none"/>
          <w:u w:val="single"/>
        </w:rPr>
        <w:t>10%</w:t>
      </w:r>
      <w:r>
        <w:rPr>
          <w:rFonts w:hint="eastAsia" w:ascii="宋体" w:hAnsi="宋体" w:cs="宋体"/>
          <w:color w:val="auto"/>
          <w:sz w:val="24"/>
          <w:szCs w:val="24"/>
          <w:highlight w:val="none"/>
        </w:rPr>
        <w:t>。</w:t>
      </w:r>
    </w:p>
    <w:p w14:paraId="0E69DFB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7.6.2 中标人不能按本章第7.6.1项要求提交履约保证金的，视为放弃中标，其补交的投标保证金不予退还，给招标人造成的损失超过投标保证金数额的，中标人还应当对超过部分予以赔偿。</w:t>
      </w:r>
    </w:p>
    <w:p w14:paraId="79A7AB5C">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7.7 签订合同</w:t>
      </w:r>
    </w:p>
    <w:p w14:paraId="3D25EF9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7.7.1招标人和中标人应当在中标通知书发出之日起</w:t>
      </w:r>
      <w:r>
        <w:rPr>
          <w:rFonts w:hint="eastAsia" w:ascii="宋体" w:hAnsi="宋体" w:cs="宋体"/>
          <w:color w:val="auto"/>
          <w:sz w:val="24"/>
          <w:szCs w:val="24"/>
          <w:highlight w:val="none"/>
          <w:u w:val="single"/>
        </w:rPr>
        <w:t>30个</w:t>
      </w:r>
      <w:r>
        <w:rPr>
          <w:rFonts w:hint="eastAsia" w:ascii="宋体" w:hAnsi="宋体" w:cs="宋体"/>
          <w:color w:val="auto"/>
          <w:sz w:val="24"/>
          <w:szCs w:val="24"/>
          <w:highlight w:val="none"/>
        </w:rPr>
        <w:t>日历天内，根据招标文件和中标人的投标文件订立书面合同。中标人无正当理由拒签合同，在签订合同时向招标人提出附加条件，或者不按照招标文件要求提交履约保证金的，招标人有权取消其中标资格，其</w:t>
      </w:r>
      <w:r>
        <w:rPr>
          <w:rFonts w:hint="eastAsia" w:ascii="宋体" w:hAnsi="宋体" w:cs="宋体"/>
          <w:color w:val="auto"/>
          <w:sz w:val="24"/>
          <w:szCs w:val="24"/>
          <w:highlight w:val="none"/>
          <w:u w:val="single"/>
        </w:rPr>
        <w:t>补交的</w:t>
      </w:r>
      <w:r>
        <w:rPr>
          <w:rFonts w:hint="eastAsia" w:ascii="宋体" w:hAnsi="宋体" w:cs="宋体"/>
          <w:color w:val="auto"/>
          <w:sz w:val="24"/>
          <w:szCs w:val="24"/>
          <w:highlight w:val="none"/>
        </w:rPr>
        <w:t>投标保证金不予退还；给招标人造成的损失超过投标保证金数额的，中标人还应当对超过部分予以赔偿。对依法必须招标项目的中标人，由有关行政监督部门责令改正。</w:t>
      </w:r>
    </w:p>
    <w:p w14:paraId="5A0A30D9">
      <w:pPr>
        <w:pStyle w:val="8"/>
        <w:kinsoku w:val="0"/>
        <w:overflowPunct w:val="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7.7.2发出中标通知书后，招标人无正当理由拒签合同，或者在签订合同时向中标人提出附加条件的，招标人向中标人退还投标保证金；给中标人造成损失的，还应当赔偿损失。</w:t>
      </w:r>
    </w:p>
    <w:p w14:paraId="4F1007A3">
      <w:pPr>
        <w:pStyle w:val="8"/>
        <w:kinsoku w:val="0"/>
        <w:overflowPunct w:val="0"/>
        <w:spacing w:after="0" w:line="360" w:lineRule="auto"/>
        <w:ind w:firstLine="480" w:firstLineChars="200"/>
        <w:rPr>
          <w:rFonts w:ascii="宋体" w:hAnsi="宋体"/>
          <w:color w:val="auto"/>
          <w:sz w:val="24"/>
          <w:highlight w:val="none"/>
        </w:rPr>
      </w:pPr>
      <w:r>
        <w:rPr>
          <w:rFonts w:ascii="宋体" w:hAnsi="宋体"/>
          <w:color w:val="auto"/>
          <w:sz w:val="24"/>
          <w:highlight w:val="none"/>
        </w:rPr>
        <w:t>7.7.3</w:t>
      </w:r>
      <w:r>
        <w:rPr>
          <w:rFonts w:hint="eastAsia" w:ascii="宋体" w:hAnsi="宋体"/>
          <w:color w:val="auto"/>
          <w:sz w:val="24"/>
          <w:highlight w:val="none"/>
        </w:rPr>
        <w:t>联合体中标的，联合体各方应当共同与招标人签订合同，就中标项目向招标人承担连带责任</w:t>
      </w:r>
    </w:p>
    <w:p w14:paraId="0D73E15E">
      <w:pPr>
        <w:pStyle w:val="8"/>
        <w:kinsoku w:val="0"/>
        <w:overflowPunct w:val="0"/>
        <w:spacing w:after="0" w:line="360" w:lineRule="auto"/>
        <w:ind w:firstLine="480" w:firstLineChars="200"/>
        <w:rPr>
          <w:rFonts w:ascii="宋体" w:hAnsi="宋体"/>
          <w:color w:val="auto"/>
          <w:sz w:val="24"/>
          <w:highlight w:val="none"/>
        </w:rPr>
      </w:pPr>
      <w:r>
        <w:rPr>
          <w:rFonts w:ascii="宋体" w:hAnsi="宋体"/>
          <w:color w:val="auto"/>
          <w:sz w:val="24"/>
          <w:highlight w:val="none"/>
        </w:rPr>
        <w:t>7.7.3中标人应当在中标通知书发出之日起30日内，通过电子招标投标交易平台完成在线签订合同。</w:t>
      </w:r>
    </w:p>
    <w:p w14:paraId="28783ACF">
      <w:pPr>
        <w:keepNext/>
        <w:keepLines/>
        <w:spacing w:line="360" w:lineRule="auto"/>
        <w:jc w:val="left"/>
        <w:outlineLvl w:val="1"/>
        <w:rPr>
          <w:rFonts w:ascii="宋体" w:hAnsi="宋体" w:cs="宋体"/>
          <w:b/>
          <w:bCs/>
          <w:color w:val="auto"/>
          <w:sz w:val="32"/>
          <w:szCs w:val="32"/>
          <w:highlight w:val="none"/>
        </w:rPr>
      </w:pPr>
      <w:bookmarkStart w:id="131" w:name="_Toc25746"/>
      <w:bookmarkStart w:id="132" w:name="_Toc29502"/>
      <w:bookmarkStart w:id="133" w:name="_Toc15378"/>
      <w:bookmarkStart w:id="134" w:name="_Toc15512"/>
      <w:bookmarkStart w:id="135" w:name="_Toc532367880"/>
      <w:bookmarkStart w:id="136" w:name="_Toc19621"/>
      <w:r>
        <w:rPr>
          <w:rFonts w:hint="eastAsia" w:ascii="宋体" w:hAnsi="宋体" w:cs="宋体"/>
          <w:b/>
          <w:bCs/>
          <w:color w:val="auto"/>
          <w:sz w:val="32"/>
          <w:szCs w:val="32"/>
          <w:highlight w:val="none"/>
        </w:rPr>
        <w:t>8.纪律和监督</w:t>
      </w:r>
      <w:bookmarkEnd w:id="131"/>
      <w:bookmarkEnd w:id="132"/>
      <w:bookmarkEnd w:id="133"/>
      <w:bookmarkEnd w:id="134"/>
      <w:bookmarkEnd w:id="135"/>
      <w:bookmarkEnd w:id="136"/>
    </w:p>
    <w:p w14:paraId="43173F98">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8.1 对招标人的纪律要求</w:t>
      </w:r>
    </w:p>
    <w:p w14:paraId="7B1497E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招标人不得泄露招标投标活动中应当保密的情况和资料，不得与投标人串通损害国家利益、社会公共利益或者他人合法权益。</w:t>
      </w:r>
    </w:p>
    <w:p w14:paraId="5F2B68E8">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8.2 对投标人的纪律要求</w:t>
      </w:r>
    </w:p>
    <w:p w14:paraId="6737A98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7DBE291">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8.3 对评标委员会成员的纪律要求</w:t>
      </w:r>
    </w:p>
    <w:p w14:paraId="3B77CE9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7C35E8A">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8.4 对与评标活动有关的工作人员的纪律要求</w:t>
      </w:r>
    </w:p>
    <w:p w14:paraId="048E19F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21F2A56">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8.5 投诉</w:t>
      </w:r>
    </w:p>
    <w:p w14:paraId="6D30CE2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14:paraId="2C84CA48">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8.5.2 投标人或者其他利害关系人对招标文件、开标和评标结果提出投诉的，应当按照投标人须知第 2.4 款、第 5.3 款和第 7.2 款的规定先向招标人提出异议。异议答复期间不计算在第 8.5.1项规定的期限内。</w:t>
      </w:r>
    </w:p>
    <w:p w14:paraId="0F3FA046">
      <w:pPr>
        <w:keepNext/>
        <w:keepLines/>
        <w:spacing w:line="360" w:lineRule="auto"/>
        <w:jc w:val="left"/>
        <w:outlineLvl w:val="1"/>
        <w:rPr>
          <w:rFonts w:ascii="宋体" w:hAnsi="宋体" w:cs="宋体"/>
          <w:b/>
          <w:bCs/>
          <w:color w:val="auto"/>
          <w:sz w:val="32"/>
          <w:szCs w:val="32"/>
          <w:highlight w:val="none"/>
        </w:rPr>
      </w:pPr>
      <w:bookmarkStart w:id="137" w:name="_Toc31993"/>
      <w:bookmarkStart w:id="138" w:name="_Toc3441"/>
      <w:r>
        <w:rPr>
          <w:rFonts w:hint="eastAsia" w:ascii="宋体" w:hAnsi="宋体" w:cs="宋体"/>
          <w:b/>
          <w:bCs/>
          <w:color w:val="auto"/>
          <w:sz w:val="32"/>
          <w:szCs w:val="32"/>
          <w:highlight w:val="none"/>
        </w:rPr>
        <w:t>9.是否采用电子招标投标</w:t>
      </w:r>
      <w:bookmarkEnd w:id="137"/>
      <w:bookmarkEnd w:id="138"/>
    </w:p>
    <w:p w14:paraId="53D629EC">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本招标项目是否采用电子招标投标方式，见投标人须知前附表。</w:t>
      </w:r>
    </w:p>
    <w:p w14:paraId="6927DD5B">
      <w:pPr>
        <w:keepNext/>
        <w:keepLines/>
        <w:spacing w:line="360" w:lineRule="auto"/>
        <w:jc w:val="left"/>
        <w:outlineLvl w:val="1"/>
        <w:rPr>
          <w:rFonts w:ascii="宋体" w:hAnsi="宋体" w:cs="宋体"/>
          <w:b/>
          <w:bCs/>
          <w:color w:val="auto"/>
          <w:sz w:val="32"/>
          <w:szCs w:val="32"/>
          <w:highlight w:val="none"/>
        </w:rPr>
      </w:pPr>
      <w:bookmarkStart w:id="139" w:name="_Toc4862"/>
      <w:bookmarkStart w:id="140" w:name="_Toc5234"/>
      <w:r>
        <w:rPr>
          <w:rFonts w:hint="eastAsia" w:ascii="宋体" w:hAnsi="宋体" w:cs="宋体"/>
          <w:b/>
          <w:bCs/>
          <w:color w:val="auto"/>
          <w:sz w:val="32"/>
          <w:szCs w:val="32"/>
          <w:highlight w:val="none"/>
        </w:rPr>
        <w:t>10.需要补充的其他内容</w:t>
      </w:r>
      <w:bookmarkEnd w:id="139"/>
      <w:bookmarkEnd w:id="140"/>
    </w:p>
    <w:p w14:paraId="3FE624A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需要补充的其他内容：见投标人须知前附表。</w:t>
      </w:r>
    </w:p>
    <w:p w14:paraId="30899BAF">
      <w:pPr>
        <w:keepNext/>
        <w:keepLines/>
        <w:spacing w:line="360" w:lineRule="auto"/>
        <w:rPr>
          <w:rFonts w:ascii="宋体" w:hAnsi="宋体" w:cs="宋体"/>
          <w:b/>
          <w:bCs/>
          <w:color w:val="auto"/>
          <w:kern w:val="44"/>
          <w:sz w:val="32"/>
          <w:szCs w:val="32"/>
          <w:highlight w:val="none"/>
        </w:rPr>
        <w:sectPr>
          <w:pgSz w:w="11905" w:h="16838"/>
          <w:pgMar w:top="1418" w:right="1701" w:bottom="1418" w:left="1701" w:header="851" w:footer="794" w:gutter="0"/>
          <w:cols w:space="720" w:num="1"/>
          <w:docGrid w:type="lines" w:linePitch="312" w:charSpace="0"/>
        </w:sectPr>
      </w:pPr>
    </w:p>
    <w:p w14:paraId="3B3FAFEA">
      <w:pPr>
        <w:pStyle w:val="3"/>
        <w:keepNext w:val="0"/>
        <w:keepLines w:val="0"/>
        <w:spacing w:line="360" w:lineRule="auto"/>
        <w:jc w:val="center"/>
        <w:rPr>
          <w:rFonts w:ascii="宋体" w:hAnsi="宋体" w:eastAsia="宋体" w:cs="宋体"/>
          <w:color w:val="auto"/>
          <w:highlight w:val="none"/>
        </w:rPr>
      </w:pPr>
      <w:bookmarkStart w:id="141" w:name="_Toc25981"/>
      <w:bookmarkStart w:id="142" w:name="_Toc5360"/>
      <w:bookmarkStart w:id="143" w:name="_Toc2287"/>
      <w:bookmarkStart w:id="144" w:name="_Toc532367882"/>
      <w:bookmarkStart w:id="145" w:name="_Toc31115"/>
      <w:bookmarkStart w:id="146" w:name="_Toc10395"/>
      <w:bookmarkStart w:id="147" w:name="_Toc525063255"/>
      <w:bookmarkStart w:id="148" w:name="_Toc30148"/>
      <w:bookmarkStart w:id="149" w:name="_Toc24355"/>
      <w:bookmarkStart w:id="150" w:name="_Toc19559"/>
      <w:r>
        <w:rPr>
          <w:rFonts w:hint="eastAsia" w:ascii="宋体" w:hAnsi="宋体" w:eastAsia="宋体" w:cs="宋体"/>
          <w:color w:val="auto"/>
          <w:highlight w:val="none"/>
        </w:rPr>
        <w:t>第三章  评标办法（综合评分法）</w:t>
      </w:r>
      <w:bookmarkEnd w:id="141"/>
    </w:p>
    <w:p w14:paraId="43524628">
      <w:pPr>
        <w:rPr>
          <w:color w:val="auto"/>
          <w:highlight w:val="none"/>
        </w:rPr>
      </w:pPr>
    </w:p>
    <w:p w14:paraId="665A4E74">
      <w:pPr>
        <w:pStyle w:val="4"/>
        <w:keepNext w:val="0"/>
        <w:keepLines w:val="0"/>
        <w:spacing w:before="0" w:after="0" w:line="360" w:lineRule="auto"/>
        <w:jc w:val="center"/>
        <w:rPr>
          <w:rFonts w:ascii="宋体" w:hAnsi="宋体" w:eastAsia="宋体" w:cs="宋体"/>
          <w:color w:val="auto"/>
          <w:sz w:val="36"/>
          <w:szCs w:val="36"/>
          <w:highlight w:val="none"/>
        </w:rPr>
      </w:pPr>
      <w:bookmarkStart w:id="151" w:name="_Toc26053"/>
      <w:r>
        <w:rPr>
          <w:rFonts w:hint="eastAsia" w:ascii="宋体" w:hAnsi="宋体" w:eastAsia="宋体" w:cs="宋体"/>
          <w:color w:val="auto"/>
          <w:sz w:val="36"/>
          <w:szCs w:val="36"/>
          <w:highlight w:val="none"/>
        </w:rPr>
        <w:t>评标办法前附表</w:t>
      </w:r>
      <w:bookmarkEnd w:id="142"/>
      <w:bookmarkEnd w:id="143"/>
      <w:bookmarkEnd w:id="144"/>
      <w:bookmarkEnd w:id="145"/>
      <w:bookmarkEnd w:id="146"/>
      <w:bookmarkEnd w:id="147"/>
      <w:bookmarkEnd w:id="148"/>
      <w:bookmarkEnd w:id="149"/>
      <w:bookmarkEnd w:id="150"/>
      <w:bookmarkEnd w:id="151"/>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841"/>
        <w:gridCol w:w="31"/>
        <w:gridCol w:w="1406"/>
        <w:gridCol w:w="5700"/>
      </w:tblGrid>
      <w:tr w14:paraId="4A9A0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25" w:type="pct"/>
            <w:gridSpan w:val="3"/>
            <w:tcBorders>
              <w:top w:val="single" w:color="auto" w:sz="4" w:space="0"/>
              <w:bottom w:val="single" w:color="auto" w:sz="4" w:space="0"/>
              <w:right w:val="single" w:color="auto" w:sz="4" w:space="0"/>
            </w:tcBorders>
            <w:vAlign w:val="center"/>
          </w:tcPr>
          <w:p w14:paraId="10D8D2F7">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06" w:type="pct"/>
            <w:tcBorders>
              <w:top w:val="single" w:color="auto" w:sz="4" w:space="0"/>
              <w:left w:val="single" w:color="auto" w:sz="4" w:space="0"/>
              <w:bottom w:val="single" w:color="auto" w:sz="4" w:space="0"/>
              <w:right w:val="single" w:color="auto" w:sz="4" w:space="0"/>
            </w:tcBorders>
            <w:vAlign w:val="center"/>
          </w:tcPr>
          <w:p w14:paraId="476978E0">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3269" w:type="pct"/>
            <w:tcBorders>
              <w:top w:val="single" w:color="auto" w:sz="4" w:space="0"/>
              <w:left w:val="single" w:color="auto" w:sz="4" w:space="0"/>
              <w:bottom w:val="single" w:color="auto" w:sz="4" w:space="0"/>
              <w:right w:val="single" w:color="auto" w:sz="4" w:space="0"/>
            </w:tcBorders>
            <w:vAlign w:val="center"/>
          </w:tcPr>
          <w:p w14:paraId="54B0D0B7">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14:paraId="3E662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7" w:hRule="atLeast"/>
        </w:trPr>
        <w:tc>
          <w:tcPr>
            <w:tcW w:w="425" w:type="pct"/>
            <w:tcBorders>
              <w:top w:val="single" w:color="auto" w:sz="4" w:space="0"/>
              <w:left w:val="single" w:color="auto" w:sz="4" w:space="0"/>
              <w:bottom w:val="single" w:color="auto" w:sz="4" w:space="0"/>
              <w:right w:val="single" w:color="auto" w:sz="4" w:space="0"/>
            </w:tcBorders>
            <w:vAlign w:val="center"/>
          </w:tcPr>
          <w:p w14:paraId="61C6602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500" w:type="pct"/>
            <w:gridSpan w:val="2"/>
            <w:tcBorders>
              <w:top w:val="single" w:color="auto" w:sz="4" w:space="0"/>
              <w:left w:val="single" w:color="auto" w:sz="4" w:space="0"/>
              <w:bottom w:val="single" w:color="auto" w:sz="4" w:space="0"/>
              <w:right w:val="single" w:color="auto" w:sz="4" w:space="0"/>
            </w:tcBorders>
            <w:vAlign w:val="center"/>
          </w:tcPr>
          <w:p w14:paraId="51BBA22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评标方法</w:t>
            </w:r>
          </w:p>
        </w:tc>
        <w:tc>
          <w:tcPr>
            <w:tcW w:w="806" w:type="pct"/>
            <w:tcBorders>
              <w:top w:val="single" w:color="auto" w:sz="4" w:space="0"/>
              <w:left w:val="single" w:color="auto" w:sz="4" w:space="0"/>
              <w:bottom w:val="single" w:color="auto" w:sz="4" w:space="0"/>
              <w:right w:val="single" w:color="auto" w:sz="4" w:space="0"/>
            </w:tcBorders>
            <w:vAlign w:val="center"/>
          </w:tcPr>
          <w:p w14:paraId="62739DF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中标候选人排序方法</w:t>
            </w:r>
          </w:p>
        </w:tc>
        <w:tc>
          <w:tcPr>
            <w:tcW w:w="3269" w:type="pct"/>
            <w:tcBorders>
              <w:top w:val="single" w:color="auto" w:sz="4" w:space="0"/>
              <w:left w:val="single" w:color="auto" w:sz="4" w:space="0"/>
              <w:bottom w:val="single" w:color="auto" w:sz="4" w:space="0"/>
              <w:right w:val="single" w:color="auto" w:sz="4" w:space="0"/>
            </w:tcBorders>
            <w:vAlign w:val="center"/>
          </w:tcPr>
          <w:p w14:paraId="65912C60">
            <w:pPr>
              <w:spacing w:line="276" w:lineRule="auto"/>
              <w:rPr>
                <w:rFonts w:ascii="宋体" w:hAnsi="宋体" w:cs="宋体"/>
                <w:color w:val="auto"/>
                <w:szCs w:val="21"/>
                <w:highlight w:val="none"/>
              </w:rPr>
            </w:pPr>
            <w:r>
              <w:rPr>
                <w:rFonts w:hint="eastAsia" w:ascii="宋体" w:hAnsi="宋体"/>
                <w:color w:val="auto"/>
                <w:szCs w:val="21"/>
                <w:highlight w:val="none"/>
              </w:rPr>
              <w:t>投标人综合得分由高到低排序前3名作为第一、第二、第三中标候选人，但投标报价低于其成本的除外。投标人总得分相等时，以投标报价低的优先；投标报价也相等的，以检测监测技术方案得分高的优先；如果检测监测技术方案得分也相等，由评标委员会采用记名投票方式对其排序，记名投票的形式及排序依据（须书面列举排序依据）由评标委员会研定。</w:t>
            </w:r>
          </w:p>
        </w:tc>
      </w:tr>
      <w:tr w14:paraId="38414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trPr>
        <w:tc>
          <w:tcPr>
            <w:tcW w:w="425" w:type="pct"/>
            <w:vMerge w:val="restart"/>
            <w:tcBorders>
              <w:top w:val="single" w:color="auto" w:sz="4" w:space="0"/>
              <w:right w:val="single" w:color="auto" w:sz="4" w:space="0"/>
            </w:tcBorders>
            <w:vAlign w:val="center"/>
          </w:tcPr>
          <w:p w14:paraId="16FA98DE">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2.1.1</w:t>
            </w:r>
          </w:p>
        </w:tc>
        <w:tc>
          <w:tcPr>
            <w:tcW w:w="500" w:type="pct"/>
            <w:gridSpan w:val="2"/>
            <w:vMerge w:val="restart"/>
            <w:tcBorders>
              <w:top w:val="single" w:color="auto" w:sz="4" w:space="0"/>
              <w:right w:val="single" w:color="auto" w:sz="4" w:space="0"/>
            </w:tcBorders>
            <w:vAlign w:val="center"/>
          </w:tcPr>
          <w:p w14:paraId="3B32551F">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形式评审标准</w:t>
            </w:r>
          </w:p>
        </w:tc>
        <w:tc>
          <w:tcPr>
            <w:tcW w:w="806" w:type="pct"/>
            <w:tcBorders>
              <w:top w:val="single" w:color="auto" w:sz="4" w:space="0"/>
              <w:left w:val="single" w:color="auto" w:sz="4" w:space="0"/>
              <w:bottom w:val="single" w:color="auto" w:sz="4" w:space="0"/>
              <w:right w:val="single" w:color="auto" w:sz="4" w:space="0"/>
            </w:tcBorders>
            <w:vAlign w:val="center"/>
          </w:tcPr>
          <w:p w14:paraId="58E1A17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3269" w:type="pct"/>
            <w:tcBorders>
              <w:top w:val="single" w:color="auto" w:sz="4" w:space="0"/>
              <w:left w:val="single" w:color="auto" w:sz="4" w:space="0"/>
              <w:bottom w:val="single" w:color="auto" w:sz="4" w:space="0"/>
              <w:right w:val="single" w:color="auto" w:sz="4" w:space="0"/>
            </w:tcBorders>
            <w:vAlign w:val="center"/>
          </w:tcPr>
          <w:p w14:paraId="12214A8B">
            <w:pPr>
              <w:spacing w:line="276" w:lineRule="auto"/>
              <w:rPr>
                <w:rFonts w:ascii="宋体" w:hAnsi="宋体" w:cs="宋体"/>
                <w:color w:val="auto"/>
                <w:szCs w:val="21"/>
                <w:highlight w:val="none"/>
              </w:rPr>
            </w:pPr>
            <w:r>
              <w:rPr>
                <w:rFonts w:hint="eastAsia" w:ascii="宋体" w:hAnsi="宋体"/>
                <w:color w:val="auto"/>
                <w:szCs w:val="21"/>
                <w:highlight w:val="none"/>
              </w:rPr>
              <w:t>与营业执照（或事业单位法人证书）、资质证书一致。</w:t>
            </w:r>
          </w:p>
        </w:tc>
      </w:tr>
      <w:tr w14:paraId="42615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6" w:hRule="atLeast"/>
        </w:trPr>
        <w:tc>
          <w:tcPr>
            <w:tcW w:w="425" w:type="pct"/>
            <w:vMerge w:val="continue"/>
            <w:tcBorders>
              <w:right w:val="single" w:color="auto" w:sz="4" w:space="0"/>
            </w:tcBorders>
            <w:vAlign w:val="center"/>
          </w:tcPr>
          <w:p w14:paraId="1F29107A">
            <w:pPr>
              <w:keepNext/>
              <w:keepLines/>
              <w:spacing w:line="276" w:lineRule="auto"/>
              <w:outlineLvl w:val="2"/>
              <w:rPr>
                <w:rFonts w:ascii="宋体" w:hAnsi="宋体" w:cs="宋体"/>
                <w:color w:val="auto"/>
                <w:szCs w:val="21"/>
                <w:highlight w:val="none"/>
              </w:rPr>
            </w:pPr>
          </w:p>
        </w:tc>
        <w:tc>
          <w:tcPr>
            <w:tcW w:w="500" w:type="pct"/>
            <w:gridSpan w:val="2"/>
            <w:vMerge w:val="continue"/>
            <w:tcBorders>
              <w:right w:val="single" w:color="auto" w:sz="4" w:space="0"/>
            </w:tcBorders>
            <w:vAlign w:val="center"/>
          </w:tcPr>
          <w:p w14:paraId="3FC86590">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2DD4B2BF">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投标函及附录签字盖章</w:t>
            </w:r>
          </w:p>
        </w:tc>
        <w:tc>
          <w:tcPr>
            <w:tcW w:w="3269" w:type="pct"/>
            <w:tcBorders>
              <w:top w:val="single" w:color="auto" w:sz="4" w:space="0"/>
              <w:left w:val="single" w:color="auto" w:sz="4" w:space="0"/>
              <w:bottom w:val="single" w:color="auto" w:sz="4" w:space="0"/>
              <w:right w:val="single" w:color="auto" w:sz="4" w:space="0"/>
            </w:tcBorders>
            <w:vAlign w:val="center"/>
          </w:tcPr>
          <w:p w14:paraId="228101C3">
            <w:pPr>
              <w:spacing w:line="276" w:lineRule="auto"/>
              <w:rPr>
                <w:rFonts w:ascii="宋体" w:hAnsi="宋体" w:cs="宋体"/>
                <w:color w:val="auto"/>
                <w:szCs w:val="21"/>
                <w:highlight w:val="none"/>
              </w:rPr>
            </w:pPr>
            <w:r>
              <w:rPr>
                <w:rFonts w:hint="eastAsia" w:ascii="宋体" w:hAnsi="宋体"/>
                <w:color w:val="auto"/>
                <w:szCs w:val="21"/>
                <w:highlight w:val="none"/>
              </w:rPr>
              <w:t>投标函及附录格式及签字盖章符合招标文件要求，由法定代表人签字的，应附法定代表人证明书，由代理人签字的，应附法定代表人证明书及授权委托书。</w:t>
            </w:r>
          </w:p>
        </w:tc>
      </w:tr>
      <w:tr w14:paraId="221E2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right w:val="single" w:color="auto" w:sz="4" w:space="0"/>
            </w:tcBorders>
            <w:vAlign w:val="center"/>
          </w:tcPr>
          <w:p w14:paraId="62DDE10A">
            <w:pPr>
              <w:keepNext/>
              <w:keepLines/>
              <w:spacing w:line="276" w:lineRule="auto"/>
              <w:outlineLvl w:val="2"/>
              <w:rPr>
                <w:rFonts w:ascii="宋体" w:hAnsi="宋体" w:cs="宋体"/>
                <w:color w:val="auto"/>
                <w:szCs w:val="21"/>
                <w:highlight w:val="none"/>
              </w:rPr>
            </w:pPr>
          </w:p>
        </w:tc>
        <w:tc>
          <w:tcPr>
            <w:tcW w:w="500" w:type="pct"/>
            <w:gridSpan w:val="2"/>
            <w:vMerge w:val="continue"/>
            <w:tcBorders>
              <w:right w:val="single" w:color="auto" w:sz="4" w:space="0"/>
            </w:tcBorders>
            <w:vAlign w:val="center"/>
          </w:tcPr>
          <w:p w14:paraId="614AC421">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1A3C510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3269" w:type="pct"/>
            <w:tcBorders>
              <w:top w:val="single" w:color="auto" w:sz="4" w:space="0"/>
              <w:left w:val="single" w:color="auto" w:sz="4" w:space="0"/>
              <w:bottom w:val="single" w:color="auto" w:sz="4" w:space="0"/>
              <w:right w:val="single" w:color="auto" w:sz="4" w:space="0"/>
            </w:tcBorders>
            <w:vAlign w:val="center"/>
          </w:tcPr>
          <w:p w14:paraId="47D0EDB4">
            <w:pPr>
              <w:spacing w:line="276" w:lineRule="auto"/>
              <w:jc w:val="left"/>
              <w:rPr>
                <w:rFonts w:ascii="宋体" w:hAnsi="宋体" w:cs="宋体"/>
                <w:color w:val="auto"/>
                <w:szCs w:val="21"/>
                <w:highlight w:val="none"/>
              </w:rPr>
            </w:pPr>
            <w:r>
              <w:rPr>
                <w:rFonts w:hint="eastAsia" w:ascii="宋体" w:hAnsi="宋体"/>
                <w:color w:val="auto"/>
                <w:szCs w:val="21"/>
                <w:highlight w:val="none"/>
              </w:rPr>
              <w:t>符合第六章“投标文件格式”的规定。</w:t>
            </w:r>
          </w:p>
        </w:tc>
      </w:tr>
      <w:tr w14:paraId="4D419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right w:val="single" w:color="auto" w:sz="4" w:space="0"/>
            </w:tcBorders>
            <w:vAlign w:val="center"/>
          </w:tcPr>
          <w:p w14:paraId="792A1F93">
            <w:pPr>
              <w:keepNext/>
              <w:keepLines/>
              <w:spacing w:line="276" w:lineRule="auto"/>
              <w:outlineLvl w:val="2"/>
              <w:rPr>
                <w:rFonts w:ascii="宋体" w:hAnsi="宋体" w:cs="宋体"/>
                <w:color w:val="auto"/>
                <w:szCs w:val="21"/>
                <w:highlight w:val="none"/>
              </w:rPr>
            </w:pPr>
          </w:p>
        </w:tc>
        <w:tc>
          <w:tcPr>
            <w:tcW w:w="500" w:type="pct"/>
            <w:gridSpan w:val="2"/>
            <w:vMerge w:val="continue"/>
            <w:tcBorders>
              <w:right w:val="single" w:color="auto" w:sz="4" w:space="0"/>
            </w:tcBorders>
            <w:vAlign w:val="center"/>
          </w:tcPr>
          <w:p w14:paraId="30705ABD">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15552DA7">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3269" w:type="pct"/>
            <w:tcBorders>
              <w:top w:val="single" w:color="auto" w:sz="4" w:space="0"/>
              <w:left w:val="single" w:color="auto" w:sz="4" w:space="0"/>
              <w:bottom w:val="single" w:color="auto" w:sz="4" w:space="0"/>
              <w:right w:val="single" w:color="auto" w:sz="4" w:space="0"/>
            </w:tcBorders>
            <w:vAlign w:val="center"/>
          </w:tcPr>
          <w:p w14:paraId="332C16F9">
            <w:pPr>
              <w:spacing w:line="276" w:lineRule="auto"/>
              <w:jc w:val="left"/>
              <w:rPr>
                <w:rFonts w:ascii="宋体" w:hAnsi="宋体" w:cs="宋体"/>
                <w:color w:val="auto"/>
                <w:szCs w:val="21"/>
                <w:highlight w:val="none"/>
              </w:rPr>
            </w:pPr>
            <w:r>
              <w:rPr>
                <w:rFonts w:hint="eastAsia" w:ascii="宋体" w:hAnsi="宋体" w:cs="宋体"/>
                <w:color w:val="auto"/>
                <w:szCs w:val="21"/>
                <w:highlight w:val="none"/>
              </w:rPr>
              <w:t>符合第二章“投标人须知”第 1.4.2 项规定</w:t>
            </w:r>
          </w:p>
        </w:tc>
      </w:tr>
      <w:tr w14:paraId="3DCFE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right w:val="single" w:color="auto" w:sz="4" w:space="0"/>
            </w:tcBorders>
            <w:vAlign w:val="center"/>
          </w:tcPr>
          <w:p w14:paraId="45CB2D83">
            <w:pPr>
              <w:spacing w:line="276" w:lineRule="auto"/>
              <w:rPr>
                <w:rFonts w:ascii="宋体" w:hAnsi="宋体" w:cs="宋体"/>
                <w:color w:val="auto"/>
                <w:szCs w:val="21"/>
                <w:highlight w:val="none"/>
              </w:rPr>
            </w:pPr>
          </w:p>
        </w:tc>
        <w:tc>
          <w:tcPr>
            <w:tcW w:w="500" w:type="pct"/>
            <w:gridSpan w:val="2"/>
            <w:vMerge w:val="continue"/>
            <w:tcBorders>
              <w:right w:val="single" w:color="auto" w:sz="4" w:space="0"/>
            </w:tcBorders>
            <w:vAlign w:val="center"/>
          </w:tcPr>
          <w:p w14:paraId="7BFD0366">
            <w:pPr>
              <w:spacing w:line="276" w:lineRule="auto"/>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7A8A078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备选投标方案</w:t>
            </w:r>
          </w:p>
        </w:tc>
        <w:tc>
          <w:tcPr>
            <w:tcW w:w="3269" w:type="pct"/>
            <w:tcBorders>
              <w:top w:val="single" w:color="auto" w:sz="4" w:space="0"/>
              <w:left w:val="single" w:color="auto" w:sz="4" w:space="0"/>
              <w:bottom w:val="single" w:color="auto" w:sz="4" w:space="0"/>
              <w:right w:val="single" w:color="auto" w:sz="4" w:space="0"/>
            </w:tcBorders>
            <w:vAlign w:val="center"/>
          </w:tcPr>
          <w:p w14:paraId="065A1689">
            <w:pPr>
              <w:spacing w:line="276" w:lineRule="auto"/>
              <w:jc w:val="left"/>
              <w:rPr>
                <w:rFonts w:ascii="宋体" w:hAnsi="宋体" w:cs="宋体"/>
                <w:color w:val="auto"/>
                <w:szCs w:val="21"/>
                <w:highlight w:val="none"/>
              </w:rPr>
            </w:pPr>
            <w:r>
              <w:rPr>
                <w:rFonts w:hint="eastAsia" w:ascii="宋体" w:hAnsi="宋体"/>
                <w:color w:val="auto"/>
                <w:szCs w:val="21"/>
                <w:highlight w:val="none"/>
              </w:rPr>
              <w:t>不允许。</w:t>
            </w:r>
          </w:p>
        </w:tc>
      </w:tr>
      <w:tr w14:paraId="26D67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bottom w:val="single" w:color="auto" w:sz="4" w:space="0"/>
              <w:right w:val="single" w:color="auto" w:sz="4" w:space="0"/>
            </w:tcBorders>
            <w:vAlign w:val="center"/>
          </w:tcPr>
          <w:p w14:paraId="3481F1D1">
            <w:pPr>
              <w:keepNext/>
              <w:keepLines/>
              <w:spacing w:line="276" w:lineRule="auto"/>
              <w:outlineLvl w:val="2"/>
              <w:rPr>
                <w:rFonts w:ascii="宋体" w:hAnsi="宋体" w:cs="宋体"/>
                <w:color w:val="auto"/>
                <w:szCs w:val="21"/>
                <w:highlight w:val="none"/>
              </w:rPr>
            </w:pPr>
          </w:p>
        </w:tc>
        <w:tc>
          <w:tcPr>
            <w:tcW w:w="500" w:type="pct"/>
            <w:gridSpan w:val="2"/>
            <w:vMerge w:val="continue"/>
            <w:tcBorders>
              <w:right w:val="single" w:color="auto" w:sz="4" w:space="0"/>
            </w:tcBorders>
            <w:vAlign w:val="center"/>
          </w:tcPr>
          <w:p w14:paraId="3BE3A3E9">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39899EC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投标人机器码</w:t>
            </w:r>
          </w:p>
        </w:tc>
        <w:tc>
          <w:tcPr>
            <w:tcW w:w="3269" w:type="pct"/>
            <w:tcBorders>
              <w:top w:val="single" w:color="auto" w:sz="4" w:space="0"/>
              <w:left w:val="single" w:color="auto" w:sz="4" w:space="0"/>
              <w:bottom w:val="single" w:color="auto" w:sz="4" w:space="0"/>
              <w:right w:val="single" w:color="auto" w:sz="4" w:space="0"/>
            </w:tcBorders>
          </w:tcPr>
          <w:p w14:paraId="23770E8C">
            <w:pPr>
              <w:spacing w:line="276" w:lineRule="auto"/>
              <w:jc w:val="left"/>
              <w:rPr>
                <w:rFonts w:ascii="宋体" w:hAnsi="宋体" w:cs="宋体"/>
                <w:color w:val="auto"/>
                <w:szCs w:val="21"/>
                <w:highlight w:val="none"/>
              </w:rPr>
            </w:pPr>
            <w:r>
              <w:rPr>
                <w:rFonts w:ascii="宋体" w:hAnsi="宋体" w:cs="宋体"/>
                <w:color w:val="auto"/>
                <w:spacing w:val="6"/>
                <w:szCs w:val="21"/>
                <w:highlight w:val="none"/>
              </w:rPr>
              <w:t>投</w:t>
            </w:r>
            <w:r>
              <w:rPr>
                <w:rFonts w:ascii="宋体" w:hAnsi="宋体" w:cs="宋体"/>
                <w:color w:val="auto"/>
                <w:spacing w:val="5"/>
                <w:szCs w:val="21"/>
                <w:highlight w:val="none"/>
              </w:rPr>
              <w:t>标人与其他投标人加密打包投标文件电脑机器特征码一致</w:t>
            </w:r>
            <w:r>
              <w:rPr>
                <w:rFonts w:ascii="宋体" w:hAnsi="宋体" w:cs="宋体"/>
                <w:color w:val="auto"/>
                <w:spacing w:val="-1"/>
                <w:szCs w:val="21"/>
                <w:highlight w:val="none"/>
              </w:rPr>
              <w:t>的</w:t>
            </w:r>
            <w:r>
              <w:rPr>
                <w:rFonts w:hint="eastAsia" w:ascii="Times New Roman" w:hAnsi="Times New Roman"/>
                <w:color w:val="auto"/>
                <w:spacing w:val="-1"/>
                <w:szCs w:val="21"/>
                <w:highlight w:val="none"/>
              </w:rPr>
              <w:t>（</w:t>
            </w:r>
            <w:r>
              <w:rPr>
                <w:rFonts w:ascii="宋体" w:hAnsi="宋体" w:cs="宋体"/>
                <w:color w:val="auto"/>
                <w:spacing w:val="-1"/>
                <w:szCs w:val="21"/>
                <w:highlight w:val="none"/>
              </w:rPr>
              <w:t>以广州公共资源交</w:t>
            </w:r>
            <w:r>
              <w:rPr>
                <w:rFonts w:ascii="宋体" w:hAnsi="宋体" w:cs="宋体"/>
                <w:color w:val="auto"/>
                <w:szCs w:val="21"/>
                <w:highlight w:val="none"/>
              </w:rPr>
              <w:t>易中心评标系统的检索信息为准</w:t>
            </w:r>
            <w:r>
              <w:rPr>
                <w:rFonts w:hint="eastAsia" w:ascii="Times New Roman" w:hAnsi="Times New Roman"/>
                <w:color w:val="auto"/>
                <w:spacing w:val="-1"/>
                <w:szCs w:val="21"/>
                <w:highlight w:val="none"/>
              </w:rPr>
              <w:t>）</w:t>
            </w:r>
            <w:r>
              <w:rPr>
                <w:rFonts w:ascii="宋体" w:hAnsi="宋体" w:cs="宋体"/>
                <w:color w:val="auto"/>
                <w:szCs w:val="21"/>
                <w:highlight w:val="none"/>
              </w:rPr>
              <w:t>将被否</w:t>
            </w:r>
            <w:r>
              <w:rPr>
                <w:rFonts w:ascii="宋体" w:hAnsi="宋体" w:cs="宋体"/>
                <w:color w:val="auto"/>
                <w:spacing w:val="-12"/>
                <w:szCs w:val="21"/>
                <w:highlight w:val="none"/>
              </w:rPr>
              <w:t>决</w:t>
            </w:r>
            <w:r>
              <w:rPr>
                <w:rFonts w:ascii="宋体" w:hAnsi="宋体" w:cs="宋体"/>
                <w:color w:val="auto"/>
                <w:spacing w:val="-10"/>
                <w:szCs w:val="21"/>
                <w:highlight w:val="none"/>
              </w:rPr>
              <w:t>。</w:t>
            </w:r>
          </w:p>
        </w:tc>
      </w:tr>
      <w:tr w14:paraId="09021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4" w:hRule="atLeast"/>
        </w:trPr>
        <w:tc>
          <w:tcPr>
            <w:tcW w:w="425" w:type="pct"/>
            <w:vMerge w:val="restart"/>
            <w:tcBorders>
              <w:top w:val="single" w:color="auto" w:sz="4" w:space="0"/>
              <w:bottom w:val="single" w:color="auto" w:sz="4" w:space="0"/>
              <w:right w:val="single" w:color="auto" w:sz="4" w:space="0"/>
            </w:tcBorders>
            <w:vAlign w:val="center"/>
          </w:tcPr>
          <w:p w14:paraId="0C1A7F03">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2.1.2</w:t>
            </w:r>
          </w:p>
        </w:tc>
        <w:tc>
          <w:tcPr>
            <w:tcW w:w="500" w:type="pct"/>
            <w:gridSpan w:val="2"/>
            <w:vMerge w:val="restart"/>
            <w:tcBorders>
              <w:top w:val="single" w:color="auto" w:sz="4" w:space="0"/>
              <w:left w:val="single" w:color="auto" w:sz="4" w:space="0"/>
              <w:bottom w:val="single" w:color="auto" w:sz="4" w:space="0"/>
              <w:right w:val="single" w:color="auto" w:sz="4" w:space="0"/>
            </w:tcBorders>
            <w:vAlign w:val="center"/>
          </w:tcPr>
          <w:p w14:paraId="6E7CB5E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806" w:type="pct"/>
            <w:tcBorders>
              <w:top w:val="single" w:color="auto" w:sz="4" w:space="0"/>
              <w:left w:val="single" w:color="auto" w:sz="4" w:space="0"/>
              <w:bottom w:val="single" w:color="auto" w:sz="4" w:space="0"/>
              <w:right w:val="single" w:color="auto" w:sz="4" w:space="0"/>
            </w:tcBorders>
            <w:vAlign w:val="center"/>
          </w:tcPr>
          <w:p w14:paraId="56119B3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营业执照</w:t>
            </w:r>
            <w:r>
              <w:rPr>
                <w:rFonts w:hint="eastAsia" w:ascii="宋体" w:hAnsi="宋体" w:cs="宋体"/>
                <w:color w:val="auto"/>
                <w:szCs w:val="21"/>
                <w:highlight w:val="none"/>
                <w:u w:val="single"/>
              </w:rPr>
              <w:t>（或事业单位法人证书）</w:t>
            </w:r>
          </w:p>
        </w:tc>
        <w:tc>
          <w:tcPr>
            <w:tcW w:w="3269" w:type="pct"/>
            <w:tcBorders>
              <w:top w:val="single" w:color="auto" w:sz="4" w:space="0"/>
              <w:left w:val="single" w:color="auto" w:sz="4" w:space="0"/>
              <w:bottom w:val="single" w:color="auto" w:sz="4" w:space="0"/>
              <w:right w:val="single" w:color="auto" w:sz="4" w:space="0"/>
            </w:tcBorders>
            <w:vAlign w:val="center"/>
          </w:tcPr>
          <w:p w14:paraId="0BEEE7AC">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符合第二章“投标人须知”第3.5</w:t>
            </w:r>
            <w:bookmarkStart w:id="259" w:name="_GoBack"/>
            <w:bookmarkEnd w:id="259"/>
            <w:r>
              <w:rPr>
                <w:rFonts w:hint="eastAsia" w:ascii="宋体" w:hAnsi="宋体" w:cs="宋体"/>
                <w:color w:val="auto"/>
                <w:szCs w:val="21"/>
                <w:highlight w:val="none"/>
              </w:rPr>
              <w:t>.1项规定。</w:t>
            </w:r>
          </w:p>
        </w:tc>
      </w:tr>
      <w:tr w14:paraId="045DA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top w:val="single" w:color="auto" w:sz="4" w:space="0"/>
              <w:bottom w:val="single" w:color="auto" w:sz="4" w:space="0"/>
              <w:right w:val="single" w:color="auto" w:sz="4" w:space="0"/>
            </w:tcBorders>
            <w:vAlign w:val="center"/>
          </w:tcPr>
          <w:p w14:paraId="203BAAB8">
            <w:pPr>
              <w:keepNext/>
              <w:keepLines/>
              <w:spacing w:line="276" w:lineRule="auto"/>
              <w:outlineLvl w:val="2"/>
              <w:rPr>
                <w:rFonts w:ascii="宋体" w:hAnsi="宋体" w:cs="宋体"/>
                <w:color w:val="auto"/>
                <w:szCs w:val="21"/>
                <w:highlight w:val="none"/>
              </w:rPr>
            </w:pPr>
          </w:p>
        </w:tc>
        <w:tc>
          <w:tcPr>
            <w:tcW w:w="500" w:type="pct"/>
            <w:gridSpan w:val="2"/>
            <w:vMerge w:val="continue"/>
            <w:tcBorders>
              <w:top w:val="single" w:color="auto" w:sz="4" w:space="0"/>
              <w:left w:val="single" w:color="auto" w:sz="4" w:space="0"/>
              <w:bottom w:val="single" w:color="auto" w:sz="4" w:space="0"/>
              <w:right w:val="single" w:color="auto" w:sz="4" w:space="0"/>
            </w:tcBorders>
            <w:vAlign w:val="center"/>
          </w:tcPr>
          <w:p w14:paraId="53F3342A">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012389D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3269" w:type="pct"/>
            <w:tcBorders>
              <w:top w:val="single" w:color="auto" w:sz="4" w:space="0"/>
              <w:left w:val="single" w:color="auto" w:sz="4" w:space="0"/>
              <w:bottom w:val="single" w:color="auto" w:sz="4" w:space="0"/>
              <w:right w:val="single" w:color="auto" w:sz="4" w:space="0"/>
            </w:tcBorders>
            <w:vAlign w:val="center"/>
          </w:tcPr>
          <w:p w14:paraId="1E768015">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77CB8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top w:val="single" w:color="auto" w:sz="4" w:space="0"/>
              <w:bottom w:val="single" w:color="auto" w:sz="4" w:space="0"/>
              <w:right w:val="single" w:color="auto" w:sz="4" w:space="0"/>
            </w:tcBorders>
            <w:vAlign w:val="center"/>
          </w:tcPr>
          <w:p w14:paraId="7875D36A">
            <w:pPr>
              <w:keepNext/>
              <w:keepLines/>
              <w:spacing w:line="276" w:lineRule="auto"/>
              <w:outlineLvl w:val="2"/>
              <w:rPr>
                <w:rFonts w:ascii="宋体" w:hAnsi="宋体" w:cs="宋体"/>
                <w:color w:val="auto"/>
                <w:szCs w:val="21"/>
                <w:highlight w:val="none"/>
              </w:rPr>
            </w:pPr>
          </w:p>
        </w:tc>
        <w:tc>
          <w:tcPr>
            <w:tcW w:w="500" w:type="pct"/>
            <w:gridSpan w:val="2"/>
            <w:vMerge w:val="continue"/>
            <w:tcBorders>
              <w:top w:val="single" w:color="auto" w:sz="4" w:space="0"/>
              <w:left w:val="single" w:color="auto" w:sz="4" w:space="0"/>
              <w:bottom w:val="single" w:color="auto" w:sz="4" w:space="0"/>
              <w:right w:val="single" w:color="auto" w:sz="4" w:space="0"/>
            </w:tcBorders>
            <w:vAlign w:val="center"/>
          </w:tcPr>
          <w:p w14:paraId="0E33608E">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2E9D184E">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3269" w:type="pct"/>
            <w:tcBorders>
              <w:top w:val="single" w:color="auto" w:sz="4" w:space="0"/>
              <w:left w:val="single" w:color="auto" w:sz="4" w:space="0"/>
              <w:bottom w:val="single" w:color="auto" w:sz="4" w:space="0"/>
              <w:right w:val="single" w:color="auto" w:sz="4" w:space="0"/>
            </w:tcBorders>
            <w:vAlign w:val="center"/>
          </w:tcPr>
          <w:p w14:paraId="6B620BEC">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579B7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425" w:type="pct"/>
            <w:vMerge w:val="continue"/>
            <w:tcBorders>
              <w:top w:val="single" w:color="auto" w:sz="4" w:space="0"/>
              <w:bottom w:val="single" w:color="auto" w:sz="4" w:space="0"/>
              <w:right w:val="single" w:color="auto" w:sz="4" w:space="0"/>
            </w:tcBorders>
            <w:vAlign w:val="center"/>
          </w:tcPr>
          <w:p w14:paraId="1DC2EB5B">
            <w:pPr>
              <w:keepNext/>
              <w:keepLines/>
              <w:spacing w:line="276" w:lineRule="auto"/>
              <w:outlineLvl w:val="2"/>
              <w:rPr>
                <w:rFonts w:ascii="宋体" w:hAnsi="宋体" w:cs="宋体"/>
                <w:color w:val="auto"/>
                <w:szCs w:val="21"/>
                <w:highlight w:val="none"/>
              </w:rPr>
            </w:pPr>
          </w:p>
        </w:tc>
        <w:tc>
          <w:tcPr>
            <w:tcW w:w="500" w:type="pct"/>
            <w:gridSpan w:val="2"/>
            <w:vMerge w:val="continue"/>
            <w:tcBorders>
              <w:top w:val="single" w:color="auto" w:sz="4" w:space="0"/>
              <w:left w:val="single" w:color="auto" w:sz="4" w:space="0"/>
              <w:bottom w:val="single" w:color="auto" w:sz="4" w:space="0"/>
              <w:right w:val="single" w:color="auto" w:sz="4" w:space="0"/>
            </w:tcBorders>
            <w:vAlign w:val="center"/>
          </w:tcPr>
          <w:p w14:paraId="0E968129">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0ACF362F">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3269" w:type="pct"/>
            <w:tcBorders>
              <w:top w:val="single" w:color="auto" w:sz="4" w:space="0"/>
              <w:left w:val="single" w:color="auto" w:sz="4" w:space="0"/>
              <w:bottom w:val="single" w:color="auto" w:sz="4" w:space="0"/>
              <w:right w:val="single" w:color="auto" w:sz="4" w:space="0"/>
            </w:tcBorders>
            <w:vAlign w:val="center"/>
          </w:tcPr>
          <w:p w14:paraId="452B1B1B">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14:paraId="6F1E9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4" w:hRule="atLeast"/>
        </w:trPr>
        <w:tc>
          <w:tcPr>
            <w:tcW w:w="425" w:type="pct"/>
            <w:vMerge w:val="continue"/>
            <w:tcBorders>
              <w:top w:val="single" w:color="auto" w:sz="4" w:space="0"/>
              <w:bottom w:val="single" w:color="auto" w:sz="4" w:space="0"/>
              <w:right w:val="single" w:color="auto" w:sz="4" w:space="0"/>
            </w:tcBorders>
            <w:vAlign w:val="center"/>
          </w:tcPr>
          <w:p w14:paraId="027CF508">
            <w:pPr>
              <w:keepNext/>
              <w:keepLines/>
              <w:spacing w:line="276" w:lineRule="auto"/>
              <w:outlineLvl w:val="2"/>
              <w:rPr>
                <w:rFonts w:ascii="宋体" w:hAnsi="宋体" w:cs="宋体"/>
                <w:color w:val="auto"/>
                <w:szCs w:val="21"/>
                <w:highlight w:val="none"/>
              </w:rPr>
            </w:pPr>
          </w:p>
        </w:tc>
        <w:tc>
          <w:tcPr>
            <w:tcW w:w="500" w:type="pct"/>
            <w:gridSpan w:val="2"/>
            <w:vMerge w:val="continue"/>
            <w:tcBorders>
              <w:top w:val="single" w:color="auto" w:sz="4" w:space="0"/>
              <w:left w:val="single" w:color="auto" w:sz="4" w:space="0"/>
              <w:bottom w:val="single" w:color="auto" w:sz="4" w:space="0"/>
              <w:right w:val="single" w:color="auto" w:sz="4" w:space="0"/>
            </w:tcBorders>
            <w:vAlign w:val="center"/>
          </w:tcPr>
          <w:p w14:paraId="41A2C678">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6B3BA4B6">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联合体投标人</w:t>
            </w:r>
          </w:p>
        </w:tc>
        <w:tc>
          <w:tcPr>
            <w:tcW w:w="3269" w:type="pct"/>
            <w:tcBorders>
              <w:top w:val="single" w:color="auto" w:sz="4" w:space="0"/>
              <w:left w:val="single" w:color="auto" w:sz="4" w:space="0"/>
              <w:bottom w:val="single" w:color="auto" w:sz="4" w:space="0"/>
              <w:right w:val="single" w:color="auto" w:sz="4" w:space="0"/>
            </w:tcBorders>
            <w:vAlign w:val="center"/>
          </w:tcPr>
          <w:p w14:paraId="696E3E4E">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符合第二章“投标人须知”第1.4.2项规定。</w:t>
            </w:r>
          </w:p>
        </w:tc>
      </w:tr>
      <w:tr w14:paraId="22DEC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425" w:type="pct"/>
            <w:vMerge w:val="continue"/>
            <w:tcBorders>
              <w:top w:val="single" w:color="auto" w:sz="4" w:space="0"/>
              <w:bottom w:val="single" w:color="auto" w:sz="4" w:space="0"/>
              <w:right w:val="single" w:color="auto" w:sz="4" w:space="0"/>
            </w:tcBorders>
            <w:vAlign w:val="center"/>
          </w:tcPr>
          <w:p w14:paraId="7A0D8733">
            <w:pPr>
              <w:keepNext/>
              <w:keepLines/>
              <w:spacing w:line="276" w:lineRule="auto"/>
              <w:outlineLvl w:val="2"/>
              <w:rPr>
                <w:rFonts w:ascii="宋体" w:hAnsi="宋体" w:cs="宋体"/>
                <w:color w:val="auto"/>
                <w:szCs w:val="21"/>
                <w:highlight w:val="none"/>
              </w:rPr>
            </w:pPr>
          </w:p>
        </w:tc>
        <w:tc>
          <w:tcPr>
            <w:tcW w:w="500" w:type="pct"/>
            <w:gridSpan w:val="2"/>
            <w:vMerge w:val="continue"/>
            <w:tcBorders>
              <w:top w:val="single" w:color="auto" w:sz="4" w:space="0"/>
              <w:left w:val="single" w:color="auto" w:sz="4" w:space="0"/>
              <w:bottom w:val="single" w:color="auto" w:sz="4" w:space="0"/>
              <w:right w:val="single" w:color="auto" w:sz="4" w:space="0"/>
            </w:tcBorders>
            <w:vAlign w:val="center"/>
          </w:tcPr>
          <w:p w14:paraId="0938A40C">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18E70E3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不存在禁止投标的情形</w:t>
            </w:r>
          </w:p>
        </w:tc>
        <w:tc>
          <w:tcPr>
            <w:tcW w:w="3269" w:type="pct"/>
            <w:tcBorders>
              <w:top w:val="single" w:color="auto" w:sz="4" w:space="0"/>
              <w:left w:val="single" w:color="auto" w:sz="4" w:space="0"/>
              <w:bottom w:val="single" w:color="auto" w:sz="4" w:space="0"/>
              <w:right w:val="single" w:color="auto" w:sz="4" w:space="0"/>
            </w:tcBorders>
            <w:vAlign w:val="center"/>
          </w:tcPr>
          <w:p w14:paraId="4FE58468">
            <w:pPr>
              <w:spacing w:line="276" w:lineRule="auto"/>
              <w:rPr>
                <w:rFonts w:ascii="宋体" w:hAnsi="宋体" w:cs="宋体"/>
                <w:color w:val="auto"/>
                <w:szCs w:val="21"/>
                <w:highlight w:val="none"/>
              </w:rPr>
            </w:pPr>
            <w:r>
              <w:rPr>
                <w:rFonts w:hint="eastAsia" w:ascii="宋体" w:hAnsi="宋体" w:cs="宋体"/>
                <w:color w:val="auto"/>
                <w:szCs w:val="21"/>
                <w:highlight w:val="none"/>
              </w:rPr>
              <w:t>不存在第二章“投标人须知”第 1.4.3 项规定的任何一种情形（以《投标申请人声明》为准）</w:t>
            </w:r>
          </w:p>
        </w:tc>
      </w:tr>
      <w:tr w14:paraId="6E297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425" w:type="pct"/>
            <w:vMerge w:val="restart"/>
            <w:tcBorders>
              <w:top w:val="single" w:color="auto" w:sz="4" w:space="0"/>
              <w:right w:val="single" w:color="auto" w:sz="4" w:space="0"/>
            </w:tcBorders>
            <w:vAlign w:val="center"/>
          </w:tcPr>
          <w:p w14:paraId="6798B2DF">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2.1.3</w:t>
            </w:r>
          </w:p>
        </w:tc>
        <w:tc>
          <w:tcPr>
            <w:tcW w:w="500" w:type="pct"/>
            <w:gridSpan w:val="2"/>
            <w:vMerge w:val="restart"/>
            <w:tcBorders>
              <w:top w:val="single" w:color="auto" w:sz="4" w:space="0"/>
              <w:left w:val="single" w:color="auto" w:sz="4" w:space="0"/>
              <w:right w:val="single" w:color="auto" w:sz="4" w:space="0"/>
            </w:tcBorders>
            <w:vAlign w:val="center"/>
          </w:tcPr>
          <w:p w14:paraId="2FC66F4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响应性评审标准</w:t>
            </w:r>
          </w:p>
        </w:tc>
        <w:tc>
          <w:tcPr>
            <w:tcW w:w="806" w:type="pct"/>
            <w:tcBorders>
              <w:top w:val="single" w:color="auto" w:sz="4" w:space="0"/>
              <w:left w:val="single" w:color="auto" w:sz="4" w:space="0"/>
              <w:right w:val="single" w:color="auto" w:sz="4" w:space="0"/>
            </w:tcBorders>
            <w:vAlign w:val="center"/>
          </w:tcPr>
          <w:p w14:paraId="690832A8">
            <w:pPr>
              <w:spacing w:line="276" w:lineRule="auto"/>
              <w:jc w:val="center"/>
              <w:rPr>
                <w:rFonts w:ascii="宋体" w:hAnsi="宋体" w:cs="宋体"/>
                <w:strike/>
                <w:color w:val="auto"/>
                <w:szCs w:val="21"/>
                <w:highlight w:val="none"/>
              </w:rPr>
            </w:pPr>
            <w:r>
              <w:rPr>
                <w:rFonts w:hint="eastAsia" w:ascii="宋体" w:hAnsi="宋体" w:cs="宋体"/>
                <w:color w:val="auto"/>
                <w:szCs w:val="21"/>
                <w:highlight w:val="none"/>
              </w:rPr>
              <w:t>投标总报价</w:t>
            </w:r>
          </w:p>
        </w:tc>
        <w:tc>
          <w:tcPr>
            <w:tcW w:w="3269" w:type="pct"/>
            <w:tcBorders>
              <w:top w:val="single" w:color="auto" w:sz="4" w:space="0"/>
              <w:left w:val="single" w:color="auto" w:sz="4" w:space="0"/>
            </w:tcBorders>
            <w:vAlign w:val="center"/>
          </w:tcPr>
          <w:p w14:paraId="59398B83">
            <w:pPr>
              <w:spacing w:line="276" w:lineRule="auto"/>
              <w:rPr>
                <w:rFonts w:ascii="宋体" w:hAnsi="宋体" w:cs="宋体"/>
                <w:strike/>
                <w:color w:val="auto"/>
                <w:szCs w:val="21"/>
                <w:highlight w:val="none"/>
              </w:rPr>
            </w:pPr>
            <w:r>
              <w:rPr>
                <w:rFonts w:hint="eastAsia" w:ascii="宋体" w:hAnsi="宋体" w:cs="宋体"/>
                <w:color w:val="auto"/>
                <w:szCs w:val="21"/>
                <w:highlight w:val="none"/>
              </w:rPr>
              <w:t>符合第二章“投标人须知”第3.2款规定进行投标报价；</w:t>
            </w:r>
          </w:p>
        </w:tc>
      </w:tr>
      <w:tr w14:paraId="08E89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4" w:hRule="atLeast"/>
        </w:trPr>
        <w:tc>
          <w:tcPr>
            <w:tcW w:w="425" w:type="pct"/>
            <w:vMerge w:val="continue"/>
            <w:tcBorders>
              <w:right w:val="single" w:color="auto" w:sz="4" w:space="0"/>
            </w:tcBorders>
            <w:vAlign w:val="center"/>
          </w:tcPr>
          <w:p w14:paraId="59B5E98C">
            <w:pPr>
              <w:keepNext/>
              <w:keepLines/>
              <w:spacing w:line="276" w:lineRule="auto"/>
              <w:jc w:val="center"/>
              <w:outlineLvl w:val="2"/>
              <w:rPr>
                <w:rFonts w:ascii="宋体" w:hAnsi="宋体" w:cs="宋体"/>
                <w:color w:val="auto"/>
                <w:szCs w:val="21"/>
                <w:highlight w:val="none"/>
              </w:rPr>
            </w:pPr>
          </w:p>
        </w:tc>
        <w:tc>
          <w:tcPr>
            <w:tcW w:w="500" w:type="pct"/>
            <w:gridSpan w:val="2"/>
            <w:vMerge w:val="continue"/>
            <w:tcBorders>
              <w:left w:val="single" w:color="auto" w:sz="4" w:space="0"/>
              <w:right w:val="single" w:color="auto" w:sz="4" w:space="0"/>
            </w:tcBorders>
            <w:vAlign w:val="center"/>
          </w:tcPr>
          <w:p w14:paraId="13A5FFA1">
            <w:pPr>
              <w:keepNext/>
              <w:keepLines/>
              <w:spacing w:line="276" w:lineRule="auto"/>
              <w:jc w:val="center"/>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0368DDDC">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投标内容</w:t>
            </w:r>
          </w:p>
        </w:tc>
        <w:tc>
          <w:tcPr>
            <w:tcW w:w="3269" w:type="pct"/>
            <w:tcBorders>
              <w:top w:val="single" w:color="auto" w:sz="4" w:space="0"/>
              <w:left w:val="single" w:color="auto" w:sz="4" w:space="0"/>
              <w:bottom w:val="single" w:color="auto" w:sz="4" w:space="0"/>
            </w:tcBorders>
            <w:vAlign w:val="center"/>
          </w:tcPr>
          <w:p w14:paraId="2F42C3FE">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符合第二章“投标人须知”第 1.3.1项规定；</w:t>
            </w:r>
            <w:r>
              <w:rPr>
                <w:rFonts w:hint="eastAsia" w:ascii="宋体" w:hAnsi="宋体" w:cs="宋体"/>
                <w:color w:val="auto"/>
                <w:szCs w:val="21"/>
                <w:highlight w:val="none"/>
                <w:u w:val="single"/>
              </w:rPr>
              <w:t>投标文件按规定的格式填写，内容齐全或关键字迹清晰、容易辩认；</w:t>
            </w:r>
          </w:p>
        </w:tc>
      </w:tr>
      <w:tr w14:paraId="693F4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trPr>
        <w:tc>
          <w:tcPr>
            <w:tcW w:w="425" w:type="pct"/>
            <w:vMerge w:val="continue"/>
            <w:tcBorders>
              <w:right w:val="single" w:color="auto" w:sz="4" w:space="0"/>
            </w:tcBorders>
            <w:vAlign w:val="center"/>
          </w:tcPr>
          <w:p w14:paraId="0E24B37C">
            <w:pPr>
              <w:spacing w:line="276" w:lineRule="auto"/>
              <w:jc w:val="center"/>
              <w:rPr>
                <w:rFonts w:ascii="宋体" w:hAnsi="宋体" w:cs="宋体"/>
                <w:color w:val="auto"/>
                <w:szCs w:val="21"/>
                <w:highlight w:val="none"/>
              </w:rPr>
            </w:pPr>
          </w:p>
        </w:tc>
        <w:tc>
          <w:tcPr>
            <w:tcW w:w="500" w:type="pct"/>
            <w:gridSpan w:val="2"/>
            <w:vMerge w:val="continue"/>
            <w:tcBorders>
              <w:left w:val="single" w:color="auto" w:sz="4" w:space="0"/>
              <w:right w:val="single" w:color="auto" w:sz="4" w:space="0"/>
            </w:tcBorders>
            <w:vAlign w:val="center"/>
          </w:tcPr>
          <w:p w14:paraId="13BF0C78">
            <w:pPr>
              <w:spacing w:line="276" w:lineRule="auto"/>
              <w:jc w:val="center"/>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517E143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3269" w:type="pct"/>
            <w:tcBorders>
              <w:top w:val="single" w:color="auto" w:sz="4" w:space="0"/>
              <w:left w:val="single" w:color="auto" w:sz="4" w:space="0"/>
              <w:bottom w:val="single" w:color="auto" w:sz="4" w:space="0"/>
            </w:tcBorders>
            <w:vAlign w:val="center"/>
          </w:tcPr>
          <w:p w14:paraId="077D2A5D">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符合第二章“投标人须知前附表”第1.3.2项规定</w:t>
            </w:r>
          </w:p>
        </w:tc>
      </w:tr>
      <w:tr w14:paraId="0B136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425" w:type="pct"/>
            <w:vMerge w:val="continue"/>
            <w:tcBorders>
              <w:right w:val="single" w:color="auto" w:sz="4" w:space="0"/>
            </w:tcBorders>
            <w:vAlign w:val="center"/>
          </w:tcPr>
          <w:p w14:paraId="32647142">
            <w:pPr>
              <w:keepNext/>
              <w:keepLines/>
              <w:spacing w:line="276" w:lineRule="auto"/>
              <w:jc w:val="center"/>
              <w:outlineLvl w:val="2"/>
              <w:rPr>
                <w:rFonts w:ascii="宋体" w:hAnsi="宋体" w:cs="宋体"/>
                <w:color w:val="auto"/>
                <w:szCs w:val="21"/>
                <w:highlight w:val="none"/>
              </w:rPr>
            </w:pPr>
          </w:p>
        </w:tc>
        <w:tc>
          <w:tcPr>
            <w:tcW w:w="500" w:type="pct"/>
            <w:gridSpan w:val="2"/>
            <w:vMerge w:val="continue"/>
            <w:tcBorders>
              <w:left w:val="single" w:color="auto" w:sz="4" w:space="0"/>
              <w:right w:val="single" w:color="auto" w:sz="4" w:space="0"/>
            </w:tcBorders>
            <w:vAlign w:val="center"/>
          </w:tcPr>
          <w:p w14:paraId="67B391E0">
            <w:pPr>
              <w:keepNext/>
              <w:keepLines/>
              <w:spacing w:line="276" w:lineRule="auto"/>
              <w:jc w:val="center"/>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32E6FD59">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3269" w:type="pct"/>
            <w:tcBorders>
              <w:top w:val="single" w:color="auto" w:sz="4" w:space="0"/>
              <w:left w:val="single" w:color="auto" w:sz="4" w:space="0"/>
              <w:bottom w:val="single" w:color="auto" w:sz="4" w:space="0"/>
            </w:tcBorders>
            <w:vAlign w:val="center"/>
          </w:tcPr>
          <w:p w14:paraId="75B9782F">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符合第二章“投标人须知前附表”第 1.3.3 项规定</w:t>
            </w:r>
          </w:p>
        </w:tc>
      </w:tr>
      <w:tr w14:paraId="19008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425" w:type="pct"/>
            <w:vMerge w:val="continue"/>
            <w:tcBorders>
              <w:right w:val="single" w:color="auto" w:sz="4" w:space="0"/>
            </w:tcBorders>
            <w:vAlign w:val="center"/>
          </w:tcPr>
          <w:p w14:paraId="10FB291C">
            <w:pPr>
              <w:keepNext/>
              <w:keepLines/>
              <w:spacing w:line="276" w:lineRule="auto"/>
              <w:outlineLvl w:val="2"/>
              <w:rPr>
                <w:rFonts w:ascii="宋体" w:hAnsi="宋体" w:cs="宋体"/>
                <w:color w:val="auto"/>
                <w:szCs w:val="21"/>
                <w:highlight w:val="none"/>
              </w:rPr>
            </w:pPr>
          </w:p>
        </w:tc>
        <w:tc>
          <w:tcPr>
            <w:tcW w:w="500" w:type="pct"/>
            <w:gridSpan w:val="2"/>
            <w:vMerge w:val="continue"/>
            <w:tcBorders>
              <w:left w:val="single" w:color="auto" w:sz="4" w:space="0"/>
              <w:right w:val="single" w:color="auto" w:sz="4" w:space="0"/>
            </w:tcBorders>
            <w:vAlign w:val="center"/>
          </w:tcPr>
          <w:p w14:paraId="13AD089B">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34D04A6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3269" w:type="pct"/>
            <w:tcBorders>
              <w:top w:val="single" w:color="auto" w:sz="4" w:space="0"/>
              <w:left w:val="single" w:color="auto" w:sz="4" w:space="0"/>
              <w:bottom w:val="single" w:color="auto" w:sz="4" w:space="0"/>
            </w:tcBorders>
            <w:vAlign w:val="center"/>
          </w:tcPr>
          <w:p w14:paraId="2503DD87">
            <w:pPr>
              <w:spacing w:line="276" w:lineRule="auto"/>
              <w:rPr>
                <w:rFonts w:ascii="宋体" w:hAnsi="宋体" w:cs="宋体"/>
                <w:color w:val="auto"/>
                <w:szCs w:val="21"/>
                <w:highlight w:val="none"/>
              </w:rPr>
            </w:pPr>
            <w:r>
              <w:rPr>
                <w:rFonts w:hint="eastAsia" w:ascii="宋体" w:hAnsi="宋体" w:cs="宋体"/>
                <w:color w:val="auto"/>
                <w:szCs w:val="21"/>
                <w:highlight w:val="none"/>
              </w:rPr>
              <w:t>符合第二章“投标人须知前附表”第 3.3.1 项规定</w:t>
            </w:r>
          </w:p>
        </w:tc>
      </w:tr>
      <w:tr w14:paraId="68E48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9" w:hRule="atLeast"/>
        </w:trPr>
        <w:tc>
          <w:tcPr>
            <w:tcW w:w="425" w:type="pct"/>
            <w:vMerge w:val="continue"/>
            <w:tcBorders>
              <w:right w:val="single" w:color="auto" w:sz="4" w:space="0"/>
            </w:tcBorders>
            <w:vAlign w:val="center"/>
          </w:tcPr>
          <w:p w14:paraId="66172174">
            <w:pPr>
              <w:keepNext/>
              <w:keepLines/>
              <w:spacing w:line="276" w:lineRule="auto"/>
              <w:outlineLvl w:val="2"/>
              <w:rPr>
                <w:rFonts w:ascii="宋体" w:hAnsi="宋体" w:cs="宋体"/>
                <w:color w:val="auto"/>
                <w:szCs w:val="21"/>
                <w:highlight w:val="none"/>
              </w:rPr>
            </w:pPr>
          </w:p>
        </w:tc>
        <w:tc>
          <w:tcPr>
            <w:tcW w:w="500" w:type="pct"/>
            <w:gridSpan w:val="2"/>
            <w:vMerge w:val="continue"/>
            <w:tcBorders>
              <w:left w:val="single" w:color="auto" w:sz="4" w:space="0"/>
              <w:right w:val="single" w:color="auto" w:sz="4" w:space="0"/>
            </w:tcBorders>
            <w:vAlign w:val="center"/>
          </w:tcPr>
          <w:p w14:paraId="692B3D40">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tcPr>
          <w:p w14:paraId="00F79B03">
            <w:pPr>
              <w:spacing w:line="276" w:lineRule="auto"/>
              <w:jc w:val="center"/>
              <w:rPr>
                <w:rFonts w:ascii="宋体" w:hAnsi="宋体" w:cs="宋体"/>
                <w:color w:val="auto"/>
                <w:szCs w:val="21"/>
                <w:highlight w:val="none"/>
              </w:rPr>
            </w:pPr>
            <w:r>
              <w:rPr>
                <w:rFonts w:ascii="宋体" w:hAnsi="宋体"/>
                <w:color w:val="auto"/>
                <w:highlight w:val="none"/>
              </w:rPr>
              <w:t>投标保证金</w:t>
            </w:r>
          </w:p>
        </w:tc>
        <w:tc>
          <w:tcPr>
            <w:tcW w:w="3269" w:type="pct"/>
            <w:tcBorders>
              <w:top w:val="single" w:color="auto" w:sz="4" w:space="0"/>
              <w:left w:val="single" w:color="auto" w:sz="4" w:space="0"/>
              <w:bottom w:val="single" w:color="auto" w:sz="4" w:space="0"/>
            </w:tcBorders>
          </w:tcPr>
          <w:p w14:paraId="6A81B423">
            <w:pPr>
              <w:spacing w:line="276" w:lineRule="auto"/>
              <w:rPr>
                <w:rFonts w:ascii="宋体" w:hAnsi="宋体" w:cs="宋体"/>
                <w:color w:val="auto"/>
                <w:szCs w:val="21"/>
                <w:highlight w:val="none"/>
              </w:rPr>
            </w:pPr>
            <w:r>
              <w:rPr>
                <w:rFonts w:hint="eastAsia" w:ascii="宋体" w:hAnsi="宋体" w:cs="宋体"/>
                <w:color w:val="auto"/>
                <w:highlight w:val="none"/>
                <w:u w:val="single"/>
              </w:rPr>
              <w:t>按规定的格式及内容要求签署《关于投标保证金的承诺》</w:t>
            </w:r>
          </w:p>
        </w:tc>
      </w:tr>
      <w:tr w14:paraId="17181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2" w:hRule="atLeast"/>
        </w:trPr>
        <w:tc>
          <w:tcPr>
            <w:tcW w:w="425" w:type="pct"/>
            <w:vMerge w:val="continue"/>
            <w:tcBorders>
              <w:bottom w:val="single" w:color="auto" w:sz="4" w:space="0"/>
              <w:right w:val="single" w:color="auto" w:sz="4" w:space="0"/>
            </w:tcBorders>
            <w:vAlign w:val="center"/>
          </w:tcPr>
          <w:p w14:paraId="4F9501B8">
            <w:pPr>
              <w:keepNext/>
              <w:keepLines/>
              <w:spacing w:line="276" w:lineRule="auto"/>
              <w:outlineLvl w:val="2"/>
              <w:rPr>
                <w:rFonts w:ascii="宋体" w:hAnsi="宋体" w:cs="宋体"/>
                <w:color w:val="auto"/>
                <w:szCs w:val="21"/>
                <w:highlight w:val="none"/>
              </w:rPr>
            </w:pPr>
          </w:p>
        </w:tc>
        <w:tc>
          <w:tcPr>
            <w:tcW w:w="500" w:type="pct"/>
            <w:gridSpan w:val="2"/>
            <w:vMerge w:val="continue"/>
            <w:tcBorders>
              <w:left w:val="single" w:color="auto" w:sz="4" w:space="0"/>
              <w:bottom w:val="single" w:color="auto" w:sz="4" w:space="0"/>
              <w:right w:val="single" w:color="auto" w:sz="4" w:space="0"/>
            </w:tcBorders>
            <w:vAlign w:val="center"/>
          </w:tcPr>
          <w:p w14:paraId="059E0CC2">
            <w:pPr>
              <w:keepNext/>
              <w:keepLines/>
              <w:spacing w:line="276" w:lineRule="auto"/>
              <w:outlineLvl w:val="2"/>
              <w:rPr>
                <w:rFonts w:ascii="宋体" w:hAnsi="宋体" w:cs="宋体"/>
                <w:color w:val="auto"/>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14:paraId="0B1FEA9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串通投标情形</w:t>
            </w:r>
          </w:p>
        </w:tc>
        <w:tc>
          <w:tcPr>
            <w:tcW w:w="3269" w:type="pct"/>
            <w:tcBorders>
              <w:top w:val="single" w:color="auto" w:sz="4" w:space="0"/>
              <w:left w:val="single" w:color="auto" w:sz="4" w:space="0"/>
              <w:bottom w:val="single" w:color="auto" w:sz="4" w:space="0"/>
            </w:tcBorders>
            <w:vAlign w:val="center"/>
          </w:tcPr>
          <w:p w14:paraId="465EDEB5">
            <w:pPr>
              <w:spacing w:line="276" w:lineRule="auto"/>
              <w:rPr>
                <w:rFonts w:ascii="宋体" w:hAnsi="宋体" w:cs="宋体"/>
                <w:color w:val="auto"/>
                <w:szCs w:val="21"/>
                <w:highlight w:val="none"/>
              </w:rPr>
            </w:pPr>
            <w:r>
              <w:rPr>
                <w:rFonts w:hint="eastAsia" w:ascii="宋体" w:hAnsi="宋体" w:cs="宋体"/>
                <w:color w:val="auto"/>
                <w:szCs w:val="21"/>
                <w:highlight w:val="none"/>
                <w:u w:val="single"/>
              </w:rPr>
              <w:t>投标人之间不存在《广东省实施&lt;中华人民共和国招标投标法&gt;办法》第十六条所禁止的情形的；</w:t>
            </w:r>
          </w:p>
        </w:tc>
      </w:tr>
      <w:tr w14:paraId="35FCA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925" w:type="pct"/>
            <w:gridSpan w:val="3"/>
            <w:tcBorders>
              <w:top w:val="single" w:color="auto" w:sz="4" w:space="0"/>
              <w:bottom w:val="single" w:color="auto" w:sz="4" w:space="0"/>
              <w:right w:val="single" w:color="auto" w:sz="4" w:space="0"/>
            </w:tcBorders>
            <w:vAlign w:val="center"/>
          </w:tcPr>
          <w:p w14:paraId="14226FE8">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06" w:type="pct"/>
            <w:tcBorders>
              <w:top w:val="single" w:color="auto" w:sz="4" w:space="0"/>
              <w:left w:val="single" w:color="auto" w:sz="4" w:space="0"/>
              <w:bottom w:val="single" w:color="auto" w:sz="4" w:space="0"/>
              <w:right w:val="single" w:color="auto" w:sz="4" w:space="0"/>
            </w:tcBorders>
            <w:vAlign w:val="center"/>
          </w:tcPr>
          <w:p w14:paraId="20A26180">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3269" w:type="pct"/>
            <w:tcBorders>
              <w:top w:val="single" w:color="auto" w:sz="4" w:space="0"/>
              <w:left w:val="single" w:color="auto" w:sz="4" w:space="0"/>
              <w:bottom w:val="single" w:color="auto" w:sz="4" w:space="0"/>
              <w:right w:val="single" w:color="auto" w:sz="4" w:space="0"/>
            </w:tcBorders>
            <w:vAlign w:val="center"/>
          </w:tcPr>
          <w:p w14:paraId="3C1B6D0D">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14:paraId="32E72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925" w:type="pct"/>
            <w:gridSpan w:val="3"/>
            <w:tcBorders>
              <w:bottom w:val="single" w:color="auto" w:sz="4" w:space="0"/>
              <w:right w:val="single" w:color="auto" w:sz="4" w:space="0"/>
            </w:tcBorders>
            <w:vAlign w:val="center"/>
          </w:tcPr>
          <w:p w14:paraId="76948197">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806" w:type="pct"/>
            <w:tcBorders>
              <w:top w:val="single" w:color="auto" w:sz="4" w:space="0"/>
              <w:left w:val="single" w:color="auto" w:sz="4" w:space="0"/>
              <w:bottom w:val="single" w:color="auto" w:sz="4" w:space="0"/>
              <w:right w:val="single" w:color="auto" w:sz="4" w:space="0"/>
            </w:tcBorders>
            <w:vAlign w:val="center"/>
          </w:tcPr>
          <w:p w14:paraId="142C1A83">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分值构成</w:t>
            </w:r>
          </w:p>
          <w:p w14:paraId="682CF6C8">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(总分100分)</w:t>
            </w:r>
          </w:p>
        </w:tc>
        <w:tc>
          <w:tcPr>
            <w:tcW w:w="3269" w:type="pct"/>
            <w:tcBorders>
              <w:top w:val="single" w:color="auto" w:sz="4" w:space="0"/>
              <w:left w:val="single" w:color="auto" w:sz="4" w:space="0"/>
              <w:bottom w:val="single" w:color="auto" w:sz="4" w:space="0"/>
              <w:right w:val="single" w:color="auto" w:sz="4" w:space="0"/>
            </w:tcBorders>
            <w:vAlign w:val="center"/>
          </w:tcPr>
          <w:p w14:paraId="7E6FAFD1">
            <w:pPr>
              <w:rPr>
                <w:rFonts w:ascii="宋体" w:hAnsi="宋体" w:cs="宋体"/>
                <w:color w:val="auto"/>
                <w:szCs w:val="21"/>
                <w:highlight w:val="none"/>
              </w:rPr>
            </w:pPr>
            <w:r>
              <w:rPr>
                <w:rFonts w:hint="eastAsia" w:ascii="宋体" w:hAnsi="宋体" w:cs="宋体"/>
                <w:color w:val="auto"/>
                <w:szCs w:val="21"/>
                <w:highlight w:val="none"/>
              </w:rPr>
              <w:t>A资信业绩部分：65分</w:t>
            </w:r>
          </w:p>
          <w:p w14:paraId="22431DEF">
            <w:pPr>
              <w:rPr>
                <w:rFonts w:ascii="宋体" w:hAnsi="宋体" w:cs="宋体"/>
                <w:color w:val="auto"/>
                <w:szCs w:val="21"/>
                <w:highlight w:val="none"/>
              </w:rPr>
            </w:pPr>
            <w:r>
              <w:rPr>
                <w:rFonts w:hint="eastAsia" w:ascii="宋体" w:hAnsi="宋体" w:cs="宋体"/>
                <w:color w:val="auto"/>
                <w:szCs w:val="21"/>
                <w:highlight w:val="none"/>
              </w:rPr>
              <w:t>B检测监测方案：25分</w:t>
            </w:r>
          </w:p>
          <w:p w14:paraId="38170865">
            <w:pPr>
              <w:rPr>
                <w:rFonts w:ascii="宋体" w:hAnsi="宋体" w:cs="宋体"/>
                <w:color w:val="auto"/>
                <w:szCs w:val="21"/>
                <w:highlight w:val="none"/>
              </w:rPr>
            </w:pPr>
            <w:r>
              <w:rPr>
                <w:rFonts w:hint="eastAsia" w:ascii="宋体" w:hAnsi="宋体" w:cs="宋体"/>
                <w:color w:val="auto"/>
                <w:szCs w:val="21"/>
                <w:highlight w:val="none"/>
              </w:rPr>
              <w:t>C投标报价：10分</w:t>
            </w:r>
          </w:p>
          <w:p w14:paraId="67ACDDA7">
            <w:pPr>
              <w:spacing w:line="276" w:lineRule="auto"/>
              <w:rPr>
                <w:rFonts w:ascii="宋体" w:hAnsi="宋体" w:cs="宋体"/>
                <w:color w:val="auto"/>
                <w:szCs w:val="21"/>
                <w:highlight w:val="none"/>
              </w:rPr>
            </w:pPr>
            <w:r>
              <w:rPr>
                <w:rFonts w:hint="eastAsia" w:ascii="宋体" w:hAnsi="宋体" w:cs="宋体"/>
                <w:color w:val="auto"/>
                <w:szCs w:val="21"/>
                <w:highlight w:val="none"/>
              </w:rPr>
              <w:t>投标人总得分=A+B+C，A、B、C得分为各评委的评分汇总后去掉一个最高分和一个最低分后计取的算术平均分。分数出现小数点时，保留小数点后二位，第三位小数四舍五入）；</w:t>
            </w:r>
          </w:p>
        </w:tc>
      </w:tr>
      <w:tr w14:paraId="2FFA7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925" w:type="pct"/>
            <w:gridSpan w:val="3"/>
            <w:tcBorders>
              <w:top w:val="single" w:color="auto" w:sz="4" w:space="0"/>
              <w:bottom w:val="single" w:color="auto" w:sz="4" w:space="0"/>
              <w:right w:val="single" w:color="auto" w:sz="4" w:space="0"/>
            </w:tcBorders>
            <w:vAlign w:val="center"/>
          </w:tcPr>
          <w:p w14:paraId="4FBB0F68">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806" w:type="pct"/>
            <w:tcBorders>
              <w:top w:val="single" w:color="auto" w:sz="4" w:space="0"/>
              <w:left w:val="single" w:color="auto" w:sz="4" w:space="0"/>
              <w:bottom w:val="single" w:color="auto" w:sz="4" w:space="0"/>
              <w:right w:val="single" w:color="auto" w:sz="4" w:space="0"/>
            </w:tcBorders>
            <w:vAlign w:val="center"/>
          </w:tcPr>
          <w:p w14:paraId="7604679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评标基准价计算方法</w:t>
            </w:r>
          </w:p>
        </w:tc>
        <w:tc>
          <w:tcPr>
            <w:tcW w:w="3269" w:type="pct"/>
            <w:tcBorders>
              <w:top w:val="single" w:color="auto" w:sz="4" w:space="0"/>
              <w:left w:val="single" w:color="auto" w:sz="4" w:space="0"/>
              <w:bottom w:val="single" w:color="auto" w:sz="4" w:space="0"/>
              <w:right w:val="single" w:color="auto" w:sz="4" w:space="0"/>
            </w:tcBorders>
            <w:vAlign w:val="center"/>
          </w:tcPr>
          <w:p w14:paraId="394E0CF5">
            <w:pPr>
              <w:spacing w:line="276" w:lineRule="auto"/>
              <w:rPr>
                <w:rFonts w:ascii="宋体" w:hAnsi="宋体" w:cs="宋体"/>
                <w:color w:val="auto"/>
                <w:szCs w:val="21"/>
                <w:highlight w:val="none"/>
              </w:rPr>
            </w:pPr>
            <w:r>
              <w:rPr>
                <w:rFonts w:hint="eastAsia" w:ascii="宋体" w:hAnsi="宋体" w:cs="宋体"/>
                <w:color w:val="auto"/>
                <w:szCs w:val="21"/>
                <w:highlight w:val="none"/>
              </w:rPr>
              <w:t>当通过初步评审的有效投标人大于或等于5名且投标报价为有效投标价时，去掉一个最高价和一个最低价，取余下有效投标价的算术平均值的作为评标基准价。当通过初步评审的有效投标人小于5名时，取所有入围的有效投标价的算术平均值的作为评标基准价。</w:t>
            </w:r>
          </w:p>
        </w:tc>
      </w:tr>
      <w:tr w14:paraId="2C72F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5" w:type="pct"/>
            <w:gridSpan w:val="3"/>
            <w:tcBorders>
              <w:top w:val="single" w:color="auto" w:sz="4" w:space="0"/>
              <w:bottom w:val="single" w:color="auto" w:sz="4" w:space="0"/>
              <w:right w:val="single" w:color="auto" w:sz="4" w:space="0"/>
            </w:tcBorders>
            <w:vAlign w:val="center"/>
          </w:tcPr>
          <w:p w14:paraId="3EB1FDC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2.2.3</w:t>
            </w:r>
          </w:p>
        </w:tc>
        <w:tc>
          <w:tcPr>
            <w:tcW w:w="806" w:type="pct"/>
            <w:tcBorders>
              <w:top w:val="single" w:color="auto" w:sz="4" w:space="0"/>
              <w:left w:val="single" w:color="auto" w:sz="4" w:space="0"/>
              <w:bottom w:val="single" w:color="auto" w:sz="4" w:space="0"/>
              <w:right w:val="single" w:color="auto" w:sz="4" w:space="0"/>
            </w:tcBorders>
            <w:vAlign w:val="center"/>
          </w:tcPr>
          <w:p w14:paraId="73C27F08">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投标报价的偏差率计算公式</w:t>
            </w:r>
          </w:p>
        </w:tc>
        <w:tc>
          <w:tcPr>
            <w:tcW w:w="3269" w:type="pct"/>
            <w:tcBorders>
              <w:top w:val="single" w:color="auto" w:sz="4" w:space="0"/>
              <w:left w:val="single" w:color="auto" w:sz="4" w:space="0"/>
              <w:bottom w:val="single" w:color="auto" w:sz="4" w:space="0"/>
              <w:right w:val="single" w:color="auto" w:sz="4" w:space="0"/>
            </w:tcBorders>
            <w:vAlign w:val="center"/>
          </w:tcPr>
          <w:p w14:paraId="6EE2F6A0">
            <w:pPr>
              <w:spacing w:line="276" w:lineRule="auto"/>
              <w:rPr>
                <w:rFonts w:ascii="宋体" w:hAnsi="宋体" w:cs="宋体"/>
                <w:color w:val="auto"/>
                <w:szCs w:val="21"/>
                <w:highlight w:val="none"/>
              </w:rPr>
            </w:pPr>
            <w:r>
              <w:rPr>
                <w:rFonts w:hint="eastAsia" w:ascii="宋体" w:hAnsi="宋体" w:cs="宋体"/>
                <w:color w:val="auto"/>
                <w:szCs w:val="21"/>
                <w:highlight w:val="none"/>
              </w:rPr>
              <w:t>偏差率=∣投标总报价—评标基准价∣/评标基准价*100%（偏差率四舍五入保留2位小数）</w:t>
            </w:r>
          </w:p>
        </w:tc>
      </w:tr>
      <w:tr w14:paraId="53F69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5" w:type="pct"/>
            <w:vMerge w:val="restart"/>
            <w:tcBorders>
              <w:top w:val="single" w:color="auto" w:sz="4" w:space="0"/>
              <w:right w:val="single" w:color="auto" w:sz="4" w:space="0"/>
            </w:tcBorders>
            <w:vAlign w:val="center"/>
          </w:tcPr>
          <w:p w14:paraId="5385F403">
            <w:pPr>
              <w:spacing w:line="276" w:lineRule="auto"/>
              <w:jc w:val="center"/>
              <w:rPr>
                <w:rFonts w:ascii="宋体" w:hAnsi="宋体" w:cs="宋体"/>
                <w:color w:val="auto"/>
                <w:szCs w:val="21"/>
                <w:highlight w:val="none"/>
              </w:rPr>
            </w:pPr>
            <w:bookmarkStart w:id="152" w:name="_Toc525063256"/>
            <w:bookmarkStart w:id="153" w:name="_Toc26875"/>
            <w:bookmarkStart w:id="154" w:name="_Toc16761"/>
            <w:bookmarkStart w:id="155" w:name="_Toc12458"/>
            <w:bookmarkStart w:id="156" w:name="_Toc27844"/>
            <w:bookmarkStart w:id="157" w:name="_Toc28853"/>
            <w:bookmarkStart w:id="158" w:name="_Toc532367883"/>
            <w:bookmarkStart w:id="159" w:name="_Toc6317"/>
            <w:bookmarkStart w:id="160" w:name="_Toc25831"/>
            <w:r>
              <w:rPr>
                <w:rFonts w:hint="eastAsia" w:ascii="宋体" w:hAnsi="宋体" w:cs="宋体"/>
                <w:color w:val="auto"/>
                <w:szCs w:val="21"/>
                <w:highlight w:val="none"/>
              </w:rPr>
              <w:t>2.2.4</w:t>
            </w:r>
          </w:p>
          <w:p w14:paraId="4660848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82" w:type="pct"/>
            <w:vMerge w:val="restart"/>
            <w:tcBorders>
              <w:top w:val="single" w:color="auto" w:sz="4" w:space="0"/>
              <w:right w:val="single" w:color="auto" w:sz="4" w:space="0"/>
            </w:tcBorders>
            <w:vAlign w:val="center"/>
          </w:tcPr>
          <w:p w14:paraId="7FDDE19B">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资信业绩部分评分标准（65分）</w:t>
            </w:r>
          </w:p>
        </w:tc>
        <w:tc>
          <w:tcPr>
            <w:tcW w:w="824" w:type="pct"/>
            <w:gridSpan w:val="2"/>
            <w:tcBorders>
              <w:top w:val="single" w:color="auto" w:sz="4" w:space="0"/>
              <w:left w:val="single" w:color="auto" w:sz="4" w:space="0"/>
              <w:right w:val="single" w:color="auto" w:sz="4" w:space="0"/>
            </w:tcBorders>
            <w:vAlign w:val="center"/>
          </w:tcPr>
          <w:p w14:paraId="68861AEF">
            <w:pPr>
              <w:widowControl/>
              <w:spacing w:line="276"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类似项目业绩（15分）</w:t>
            </w:r>
          </w:p>
        </w:tc>
        <w:tc>
          <w:tcPr>
            <w:tcW w:w="3269" w:type="pct"/>
            <w:tcBorders>
              <w:top w:val="single" w:color="auto" w:sz="4" w:space="0"/>
              <w:left w:val="single" w:color="auto" w:sz="4" w:space="0"/>
              <w:bottom w:val="single" w:color="auto" w:sz="4" w:space="0"/>
              <w:right w:val="single" w:color="auto" w:sz="4" w:space="0"/>
            </w:tcBorders>
            <w:vAlign w:val="center"/>
          </w:tcPr>
          <w:p w14:paraId="245B8F9E">
            <w:pPr>
              <w:widowControl/>
              <w:spacing w:line="240" w:lineRule="exact"/>
              <w:jc w:val="left"/>
              <w:textAlignment w:val="center"/>
              <w:rPr>
                <w:rFonts w:ascii="宋体" w:hAnsi="宋体"/>
                <w:color w:val="auto"/>
                <w:szCs w:val="21"/>
                <w:highlight w:val="none"/>
              </w:rPr>
            </w:pPr>
            <w:r>
              <w:rPr>
                <w:rFonts w:hint="eastAsia" w:ascii="宋体" w:hAnsi="宋体" w:cs="宋体"/>
                <w:color w:val="auto"/>
                <w:kern w:val="0"/>
                <w:szCs w:val="21"/>
                <w:highlight w:val="none"/>
                <w:lang w:bidi="ar"/>
              </w:rPr>
              <w:t>自2020年1月1日至投标截止时间止，投标人承接过的合同金额</w:t>
            </w:r>
            <w:r>
              <w:rPr>
                <w:rFonts w:hint="eastAsia" w:ascii="宋体" w:hAnsi="宋体" w:cs="宋体"/>
                <w:b/>
                <w:bCs/>
                <w:color w:val="auto"/>
                <w:kern w:val="0"/>
                <w:szCs w:val="21"/>
                <w:highlight w:val="none"/>
                <w:lang w:val="en-US" w:eastAsia="zh-CN" w:bidi="ar"/>
              </w:rPr>
              <w:t>70</w:t>
            </w:r>
            <w:r>
              <w:rPr>
                <w:rFonts w:hint="eastAsia" w:ascii="宋体" w:hAnsi="宋体" w:cs="宋体"/>
                <w:b/>
                <w:bCs/>
                <w:color w:val="auto"/>
                <w:kern w:val="0"/>
                <w:szCs w:val="21"/>
                <w:highlight w:val="none"/>
                <w:lang w:bidi="ar"/>
              </w:rPr>
              <w:t>万</w:t>
            </w:r>
            <w:r>
              <w:rPr>
                <w:rFonts w:hint="eastAsia" w:ascii="宋体" w:hAnsi="宋体" w:cs="宋体"/>
                <w:b/>
                <w:bCs/>
                <w:color w:val="auto"/>
                <w:kern w:val="0"/>
                <w:szCs w:val="21"/>
                <w:highlight w:val="none"/>
                <w:lang w:bidi="ar"/>
              </w:rPr>
              <w:t>元</w:t>
            </w:r>
            <w:r>
              <w:rPr>
                <w:rFonts w:hint="eastAsia" w:ascii="宋体" w:hAnsi="宋体" w:cs="宋体"/>
                <w:color w:val="auto"/>
                <w:kern w:val="0"/>
                <w:szCs w:val="21"/>
                <w:highlight w:val="none"/>
                <w:lang w:bidi="ar"/>
              </w:rPr>
              <w:t>或以上类似检/监测项目业绩，每项得3分，本项最高得15分。</w:t>
            </w:r>
          </w:p>
          <w:p w14:paraId="533A8C0A">
            <w:pPr>
              <w:widowControl/>
              <w:spacing w:line="240" w:lineRule="exact"/>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注：1、类似检测（或监测）项目业绩：是指包含本次招标内容中的一项或多项的建设工程质量检测或监测类业绩，合同内容名称不同，但表达的意思一致也视为满足内容要求。</w:t>
            </w:r>
          </w:p>
          <w:p w14:paraId="3450914C">
            <w:pPr>
              <w:widowControl/>
              <w:spacing w:line="240" w:lineRule="exact"/>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需提供技术服务合同关键页（合同关键页包含签订合同双方的单位名称、项目名称、项目内容、双方签字盖章页及合同签订日期内容）、检测或监测报告等证明材料扫描件，业绩时间及金额均以合同为准，类似业绩时间及金额均以合同为准。</w:t>
            </w:r>
          </w:p>
          <w:p w14:paraId="646EFFAD">
            <w:pPr>
              <w:widowControl/>
              <w:spacing w:line="240" w:lineRule="exact"/>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3、若以联合体方式参与投标的，本项评分内容联合体各成员可以累计加分。</w:t>
            </w:r>
          </w:p>
        </w:tc>
      </w:tr>
      <w:tr w14:paraId="3EC91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25" w:type="pct"/>
            <w:vMerge w:val="continue"/>
            <w:tcBorders>
              <w:right w:val="single" w:color="auto" w:sz="4" w:space="0"/>
            </w:tcBorders>
            <w:vAlign w:val="center"/>
          </w:tcPr>
          <w:p w14:paraId="6827ECC9">
            <w:pPr>
              <w:spacing w:line="276" w:lineRule="auto"/>
              <w:jc w:val="center"/>
              <w:rPr>
                <w:rFonts w:ascii="宋体" w:hAnsi="宋体" w:cs="宋体"/>
                <w:color w:val="auto"/>
                <w:szCs w:val="21"/>
                <w:highlight w:val="none"/>
              </w:rPr>
            </w:pPr>
          </w:p>
        </w:tc>
        <w:tc>
          <w:tcPr>
            <w:tcW w:w="482" w:type="pct"/>
            <w:vMerge w:val="continue"/>
            <w:tcBorders>
              <w:right w:val="single" w:color="auto" w:sz="4" w:space="0"/>
            </w:tcBorders>
            <w:vAlign w:val="center"/>
          </w:tcPr>
          <w:p w14:paraId="0A0E267B">
            <w:pPr>
              <w:spacing w:line="276" w:lineRule="auto"/>
              <w:jc w:val="center"/>
              <w:rPr>
                <w:rFonts w:ascii="宋体" w:hAnsi="宋体" w:cs="宋体"/>
                <w:color w:val="auto"/>
                <w:szCs w:val="21"/>
                <w:highlight w:val="none"/>
              </w:rPr>
            </w:pPr>
          </w:p>
        </w:tc>
        <w:tc>
          <w:tcPr>
            <w:tcW w:w="824" w:type="pct"/>
            <w:gridSpan w:val="2"/>
            <w:vMerge w:val="restart"/>
            <w:tcBorders>
              <w:top w:val="single" w:color="auto" w:sz="4" w:space="0"/>
              <w:left w:val="single" w:color="auto" w:sz="4" w:space="0"/>
              <w:right w:val="single" w:color="auto" w:sz="4" w:space="0"/>
            </w:tcBorders>
            <w:vAlign w:val="center"/>
          </w:tcPr>
          <w:p w14:paraId="3F7612B3">
            <w:pPr>
              <w:widowControl/>
              <w:spacing w:line="276" w:lineRule="auto"/>
              <w:jc w:val="center"/>
              <w:textAlignment w:val="center"/>
              <w:rPr>
                <w:rFonts w:ascii="宋体" w:hAnsi="宋体" w:cs="宋体"/>
                <w:color w:val="auto"/>
                <w:szCs w:val="21"/>
                <w:highlight w:val="none"/>
              </w:rPr>
            </w:pPr>
            <w:r>
              <w:rPr>
                <w:rFonts w:hint="eastAsia" w:cs="宋体"/>
                <w:color w:val="auto"/>
                <w:szCs w:val="21"/>
                <w:highlight w:val="none"/>
              </w:rPr>
              <w:t>投标人信誉综合评价（25分）</w:t>
            </w:r>
          </w:p>
        </w:tc>
        <w:tc>
          <w:tcPr>
            <w:tcW w:w="3269" w:type="pct"/>
            <w:tcBorders>
              <w:top w:val="single" w:color="auto" w:sz="4" w:space="0"/>
              <w:left w:val="single" w:color="auto" w:sz="4" w:space="0"/>
              <w:bottom w:val="single" w:color="auto" w:sz="4" w:space="0"/>
              <w:right w:val="single" w:color="auto" w:sz="4" w:space="0"/>
            </w:tcBorders>
            <w:vAlign w:val="center"/>
          </w:tcPr>
          <w:p w14:paraId="5CEB8434">
            <w:pPr>
              <w:widowControl/>
              <w:spacing w:line="276" w:lineRule="auto"/>
              <w:jc w:val="left"/>
              <w:textAlignment w:val="center"/>
              <w:rPr>
                <w:rFonts w:ascii="宋体" w:hAnsi="宋体"/>
                <w:color w:val="auto"/>
                <w:szCs w:val="21"/>
                <w:highlight w:val="none"/>
              </w:rPr>
            </w:pPr>
            <w:r>
              <w:rPr>
                <w:rFonts w:hint="eastAsia" w:ascii="宋体" w:hAnsi="宋体"/>
                <w:color w:val="auto"/>
                <w:szCs w:val="21"/>
                <w:highlight w:val="none"/>
              </w:rPr>
              <w:t>投标人同时具备中国合格评定国家认可委员会检验机构证书（CNAS）和中国合格评定国家认可委员会实验室认可证（CNAS），且在有效期内的，得</w:t>
            </w:r>
            <w:r>
              <w:rPr>
                <w:rFonts w:ascii="宋体" w:hAnsi="宋体"/>
                <w:color w:val="auto"/>
                <w:szCs w:val="21"/>
                <w:highlight w:val="none"/>
              </w:rPr>
              <w:t>8</w:t>
            </w:r>
            <w:r>
              <w:rPr>
                <w:rFonts w:hint="eastAsia" w:ascii="宋体" w:hAnsi="宋体"/>
                <w:color w:val="auto"/>
                <w:szCs w:val="21"/>
                <w:highlight w:val="none"/>
              </w:rPr>
              <w:t>分；具备其中一个证书的，得</w:t>
            </w:r>
            <w:r>
              <w:rPr>
                <w:rFonts w:ascii="宋体" w:hAnsi="宋体"/>
                <w:color w:val="auto"/>
                <w:szCs w:val="21"/>
                <w:highlight w:val="none"/>
              </w:rPr>
              <w:t>4</w:t>
            </w:r>
            <w:r>
              <w:rPr>
                <w:rFonts w:hint="eastAsia" w:ascii="宋体" w:hAnsi="宋体"/>
                <w:color w:val="auto"/>
                <w:szCs w:val="21"/>
                <w:highlight w:val="none"/>
              </w:rPr>
              <w:t>分；没有证书不得分。本项最多得</w:t>
            </w:r>
            <w:r>
              <w:rPr>
                <w:rFonts w:ascii="宋体" w:hAnsi="宋体"/>
                <w:color w:val="auto"/>
                <w:szCs w:val="21"/>
                <w:highlight w:val="none"/>
              </w:rPr>
              <w:t>8</w:t>
            </w:r>
            <w:r>
              <w:rPr>
                <w:rFonts w:hint="eastAsia" w:ascii="宋体" w:hAnsi="宋体"/>
                <w:color w:val="auto"/>
                <w:szCs w:val="21"/>
                <w:highlight w:val="none"/>
              </w:rPr>
              <w:t>分。</w:t>
            </w:r>
          </w:p>
          <w:p w14:paraId="14A54E9A">
            <w:pPr>
              <w:pStyle w:val="2"/>
              <w:rPr>
                <w:color w:val="auto"/>
                <w:highlight w:val="none"/>
              </w:rPr>
            </w:pPr>
            <w:r>
              <w:rPr>
                <w:rFonts w:hint="eastAsia" w:ascii="宋体" w:hAnsi="宋体" w:cs="宋体"/>
                <w:color w:val="auto"/>
                <w:kern w:val="0"/>
                <w:szCs w:val="21"/>
                <w:highlight w:val="none"/>
                <w:lang w:bidi="ar"/>
              </w:rPr>
              <w:t>注：须提供相关证书的扫描件。若以联合体方式投标的，本项评分内容以牵头方提供资料为准，成员单位提供不计分。</w:t>
            </w:r>
          </w:p>
        </w:tc>
      </w:tr>
      <w:tr w14:paraId="2441A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425" w:type="pct"/>
            <w:vMerge w:val="continue"/>
            <w:tcBorders>
              <w:right w:val="single" w:color="auto" w:sz="4" w:space="0"/>
            </w:tcBorders>
            <w:vAlign w:val="center"/>
          </w:tcPr>
          <w:p w14:paraId="1DF0887B">
            <w:pPr>
              <w:spacing w:line="276" w:lineRule="auto"/>
              <w:jc w:val="center"/>
              <w:rPr>
                <w:rFonts w:ascii="宋体" w:hAnsi="宋体" w:cs="宋体"/>
                <w:color w:val="auto"/>
                <w:szCs w:val="21"/>
                <w:highlight w:val="none"/>
              </w:rPr>
            </w:pPr>
          </w:p>
        </w:tc>
        <w:tc>
          <w:tcPr>
            <w:tcW w:w="482" w:type="pct"/>
            <w:vMerge w:val="continue"/>
            <w:tcBorders>
              <w:right w:val="single" w:color="auto" w:sz="4" w:space="0"/>
            </w:tcBorders>
            <w:vAlign w:val="center"/>
          </w:tcPr>
          <w:p w14:paraId="0532DF36">
            <w:pPr>
              <w:spacing w:line="276" w:lineRule="auto"/>
              <w:jc w:val="center"/>
              <w:rPr>
                <w:rFonts w:ascii="宋体" w:hAnsi="宋体" w:cs="宋体"/>
                <w:color w:val="auto"/>
                <w:szCs w:val="21"/>
                <w:highlight w:val="none"/>
              </w:rPr>
            </w:pPr>
          </w:p>
        </w:tc>
        <w:tc>
          <w:tcPr>
            <w:tcW w:w="824" w:type="pct"/>
            <w:gridSpan w:val="2"/>
            <w:vMerge w:val="continue"/>
            <w:tcBorders>
              <w:left w:val="single" w:color="auto" w:sz="4" w:space="0"/>
              <w:right w:val="single" w:color="auto" w:sz="4" w:space="0"/>
            </w:tcBorders>
            <w:vAlign w:val="center"/>
          </w:tcPr>
          <w:p w14:paraId="0932AE4C">
            <w:pPr>
              <w:spacing w:line="276" w:lineRule="auto"/>
              <w:jc w:val="center"/>
              <w:rPr>
                <w:rFonts w:ascii="宋体" w:hAnsi="宋体" w:cs="宋体"/>
                <w:color w:val="auto"/>
                <w:szCs w:val="21"/>
                <w:highlight w:val="none"/>
              </w:rPr>
            </w:pPr>
          </w:p>
        </w:tc>
        <w:tc>
          <w:tcPr>
            <w:tcW w:w="3269" w:type="pct"/>
            <w:tcBorders>
              <w:top w:val="single" w:color="auto" w:sz="4" w:space="0"/>
              <w:left w:val="single" w:color="auto" w:sz="4" w:space="0"/>
              <w:bottom w:val="single" w:color="auto" w:sz="4" w:space="0"/>
              <w:right w:val="single" w:color="auto" w:sz="4" w:space="0"/>
            </w:tcBorders>
            <w:vAlign w:val="center"/>
          </w:tcPr>
          <w:p w14:paraId="673B0734">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投标人具有有效期内的 “环境管理体系、职业健康安全管理体系、质量管理体系、知识产权管理体系、信息技术服务管理体系、安全生产标准化体系”认证证书的，每个证书得1分，本项最高得6分。</w:t>
            </w:r>
          </w:p>
          <w:p w14:paraId="752363D6">
            <w:pPr>
              <w:pStyle w:val="2"/>
              <w:rPr>
                <w:color w:val="auto"/>
                <w:highlight w:val="none"/>
              </w:rPr>
            </w:pPr>
            <w:r>
              <w:rPr>
                <w:rFonts w:hint="eastAsia" w:ascii="宋体" w:hAnsi="宋体" w:cs="宋体"/>
                <w:color w:val="auto"/>
                <w:kern w:val="0"/>
                <w:szCs w:val="21"/>
                <w:highlight w:val="none"/>
                <w:lang w:bidi="ar"/>
              </w:rPr>
              <w:t>注：须提供相关证书的扫描件，没有提供的不得分。若以联合体方式投标的，本项评分内容以牵头方提供资料为准，成员单位提供不计分。</w:t>
            </w:r>
          </w:p>
        </w:tc>
      </w:tr>
      <w:tr w14:paraId="73B53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25" w:type="pct"/>
            <w:vMerge w:val="continue"/>
            <w:tcBorders>
              <w:right w:val="single" w:color="auto" w:sz="4" w:space="0"/>
            </w:tcBorders>
            <w:vAlign w:val="center"/>
          </w:tcPr>
          <w:p w14:paraId="09D3EE00">
            <w:pPr>
              <w:spacing w:line="276" w:lineRule="auto"/>
              <w:jc w:val="center"/>
              <w:rPr>
                <w:rFonts w:ascii="宋体" w:hAnsi="宋体" w:cs="宋体"/>
                <w:color w:val="auto"/>
                <w:szCs w:val="21"/>
                <w:highlight w:val="none"/>
              </w:rPr>
            </w:pPr>
          </w:p>
        </w:tc>
        <w:tc>
          <w:tcPr>
            <w:tcW w:w="482" w:type="pct"/>
            <w:vMerge w:val="continue"/>
            <w:tcBorders>
              <w:right w:val="single" w:color="auto" w:sz="4" w:space="0"/>
            </w:tcBorders>
            <w:vAlign w:val="center"/>
          </w:tcPr>
          <w:p w14:paraId="6809F299">
            <w:pPr>
              <w:spacing w:line="276" w:lineRule="auto"/>
              <w:jc w:val="center"/>
              <w:rPr>
                <w:rFonts w:ascii="宋体" w:hAnsi="宋体" w:cs="宋体"/>
                <w:color w:val="auto"/>
                <w:szCs w:val="21"/>
                <w:highlight w:val="none"/>
              </w:rPr>
            </w:pPr>
          </w:p>
        </w:tc>
        <w:tc>
          <w:tcPr>
            <w:tcW w:w="824" w:type="pct"/>
            <w:gridSpan w:val="2"/>
            <w:vMerge w:val="continue"/>
            <w:tcBorders>
              <w:left w:val="single" w:color="auto" w:sz="4" w:space="0"/>
              <w:right w:val="single" w:color="auto" w:sz="4" w:space="0"/>
            </w:tcBorders>
            <w:vAlign w:val="center"/>
          </w:tcPr>
          <w:p w14:paraId="2148D357">
            <w:pPr>
              <w:spacing w:line="276" w:lineRule="auto"/>
              <w:jc w:val="center"/>
              <w:rPr>
                <w:rFonts w:ascii="宋体" w:hAnsi="宋体" w:cs="宋体"/>
                <w:color w:val="auto"/>
                <w:szCs w:val="21"/>
                <w:highlight w:val="none"/>
              </w:rPr>
            </w:pPr>
          </w:p>
        </w:tc>
        <w:tc>
          <w:tcPr>
            <w:tcW w:w="3269" w:type="pct"/>
            <w:tcBorders>
              <w:top w:val="single" w:color="auto" w:sz="4" w:space="0"/>
              <w:left w:val="single" w:color="auto" w:sz="4" w:space="0"/>
              <w:bottom w:val="single" w:color="auto" w:sz="4" w:space="0"/>
              <w:right w:val="single" w:color="auto" w:sz="4" w:space="0"/>
            </w:tcBorders>
            <w:vAlign w:val="center"/>
          </w:tcPr>
          <w:p w14:paraId="5FDAAA9D">
            <w:pPr>
              <w:pStyle w:val="2"/>
              <w:rPr>
                <w:rFonts w:ascii="宋体" w:hAnsi="宋体"/>
                <w:color w:val="auto"/>
                <w:szCs w:val="21"/>
                <w:highlight w:val="none"/>
              </w:rPr>
            </w:pPr>
            <w:r>
              <w:rPr>
                <w:rFonts w:ascii="宋体" w:hAnsi="宋体"/>
                <w:color w:val="auto"/>
                <w:szCs w:val="21"/>
                <w:highlight w:val="none"/>
              </w:rPr>
              <w:t>投标人获得过</w:t>
            </w:r>
            <w:r>
              <w:rPr>
                <w:rFonts w:hint="eastAsia" w:ascii="宋体" w:hAnsi="宋体"/>
                <w:color w:val="auto"/>
                <w:szCs w:val="21"/>
                <w:highlight w:val="none"/>
              </w:rPr>
              <w:t>省级或以上</w:t>
            </w:r>
            <w:r>
              <w:rPr>
                <w:rFonts w:ascii="宋体" w:hAnsi="宋体"/>
                <w:color w:val="auto"/>
                <w:szCs w:val="21"/>
                <w:highlight w:val="none"/>
              </w:rPr>
              <w:t>行业</w:t>
            </w:r>
            <w:r>
              <w:rPr>
                <w:rFonts w:hint="eastAsia" w:ascii="宋体" w:hAnsi="宋体"/>
                <w:color w:val="auto"/>
                <w:szCs w:val="21"/>
                <w:highlight w:val="none"/>
              </w:rPr>
              <w:t>协会“</w:t>
            </w:r>
            <w:r>
              <w:rPr>
                <w:rFonts w:ascii="宋体" w:hAnsi="宋体"/>
                <w:color w:val="auto"/>
                <w:szCs w:val="21"/>
                <w:highlight w:val="none"/>
              </w:rPr>
              <w:t>先进单位</w:t>
            </w:r>
            <w:r>
              <w:rPr>
                <w:rFonts w:hint="eastAsia" w:ascii="宋体" w:hAnsi="宋体" w:cs="宋体"/>
                <w:color w:val="auto"/>
                <w:kern w:val="0"/>
                <w:szCs w:val="21"/>
                <w:highlight w:val="none"/>
                <w:lang w:bidi="ar"/>
              </w:rPr>
              <w:t>”</w:t>
            </w:r>
            <w:r>
              <w:rPr>
                <w:rFonts w:ascii="宋体" w:hAnsi="宋体"/>
                <w:color w:val="auto"/>
                <w:szCs w:val="21"/>
                <w:highlight w:val="none"/>
              </w:rPr>
              <w:t>表彰，一次得 5分；本项最多得5 分。</w:t>
            </w:r>
          </w:p>
          <w:p w14:paraId="028317F7">
            <w:pPr>
              <w:pStyle w:val="2"/>
              <w:rPr>
                <w:color w:val="auto"/>
                <w:highlight w:val="none"/>
              </w:rPr>
            </w:pPr>
            <w:r>
              <w:rPr>
                <w:rFonts w:hint="eastAsia" w:ascii="宋体" w:hAnsi="宋体" w:cs="宋体"/>
                <w:color w:val="auto"/>
                <w:szCs w:val="21"/>
                <w:highlight w:val="none"/>
              </w:rPr>
              <w:t>注：</w:t>
            </w:r>
            <w:r>
              <w:rPr>
                <w:rFonts w:hint="eastAsia" w:ascii="宋体" w:hAnsi="宋体" w:cs="宋体"/>
                <w:color w:val="auto"/>
                <w:kern w:val="0"/>
                <w:szCs w:val="21"/>
                <w:highlight w:val="none"/>
                <w:lang w:bidi="ar"/>
              </w:rPr>
              <w:t>须提供相关证书的清晰扫描件，没有提供的不得分。若以联合体方式投标的，本项评分内容以牵头方提供资料为准，成员单位提供不计分。</w:t>
            </w:r>
          </w:p>
        </w:tc>
      </w:tr>
      <w:tr w14:paraId="29968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25" w:type="pct"/>
            <w:vMerge w:val="continue"/>
            <w:tcBorders>
              <w:right w:val="single" w:color="auto" w:sz="4" w:space="0"/>
            </w:tcBorders>
            <w:vAlign w:val="center"/>
          </w:tcPr>
          <w:p w14:paraId="38504F74">
            <w:pPr>
              <w:spacing w:line="276" w:lineRule="auto"/>
              <w:jc w:val="center"/>
              <w:rPr>
                <w:rFonts w:ascii="宋体" w:hAnsi="宋体" w:cs="宋体"/>
                <w:color w:val="auto"/>
                <w:szCs w:val="21"/>
                <w:highlight w:val="none"/>
              </w:rPr>
            </w:pPr>
          </w:p>
        </w:tc>
        <w:tc>
          <w:tcPr>
            <w:tcW w:w="482" w:type="pct"/>
            <w:vMerge w:val="continue"/>
            <w:tcBorders>
              <w:right w:val="single" w:color="auto" w:sz="4" w:space="0"/>
            </w:tcBorders>
            <w:vAlign w:val="center"/>
          </w:tcPr>
          <w:p w14:paraId="1A743024">
            <w:pPr>
              <w:spacing w:line="276" w:lineRule="auto"/>
              <w:jc w:val="center"/>
              <w:rPr>
                <w:rFonts w:ascii="宋体" w:hAnsi="宋体" w:cs="宋体"/>
                <w:color w:val="auto"/>
                <w:szCs w:val="21"/>
                <w:highlight w:val="none"/>
              </w:rPr>
            </w:pPr>
          </w:p>
        </w:tc>
        <w:tc>
          <w:tcPr>
            <w:tcW w:w="824" w:type="pct"/>
            <w:gridSpan w:val="2"/>
            <w:vMerge w:val="continue"/>
            <w:tcBorders>
              <w:left w:val="single" w:color="auto" w:sz="4" w:space="0"/>
              <w:right w:val="single" w:color="auto" w:sz="4" w:space="0"/>
            </w:tcBorders>
            <w:vAlign w:val="center"/>
          </w:tcPr>
          <w:p w14:paraId="3A5A2C6F">
            <w:pPr>
              <w:spacing w:line="276" w:lineRule="auto"/>
              <w:jc w:val="center"/>
              <w:rPr>
                <w:rFonts w:ascii="宋体" w:hAnsi="宋体" w:cs="宋体"/>
                <w:color w:val="auto"/>
                <w:szCs w:val="21"/>
                <w:highlight w:val="none"/>
              </w:rPr>
            </w:pPr>
          </w:p>
        </w:tc>
        <w:tc>
          <w:tcPr>
            <w:tcW w:w="3269" w:type="pct"/>
            <w:tcBorders>
              <w:top w:val="single" w:color="auto" w:sz="4" w:space="0"/>
              <w:left w:val="single" w:color="auto" w:sz="4" w:space="0"/>
              <w:bottom w:val="single" w:color="auto" w:sz="4" w:space="0"/>
              <w:right w:val="single" w:color="auto" w:sz="4" w:space="0"/>
            </w:tcBorders>
            <w:vAlign w:val="center"/>
          </w:tcPr>
          <w:p w14:paraId="2368C728">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投标人获得过“科学技术奖励证书”：（本项最高得</w:t>
            </w:r>
            <w:r>
              <w:rPr>
                <w:rFonts w:ascii="宋体" w:hAnsi="宋体" w:cs="宋体"/>
                <w:color w:val="auto"/>
                <w:kern w:val="0"/>
                <w:szCs w:val="21"/>
                <w:highlight w:val="none"/>
                <w:lang w:bidi="ar"/>
              </w:rPr>
              <w:t>6</w:t>
            </w:r>
            <w:r>
              <w:rPr>
                <w:rFonts w:hint="eastAsia" w:ascii="宋体" w:hAnsi="宋体" w:cs="宋体"/>
                <w:color w:val="auto"/>
                <w:kern w:val="0"/>
                <w:szCs w:val="21"/>
                <w:highlight w:val="none"/>
                <w:lang w:bidi="ar"/>
              </w:rPr>
              <w:t>分）</w:t>
            </w:r>
          </w:p>
          <w:p w14:paraId="31F0A81F">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（1）国家政府部门颁发的国家级科学技术奖励证书（不限等级），或获得省级人民政府颁发的科学技术奖励证书（特等奖或一等奖）的，得</w:t>
            </w:r>
            <w:r>
              <w:rPr>
                <w:rFonts w:ascii="宋体" w:hAnsi="宋体" w:cs="宋体"/>
                <w:color w:val="auto"/>
                <w:kern w:val="0"/>
                <w:szCs w:val="21"/>
                <w:highlight w:val="none"/>
                <w:lang w:bidi="ar"/>
              </w:rPr>
              <w:t>6</w:t>
            </w:r>
            <w:r>
              <w:rPr>
                <w:rFonts w:hint="eastAsia" w:ascii="宋体" w:hAnsi="宋体" w:cs="宋体"/>
                <w:color w:val="auto"/>
                <w:kern w:val="0"/>
                <w:szCs w:val="21"/>
                <w:highlight w:val="none"/>
                <w:lang w:bidi="ar"/>
              </w:rPr>
              <w:t>分；</w:t>
            </w:r>
          </w:p>
          <w:p w14:paraId="7C70B878">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（2）获得省级人民政府颁发的科学技术奖励证书（二等奖）的，得</w:t>
            </w:r>
            <w:r>
              <w:rPr>
                <w:rFonts w:ascii="宋体" w:hAnsi="宋体" w:cs="宋体"/>
                <w:color w:val="auto"/>
                <w:kern w:val="0"/>
                <w:szCs w:val="21"/>
                <w:highlight w:val="none"/>
                <w:lang w:bidi="ar"/>
              </w:rPr>
              <w:t>5</w:t>
            </w:r>
            <w:r>
              <w:rPr>
                <w:rFonts w:hint="eastAsia" w:ascii="宋体" w:hAnsi="宋体" w:cs="宋体"/>
                <w:color w:val="auto"/>
                <w:kern w:val="0"/>
                <w:szCs w:val="21"/>
                <w:highlight w:val="none"/>
                <w:lang w:bidi="ar"/>
              </w:rPr>
              <w:t>分；</w:t>
            </w:r>
          </w:p>
          <w:p w14:paraId="42C4D881">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（3）获得省级人民政府颁发的科学技术奖励证书（三等奖）的，得</w:t>
            </w: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分。</w:t>
            </w:r>
          </w:p>
          <w:p w14:paraId="1A595386">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（4）获得市级人民政府颁发的科学技术奖励证书（不限等级）的，得2分。</w:t>
            </w:r>
          </w:p>
          <w:p w14:paraId="4C0C6B86">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（5）没有不得分。</w:t>
            </w:r>
          </w:p>
          <w:p w14:paraId="7F10A198">
            <w:pPr>
              <w:widowControl/>
              <w:spacing w:line="276" w:lineRule="auto"/>
              <w:jc w:val="left"/>
              <w:textAlignment w:val="center"/>
              <w:rPr>
                <w:color w:val="auto"/>
                <w:highlight w:val="none"/>
              </w:rPr>
            </w:pPr>
            <w:r>
              <w:rPr>
                <w:rFonts w:hint="eastAsia" w:ascii="宋体" w:hAnsi="宋体" w:cs="宋体"/>
                <w:color w:val="auto"/>
                <w:kern w:val="0"/>
                <w:szCs w:val="21"/>
                <w:highlight w:val="none"/>
                <w:lang w:bidi="ar"/>
              </w:rPr>
              <w:t>注：同一项目获得多个奖项的，按最高奖项计取，不重复计算。需提供获奖证书等相关证明材料扫描件，科学技术奖励证书颁发部门须为国家或省、市人民政府，个人奖项不得分。若以联合体方式投标的，本项评分内容以牵头方提供资料为准，成员单位提供不计分。</w:t>
            </w:r>
          </w:p>
        </w:tc>
      </w:tr>
      <w:tr w14:paraId="319DC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425" w:type="pct"/>
            <w:vMerge w:val="continue"/>
            <w:tcBorders>
              <w:right w:val="single" w:color="auto" w:sz="4" w:space="0"/>
            </w:tcBorders>
            <w:vAlign w:val="center"/>
          </w:tcPr>
          <w:p w14:paraId="3F5F2191">
            <w:pPr>
              <w:spacing w:line="276" w:lineRule="auto"/>
              <w:jc w:val="center"/>
              <w:rPr>
                <w:rFonts w:ascii="宋体" w:hAnsi="宋体" w:cs="宋体"/>
                <w:color w:val="auto"/>
                <w:szCs w:val="21"/>
                <w:highlight w:val="none"/>
              </w:rPr>
            </w:pPr>
          </w:p>
        </w:tc>
        <w:tc>
          <w:tcPr>
            <w:tcW w:w="482" w:type="pct"/>
            <w:vMerge w:val="continue"/>
            <w:tcBorders>
              <w:right w:val="single" w:color="auto" w:sz="4" w:space="0"/>
            </w:tcBorders>
            <w:vAlign w:val="center"/>
          </w:tcPr>
          <w:p w14:paraId="3C448CA2">
            <w:pPr>
              <w:spacing w:line="276" w:lineRule="auto"/>
              <w:jc w:val="center"/>
              <w:rPr>
                <w:rFonts w:ascii="宋体" w:hAnsi="宋体" w:cs="宋体"/>
                <w:color w:val="auto"/>
                <w:szCs w:val="21"/>
                <w:highlight w:val="none"/>
              </w:rPr>
            </w:pPr>
          </w:p>
        </w:tc>
        <w:tc>
          <w:tcPr>
            <w:tcW w:w="824" w:type="pct"/>
            <w:gridSpan w:val="2"/>
            <w:vMerge w:val="restart"/>
            <w:tcBorders>
              <w:top w:val="single" w:color="auto" w:sz="4" w:space="0"/>
              <w:left w:val="single" w:color="auto" w:sz="4" w:space="0"/>
              <w:right w:val="single" w:color="auto" w:sz="4" w:space="0"/>
            </w:tcBorders>
            <w:vAlign w:val="center"/>
          </w:tcPr>
          <w:p w14:paraId="461F828E">
            <w:pPr>
              <w:widowControl/>
              <w:spacing w:line="276" w:lineRule="auto"/>
              <w:jc w:val="center"/>
              <w:textAlignment w:val="center"/>
              <w:rPr>
                <w:rFonts w:ascii="宋体" w:hAnsi="宋体" w:cs="宋体"/>
                <w:color w:val="auto"/>
                <w:szCs w:val="21"/>
                <w:highlight w:val="none"/>
              </w:rPr>
            </w:pPr>
            <w:r>
              <w:rPr>
                <w:rFonts w:hint="eastAsia" w:cs="宋体"/>
                <w:color w:val="auto"/>
                <w:szCs w:val="21"/>
                <w:highlight w:val="none"/>
              </w:rPr>
              <w:t>拟投入人员综合水平（25分）</w:t>
            </w:r>
          </w:p>
        </w:tc>
        <w:tc>
          <w:tcPr>
            <w:tcW w:w="3269" w:type="pct"/>
            <w:tcBorders>
              <w:top w:val="single" w:color="auto" w:sz="4" w:space="0"/>
              <w:left w:val="single" w:color="auto" w:sz="4" w:space="0"/>
              <w:bottom w:val="single" w:color="auto" w:sz="4" w:space="0"/>
              <w:right w:val="single" w:color="auto" w:sz="4" w:space="0"/>
            </w:tcBorders>
            <w:vAlign w:val="center"/>
          </w:tcPr>
          <w:p w14:paraId="1E473E9D">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项目负责人:（本项最高得 7 分）：</w:t>
            </w:r>
          </w:p>
          <w:p w14:paraId="1893ED5F">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1、具有工程类相关专业副高级工程师或以上职称，得 3分，</w:t>
            </w:r>
            <w:r>
              <w:rPr>
                <w:rFonts w:hint="eastAsia" w:ascii="宋体" w:hAnsi="宋体" w:cs="宋体"/>
                <w:color w:val="auto"/>
                <w:szCs w:val="21"/>
                <w:highlight w:val="none"/>
              </w:rPr>
              <w:t>中级工程师职称得2分，</w:t>
            </w:r>
            <w:r>
              <w:rPr>
                <w:rFonts w:hint="eastAsia" w:ascii="宋体" w:hAnsi="宋体" w:cs="宋体"/>
                <w:color w:val="auto"/>
                <w:kern w:val="0"/>
                <w:szCs w:val="21"/>
                <w:highlight w:val="none"/>
                <w:lang w:bidi="ar"/>
              </w:rPr>
              <w:t>其他不得分。</w:t>
            </w:r>
          </w:p>
          <w:p w14:paraId="63E73872">
            <w:pPr>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、具有建设行政主管部门或其委托的机构、行业协会颁发的检测员证或检测鉴定培训合格证的得2分；没有获得，不得分；</w:t>
            </w:r>
          </w:p>
          <w:p w14:paraId="3215450E">
            <w:pPr>
              <w:rPr>
                <w:rFonts w:ascii="宋体" w:hAnsi="宋体"/>
                <w:bCs/>
                <w:color w:val="auto"/>
                <w:szCs w:val="21"/>
                <w:highlight w:val="none"/>
              </w:rPr>
            </w:pPr>
            <w:r>
              <w:rPr>
                <w:rFonts w:hint="eastAsia" w:ascii="宋体" w:hAnsi="宋体"/>
                <w:bCs/>
                <w:color w:val="auto"/>
                <w:szCs w:val="21"/>
                <w:highlight w:val="none"/>
              </w:rPr>
              <w:t>3.具有注册土木工程师（岩土）证书的（注册单位与投标单位一致），得2分</w:t>
            </w:r>
          </w:p>
          <w:p w14:paraId="537DAA48">
            <w:pPr>
              <w:widowControl/>
              <w:spacing w:line="276"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注：项目负责人与技术负责人不可兼任。须提供身份证、职称证书、检测员证或合格证等扫描件，提供投标截止前1月在本单位的社保证明材料，并加盖公章，否则不得分。若以联合体方式投标的，本项评分内容以牵头方提供资料为准，成员单位提供不计分。</w:t>
            </w:r>
          </w:p>
        </w:tc>
      </w:tr>
      <w:tr w14:paraId="29A2D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25" w:type="pct"/>
            <w:vMerge w:val="continue"/>
            <w:tcBorders>
              <w:right w:val="single" w:color="auto" w:sz="4" w:space="0"/>
            </w:tcBorders>
            <w:vAlign w:val="center"/>
          </w:tcPr>
          <w:p w14:paraId="6F6495B1">
            <w:pPr>
              <w:spacing w:line="276" w:lineRule="auto"/>
              <w:jc w:val="center"/>
              <w:rPr>
                <w:rFonts w:ascii="宋体" w:hAnsi="宋体" w:cs="宋体"/>
                <w:color w:val="auto"/>
                <w:szCs w:val="21"/>
                <w:highlight w:val="none"/>
              </w:rPr>
            </w:pPr>
          </w:p>
        </w:tc>
        <w:tc>
          <w:tcPr>
            <w:tcW w:w="482" w:type="pct"/>
            <w:vMerge w:val="continue"/>
            <w:tcBorders>
              <w:right w:val="single" w:color="auto" w:sz="4" w:space="0"/>
            </w:tcBorders>
            <w:vAlign w:val="center"/>
          </w:tcPr>
          <w:p w14:paraId="2F82290B">
            <w:pPr>
              <w:spacing w:line="276" w:lineRule="auto"/>
              <w:jc w:val="center"/>
              <w:rPr>
                <w:rFonts w:ascii="宋体" w:hAnsi="宋体" w:cs="宋体"/>
                <w:color w:val="auto"/>
                <w:szCs w:val="21"/>
                <w:highlight w:val="none"/>
              </w:rPr>
            </w:pPr>
          </w:p>
        </w:tc>
        <w:tc>
          <w:tcPr>
            <w:tcW w:w="824" w:type="pct"/>
            <w:gridSpan w:val="2"/>
            <w:vMerge w:val="continue"/>
            <w:tcBorders>
              <w:left w:val="single" w:color="auto" w:sz="4" w:space="0"/>
              <w:right w:val="single" w:color="auto" w:sz="4" w:space="0"/>
            </w:tcBorders>
            <w:vAlign w:val="center"/>
          </w:tcPr>
          <w:p w14:paraId="52CCF115">
            <w:pPr>
              <w:widowControl/>
              <w:spacing w:line="276" w:lineRule="auto"/>
              <w:contextualSpacing/>
              <w:jc w:val="center"/>
              <w:rPr>
                <w:rFonts w:ascii="宋体" w:hAnsi="宋体" w:cs="宋体"/>
                <w:color w:val="auto"/>
                <w:szCs w:val="21"/>
                <w:highlight w:val="none"/>
              </w:rPr>
            </w:pPr>
          </w:p>
        </w:tc>
        <w:tc>
          <w:tcPr>
            <w:tcW w:w="3269" w:type="pct"/>
            <w:tcBorders>
              <w:top w:val="single" w:color="auto" w:sz="4" w:space="0"/>
              <w:left w:val="single" w:color="auto" w:sz="4" w:space="0"/>
              <w:bottom w:val="single" w:color="auto" w:sz="4" w:space="0"/>
              <w:right w:val="single" w:color="auto" w:sz="4" w:space="0"/>
            </w:tcBorders>
            <w:vAlign w:val="center"/>
          </w:tcPr>
          <w:p w14:paraId="4D7703A8">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技术负责人（本项最高得 8 分）：</w:t>
            </w:r>
          </w:p>
          <w:p w14:paraId="7EE543D9">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1.具有工程类相关专业副高级工程师或以上职称得 3 分；具有工程类相关专业工程师职称得2 分，其他不得分。</w:t>
            </w:r>
          </w:p>
          <w:p w14:paraId="669C1E76">
            <w:pPr>
              <w:widowControl/>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具有</w:t>
            </w:r>
            <w:r>
              <w:rPr>
                <w:rFonts w:hint="eastAsia" w:ascii="宋体" w:hAnsi="宋体" w:cs="宋体"/>
                <w:color w:val="auto"/>
                <w:szCs w:val="21"/>
                <w:highlight w:val="none"/>
              </w:rPr>
              <w:t>建设行政主管部门或其委托的机构、行业协会颁发的检测员证或检测鉴定培训合格证的，得</w:t>
            </w:r>
            <w:r>
              <w:rPr>
                <w:rFonts w:hint="eastAsia" w:ascii="宋体" w:hAnsi="宋体" w:cs="宋体"/>
                <w:color w:val="auto"/>
                <w:szCs w:val="21"/>
                <w:highlight w:val="none"/>
                <w:u w:val="single"/>
              </w:rPr>
              <w:t>2</w:t>
            </w:r>
            <w:r>
              <w:rPr>
                <w:rFonts w:hint="eastAsia" w:ascii="宋体" w:hAnsi="宋体" w:cs="宋体"/>
                <w:color w:val="auto"/>
                <w:szCs w:val="21"/>
                <w:highlight w:val="none"/>
              </w:rPr>
              <w:t>分。</w:t>
            </w:r>
          </w:p>
          <w:p w14:paraId="7D0B005C">
            <w:pPr>
              <w:widowControl/>
              <w:jc w:val="left"/>
              <w:rPr>
                <w:rFonts w:ascii="宋体" w:hAnsi="宋体" w:cs="宋体"/>
                <w:color w:val="auto"/>
                <w:szCs w:val="21"/>
                <w:highlight w:val="none"/>
              </w:rPr>
            </w:pPr>
            <w:r>
              <w:rPr>
                <w:rFonts w:hint="eastAsia" w:ascii="宋体" w:hAnsi="宋体" w:cs="宋体"/>
                <w:color w:val="auto"/>
                <w:szCs w:val="21"/>
                <w:highlight w:val="none"/>
              </w:rPr>
              <w:t>3.具有注册土木工程师（岩土）证书的（注册单位与投标单位一致），得3分；</w:t>
            </w:r>
          </w:p>
          <w:p w14:paraId="11492D5D">
            <w:pPr>
              <w:pStyle w:val="2"/>
              <w:rPr>
                <w:color w:val="auto"/>
                <w:highlight w:val="none"/>
              </w:rPr>
            </w:pPr>
            <w:r>
              <w:rPr>
                <w:rFonts w:hint="eastAsia" w:ascii="宋体" w:hAnsi="宋体" w:cs="宋体"/>
                <w:color w:val="auto"/>
                <w:kern w:val="0"/>
                <w:szCs w:val="21"/>
                <w:highlight w:val="none"/>
                <w:lang w:bidi="ar"/>
              </w:rPr>
              <w:t>注：项目负责人与技术负责人不可兼任。须提供身份证、职称证书、注册证、检测员证或合格证等扫描件，提供投标截止前1月在本单位的社保证明材料，并加盖公章，否则不得分。若以联合体方式投标的，本项评分内容以牵头方提供资料为准，成员单位提供不计分。</w:t>
            </w:r>
          </w:p>
        </w:tc>
      </w:tr>
      <w:tr w14:paraId="02F83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5" w:hRule="atLeast"/>
        </w:trPr>
        <w:tc>
          <w:tcPr>
            <w:tcW w:w="425" w:type="pct"/>
            <w:vMerge w:val="continue"/>
            <w:tcBorders>
              <w:bottom w:val="single" w:color="auto" w:sz="4" w:space="0"/>
              <w:right w:val="single" w:color="auto" w:sz="4" w:space="0"/>
            </w:tcBorders>
            <w:vAlign w:val="center"/>
          </w:tcPr>
          <w:p w14:paraId="4C0D8BD0">
            <w:pPr>
              <w:spacing w:line="276" w:lineRule="auto"/>
              <w:jc w:val="center"/>
              <w:rPr>
                <w:rFonts w:ascii="宋体" w:hAnsi="宋体" w:cs="宋体"/>
                <w:color w:val="auto"/>
                <w:szCs w:val="21"/>
                <w:highlight w:val="none"/>
              </w:rPr>
            </w:pPr>
          </w:p>
        </w:tc>
        <w:tc>
          <w:tcPr>
            <w:tcW w:w="482" w:type="pct"/>
            <w:vMerge w:val="continue"/>
            <w:tcBorders>
              <w:bottom w:val="single" w:color="auto" w:sz="4" w:space="0"/>
              <w:right w:val="single" w:color="auto" w:sz="4" w:space="0"/>
            </w:tcBorders>
            <w:vAlign w:val="center"/>
          </w:tcPr>
          <w:p w14:paraId="253B395B">
            <w:pPr>
              <w:spacing w:line="276" w:lineRule="auto"/>
              <w:jc w:val="center"/>
              <w:rPr>
                <w:rFonts w:ascii="宋体" w:hAnsi="宋体" w:cs="宋体"/>
                <w:color w:val="auto"/>
                <w:szCs w:val="21"/>
                <w:highlight w:val="none"/>
              </w:rPr>
            </w:pPr>
          </w:p>
        </w:tc>
        <w:tc>
          <w:tcPr>
            <w:tcW w:w="824" w:type="pct"/>
            <w:gridSpan w:val="2"/>
            <w:vMerge w:val="continue"/>
            <w:tcBorders>
              <w:left w:val="single" w:color="auto" w:sz="4" w:space="0"/>
              <w:bottom w:val="single" w:color="auto" w:sz="4" w:space="0"/>
              <w:right w:val="single" w:color="auto" w:sz="4" w:space="0"/>
            </w:tcBorders>
            <w:vAlign w:val="center"/>
          </w:tcPr>
          <w:p w14:paraId="68D8E310">
            <w:pPr>
              <w:spacing w:line="276" w:lineRule="auto"/>
              <w:jc w:val="center"/>
              <w:rPr>
                <w:rFonts w:ascii="宋体" w:hAnsi="宋体" w:cs="宋体"/>
                <w:color w:val="auto"/>
                <w:szCs w:val="21"/>
                <w:highlight w:val="none"/>
              </w:rPr>
            </w:pPr>
          </w:p>
        </w:tc>
        <w:tc>
          <w:tcPr>
            <w:tcW w:w="3269" w:type="pct"/>
            <w:tcBorders>
              <w:top w:val="single" w:color="auto" w:sz="4" w:space="0"/>
              <w:left w:val="single" w:color="auto" w:sz="4" w:space="0"/>
              <w:right w:val="single" w:color="auto" w:sz="4" w:space="0"/>
            </w:tcBorders>
            <w:vAlign w:val="center"/>
          </w:tcPr>
          <w:p w14:paraId="44FF0FBA">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主要技术人员（本项最高得 10分）：</w:t>
            </w:r>
          </w:p>
          <w:p w14:paraId="6EFB3F43">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拟投入本项目技术人员（除项目负责人、技术负责人外）中：</w:t>
            </w:r>
          </w:p>
          <w:p w14:paraId="15FAB5B5">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（1）持有建设行政主管部门或其委托的机构、行业协会颁发的检测员证或检测鉴定培训合格证，每一人得0.5分，最多得5分。</w:t>
            </w:r>
          </w:p>
          <w:p w14:paraId="6C55D658">
            <w:pPr>
              <w:pStyle w:val="2"/>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（2）上述持有检测员证的人员中，具有工程类相关专业副高级工程师或以上职称，每一人加1分，具有工程类相关专业工程师职称，每一人加0.5分，最多得5分。（每个人员只按最高级别职称加分）。</w:t>
            </w:r>
          </w:p>
          <w:p w14:paraId="4C21624F">
            <w:pPr>
              <w:pStyle w:val="2"/>
              <w:rPr>
                <w:color w:val="auto"/>
                <w:highlight w:val="none"/>
              </w:rPr>
            </w:pPr>
            <w:r>
              <w:rPr>
                <w:rFonts w:hint="eastAsia" w:ascii="宋体" w:hAnsi="宋体" w:cs="宋体"/>
                <w:color w:val="auto"/>
                <w:kern w:val="0"/>
                <w:szCs w:val="21"/>
                <w:highlight w:val="none"/>
                <w:lang w:bidi="ar"/>
              </w:rPr>
              <w:t>注：以上检测技术人员须具有检测员岗位证或检测鉴定培训合格证，须提供身份证、职称证书、检测员证或合格证扫描件，提供投标截止前1月在本单位的社保证明材料，并加盖公章，否则不得分。若以联合体方式投标的，本项评分内容联合体各成员可以累计加分。</w:t>
            </w:r>
          </w:p>
        </w:tc>
      </w:tr>
      <w:tr w14:paraId="27BB0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4" w:hRule="atLeast"/>
        </w:trPr>
        <w:tc>
          <w:tcPr>
            <w:tcW w:w="425" w:type="pct"/>
            <w:vMerge w:val="restart"/>
            <w:tcBorders>
              <w:top w:val="single" w:color="auto" w:sz="4" w:space="0"/>
              <w:bottom w:val="single" w:color="auto" w:sz="4" w:space="0"/>
              <w:right w:val="single" w:color="auto" w:sz="4" w:space="0"/>
            </w:tcBorders>
            <w:vAlign w:val="center"/>
          </w:tcPr>
          <w:p w14:paraId="2FEF6AC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2.2.4</w:t>
            </w:r>
          </w:p>
          <w:p w14:paraId="400DB5F3">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82" w:type="pct"/>
            <w:vMerge w:val="restart"/>
            <w:tcBorders>
              <w:top w:val="single" w:color="auto" w:sz="4" w:space="0"/>
              <w:bottom w:val="single" w:color="auto" w:sz="4" w:space="0"/>
              <w:right w:val="single" w:color="auto" w:sz="4" w:space="0"/>
            </w:tcBorders>
            <w:vAlign w:val="center"/>
          </w:tcPr>
          <w:p w14:paraId="11D3A8BF">
            <w:pPr>
              <w:spacing w:line="276" w:lineRule="auto"/>
              <w:jc w:val="center"/>
              <w:rPr>
                <w:rFonts w:cs="宋体"/>
                <w:color w:val="auto"/>
                <w:szCs w:val="21"/>
                <w:highlight w:val="none"/>
              </w:rPr>
            </w:pPr>
            <w:r>
              <w:rPr>
                <w:rFonts w:hint="eastAsia" w:cs="宋体"/>
                <w:color w:val="auto"/>
                <w:szCs w:val="21"/>
                <w:highlight w:val="none"/>
              </w:rPr>
              <w:t>技术方案评分标准（25分）</w:t>
            </w:r>
          </w:p>
        </w:tc>
        <w:tc>
          <w:tcPr>
            <w:tcW w:w="824" w:type="pct"/>
            <w:gridSpan w:val="2"/>
            <w:tcBorders>
              <w:top w:val="single" w:color="auto" w:sz="4" w:space="0"/>
              <w:left w:val="single" w:color="auto" w:sz="4" w:space="0"/>
              <w:bottom w:val="single" w:color="auto" w:sz="4" w:space="0"/>
              <w:right w:val="single" w:color="auto" w:sz="4" w:space="0"/>
            </w:tcBorders>
            <w:vAlign w:val="center"/>
          </w:tcPr>
          <w:p w14:paraId="623AFDEC">
            <w:pPr>
              <w:widowControl/>
              <w:spacing w:line="276" w:lineRule="auto"/>
              <w:jc w:val="center"/>
              <w:textAlignment w:val="center"/>
              <w:rPr>
                <w:rFonts w:cs="宋体"/>
                <w:color w:val="auto"/>
                <w:szCs w:val="21"/>
                <w:highlight w:val="none"/>
              </w:rPr>
            </w:pPr>
            <w:r>
              <w:rPr>
                <w:rFonts w:hint="eastAsia" w:cs="宋体"/>
                <w:color w:val="auto"/>
                <w:szCs w:val="21"/>
                <w:highlight w:val="none"/>
              </w:rPr>
              <w:t>拟投入本项目设备计划（10分）</w:t>
            </w:r>
          </w:p>
        </w:tc>
        <w:tc>
          <w:tcPr>
            <w:tcW w:w="3269" w:type="pct"/>
            <w:tcBorders>
              <w:top w:val="single" w:color="auto" w:sz="4" w:space="0"/>
              <w:left w:val="single" w:color="auto" w:sz="4" w:space="0"/>
              <w:bottom w:val="single" w:color="auto" w:sz="4" w:space="0"/>
              <w:right w:val="single" w:color="auto" w:sz="4" w:space="0"/>
            </w:tcBorders>
          </w:tcPr>
          <w:p w14:paraId="4695CFF9">
            <w:pPr>
              <w:pStyle w:val="15"/>
              <w:adjustRightInd w:val="0"/>
              <w:snapToGrid w:val="0"/>
              <w:spacing w:after="0" w:line="276" w:lineRule="auto"/>
              <w:ind w:firstLine="210"/>
              <w:rPr>
                <w:rFonts w:ascii="宋体" w:hAnsi="宋体"/>
                <w:color w:val="auto"/>
                <w:szCs w:val="21"/>
                <w:highlight w:val="none"/>
              </w:rPr>
            </w:pPr>
            <w:r>
              <w:rPr>
                <w:rFonts w:hint="eastAsia" w:ascii="宋体" w:hAnsi="宋体"/>
                <w:color w:val="auto"/>
                <w:szCs w:val="21"/>
                <w:highlight w:val="none"/>
              </w:rPr>
              <w:t>【优】拟投入检测设备先进、配备合理，完全满足检测和服务期要求，得8-10分；</w:t>
            </w:r>
          </w:p>
          <w:p w14:paraId="4BB8D325">
            <w:pPr>
              <w:pStyle w:val="15"/>
              <w:adjustRightInd w:val="0"/>
              <w:snapToGrid w:val="0"/>
              <w:spacing w:after="0" w:line="276" w:lineRule="auto"/>
              <w:ind w:firstLine="210"/>
              <w:rPr>
                <w:rFonts w:ascii="宋体" w:hAnsi="宋体"/>
                <w:color w:val="auto"/>
                <w:szCs w:val="21"/>
                <w:highlight w:val="none"/>
              </w:rPr>
            </w:pPr>
            <w:r>
              <w:rPr>
                <w:rFonts w:hint="eastAsia" w:ascii="宋体" w:hAnsi="宋体"/>
                <w:color w:val="auto"/>
                <w:szCs w:val="21"/>
                <w:highlight w:val="none"/>
              </w:rPr>
              <w:t>【良】拟投入检测设备先进、配备合理，能较好满足检测和服务期要求，得4-7分；</w:t>
            </w:r>
          </w:p>
          <w:p w14:paraId="130C37E8">
            <w:pPr>
              <w:pStyle w:val="15"/>
              <w:adjustRightInd w:val="0"/>
              <w:snapToGrid w:val="0"/>
              <w:spacing w:after="0" w:line="276" w:lineRule="auto"/>
              <w:ind w:firstLine="210"/>
              <w:rPr>
                <w:rFonts w:ascii="宋体" w:hAnsi="宋体"/>
                <w:color w:val="auto"/>
                <w:szCs w:val="21"/>
                <w:highlight w:val="none"/>
              </w:rPr>
            </w:pPr>
            <w:r>
              <w:rPr>
                <w:rFonts w:hint="eastAsia" w:ascii="宋体" w:hAnsi="宋体"/>
                <w:color w:val="auto"/>
                <w:szCs w:val="21"/>
                <w:highlight w:val="none"/>
              </w:rPr>
              <w:t>【中】拟投入检测设备先进、配备基本合理，能基本满足检测和服务期要求，得1-3分；</w:t>
            </w:r>
          </w:p>
          <w:p w14:paraId="4CA5B645">
            <w:pPr>
              <w:pStyle w:val="15"/>
              <w:adjustRightInd w:val="0"/>
              <w:snapToGrid w:val="0"/>
              <w:spacing w:after="0" w:line="276" w:lineRule="auto"/>
              <w:ind w:firstLine="210"/>
              <w:rPr>
                <w:rFonts w:ascii="宋体" w:hAnsi="宋体"/>
                <w:color w:val="auto"/>
                <w:szCs w:val="21"/>
                <w:highlight w:val="none"/>
              </w:rPr>
            </w:pPr>
            <w:r>
              <w:rPr>
                <w:rFonts w:hint="eastAsia" w:ascii="宋体" w:hAnsi="宋体"/>
                <w:color w:val="auto"/>
                <w:szCs w:val="21"/>
                <w:highlight w:val="none"/>
              </w:rPr>
              <w:t>【差】设备不能满足检测需要和服务期要求，得0分。</w:t>
            </w:r>
          </w:p>
          <w:p w14:paraId="33A46C3B">
            <w:pPr>
              <w:widowControl/>
              <w:spacing w:line="276"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注：1、要求投标人同时提供发票（或租赁合同）和检定校准证书扫描件；</w:t>
            </w:r>
          </w:p>
          <w:p w14:paraId="0F449511">
            <w:pPr>
              <w:widowControl/>
              <w:spacing w:line="276"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2、仪器发票开具发票单位或租赁使用单位如果和投标人不一致时，开具发票单位或租赁使用单位必须与投标人同为一个相同的法人单位，并附单位营业执照等相关证明文件；</w:t>
            </w:r>
          </w:p>
          <w:p w14:paraId="665E8B16">
            <w:pPr>
              <w:widowControl/>
              <w:spacing w:line="276" w:lineRule="auto"/>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3、检定证书送检单位必须与投标人一致，否则不予认可。</w:t>
            </w:r>
          </w:p>
          <w:p w14:paraId="268CE1A7">
            <w:pPr>
              <w:widowControl/>
              <w:spacing w:line="276" w:lineRule="auto"/>
              <w:jc w:val="left"/>
              <w:rPr>
                <w:color w:val="auto"/>
                <w:highlight w:val="none"/>
              </w:rPr>
            </w:pPr>
            <w:r>
              <w:rPr>
                <w:rFonts w:hint="eastAsia" w:ascii="宋体" w:hAnsi="宋体" w:cs="宋体"/>
                <w:color w:val="auto"/>
                <w:kern w:val="0"/>
                <w:szCs w:val="21"/>
                <w:highlight w:val="none"/>
                <w:lang w:bidi="ar"/>
              </w:rPr>
              <w:t>4、本项评分内容联合体各成员可以累计加分。</w:t>
            </w:r>
          </w:p>
        </w:tc>
      </w:tr>
      <w:tr w14:paraId="04427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6" w:hRule="atLeast"/>
        </w:trPr>
        <w:tc>
          <w:tcPr>
            <w:tcW w:w="425" w:type="pct"/>
            <w:vMerge w:val="continue"/>
            <w:tcBorders>
              <w:top w:val="single" w:color="auto" w:sz="4" w:space="0"/>
              <w:bottom w:val="single" w:color="auto" w:sz="4" w:space="0"/>
              <w:right w:val="single" w:color="auto" w:sz="4" w:space="0"/>
            </w:tcBorders>
            <w:vAlign w:val="center"/>
          </w:tcPr>
          <w:p w14:paraId="0FF4F0D3">
            <w:pPr>
              <w:spacing w:line="276" w:lineRule="auto"/>
              <w:jc w:val="center"/>
              <w:rPr>
                <w:rFonts w:ascii="宋体" w:hAnsi="宋体" w:cs="宋体"/>
                <w:color w:val="auto"/>
                <w:szCs w:val="21"/>
                <w:highlight w:val="none"/>
              </w:rPr>
            </w:pPr>
          </w:p>
        </w:tc>
        <w:tc>
          <w:tcPr>
            <w:tcW w:w="482" w:type="pct"/>
            <w:vMerge w:val="continue"/>
            <w:tcBorders>
              <w:top w:val="single" w:color="auto" w:sz="4" w:space="0"/>
              <w:bottom w:val="single" w:color="auto" w:sz="4" w:space="0"/>
              <w:right w:val="single" w:color="auto" w:sz="4" w:space="0"/>
            </w:tcBorders>
            <w:vAlign w:val="center"/>
          </w:tcPr>
          <w:p w14:paraId="60EA6092">
            <w:pPr>
              <w:spacing w:line="276" w:lineRule="auto"/>
              <w:jc w:val="center"/>
              <w:rPr>
                <w:rFonts w:cs="宋体"/>
                <w:color w:val="auto"/>
                <w:szCs w:val="21"/>
                <w:highlight w:val="none"/>
              </w:rPr>
            </w:pPr>
          </w:p>
        </w:tc>
        <w:tc>
          <w:tcPr>
            <w:tcW w:w="824" w:type="pct"/>
            <w:gridSpan w:val="2"/>
            <w:tcBorders>
              <w:top w:val="single" w:color="auto" w:sz="4" w:space="0"/>
              <w:left w:val="single" w:color="auto" w:sz="4" w:space="0"/>
              <w:bottom w:val="single" w:color="auto" w:sz="4" w:space="0"/>
              <w:right w:val="single" w:color="auto" w:sz="4" w:space="0"/>
            </w:tcBorders>
            <w:vAlign w:val="center"/>
          </w:tcPr>
          <w:p w14:paraId="194DEA9A">
            <w:pPr>
              <w:widowControl/>
              <w:spacing w:line="276" w:lineRule="auto"/>
              <w:jc w:val="center"/>
              <w:textAlignment w:val="center"/>
              <w:rPr>
                <w:rFonts w:cs="宋体"/>
                <w:color w:val="auto"/>
                <w:szCs w:val="21"/>
                <w:highlight w:val="none"/>
              </w:rPr>
            </w:pPr>
            <w:r>
              <w:rPr>
                <w:rFonts w:hint="eastAsia" w:cs="宋体"/>
                <w:color w:val="auto"/>
                <w:szCs w:val="21"/>
                <w:highlight w:val="none"/>
              </w:rPr>
              <w:t>检测方案（15分）</w:t>
            </w:r>
          </w:p>
        </w:tc>
        <w:tc>
          <w:tcPr>
            <w:tcW w:w="3269" w:type="pct"/>
            <w:tcBorders>
              <w:top w:val="single" w:color="auto" w:sz="4" w:space="0"/>
              <w:left w:val="single" w:color="auto" w:sz="4" w:space="0"/>
              <w:bottom w:val="single" w:color="auto" w:sz="4" w:space="0"/>
              <w:right w:val="single" w:color="auto" w:sz="4" w:space="0"/>
            </w:tcBorders>
          </w:tcPr>
          <w:p w14:paraId="35E71722">
            <w:pPr>
              <w:pStyle w:val="15"/>
              <w:adjustRightInd w:val="0"/>
              <w:snapToGrid w:val="0"/>
              <w:spacing w:after="0" w:line="276" w:lineRule="auto"/>
              <w:ind w:firstLine="210"/>
              <w:rPr>
                <w:rFonts w:ascii="宋体" w:hAnsi="宋体" w:cs="宋体"/>
                <w:color w:val="auto"/>
                <w:szCs w:val="21"/>
                <w:highlight w:val="none"/>
              </w:rPr>
            </w:pPr>
            <w:r>
              <w:rPr>
                <w:rFonts w:hint="eastAsia" w:ascii="宋体" w:hAnsi="宋体" w:cs="宋体"/>
                <w:color w:val="auto"/>
                <w:szCs w:val="21"/>
                <w:highlight w:val="none"/>
              </w:rPr>
              <w:t>【优】检测方案详细、具体，内容齐全，方法合理可行，能满足本工程提出的所有项目，有合理可行的保证通过相关验收、满足工程进度、质量和安全确保措施，得12-15分。</w:t>
            </w:r>
          </w:p>
          <w:p w14:paraId="450D1129">
            <w:pPr>
              <w:pStyle w:val="15"/>
              <w:adjustRightInd w:val="0"/>
              <w:snapToGrid w:val="0"/>
              <w:spacing w:after="0" w:line="276" w:lineRule="auto"/>
              <w:ind w:firstLine="210"/>
              <w:rPr>
                <w:rFonts w:ascii="宋体" w:hAnsi="宋体" w:cs="宋体"/>
                <w:color w:val="auto"/>
                <w:szCs w:val="21"/>
                <w:highlight w:val="none"/>
              </w:rPr>
            </w:pPr>
            <w:r>
              <w:rPr>
                <w:rFonts w:hint="eastAsia" w:ascii="宋体" w:hAnsi="宋体" w:cs="宋体"/>
                <w:color w:val="auto"/>
                <w:szCs w:val="21"/>
                <w:highlight w:val="none"/>
              </w:rPr>
              <w:t>【良】检测方案较详细、较具体，内容较齐全，方法较合理可行，有比较可行的保证通过相关验收、满足工程进度、质量和安全确保措施，得8-11分；</w:t>
            </w:r>
          </w:p>
          <w:p w14:paraId="0DC5C88F">
            <w:pPr>
              <w:pStyle w:val="15"/>
              <w:adjustRightInd w:val="0"/>
              <w:snapToGrid w:val="0"/>
              <w:spacing w:after="0" w:line="276" w:lineRule="auto"/>
              <w:ind w:firstLine="210"/>
              <w:rPr>
                <w:rFonts w:ascii="宋体" w:hAnsi="宋体" w:cs="宋体"/>
                <w:color w:val="auto"/>
                <w:szCs w:val="21"/>
                <w:highlight w:val="none"/>
              </w:rPr>
            </w:pPr>
            <w:r>
              <w:rPr>
                <w:rFonts w:hint="eastAsia" w:ascii="宋体" w:hAnsi="宋体" w:cs="宋体"/>
                <w:color w:val="auto"/>
                <w:szCs w:val="21"/>
                <w:highlight w:val="none"/>
              </w:rPr>
              <w:t>【中】检测方案基本内容满足要求，方法基本符合规范要求，有基本能通过相关验收、满足工程进度、质量和安全的确保措施，得4-7分。</w:t>
            </w:r>
          </w:p>
          <w:p w14:paraId="6640C132">
            <w:pPr>
              <w:widowControl/>
              <w:spacing w:line="276" w:lineRule="auto"/>
              <w:ind w:firstLine="210" w:firstLineChars="100"/>
              <w:jc w:val="left"/>
              <w:textAlignment w:val="center"/>
              <w:rPr>
                <w:rFonts w:cs="宋体"/>
                <w:color w:val="auto"/>
                <w:szCs w:val="21"/>
                <w:highlight w:val="none"/>
              </w:rPr>
            </w:pPr>
            <w:r>
              <w:rPr>
                <w:rFonts w:hint="eastAsia" w:ascii="宋体" w:hAnsi="宋体" w:cs="宋体"/>
                <w:color w:val="auto"/>
                <w:szCs w:val="21"/>
                <w:highlight w:val="none"/>
              </w:rPr>
              <w:t>【差】检测方案基本内容阐述缺项，方法基本不能满足检测要求，得1-3分。</w:t>
            </w:r>
          </w:p>
        </w:tc>
      </w:tr>
      <w:tr w14:paraId="2FFDF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425" w:type="pct"/>
            <w:tcBorders>
              <w:top w:val="single" w:color="auto" w:sz="4" w:space="0"/>
              <w:bottom w:val="single" w:color="auto" w:sz="4" w:space="0"/>
              <w:right w:val="single" w:color="auto" w:sz="4" w:space="0"/>
            </w:tcBorders>
            <w:vAlign w:val="center"/>
          </w:tcPr>
          <w:p w14:paraId="264CF14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2.2.4</w:t>
            </w:r>
          </w:p>
          <w:p w14:paraId="36F5B9F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482" w:type="pct"/>
            <w:tcBorders>
              <w:top w:val="single" w:color="auto" w:sz="4" w:space="0"/>
              <w:bottom w:val="single" w:color="auto" w:sz="4" w:space="0"/>
              <w:right w:val="single" w:color="auto" w:sz="4" w:space="0"/>
            </w:tcBorders>
            <w:vAlign w:val="center"/>
          </w:tcPr>
          <w:p w14:paraId="1A235C03">
            <w:pPr>
              <w:spacing w:line="276" w:lineRule="auto"/>
              <w:jc w:val="center"/>
              <w:rPr>
                <w:rFonts w:cs="宋体"/>
                <w:color w:val="auto"/>
                <w:szCs w:val="21"/>
                <w:highlight w:val="none"/>
              </w:rPr>
            </w:pPr>
            <w:r>
              <w:rPr>
                <w:rFonts w:hint="eastAsia" w:cs="宋体"/>
                <w:color w:val="auto"/>
                <w:szCs w:val="21"/>
                <w:highlight w:val="none"/>
              </w:rPr>
              <w:t>投标报价评分标准（10分）</w:t>
            </w:r>
          </w:p>
        </w:tc>
        <w:tc>
          <w:tcPr>
            <w:tcW w:w="824" w:type="pct"/>
            <w:gridSpan w:val="2"/>
            <w:tcBorders>
              <w:top w:val="single" w:color="auto" w:sz="4" w:space="0"/>
              <w:left w:val="single" w:color="auto" w:sz="4" w:space="0"/>
              <w:bottom w:val="single" w:color="auto" w:sz="4" w:space="0"/>
              <w:right w:val="single" w:color="auto" w:sz="4" w:space="0"/>
            </w:tcBorders>
            <w:vAlign w:val="center"/>
          </w:tcPr>
          <w:p w14:paraId="08230166">
            <w:pPr>
              <w:spacing w:line="276" w:lineRule="auto"/>
              <w:jc w:val="center"/>
              <w:rPr>
                <w:rFonts w:cs="宋体"/>
                <w:color w:val="auto"/>
                <w:szCs w:val="21"/>
                <w:highlight w:val="none"/>
              </w:rPr>
            </w:pPr>
            <w:r>
              <w:rPr>
                <w:rFonts w:hint="eastAsia" w:cs="宋体"/>
                <w:color w:val="auto"/>
                <w:szCs w:val="21"/>
                <w:highlight w:val="none"/>
              </w:rPr>
              <w:t>投标报价（10分）</w:t>
            </w:r>
          </w:p>
        </w:tc>
        <w:tc>
          <w:tcPr>
            <w:tcW w:w="3269" w:type="pct"/>
            <w:tcBorders>
              <w:top w:val="single" w:color="auto" w:sz="4" w:space="0"/>
              <w:left w:val="single" w:color="auto" w:sz="4" w:space="0"/>
              <w:bottom w:val="single" w:color="auto" w:sz="4" w:space="0"/>
              <w:right w:val="single" w:color="auto" w:sz="4" w:space="0"/>
            </w:tcBorders>
            <w:vAlign w:val="center"/>
          </w:tcPr>
          <w:p w14:paraId="44504D62">
            <w:pPr>
              <w:widowControl/>
              <w:spacing w:line="276" w:lineRule="auto"/>
              <w:jc w:val="left"/>
              <w:textAlignment w:val="center"/>
              <w:rPr>
                <w:rFonts w:cs="宋体"/>
                <w:color w:val="auto"/>
                <w:szCs w:val="21"/>
                <w:highlight w:val="none"/>
              </w:rPr>
            </w:pPr>
            <w:r>
              <w:rPr>
                <w:rFonts w:hint="eastAsia" w:ascii="宋体" w:hAnsi="宋体" w:cs="宋体"/>
                <w:color w:val="auto"/>
                <w:szCs w:val="21"/>
                <w:highlight w:val="none"/>
              </w:rPr>
              <w:t>以评标基准价作为计算各有效投标价得分的基础，当有效投标报价等于评标基准价时得10分；投标有效报价与评标基准价之差，每上偏1%扣1.5分，下偏1%扣1分，本项最高分为10分，最低分为0分。</w:t>
            </w:r>
          </w:p>
        </w:tc>
      </w:tr>
    </w:tbl>
    <w:p w14:paraId="6428CECF">
      <w:pPr>
        <w:pStyle w:val="2"/>
        <w:rPr>
          <w:color w:val="auto"/>
          <w:highlight w:val="none"/>
        </w:rPr>
      </w:pPr>
    </w:p>
    <w:p w14:paraId="69EE66F0">
      <w:pPr>
        <w:spacing w:line="360" w:lineRule="auto"/>
        <w:rPr>
          <w:color w:val="auto"/>
          <w:highlight w:val="none"/>
        </w:rPr>
      </w:pPr>
    </w:p>
    <w:p w14:paraId="5E362FF1">
      <w:pPr>
        <w:ind w:firstLine="420" w:firstLineChars="200"/>
        <w:rPr>
          <w:rFonts w:ascii="宋体" w:hAnsi="宋体" w:cs="宋体"/>
          <w:bCs/>
          <w:color w:val="auto"/>
          <w:szCs w:val="21"/>
          <w:highlight w:val="none"/>
        </w:rPr>
      </w:pPr>
      <w:bookmarkStart w:id="161" w:name="_Toc4534"/>
      <w:bookmarkStart w:id="162" w:name="_Toc7506"/>
      <w:bookmarkStart w:id="163" w:name="_Toc20848"/>
      <w:r>
        <w:rPr>
          <w:rFonts w:hint="eastAsia" w:ascii="宋体" w:hAnsi="宋体" w:cs="宋体"/>
          <w:bCs/>
          <w:color w:val="auto"/>
          <w:szCs w:val="21"/>
          <w:highlight w:val="none"/>
        </w:rPr>
        <w:t>备注：评标委员会成根据表中各项内容对投标人进行评分，投标人的综合得分为各评委的评分去掉一个最高分和一个最低分后计取的算术平均分（分数出现小数点时，保留小数点后二位，第三位小数四舍五入）。</w:t>
      </w:r>
    </w:p>
    <w:p w14:paraId="2C496162">
      <w:pPr>
        <w:widowControl/>
        <w:jc w:val="left"/>
        <w:rPr>
          <w:rFonts w:ascii="宋体" w:hAnsi="宋体" w:cs="宋体"/>
          <w:b/>
          <w:bCs/>
          <w:color w:val="auto"/>
          <w:kern w:val="0"/>
          <w:sz w:val="36"/>
          <w:szCs w:val="36"/>
          <w:highlight w:val="none"/>
        </w:rPr>
      </w:pPr>
      <w:r>
        <w:rPr>
          <w:rFonts w:ascii="宋体" w:hAnsi="宋体" w:cs="宋体"/>
          <w:color w:val="auto"/>
          <w:sz w:val="36"/>
          <w:szCs w:val="36"/>
          <w:highlight w:val="none"/>
        </w:rPr>
        <w:br w:type="page"/>
      </w:r>
    </w:p>
    <w:p w14:paraId="13B11A6F">
      <w:pPr>
        <w:pStyle w:val="4"/>
        <w:keepNext w:val="0"/>
        <w:keepLines w:val="0"/>
        <w:spacing w:before="0" w:after="0" w:line="360" w:lineRule="auto"/>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评标方法</w:t>
      </w:r>
      <w:bookmarkEnd w:id="152"/>
      <w:bookmarkEnd w:id="153"/>
      <w:bookmarkEnd w:id="154"/>
      <w:bookmarkEnd w:id="155"/>
      <w:bookmarkEnd w:id="156"/>
      <w:bookmarkEnd w:id="157"/>
      <w:bookmarkEnd w:id="158"/>
      <w:bookmarkEnd w:id="159"/>
      <w:bookmarkEnd w:id="160"/>
      <w:bookmarkEnd w:id="161"/>
      <w:bookmarkEnd w:id="162"/>
      <w:bookmarkEnd w:id="163"/>
    </w:p>
    <w:p w14:paraId="42256A10">
      <w:pPr>
        <w:keepNext/>
        <w:keepLines/>
        <w:spacing w:line="360" w:lineRule="auto"/>
        <w:jc w:val="left"/>
        <w:outlineLvl w:val="1"/>
        <w:rPr>
          <w:rFonts w:ascii="宋体" w:hAnsi="宋体" w:cs="宋体"/>
          <w:b/>
          <w:bCs/>
          <w:color w:val="auto"/>
          <w:sz w:val="32"/>
          <w:szCs w:val="32"/>
          <w:highlight w:val="none"/>
        </w:rPr>
      </w:pPr>
      <w:bookmarkStart w:id="164" w:name="_Toc5223"/>
      <w:bookmarkStart w:id="165" w:name="_Toc11888"/>
      <w:r>
        <w:rPr>
          <w:rFonts w:hint="eastAsia" w:ascii="宋体" w:hAnsi="宋体" w:cs="宋体"/>
          <w:b/>
          <w:bCs/>
          <w:color w:val="auto"/>
          <w:sz w:val="32"/>
          <w:szCs w:val="32"/>
          <w:highlight w:val="none"/>
        </w:rPr>
        <w:t>1.评标方法</w:t>
      </w:r>
      <w:bookmarkEnd w:id="164"/>
      <w:bookmarkEnd w:id="165"/>
    </w:p>
    <w:p w14:paraId="456419F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总得分相等时，以投标报价低的优先；投标报价也相等的，按照评标办法前附表的规定确定中标候选人顺序。</w:t>
      </w:r>
    </w:p>
    <w:p w14:paraId="02A6B2A9">
      <w:pPr>
        <w:keepNext/>
        <w:keepLines/>
        <w:spacing w:line="360" w:lineRule="auto"/>
        <w:jc w:val="left"/>
        <w:outlineLvl w:val="1"/>
        <w:rPr>
          <w:rFonts w:ascii="宋体" w:hAnsi="宋体" w:cs="宋体"/>
          <w:b/>
          <w:bCs/>
          <w:color w:val="auto"/>
          <w:sz w:val="32"/>
          <w:szCs w:val="32"/>
          <w:highlight w:val="none"/>
        </w:rPr>
      </w:pPr>
      <w:bookmarkStart w:id="166" w:name="_Toc28918"/>
      <w:r>
        <w:rPr>
          <w:rFonts w:hint="eastAsia" w:ascii="宋体" w:hAnsi="宋体" w:cs="宋体"/>
          <w:b/>
          <w:bCs/>
          <w:color w:val="auto"/>
          <w:sz w:val="32"/>
          <w:szCs w:val="32"/>
          <w:highlight w:val="none"/>
        </w:rPr>
        <w:t>2.评审标准</w:t>
      </w:r>
      <w:bookmarkEnd w:id="166"/>
    </w:p>
    <w:p w14:paraId="34A7BD08">
      <w:pPr>
        <w:keepNext/>
        <w:keepLines/>
        <w:spacing w:line="360" w:lineRule="auto"/>
        <w:jc w:val="left"/>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2.1 初步评审标准</w:t>
      </w:r>
    </w:p>
    <w:p w14:paraId="68A984B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2.1.1 形式评审标准：见评标办法前附表。</w:t>
      </w:r>
    </w:p>
    <w:p w14:paraId="40C2B75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2.1.2 资格评审标准：见评标办法前附表。</w:t>
      </w:r>
    </w:p>
    <w:p w14:paraId="6B9461FA">
      <w:pPr>
        <w:spacing w:line="360" w:lineRule="auto"/>
        <w:ind w:firstLine="484" w:firstLineChars="202"/>
        <w:jc w:val="left"/>
        <w:rPr>
          <w:rFonts w:ascii="宋体" w:hAnsi="宋体" w:cs="宋体"/>
          <w:color w:val="auto"/>
          <w:sz w:val="24"/>
          <w:szCs w:val="24"/>
          <w:highlight w:val="none"/>
        </w:rPr>
      </w:pPr>
      <w:bookmarkStart w:id="167" w:name="_Toc23335"/>
      <w:r>
        <w:rPr>
          <w:rFonts w:hint="eastAsia" w:ascii="宋体" w:hAnsi="宋体" w:cs="宋体"/>
          <w:color w:val="auto"/>
          <w:sz w:val="24"/>
          <w:szCs w:val="24"/>
          <w:highlight w:val="none"/>
        </w:rPr>
        <w:t xml:space="preserve">2.1.3 </w:t>
      </w:r>
      <w:bookmarkEnd w:id="167"/>
      <w:r>
        <w:rPr>
          <w:rFonts w:hint="eastAsia" w:ascii="宋体" w:hAnsi="宋体" w:cs="宋体"/>
          <w:color w:val="auto"/>
          <w:sz w:val="24"/>
          <w:szCs w:val="24"/>
          <w:highlight w:val="none"/>
        </w:rPr>
        <w:t>响应性评审标准：见评标办法前附表。</w:t>
      </w:r>
    </w:p>
    <w:p w14:paraId="768555C7">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2.2 分值构成与评分标准</w:t>
      </w:r>
    </w:p>
    <w:p w14:paraId="28CF851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2.2.1 分值构成</w:t>
      </w:r>
    </w:p>
    <w:p w14:paraId="61DC2BE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（1）资信业绩部分：见评标办法前附表；</w:t>
      </w:r>
    </w:p>
    <w:p w14:paraId="1D967BF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检测监测技术方案</w:t>
      </w:r>
      <w:r>
        <w:rPr>
          <w:rFonts w:hint="eastAsia" w:ascii="宋体" w:hAnsi="宋体" w:cs="宋体"/>
          <w:color w:val="auto"/>
          <w:sz w:val="24"/>
          <w:szCs w:val="24"/>
          <w:highlight w:val="none"/>
        </w:rPr>
        <w:t>部分：见评标办法前附表；</w:t>
      </w:r>
    </w:p>
    <w:p w14:paraId="078CBCD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（3）投标报价：见评标办法前附表；</w:t>
      </w:r>
    </w:p>
    <w:p w14:paraId="2DD35C21">
      <w:pPr>
        <w:spacing w:line="360" w:lineRule="auto"/>
        <w:ind w:firstLine="484" w:firstLineChars="202"/>
        <w:jc w:val="left"/>
        <w:rPr>
          <w:rFonts w:ascii="宋体" w:hAnsi="宋体" w:cs="宋体"/>
          <w:strike/>
          <w:color w:val="auto"/>
          <w:sz w:val="24"/>
          <w:szCs w:val="24"/>
          <w:highlight w:val="none"/>
        </w:rPr>
      </w:pPr>
      <w:r>
        <w:rPr>
          <w:rFonts w:hint="eastAsia" w:ascii="宋体" w:hAnsi="宋体" w:cs="宋体"/>
          <w:strike/>
          <w:color w:val="auto"/>
          <w:sz w:val="24"/>
          <w:szCs w:val="24"/>
          <w:highlight w:val="none"/>
        </w:rPr>
        <w:t>（4）其他评分因素：见评标办法前附表。</w:t>
      </w:r>
    </w:p>
    <w:p w14:paraId="7B725D62">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2.2.2 评标基准价计算</w:t>
      </w:r>
    </w:p>
    <w:p w14:paraId="014F1CB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14:paraId="64D92DC4">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2.2.3 投标报价的计算</w:t>
      </w:r>
    </w:p>
    <w:p w14:paraId="6DA4EAB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投标报价的计算公式：见评标办法前附表。</w:t>
      </w:r>
    </w:p>
    <w:p w14:paraId="24CFAEE9">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2.2.4 评分标准</w:t>
      </w:r>
    </w:p>
    <w:p w14:paraId="1CD20617">
      <w:pPr>
        <w:spacing w:line="360" w:lineRule="auto"/>
        <w:ind w:left="780"/>
        <w:rPr>
          <w:rFonts w:ascii="宋体" w:hAnsi="宋体" w:cs="宋体"/>
          <w:color w:val="auto"/>
          <w:sz w:val="24"/>
          <w:szCs w:val="24"/>
          <w:highlight w:val="none"/>
        </w:rPr>
      </w:pPr>
      <w:r>
        <w:rPr>
          <w:rFonts w:hint="eastAsia" w:ascii="宋体" w:hAnsi="宋体" w:cs="宋体"/>
          <w:color w:val="auto"/>
          <w:sz w:val="24"/>
          <w:szCs w:val="24"/>
          <w:highlight w:val="none"/>
        </w:rPr>
        <w:t>（1）资信业绩部分评分标准：见评标办法前附表；</w:t>
      </w:r>
    </w:p>
    <w:p w14:paraId="73169D4D">
      <w:pPr>
        <w:spacing w:line="360" w:lineRule="auto"/>
        <w:ind w:left="78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检测监测技术</w:t>
      </w:r>
      <w:r>
        <w:rPr>
          <w:rFonts w:hint="eastAsia" w:ascii="宋体" w:hAnsi="宋体" w:cs="宋体"/>
          <w:color w:val="auto"/>
          <w:sz w:val="24"/>
          <w:szCs w:val="24"/>
          <w:highlight w:val="none"/>
        </w:rPr>
        <w:t>方案部分评分标准：见评标办法前附表；</w:t>
      </w:r>
    </w:p>
    <w:p w14:paraId="3AFD35DF">
      <w:pPr>
        <w:spacing w:line="360" w:lineRule="auto"/>
        <w:ind w:left="780"/>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14:paraId="64CE5467">
      <w:pPr>
        <w:spacing w:line="360" w:lineRule="auto"/>
        <w:ind w:left="780"/>
        <w:rPr>
          <w:rFonts w:ascii="宋体" w:hAnsi="宋体" w:cs="宋体"/>
          <w:strike/>
          <w:color w:val="auto"/>
          <w:sz w:val="24"/>
          <w:szCs w:val="24"/>
          <w:highlight w:val="none"/>
        </w:rPr>
      </w:pPr>
      <w:r>
        <w:rPr>
          <w:rFonts w:hint="eastAsia" w:ascii="宋体" w:hAnsi="宋体" w:cs="宋体"/>
          <w:strike/>
          <w:color w:val="auto"/>
          <w:sz w:val="24"/>
          <w:szCs w:val="24"/>
          <w:highlight w:val="none"/>
        </w:rPr>
        <w:t>（4）其他因素评分标准：见评标办法前附表。</w:t>
      </w:r>
    </w:p>
    <w:p w14:paraId="6D6382E4">
      <w:pPr>
        <w:keepNext/>
        <w:keepLines/>
        <w:spacing w:line="360" w:lineRule="auto"/>
        <w:jc w:val="left"/>
        <w:outlineLvl w:val="1"/>
        <w:rPr>
          <w:rFonts w:ascii="宋体" w:hAnsi="宋体" w:cs="宋体"/>
          <w:b/>
          <w:bCs/>
          <w:color w:val="auto"/>
          <w:sz w:val="32"/>
          <w:szCs w:val="32"/>
          <w:highlight w:val="none"/>
        </w:rPr>
      </w:pPr>
      <w:bookmarkStart w:id="168" w:name="_Toc12342"/>
      <w:r>
        <w:rPr>
          <w:rFonts w:hint="eastAsia" w:ascii="宋体" w:hAnsi="宋体" w:cs="宋体"/>
          <w:b/>
          <w:bCs/>
          <w:color w:val="auto"/>
          <w:sz w:val="32"/>
          <w:szCs w:val="32"/>
          <w:highlight w:val="none"/>
        </w:rPr>
        <w:t>3. 评标程序</w:t>
      </w:r>
      <w:bookmarkEnd w:id="168"/>
    </w:p>
    <w:p w14:paraId="7E3641E0">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3.1 初步评审</w:t>
      </w:r>
    </w:p>
    <w:p w14:paraId="36A24A1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3.1.1 评标委员会可以要求投标人提交第二章“投标人须知”规定的有关证明和证件的原件，以便核</w:t>
      </w:r>
      <w:bookmarkStart w:id="169" w:name="_Toc25401"/>
      <w:r>
        <w:rPr>
          <w:rFonts w:hint="eastAsia" w:ascii="宋体" w:hAnsi="宋体" w:cs="宋体"/>
          <w:color w:val="auto"/>
          <w:sz w:val="24"/>
          <w:szCs w:val="24"/>
          <w:highlight w:val="none"/>
        </w:rPr>
        <w:t>验。评标委员会</w:t>
      </w:r>
      <w:bookmarkEnd w:id="169"/>
      <w:r>
        <w:rPr>
          <w:rFonts w:hint="eastAsia" w:ascii="宋体" w:hAnsi="宋体" w:cs="宋体"/>
          <w:color w:val="auto"/>
          <w:sz w:val="24"/>
          <w:szCs w:val="24"/>
          <w:highlight w:val="none"/>
        </w:rPr>
        <w:t>依据本章第 2.1 款规定的标准对投标文件进行初步评审。有一项不符合评审标准的，评标委员会应当否决其投标。</w:t>
      </w:r>
    </w:p>
    <w:p w14:paraId="62B50E4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3.1.2 投标人有以下情形之一的，评标委员会应当否决其投标：</w:t>
      </w:r>
    </w:p>
    <w:p w14:paraId="4E2E81DF">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（1）投标文件没有对招标文件的实质性要求和条件作出响应，或者对招标文件的偏差超出招标文件规定的偏差范围或最高项数；</w:t>
      </w:r>
    </w:p>
    <w:p w14:paraId="7A51F93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（2）有串通投标、弄虚作假、行贿等违法行为。</w:t>
      </w:r>
    </w:p>
    <w:p w14:paraId="121E3251">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1F3C3C05">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（1）投标文件中的大写金额与小写金额不一致的，以大写金额为准；</w:t>
      </w:r>
    </w:p>
    <w:p w14:paraId="3984065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（2）总价金额与单价金额不一致的，以单价金额为准，但单价金额小数点有明显错误的除外。</w:t>
      </w:r>
    </w:p>
    <w:p w14:paraId="7BED740F">
      <w:pPr>
        <w:keepNext/>
        <w:keepLines/>
        <w:spacing w:line="360" w:lineRule="auto"/>
        <w:jc w:val="left"/>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3.2 详细评审</w:t>
      </w:r>
    </w:p>
    <w:p w14:paraId="47627FD0">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3.2.1 评标委员会按本章第 2.2 款规定的量化因素和分值进行打分，并计算出综合评分得分。</w:t>
      </w:r>
    </w:p>
    <w:p w14:paraId="2BDFEE37">
      <w:pPr>
        <w:spacing w:line="360" w:lineRule="auto"/>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（1）按本章第2.2.4（1）目规定的评审因素和分值对企业资信业绩计算出得分A；</w:t>
      </w:r>
    </w:p>
    <w:p w14:paraId="3CB2BE29">
      <w:pPr>
        <w:spacing w:line="360" w:lineRule="auto"/>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（2）按本章第2.2.4（2）目规定的评审因素和分值对技术方案计算出得分B；</w:t>
      </w:r>
    </w:p>
    <w:p w14:paraId="667FE139">
      <w:pPr>
        <w:spacing w:line="360" w:lineRule="auto"/>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（3）按本章第2.2.4（3）目规定的评审因素和分值对投标报价计算出得分C；</w:t>
      </w:r>
    </w:p>
    <w:p w14:paraId="0264530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14:paraId="00F2823D">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3.2.3 投标人得分=A+B+C。</w:t>
      </w:r>
    </w:p>
    <w:p w14:paraId="62F3704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196B0DE">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3.3 投标文件的澄清</w:t>
      </w:r>
    </w:p>
    <w:p w14:paraId="3B265348">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06B406A">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3.3.2 澄清、说明或补正不得超出投标文件的范围且不得改变投标文件的实质性内容，并构成投标文件的组成部分。</w:t>
      </w:r>
    </w:p>
    <w:p w14:paraId="5791A29F">
      <w:pPr>
        <w:spacing w:line="360" w:lineRule="auto"/>
        <w:ind w:firstLine="484" w:firstLineChars="202"/>
        <w:jc w:val="left"/>
        <w:rPr>
          <w:rFonts w:ascii="宋体" w:hAnsi="宋体" w:cs="宋体"/>
          <w:color w:val="auto"/>
          <w:sz w:val="28"/>
          <w:szCs w:val="28"/>
          <w:highlight w:val="none"/>
        </w:rPr>
      </w:pPr>
      <w:r>
        <w:rPr>
          <w:rFonts w:hint="eastAsia" w:ascii="宋体" w:hAnsi="宋体" w:cs="宋体"/>
          <w:color w:val="auto"/>
          <w:sz w:val="24"/>
          <w:szCs w:val="24"/>
          <w:highlight w:val="none"/>
        </w:rPr>
        <w:t>3.3.3 评标委员会对投标人提交的澄清、说明或补正有疑问的，可以要求投标人进一步澄清、说明或补正，直至满足评标委员会的要求。</w:t>
      </w:r>
    </w:p>
    <w:p w14:paraId="7DC97165">
      <w:pPr>
        <w:keepNext/>
        <w:keepLines/>
        <w:spacing w:line="360" w:lineRule="auto"/>
        <w:jc w:val="left"/>
        <w:outlineLvl w:val="2"/>
        <w:rPr>
          <w:rFonts w:ascii="宋体" w:hAnsi="宋体" w:cs="宋体"/>
          <w:b/>
          <w:bCs/>
          <w:color w:val="auto"/>
          <w:sz w:val="28"/>
          <w:szCs w:val="32"/>
          <w:highlight w:val="none"/>
        </w:rPr>
      </w:pPr>
      <w:r>
        <w:rPr>
          <w:rFonts w:hint="eastAsia" w:ascii="宋体" w:hAnsi="宋体" w:cs="宋体"/>
          <w:b/>
          <w:bCs/>
          <w:color w:val="auto"/>
          <w:sz w:val="28"/>
          <w:szCs w:val="32"/>
          <w:highlight w:val="none"/>
        </w:rPr>
        <w:t>3.4 评标结果</w:t>
      </w:r>
    </w:p>
    <w:p w14:paraId="7BF168C6">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3.4.1 除第二章“投标人须知”前附表授权直接确定中标人外，评标委员会按照得分由高到低的顺序推荐中标候选人，并标明排序。</w:t>
      </w:r>
    </w:p>
    <w:p w14:paraId="52CD0C77">
      <w:pPr>
        <w:spacing w:line="360" w:lineRule="auto"/>
        <w:ind w:firstLine="484" w:firstLineChars="202"/>
        <w:jc w:val="left"/>
        <w:rPr>
          <w:rFonts w:ascii="宋体" w:hAnsi="宋体" w:cs="宋体"/>
          <w:color w:val="auto"/>
          <w:sz w:val="24"/>
          <w:szCs w:val="24"/>
          <w:highlight w:val="none"/>
        </w:rPr>
      </w:pPr>
      <w:r>
        <w:rPr>
          <w:rFonts w:hint="eastAsia" w:ascii="宋体" w:hAnsi="宋体" w:cs="宋体"/>
          <w:color w:val="auto"/>
          <w:sz w:val="24"/>
          <w:szCs w:val="24"/>
          <w:highlight w:val="none"/>
        </w:rPr>
        <w:t>3.4.2 评标委员会完成评标后，应当向招标人提交书面评标报告和中标候选人名单。</w:t>
      </w:r>
    </w:p>
    <w:p w14:paraId="70B8A693">
      <w:pPr>
        <w:spacing w:line="360" w:lineRule="auto"/>
        <w:rPr>
          <w:rFonts w:ascii="宋体" w:hAnsi="宋体" w:cs="宋体"/>
          <w:color w:val="auto"/>
          <w:highlight w:val="none"/>
        </w:rPr>
      </w:pPr>
    </w:p>
    <w:p w14:paraId="6622F153">
      <w:pPr>
        <w:spacing w:line="360" w:lineRule="auto"/>
        <w:rPr>
          <w:rFonts w:ascii="宋体" w:hAnsi="宋体" w:cs="宋体"/>
          <w:color w:val="auto"/>
          <w:highlight w:val="none"/>
        </w:rPr>
      </w:pPr>
    </w:p>
    <w:p w14:paraId="0D207834">
      <w:pPr>
        <w:pStyle w:val="2"/>
        <w:rPr>
          <w:rFonts w:ascii="宋体" w:hAnsi="宋体" w:cs="宋体"/>
          <w:color w:val="auto"/>
          <w:highlight w:val="none"/>
        </w:rPr>
      </w:pPr>
    </w:p>
    <w:p w14:paraId="5B5661CF">
      <w:pPr>
        <w:pStyle w:val="2"/>
        <w:rPr>
          <w:rFonts w:ascii="宋体" w:hAnsi="宋体" w:cs="宋体"/>
          <w:color w:val="auto"/>
          <w:highlight w:val="none"/>
        </w:rPr>
      </w:pPr>
    </w:p>
    <w:p w14:paraId="5C331ADE">
      <w:pPr>
        <w:pStyle w:val="2"/>
        <w:rPr>
          <w:rFonts w:ascii="宋体" w:hAnsi="宋体" w:cs="宋体"/>
          <w:color w:val="auto"/>
          <w:highlight w:val="none"/>
        </w:rPr>
      </w:pPr>
    </w:p>
    <w:p w14:paraId="0922765C">
      <w:pPr>
        <w:pStyle w:val="2"/>
        <w:rPr>
          <w:rFonts w:ascii="宋体" w:hAnsi="宋体" w:cs="宋体"/>
          <w:color w:val="auto"/>
          <w:highlight w:val="none"/>
        </w:rPr>
      </w:pPr>
    </w:p>
    <w:p w14:paraId="70311FAC">
      <w:pPr>
        <w:pStyle w:val="2"/>
        <w:rPr>
          <w:rFonts w:ascii="宋体" w:hAnsi="宋体" w:cs="宋体"/>
          <w:color w:val="auto"/>
          <w:highlight w:val="none"/>
        </w:rPr>
      </w:pPr>
    </w:p>
    <w:p w14:paraId="3B966475">
      <w:pPr>
        <w:pStyle w:val="2"/>
        <w:rPr>
          <w:rFonts w:ascii="宋体" w:hAnsi="宋体" w:cs="宋体"/>
          <w:color w:val="auto"/>
          <w:highlight w:val="none"/>
        </w:rPr>
      </w:pPr>
    </w:p>
    <w:p w14:paraId="0449B564">
      <w:pPr>
        <w:pStyle w:val="2"/>
        <w:rPr>
          <w:rFonts w:ascii="宋体" w:hAnsi="宋体" w:cs="宋体"/>
          <w:color w:val="auto"/>
          <w:highlight w:val="none"/>
        </w:rPr>
      </w:pPr>
    </w:p>
    <w:p w14:paraId="7194C51A">
      <w:pPr>
        <w:pStyle w:val="2"/>
        <w:rPr>
          <w:rFonts w:ascii="宋体" w:hAnsi="宋体" w:cs="宋体"/>
          <w:color w:val="auto"/>
          <w:highlight w:val="none"/>
        </w:rPr>
      </w:pPr>
    </w:p>
    <w:p w14:paraId="6493B976">
      <w:pPr>
        <w:pStyle w:val="2"/>
        <w:rPr>
          <w:rFonts w:ascii="宋体" w:hAnsi="宋体" w:cs="宋体"/>
          <w:color w:val="auto"/>
          <w:highlight w:val="none"/>
        </w:rPr>
      </w:pPr>
    </w:p>
    <w:p w14:paraId="34ED00F1">
      <w:pPr>
        <w:pStyle w:val="2"/>
        <w:rPr>
          <w:rFonts w:ascii="宋体" w:hAnsi="宋体" w:cs="宋体"/>
          <w:color w:val="auto"/>
          <w:highlight w:val="none"/>
        </w:rPr>
      </w:pPr>
    </w:p>
    <w:p w14:paraId="32EB54AA">
      <w:pPr>
        <w:pStyle w:val="2"/>
        <w:rPr>
          <w:rFonts w:ascii="宋体" w:hAnsi="宋体" w:cs="宋体"/>
          <w:color w:val="auto"/>
          <w:highlight w:val="none"/>
        </w:rPr>
      </w:pPr>
    </w:p>
    <w:p w14:paraId="5C8C0A86">
      <w:pPr>
        <w:pStyle w:val="2"/>
        <w:rPr>
          <w:rFonts w:ascii="宋体" w:hAnsi="宋体" w:cs="宋体"/>
          <w:color w:val="auto"/>
          <w:highlight w:val="none"/>
        </w:rPr>
      </w:pPr>
    </w:p>
    <w:p w14:paraId="26F3DF8D">
      <w:pPr>
        <w:pStyle w:val="2"/>
        <w:rPr>
          <w:rFonts w:ascii="宋体" w:hAnsi="宋体" w:cs="宋体"/>
          <w:color w:val="auto"/>
          <w:highlight w:val="none"/>
        </w:rPr>
      </w:pPr>
    </w:p>
    <w:p w14:paraId="795FD261">
      <w:pPr>
        <w:pStyle w:val="2"/>
        <w:rPr>
          <w:rFonts w:ascii="宋体" w:hAnsi="宋体" w:cs="宋体"/>
          <w:color w:val="auto"/>
          <w:highlight w:val="none"/>
        </w:rPr>
      </w:pPr>
    </w:p>
    <w:p w14:paraId="45A0ACBA">
      <w:pPr>
        <w:pStyle w:val="2"/>
        <w:rPr>
          <w:rFonts w:ascii="宋体" w:hAnsi="宋体" w:cs="宋体"/>
          <w:color w:val="auto"/>
          <w:highlight w:val="none"/>
        </w:rPr>
      </w:pPr>
    </w:p>
    <w:p w14:paraId="7FD71F6F">
      <w:pPr>
        <w:keepNext/>
        <w:keepLines/>
        <w:adjustRightInd w:val="0"/>
        <w:snapToGrid w:val="0"/>
        <w:spacing w:before="312" w:beforeLines="100" w:after="312" w:afterLines="100" w:line="360" w:lineRule="auto"/>
        <w:ind w:firstLine="1767" w:firstLineChars="400"/>
        <w:textAlignment w:val="center"/>
        <w:outlineLvl w:val="0"/>
        <w:rPr>
          <w:rFonts w:ascii="宋体" w:hAnsi="宋体" w:cs="宋体"/>
          <w:color w:val="auto"/>
          <w:sz w:val="44"/>
          <w:szCs w:val="44"/>
          <w:highlight w:val="none"/>
        </w:rPr>
      </w:pPr>
      <w:bookmarkStart w:id="170" w:name="_Toc25775"/>
      <w:r>
        <w:rPr>
          <w:rFonts w:hint="eastAsia" w:ascii="宋体" w:hAnsi="宋体" w:cs="宋体"/>
          <w:b/>
          <w:bCs/>
          <w:color w:val="auto"/>
          <w:sz w:val="44"/>
          <w:szCs w:val="44"/>
          <w:highlight w:val="none"/>
        </w:rPr>
        <w:t>第四章  合同条款及格式</w:t>
      </w:r>
      <w:bookmarkEnd w:id="170"/>
    </w:p>
    <w:p w14:paraId="0B37C06E">
      <w:pPr>
        <w:keepNext/>
        <w:keepLines/>
        <w:tabs>
          <w:tab w:val="center" w:pos="0"/>
        </w:tabs>
        <w:adjustRightInd w:val="0"/>
        <w:snapToGrid w:val="0"/>
        <w:spacing w:before="312" w:beforeLines="100" w:after="312" w:afterLines="100" w:line="360" w:lineRule="auto"/>
        <w:jc w:val="center"/>
        <w:textAlignment w:val="center"/>
        <w:outlineLvl w:val="0"/>
        <w:rPr>
          <w:rFonts w:ascii="宋体" w:hAnsi="宋体" w:cs="宋体"/>
          <w:color w:val="auto"/>
          <w:sz w:val="44"/>
          <w:szCs w:val="44"/>
          <w:highlight w:val="none"/>
        </w:rPr>
      </w:pPr>
      <w:bookmarkStart w:id="171" w:name="_Toc7302"/>
      <w:r>
        <w:rPr>
          <w:rFonts w:hint="eastAsia" w:ascii="宋体" w:hAnsi="宋体" w:cs="宋体"/>
          <w:color w:val="auto"/>
          <w:sz w:val="32"/>
          <w:szCs w:val="32"/>
          <w:highlight w:val="none"/>
        </w:rPr>
        <w:t>（另册）</w:t>
      </w:r>
      <w:r>
        <w:rPr>
          <w:rFonts w:hint="eastAsia" w:ascii="宋体" w:hAnsi="宋体" w:cs="宋体"/>
          <w:color w:val="auto"/>
          <w:sz w:val="32"/>
          <w:szCs w:val="32"/>
          <w:highlight w:val="none"/>
        </w:rPr>
        <w:br w:type="page"/>
      </w:r>
      <w:r>
        <w:rPr>
          <w:rFonts w:hint="eastAsia" w:ascii="宋体" w:hAnsi="宋体" w:cs="宋体"/>
          <w:b/>
          <w:bCs/>
          <w:color w:val="auto"/>
          <w:sz w:val="44"/>
          <w:szCs w:val="44"/>
          <w:highlight w:val="none"/>
        </w:rPr>
        <w:t>第五章  招标人要求</w:t>
      </w:r>
      <w:bookmarkEnd w:id="171"/>
    </w:p>
    <w:p w14:paraId="31DC402D">
      <w:pPr>
        <w:adjustRightInd w:val="0"/>
        <w:snapToGrid w:val="0"/>
        <w:spacing w:line="360" w:lineRule="auto"/>
        <w:ind w:firstLine="643" w:firstLineChars="200"/>
        <w:jc w:val="center"/>
        <w:textAlignment w:val="baseline"/>
        <w:rPr>
          <w:rFonts w:ascii="宋体" w:hAnsi="宋体" w:cs="宋体"/>
          <w:color w:val="auto"/>
          <w:sz w:val="28"/>
          <w:szCs w:val="28"/>
          <w:highlight w:val="none"/>
        </w:rPr>
      </w:pPr>
      <w:r>
        <w:rPr>
          <w:rFonts w:hint="eastAsia" w:ascii="宋体" w:hAnsi="宋体" w:cs="宋体"/>
          <w:b/>
          <w:color w:val="auto"/>
          <w:sz w:val="32"/>
          <w:szCs w:val="32"/>
          <w:highlight w:val="none"/>
        </w:rPr>
        <w:t>（按国家、广东省、广州市相关规范执行）</w:t>
      </w:r>
    </w:p>
    <w:p w14:paraId="2F4C6EEF">
      <w:pPr>
        <w:keepNext/>
        <w:keepLines/>
        <w:numPr>
          <w:ilvl w:val="0"/>
          <w:numId w:val="2"/>
        </w:numPr>
        <w:tabs>
          <w:tab w:val="center" w:pos="0"/>
        </w:tabs>
        <w:adjustRightInd w:val="0"/>
        <w:snapToGrid w:val="0"/>
        <w:spacing w:before="312" w:beforeLines="100" w:after="312" w:afterLines="100" w:line="360" w:lineRule="auto"/>
        <w:jc w:val="center"/>
        <w:textAlignment w:val="center"/>
        <w:outlineLvl w:val="0"/>
        <w:rPr>
          <w:rFonts w:ascii="宋体" w:hAnsi="宋体" w:cs="宋体"/>
          <w:b/>
          <w:bCs/>
          <w:color w:val="auto"/>
          <w:sz w:val="44"/>
          <w:szCs w:val="44"/>
          <w:highlight w:val="none"/>
        </w:rPr>
      </w:pPr>
      <w:r>
        <w:rPr>
          <w:rFonts w:hint="eastAsia" w:ascii="宋体" w:hAnsi="宋体" w:cs="宋体"/>
          <w:b/>
          <w:bCs/>
          <w:color w:val="auto"/>
          <w:sz w:val="44"/>
          <w:szCs w:val="44"/>
          <w:highlight w:val="none"/>
        </w:rPr>
        <w:br w:type="page"/>
      </w:r>
      <w:r>
        <w:rPr>
          <w:rFonts w:hint="eastAsia" w:ascii="宋体" w:hAnsi="宋体" w:cs="宋体"/>
          <w:b/>
          <w:bCs/>
          <w:color w:val="auto"/>
          <w:sz w:val="44"/>
          <w:szCs w:val="44"/>
          <w:highlight w:val="none"/>
        </w:rPr>
        <w:t xml:space="preserve"> </w:t>
      </w:r>
      <w:bookmarkStart w:id="172" w:name="_Toc12654"/>
      <w:r>
        <w:rPr>
          <w:rFonts w:hint="eastAsia" w:ascii="宋体" w:hAnsi="宋体" w:cs="宋体"/>
          <w:b/>
          <w:bCs/>
          <w:color w:val="auto"/>
          <w:sz w:val="44"/>
          <w:szCs w:val="44"/>
          <w:highlight w:val="none"/>
        </w:rPr>
        <w:t>工程量清单</w:t>
      </w:r>
      <w:bookmarkEnd w:id="172"/>
    </w:p>
    <w:p w14:paraId="73FE596F">
      <w:pPr>
        <w:pStyle w:val="2"/>
        <w:jc w:val="center"/>
        <w:rPr>
          <w:color w:val="auto"/>
          <w:sz w:val="30"/>
          <w:szCs w:val="30"/>
          <w:highlight w:val="none"/>
        </w:rPr>
      </w:pPr>
    </w:p>
    <w:p w14:paraId="47C6B9E3">
      <w:pPr>
        <w:pStyle w:val="2"/>
        <w:jc w:val="center"/>
        <w:rPr>
          <w:color w:val="auto"/>
          <w:highlight w:val="none"/>
        </w:rPr>
      </w:pPr>
      <w:r>
        <w:rPr>
          <w:rFonts w:hint="eastAsia"/>
          <w:color w:val="auto"/>
          <w:sz w:val="30"/>
          <w:szCs w:val="30"/>
          <w:highlight w:val="none"/>
        </w:rPr>
        <w:t>本项目不需要提供工程量清单。</w:t>
      </w:r>
    </w:p>
    <w:p w14:paraId="21766AB7">
      <w:pPr>
        <w:spacing w:line="360" w:lineRule="auto"/>
        <w:rPr>
          <w:color w:val="auto"/>
          <w:highlight w:val="none"/>
        </w:rPr>
      </w:pPr>
      <w:bookmarkStart w:id="173" w:name="_Toc518374713"/>
      <w:bookmarkStart w:id="174" w:name="_Toc332631175"/>
    </w:p>
    <w:p w14:paraId="3AF2A7C3">
      <w:pPr>
        <w:widowControl/>
        <w:spacing w:line="360" w:lineRule="auto"/>
        <w:jc w:val="left"/>
        <w:rPr>
          <w:rFonts w:ascii="宋体" w:hAnsi="宋体" w:cs="宋体"/>
          <w:color w:val="auto"/>
          <w:szCs w:val="24"/>
          <w:highlight w:val="none"/>
        </w:rPr>
      </w:pPr>
      <w:r>
        <w:rPr>
          <w:rFonts w:hint="eastAsia"/>
          <w:color w:val="auto"/>
          <w:highlight w:val="none"/>
        </w:rPr>
        <w:br w:type="page"/>
      </w:r>
    </w:p>
    <w:p w14:paraId="508CF39D">
      <w:pPr>
        <w:pStyle w:val="3"/>
        <w:keepNext w:val="0"/>
        <w:keepLines w:val="0"/>
        <w:spacing w:line="360" w:lineRule="auto"/>
        <w:jc w:val="center"/>
        <w:rPr>
          <w:rFonts w:ascii="宋体" w:hAnsi="宋体" w:eastAsia="宋体" w:cs="宋体"/>
          <w:color w:val="auto"/>
          <w:kern w:val="2"/>
          <w:highlight w:val="none"/>
        </w:rPr>
      </w:pPr>
    </w:p>
    <w:p w14:paraId="7A559F2A">
      <w:pPr>
        <w:pStyle w:val="3"/>
        <w:keepNext w:val="0"/>
        <w:keepLines w:val="0"/>
        <w:spacing w:line="360" w:lineRule="auto"/>
        <w:jc w:val="center"/>
        <w:rPr>
          <w:rFonts w:ascii="宋体" w:hAnsi="宋体" w:eastAsia="宋体" w:cs="宋体"/>
          <w:color w:val="auto"/>
          <w:highlight w:val="none"/>
        </w:rPr>
      </w:pPr>
      <w:bookmarkStart w:id="175" w:name="_Toc18657"/>
      <w:r>
        <w:rPr>
          <w:rFonts w:hint="eastAsia" w:ascii="宋体" w:hAnsi="宋体" w:eastAsia="宋体" w:cs="宋体"/>
          <w:color w:val="auto"/>
          <w:kern w:val="2"/>
          <w:highlight w:val="none"/>
        </w:rPr>
        <w:t>第七章  投标文件格式</w:t>
      </w:r>
      <w:bookmarkEnd w:id="175"/>
    </w:p>
    <w:bookmarkEnd w:id="173"/>
    <w:bookmarkEnd w:id="174"/>
    <w:p w14:paraId="6D3F9A3C">
      <w:pPr>
        <w:spacing w:line="360" w:lineRule="auto"/>
        <w:jc w:val="center"/>
        <w:rPr>
          <w:rFonts w:ascii="宋体" w:hAnsi="宋体" w:cs="宋体"/>
          <w:b/>
          <w:color w:val="auto"/>
          <w:sz w:val="44"/>
          <w:szCs w:val="44"/>
          <w:highlight w:val="none"/>
        </w:rPr>
      </w:pPr>
    </w:p>
    <w:p w14:paraId="52329CAE">
      <w:pPr>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番禺汽车城金轩二路B线工程检测（监测）</w:t>
      </w:r>
    </w:p>
    <w:p w14:paraId="5695D2D0">
      <w:pPr>
        <w:spacing w:line="360" w:lineRule="auto"/>
        <w:rPr>
          <w:rFonts w:ascii="宋体" w:hAnsi="宋体" w:cs="宋体"/>
          <w:color w:val="auto"/>
          <w:sz w:val="20"/>
          <w:highlight w:val="none"/>
        </w:rPr>
      </w:pPr>
    </w:p>
    <w:p w14:paraId="054B896A">
      <w:pPr>
        <w:spacing w:line="360" w:lineRule="auto"/>
        <w:rPr>
          <w:rFonts w:ascii="宋体" w:hAnsi="宋体" w:cs="宋体"/>
          <w:color w:val="auto"/>
          <w:sz w:val="20"/>
          <w:highlight w:val="none"/>
        </w:rPr>
      </w:pPr>
    </w:p>
    <w:p w14:paraId="165B901E">
      <w:pPr>
        <w:spacing w:line="360" w:lineRule="auto"/>
        <w:rPr>
          <w:rFonts w:ascii="宋体" w:hAnsi="宋体" w:cs="宋体"/>
          <w:color w:val="auto"/>
          <w:sz w:val="20"/>
          <w:highlight w:val="none"/>
        </w:rPr>
      </w:pPr>
    </w:p>
    <w:p w14:paraId="5A509454">
      <w:pPr>
        <w:spacing w:line="360" w:lineRule="auto"/>
        <w:rPr>
          <w:rFonts w:ascii="宋体" w:hAnsi="宋体" w:cs="宋体"/>
          <w:color w:val="auto"/>
          <w:sz w:val="20"/>
          <w:highlight w:val="none"/>
        </w:rPr>
      </w:pPr>
    </w:p>
    <w:p w14:paraId="3E142709">
      <w:pPr>
        <w:spacing w:line="360" w:lineRule="auto"/>
        <w:rPr>
          <w:rFonts w:ascii="宋体" w:hAnsi="宋体" w:cs="宋体"/>
          <w:color w:val="auto"/>
          <w:sz w:val="20"/>
          <w:highlight w:val="none"/>
        </w:rPr>
      </w:pPr>
    </w:p>
    <w:p w14:paraId="37D41ADB">
      <w:pPr>
        <w:spacing w:line="360" w:lineRule="auto"/>
        <w:rPr>
          <w:rFonts w:ascii="宋体" w:hAnsi="宋体" w:cs="宋体"/>
          <w:color w:val="auto"/>
          <w:sz w:val="20"/>
          <w:highlight w:val="none"/>
        </w:rPr>
      </w:pPr>
    </w:p>
    <w:p w14:paraId="498DB3F3">
      <w:pPr>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投标文件</w:t>
      </w:r>
    </w:p>
    <w:p w14:paraId="0C87C883">
      <w:pPr>
        <w:spacing w:line="360" w:lineRule="auto"/>
        <w:rPr>
          <w:rFonts w:ascii="宋体" w:hAnsi="宋体" w:cs="宋体"/>
          <w:color w:val="auto"/>
          <w:sz w:val="28"/>
          <w:highlight w:val="none"/>
        </w:rPr>
      </w:pPr>
    </w:p>
    <w:p w14:paraId="6FD78DBE">
      <w:pPr>
        <w:spacing w:line="360" w:lineRule="auto"/>
        <w:rPr>
          <w:rFonts w:ascii="宋体" w:hAnsi="宋体" w:cs="宋体"/>
          <w:color w:val="auto"/>
          <w:sz w:val="28"/>
          <w:highlight w:val="none"/>
        </w:rPr>
      </w:pPr>
    </w:p>
    <w:p w14:paraId="629B9DD0">
      <w:pPr>
        <w:spacing w:line="360" w:lineRule="auto"/>
        <w:rPr>
          <w:rFonts w:ascii="宋体" w:hAnsi="宋体" w:cs="宋体"/>
          <w:color w:val="auto"/>
          <w:sz w:val="28"/>
          <w:highlight w:val="none"/>
        </w:rPr>
      </w:pPr>
    </w:p>
    <w:p w14:paraId="11F0C82D">
      <w:pPr>
        <w:spacing w:line="360" w:lineRule="auto"/>
        <w:rPr>
          <w:rFonts w:ascii="宋体" w:hAnsi="宋体" w:cs="宋体"/>
          <w:color w:val="auto"/>
          <w:sz w:val="28"/>
          <w:highlight w:val="none"/>
        </w:rPr>
      </w:pPr>
    </w:p>
    <w:p w14:paraId="3AB77F51">
      <w:pPr>
        <w:spacing w:line="360" w:lineRule="auto"/>
        <w:rPr>
          <w:rFonts w:ascii="宋体" w:hAnsi="宋体" w:cs="宋体"/>
          <w:color w:val="auto"/>
          <w:sz w:val="28"/>
          <w:highlight w:val="none"/>
        </w:rPr>
      </w:pPr>
    </w:p>
    <w:p w14:paraId="38650A31">
      <w:pPr>
        <w:spacing w:line="360" w:lineRule="auto"/>
        <w:rPr>
          <w:rFonts w:ascii="宋体" w:hAnsi="宋体" w:cs="宋体"/>
          <w:color w:val="auto"/>
          <w:sz w:val="28"/>
          <w:highlight w:val="none"/>
        </w:rPr>
      </w:pPr>
    </w:p>
    <w:p w14:paraId="3A00D9F7">
      <w:pPr>
        <w:spacing w:line="360" w:lineRule="auto"/>
        <w:ind w:firstLine="1120" w:firstLineChars="400"/>
        <w:rPr>
          <w:rFonts w:ascii="宋体" w:hAnsi="宋体" w:cs="宋体"/>
          <w:color w:val="auto"/>
          <w:sz w:val="28"/>
          <w:highlight w:val="none"/>
          <w:u w:val="single"/>
        </w:rPr>
      </w:pPr>
      <w:r>
        <w:rPr>
          <w:rFonts w:hint="eastAsia" w:ascii="宋体" w:hAnsi="宋体" w:cs="宋体"/>
          <w:color w:val="auto"/>
          <w:sz w:val="28"/>
          <w:highlight w:val="none"/>
        </w:rPr>
        <w:t>投标人：（盖章）</w:t>
      </w:r>
    </w:p>
    <w:p w14:paraId="38F2B0A2">
      <w:pPr>
        <w:spacing w:line="360" w:lineRule="auto"/>
        <w:ind w:firstLine="1120" w:firstLineChars="400"/>
        <w:jc w:val="left"/>
        <w:rPr>
          <w:rFonts w:ascii="宋体" w:hAnsi="宋体" w:cs="宋体"/>
          <w:color w:val="auto"/>
          <w:sz w:val="28"/>
          <w:highlight w:val="none"/>
        </w:rPr>
      </w:pPr>
      <w:r>
        <w:rPr>
          <w:rFonts w:hint="eastAsia" w:ascii="宋体" w:hAnsi="宋体" w:cs="宋体"/>
          <w:color w:val="auto"/>
          <w:sz w:val="28"/>
          <w:highlight w:val="none"/>
        </w:rPr>
        <w:t>法定代表人或其委托代理人：（签字或盖章）</w:t>
      </w:r>
    </w:p>
    <w:p w14:paraId="6231C8D7">
      <w:pPr>
        <w:spacing w:line="360" w:lineRule="auto"/>
        <w:jc w:val="center"/>
        <w:rPr>
          <w:rFonts w:ascii="宋体" w:hAnsi="宋体" w:cs="宋体"/>
          <w:color w:val="auto"/>
          <w:highlight w:val="none"/>
        </w:rPr>
      </w:pPr>
      <w:r>
        <w:rPr>
          <w:rFonts w:hint="eastAsia" w:ascii="宋体" w:hAnsi="宋体" w:cs="宋体"/>
          <w:color w:val="auto"/>
          <w:sz w:val="28"/>
          <w:highlight w:val="none"/>
        </w:rPr>
        <w:t>年  月  日</w:t>
      </w:r>
    </w:p>
    <w:p w14:paraId="57560D44">
      <w:pPr>
        <w:spacing w:line="360" w:lineRule="auto"/>
        <w:rPr>
          <w:rFonts w:ascii="宋体" w:hAnsi="宋体" w:cs="宋体"/>
          <w:color w:val="auto"/>
          <w:highlight w:val="none"/>
        </w:rPr>
      </w:pPr>
    </w:p>
    <w:p w14:paraId="326534E6">
      <w:pPr>
        <w:spacing w:line="360" w:lineRule="auto"/>
        <w:rPr>
          <w:rFonts w:ascii="宋体" w:hAnsi="宋体" w:cs="宋体"/>
          <w:color w:val="auto"/>
          <w:highlight w:val="none"/>
        </w:rPr>
      </w:pPr>
    </w:p>
    <w:p w14:paraId="12B9EDB1">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目录</w:t>
      </w:r>
    </w:p>
    <w:p w14:paraId="39BAD048">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一、投标函及投标函附录</w:t>
      </w:r>
      <w:r>
        <w:rPr>
          <w:rFonts w:hint="eastAsia" w:ascii="宋体" w:hAnsi="宋体" w:cs="宋体"/>
          <w:color w:val="auto"/>
          <w:sz w:val="28"/>
          <w:szCs w:val="28"/>
          <w:highlight w:val="none"/>
        </w:rPr>
        <w:tab/>
      </w:r>
    </w:p>
    <w:p w14:paraId="2BEB57CB">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二、法定代表人证明书及授权委托书</w:t>
      </w:r>
      <w:r>
        <w:rPr>
          <w:rFonts w:hint="eastAsia" w:ascii="宋体" w:hAnsi="宋体" w:cs="宋体"/>
          <w:color w:val="auto"/>
          <w:sz w:val="28"/>
          <w:szCs w:val="28"/>
          <w:highlight w:val="none"/>
        </w:rPr>
        <w:tab/>
      </w:r>
    </w:p>
    <w:p w14:paraId="7DED59E0">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三、联合体协议书</w:t>
      </w:r>
      <w:r>
        <w:rPr>
          <w:rFonts w:hint="eastAsia" w:ascii="宋体" w:hAnsi="宋体" w:cs="宋体"/>
          <w:color w:val="auto"/>
          <w:sz w:val="28"/>
          <w:szCs w:val="28"/>
          <w:highlight w:val="none"/>
        </w:rPr>
        <w:tab/>
      </w:r>
      <w:r>
        <w:rPr>
          <w:rFonts w:hint="eastAsia" w:ascii="宋体" w:hAnsi="宋体" w:cs="宋体"/>
          <w:color w:val="auto"/>
          <w:sz w:val="28"/>
          <w:szCs w:val="28"/>
          <w:highlight w:val="none"/>
        </w:rPr>
        <w:t>（如有）</w:t>
      </w:r>
    </w:p>
    <w:p w14:paraId="404C0328">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四、关于投标保证金的承诺</w:t>
      </w:r>
    </w:p>
    <w:p w14:paraId="4857F7DC">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五、资格审查资料</w:t>
      </w:r>
      <w:r>
        <w:rPr>
          <w:rFonts w:hint="eastAsia" w:ascii="宋体" w:hAnsi="宋体" w:cs="宋体"/>
          <w:color w:val="auto"/>
          <w:sz w:val="28"/>
          <w:szCs w:val="28"/>
          <w:highlight w:val="none"/>
        </w:rPr>
        <w:tab/>
      </w:r>
    </w:p>
    <w:p w14:paraId="3D3529CD">
      <w:pPr>
        <w:spacing w:line="360" w:lineRule="auto"/>
        <w:jc w:val="left"/>
        <w:rPr>
          <w:rFonts w:ascii="宋体" w:hAnsi="宋体" w:cs="宋体"/>
          <w:color w:val="auto"/>
          <w:sz w:val="28"/>
          <w:szCs w:val="28"/>
          <w:highlight w:val="none"/>
        </w:rPr>
      </w:pPr>
      <w:bookmarkStart w:id="176" w:name="_Toc759"/>
      <w:bookmarkStart w:id="177" w:name="_Toc15847"/>
      <w:bookmarkStart w:id="178" w:name="_Toc14300"/>
      <w:bookmarkStart w:id="179" w:name="_Toc7672"/>
      <w:bookmarkStart w:id="180" w:name="_Toc525063272"/>
      <w:bookmarkStart w:id="181" w:name="_Toc20192"/>
      <w:r>
        <w:rPr>
          <w:rFonts w:hint="eastAsia" w:ascii="宋体" w:hAnsi="宋体" w:cs="宋体"/>
          <w:color w:val="auto"/>
          <w:sz w:val="28"/>
          <w:szCs w:val="28"/>
          <w:highlight w:val="none"/>
        </w:rPr>
        <w:t>六、类似项目业绩表</w:t>
      </w:r>
    </w:p>
    <w:p w14:paraId="5E2DAF0E">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七、拟投入本项目的人员一览表</w:t>
      </w:r>
    </w:p>
    <w:p w14:paraId="2B0DF643">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八、拟投入本项目的人员简历表</w:t>
      </w:r>
    </w:p>
    <w:p w14:paraId="74D6EA22">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九、拟投入本项目的主要仪器设备一览表</w:t>
      </w:r>
    </w:p>
    <w:p w14:paraId="38BF3D99">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十、检测监测技术方案</w:t>
      </w:r>
      <w:r>
        <w:rPr>
          <w:rFonts w:hint="eastAsia" w:ascii="宋体" w:hAnsi="宋体" w:cs="宋体"/>
          <w:color w:val="auto"/>
          <w:sz w:val="28"/>
          <w:szCs w:val="28"/>
          <w:highlight w:val="none"/>
        </w:rPr>
        <w:tab/>
      </w:r>
    </w:p>
    <w:p w14:paraId="037FEEBC">
      <w:pPr>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十一、投标人认为应该提供的其他资料</w:t>
      </w:r>
    </w:p>
    <w:p w14:paraId="5FAAD610">
      <w:pPr>
        <w:spacing w:line="360" w:lineRule="auto"/>
        <w:rPr>
          <w:rFonts w:ascii="宋体" w:hAnsi="宋体" w:cs="宋体"/>
          <w:color w:val="auto"/>
          <w:sz w:val="20"/>
          <w:highlight w:val="none"/>
        </w:rPr>
      </w:pPr>
    </w:p>
    <w:p w14:paraId="504169D8">
      <w:pPr>
        <w:keepNext/>
        <w:keepLines/>
        <w:spacing w:line="360" w:lineRule="auto"/>
        <w:jc w:val="center"/>
        <w:outlineLvl w:val="1"/>
        <w:rPr>
          <w:rFonts w:ascii="宋体" w:hAnsi="宋体" w:cs="宋体"/>
          <w:color w:val="auto"/>
          <w:sz w:val="32"/>
          <w:highlight w:val="none"/>
        </w:rPr>
      </w:pPr>
      <w:r>
        <w:rPr>
          <w:rFonts w:hint="eastAsia" w:ascii="宋体" w:hAnsi="宋体" w:cs="宋体"/>
          <w:color w:val="auto"/>
          <w:highlight w:val="none"/>
        </w:rPr>
        <w:br w:type="page"/>
      </w:r>
      <w:bookmarkStart w:id="182" w:name="_Toc7606"/>
      <w:r>
        <w:rPr>
          <w:rFonts w:hint="eastAsia" w:ascii="宋体" w:hAnsi="宋体" w:cs="宋体"/>
          <w:color w:val="auto"/>
          <w:sz w:val="32"/>
          <w:highlight w:val="none"/>
        </w:rPr>
        <w:t>一、</w:t>
      </w:r>
      <w:r>
        <w:rPr>
          <w:rFonts w:hint="eastAsia" w:ascii="宋体" w:hAnsi="宋体" w:cs="宋体"/>
          <w:b/>
          <w:bCs/>
          <w:color w:val="auto"/>
          <w:sz w:val="32"/>
          <w:szCs w:val="32"/>
          <w:highlight w:val="none"/>
        </w:rPr>
        <w:t>投标函及投标函附录</w:t>
      </w:r>
      <w:bookmarkEnd w:id="182"/>
    </w:p>
    <w:p w14:paraId="762BFBC0">
      <w:pPr>
        <w:spacing w:line="360" w:lineRule="auto"/>
        <w:jc w:val="center"/>
        <w:rPr>
          <w:rFonts w:ascii="宋体" w:hAnsi="宋体" w:cs="宋体"/>
          <w:color w:val="auto"/>
          <w:sz w:val="30"/>
          <w:szCs w:val="24"/>
          <w:highlight w:val="none"/>
        </w:rPr>
      </w:pPr>
      <w:r>
        <w:rPr>
          <w:rFonts w:hint="eastAsia" w:ascii="宋体" w:hAnsi="宋体" w:cs="宋体"/>
          <w:color w:val="auto"/>
          <w:sz w:val="30"/>
          <w:szCs w:val="24"/>
          <w:highlight w:val="none"/>
        </w:rPr>
        <w:t>（一）投标函</w:t>
      </w:r>
    </w:p>
    <w:p w14:paraId="466E8673">
      <w:pPr>
        <w:spacing w:line="360" w:lineRule="auto"/>
        <w:rPr>
          <w:rFonts w:ascii="宋体" w:hAnsi="宋体" w:cs="宋体"/>
          <w:color w:val="auto"/>
          <w:szCs w:val="24"/>
          <w:highlight w:val="none"/>
        </w:rPr>
      </w:pPr>
    </w:p>
    <w:bookmarkEnd w:id="176"/>
    <w:bookmarkEnd w:id="177"/>
    <w:bookmarkEnd w:id="178"/>
    <w:bookmarkEnd w:id="179"/>
    <w:bookmarkEnd w:id="180"/>
    <w:bookmarkEnd w:id="181"/>
    <w:p w14:paraId="534B834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ascii="宋体" w:hAnsi="宋体"/>
          <w:b/>
          <w:bCs/>
          <w:color w:val="auto"/>
          <w:sz w:val="24"/>
          <w:szCs w:val="24"/>
          <w:highlight w:val="none"/>
          <w:u w:val="single"/>
        </w:rPr>
        <w:t xml:space="preserve"> </w:t>
      </w:r>
      <w:r>
        <w:rPr>
          <w:rFonts w:hint="eastAsia" w:ascii="宋体" w:hAnsi="宋体"/>
          <w:color w:val="auto"/>
          <w:sz w:val="24"/>
          <w:szCs w:val="24"/>
          <w:highlight w:val="none"/>
          <w:u w:val="single"/>
        </w:rPr>
        <w:t>（招标人）</w:t>
      </w:r>
      <w:r>
        <w:rPr>
          <w:rFonts w:ascii="宋体" w:hAnsi="宋体"/>
          <w:color w:val="auto"/>
          <w:sz w:val="24"/>
          <w:szCs w:val="24"/>
          <w:highlight w:val="none"/>
          <w:u w:val="single"/>
        </w:rPr>
        <w:t xml:space="preserve">          </w:t>
      </w:r>
    </w:p>
    <w:p w14:paraId="06C477E0">
      <w:pPr>
        <w:pStyle w:val="8"/>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在仔细分析研究了贵单位提供的</w:t>
      </w:r>
      <w:r>
        <w:rPr>
          <w:rFonts w:ascii="宋体" w:hAnsi="宋体"/>
          <w:color w:val="auto"/>
          <w:sz w:val="24"/>
          <w:highlight w:val="none"/>
          <w:u w:val="single"/>
        </w:rPr>
        <w:t xml:space="preserve">        </w:t>
      </w:r>
      <w:r>
        <w:rPr>
          <w:rFonts w:hint="eastAsia" w:ascii="宋体" w:hAnsi="宋体"/>
          <w:color w:val="auto"/>
          <w:sz w:val="24"/>
          <w:highlight w:val="none"/>
          <w:u w:val="single"/>
        </w:rPr>
        <w:t>（项目名称）</w:t>
      </w:r>
      <w:r>
        <w:rPr>
          <w:rFonts w:hint="eastAsia" w:ascii="宋体" w:hAnsi="宋体"/>
          <w:color w:val="auto"/>
          <w:sz w:val="24"/>
          <w:highlight w:val="none"/>
        </w:rPr>
        <w:t>招标文件后，我方愿意以总价为人民币（大写）</w:t>
      </w:r>
      <w:r>
        <w:rPr>
          <w:rFonts w:ascii="宋体" w:hAnsi="宋体"/>
          <w:color w:val="auto"/>
          <w:sz w:val="24"/>
          <w:highlight w:val="none"/>
          <w:u w:val="single"/>
        </w:rPr>
        <w:t xml:space="preserve">                      </w:t>
      </w: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hint="eastAsia" w:ascii="宋体" w:hAnsi="宋体"/>
          <w:color w:val="auto"/>
          <w:sz w:val="24"/>
          <w:highlight w:val="none"/>
        </w:rPr>
        <w:t>）作为</w:t>
      </w:r>
      <w:r>
        <w:rPr>
          <w:rFonts w:ascii="宋体" w:hAnsi="宋体"/>
          <w:color w:val="auto"/>
          <w:sz w:val="24"/>
          <w:highlight w:val="none"/>
          <w:u w:val="single"/>
        </w:rPr>
        <w:t xml:space="preserve">      </w:t>
      </w:r>
      <w:r>
        <w:rPr>
          <w:rFonts w:hint="eastAsia" w:ascii="宋体" w:hAnsi="宋体"/>
          <w:color w:val="auto"/>
          <w:sz w:val="24"/>
          <w:highlight w:val="none"/>
          <w:u w:val="single"/>
        </w:rPr>
        <w:t>项目名称</w:t>
      </w:r>
      <w:r>
        <w:rPr>
          <w:rFonts w:ascii="宋体" w:hAnsi="宋体"/>
          <w:color w:val="auto"/>
          <w:sz w:val="24"/>
          <w:highlight w:val="none"/>
          <w:u w:val="single"/>
        </w:rPr>
        <w:t xml:space="preserve">         </w:t>
      </w:r>
      <w:r>
        <w:rPr>
          <w:rFonts w:hint="eastAsia" w:ascii="宋体" w:hAnsi="宋体"/>
          <w:color w:val="auto"/>
          <w:sz w:val="24"/>
          <w:highlight w:val="none"/>
        </w:rPr>
        <w:t>服务费的总价，并遵照招标文件的有关规定要求，承担全部服务任务工作。</w:t>
      </w:r>
    </w:p>
    <w:p w14:paraId="1794217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我方确认的</w:t>
      </w:r>
      <w:r>
        <w:rPr>
          <w:rFonts w:hint="eastAsia" w:ascii="宋体" w:hAnsi="宋体"/>
          <w:b/>
          <w:bCs/>
          <w:color w:val="auto"/>
          <w:sz w:val="24"/>
          <w:szCs w:val="24"/>
          <w:highlight w:val="none"/>
        </w:rPr>
        <w:t>投标函</w:t>
      </w:r>
      <w:r>
        <w:rPr>
          <w:rFonts w:hint="eastAsia" w:ascii="宋体" w:hAnsi="宋体"/>
          <w:color w:val="auto"/>
          <w:sz w:val="24"/>
          <w:szCs w:val="24"/>
          <w:highlight w:val="none"/>
        </w:rPr>
        <w:t>是我单位投标文件的组成部分。</w:t>
      </w:r>
    </w:p>
    <w:p w14:paraId="3DEAA23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如果贵单位接受我方的投标，我方保证按合同规定的期限内开始本工程的检测监测工作并按投标书中规定的期限内完成合同规定的全部任务。</w:t>
      </w:r>
    </w:p>
    <w:p w14:paraId="6881CBE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我方同意在从规定的</w:t>
      </w:r>
      <w:r>
        <w:rPr>
          <w:rFonts w:hint="eastAsia" w:ascii="宋体" w:hAnsi="宋体"/>
          <w:b/>
          <w:bCs/>
          <w:color w:val="auto"/>
          <w:sz w:val="24"/>
          <w:szCs w:val="24"/>
          <w:highlight w:val="none"/>
        </w:rPr>
        <w:t>递交投标文件截止之日起</w:t>
      </w:r>
      <w:r>
        <w:rPr>
          <w:rFonts w:ascii="宋体" w:hAnsi="宋体"/>
          <w:b/>
          <w:bCs/>
          <w:color w:val="auto"/>
          <w:sz w:val="24"/>
          <w:szCs w:val="24"/>
          <w:highlight w:val="none"/>
        </w:rPr>
        <w:t>90</w:t>
      </w:r>
      <w:r>
        <w:rPr>
          <w:rFonts w:hint="eastAsia" w:ascii="宋体" w:hAnsi="宋体"/>
          <w:b/>
          <w:bCs/>
          <w:color w:val="auto"/>
          <w:sz w:val="24"/>
          <w:szCs w:val="24"/>
          <w:highlight w:val="none"/>
        </w:rPr>
        <w:t>天</w:t>
      </w:r>
      <w:r>
        <w:rPr>
          <w:rFonts w:hint="eastAsia" w:ascii="宋体" w:hAnsi="宋体"/>
          <w:color w:val="auto"/>
          <w:sz w:val="24"/>
          <w:szCs w:val="24"/>
          <w:highlight w:val="none"/>
        </w:rPr>
        <w:t>内遵守本投标文件。在此期限届满之前，本投标文件始终将对我们具有约束力并随时接受中标。</w:t>
      </w:r>
    </w:p>
    <w:p w14:paraId="748EA29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在合同协议制定和签署之前，本投标书连同贵单位的中标通知书、双方签认的补充、修正或澄清文件及其他文件和附件应成为约束贵、我双方的合同文件。</w:t>
      </w:r>
    </w:p>
    <w:p w14:paraId="4E04F1C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我们理解，贵单位不一定接受最低标价的投标文件或可能接受其他任何投标文件，同时也理解，贵单位不负担我们的任何投标费用。</w:t>
      </w:r>
    </w:p>
    <w:p w14:paraId="1183D98D">
      <w:pPr>
        <w:spacing w:line="360" w:lineRule="auto"/>
        <w:rPr>
          <w:rFonts w:ascii="宋体" w:hAnsi="宋体"/>
          <w:color w:val="auto"/>
          <w:highlight w:val="none"/>
        </w:rPr>
      </w:pPr>
    </w:p>
    <w:p w14:paraId="11806E24">
      <w:pPr>
        <w:spacing w:line="360" w:lineRule="auto"/>
        <w:ind w:firstLine="2520" w:firstLineChars="1200"/>
        <w:jc w:val="left"/>
        <w:rPr>
          <w:rFonts w:ascii="宋体" w:hAnsi="宋体"/>
          <w:color w:val="auto"/>
          <w:szCs w:val="21"/>
          <w:highlight w:val="none"/>
        </w:rPr>
      </w:pPr>
    </w:p>
    <w:p w14:paraId="4E9E5615">
      <w:pPr>
        <w:spacing w:line="360" w:lineRule="auto"/>
        <w:ind w:right="960" w:firstLine="4536" w:firstLineChars="1890"/>
        <w:jc w:val="left"/>
        <w:rPr>
          <w:rFonts w:ascii="Times New Roman" w:hAnsi="Times New Roman"/>
          <w:color w:val="auto"/>
          <w:sz w:val="24"/>
          <w:highlight w:val="none"/>
        </w:rPr>
      </w:pPr>
      <w:r>
        <w:rPr>
          <w:rFonts w:hint="eastAsia" w:ascii="Times New Roman" w:hAnsi="Times New Roman"/>
          <w:color w:val="auto"/>
          <w:sz w:val="24"/>
          <w:highlight w:val="none"/>
        </w:rPr>
        <w:t xml:space="preserve">投标人（盖章）： </w:t>
      </w:r>
    </w:p>
    <w:p w14:paraId="365DB518">
      <w:pPr>
        <w:spacing w:line="360" w:lineRule="auto"/>
        <w:ind w:firstLine="1984" w:firstLineChars="719"/>
        <w:jc w:val="left"/>
        <w:rPr>
          <w:rFonts w:ascii="Times New Roman" w:hAnsi="Times New Roman"/>
          <w:color w:val="auto"/>
          <w:sz w:val="24"/>
          <w:highlight w:val="none"/>
        </w:rPr>
      </w:pPr>
      <w:r>
        <w:rPr>
          <w:rFonts w:hint="eastAsia" w:ascii="Times New Roman" w:hAnsi="Times New Roman"/>
          <w:color w:val="auto"/>
          <w:spacing w:val="18"/>
          <w:sz w:val="24"/>
          <w:highlight w:val="none"/>
        </w:rPr>
        <w:t>法定</w:t>
      </w:r>
      <w:r>
        <w:rPr>
          <w:rFonts w:ascii="Times New Roman" w:hAnsi="Times New Roman"/>
          <w:color w:val="auto"/>
          <w:spacing w:val="18"/>
          <w:sz w:val="24"/>
          <w:highlight w:val="none"/>
        </w:rPr>
        <w:t>代表人(或被授权人)</w:t>
      </w:r>
      <w:r>
        <w:rPr>
          <w:rFonts w:hint="eastAsia" w:ascii="Times New Roman" w:hAnsi="Times New Roman"/>
          <w:color w:val="auto"/>
          <w:spacing w:val="18"/>
          <w:sz w:val="24"/>
          <w:highlight w:val="none"/>
        </w:rPr>
        <w:t>签字或盖章</w:t>
      </w:r>
      <w:r>
        <w:rPr>
          <w:rFonts w:hint="eastAsia" w:ascii="Times New Roman" w:hAnsi="Times New Roman"/>
          <w:color w:val="auto"/>
          <w:sz w:val="24"/>
          <w:highlight w:val="none"/>
        </w:rPr>
        <w:t>：</w:t>
      </w:r>
    </w:p>
    <w:p w14:paraId="3587340B">
      <w:pPr>
        <w:spacing w:line="360" w:lineRule="auto"/>
        <w:ind w:firstLine="5400" w:firstLineChars="2250"/>
        <w:jc w:val="right"/>
        <w:rPr>
          <w:rFonts w:ascii="宋体" w:hAnsi="宋体"/>
          <w:color w:val="auto"/>
          <w:szCs w:val="21"/>
          <w:highlight w:val="none"/>
        </w:rPr>
      </w:pPr>
      <w:r>
        <w:rPr>
          <w:rFonts w:hint="eastAsia" w:ascii="Times New Roman" w:hAnsi="Times New Roman"/>
          <w:color w:val="auto"/>
          <w:sz w:val="24"/>
          <w:highlight w:val="none"/>
        </w:rPr>
        <w:t>2025年  月  日</w:t>
      </w:r>
    </w:p>
    <w:p w14:paraId="4195D29B">
      <w:pPr>
        <w:spacing w:line="360" w:lineRule="auto"/>
        <w:jc w:val="left"/>
        <w:rPr>
          <w:rFonts w:ascii="宋体" w:hAnsi="宋体" w:cs="宋体"/>
          <w:color w:val="auto"/>
          <w:highlight w:val="none"/>
        </w:rPr>
      </w:pPr>
    </w:p>
    <w:p w14:paraId="4444E00A">
      <w:pPr>
        <w:spacing w:line="360" w:lineRule="auto"/>
        <w:jc w:val="center"/>
        <w:rPr>
          <w:rFonts w:ascii="宋体" w:hAnsi="宋体" w:cs="宋体"/>
          <w:color w:val="auto"/>
          <w:sz w:val="30"/>
          <w:szCs w:val="24"/>
          <w:highlight w:val="none"/>
        </w:rPr>
      </w:pPr>
      <w:r>
        <w:rPr>
          <w:rFonts w:ascii="宋体" w:hAnsi="宋体" w:cs="宋体"/>
          <w:color w:val="auto"/>
          <w:sz w:val="30"/>
          <w:szCs w:val="24"/>
          <w:highlight w:val="none"/>
        </w:rPr>
        <w:br w:type="page"/>
      </w:r>
      <w:r>
        <w:rPr>
          <w:rFonts w:hint="eastAsia" w:ascii="宋体" w:hAnsi="宋体" w:cs="宋体"/>
          <w:color w:val="auto"/>
          <w:sz w:val="30"/>
          <w:szCs w:val="24"/>
          <w:highlight w:val="none"/>
        </w:rPr>
        <w:t>（二）投标函附录</w:t>
      </w:r>
    </w:p>
    <w:p w14:paraId="414AEE5C">
      <w:pPr>
        <w:spacing w:line="360" w:lineRule="auto"/>
        <w:rPr>
          <w:rFonts w:ascii="宋体" w:hAnsi="宋体" w:cs="宋体"/>
          <w:color w:val="auto"/>
          <w:szCs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89"/>
        <w:gridCol w:w="4126"/>
        <w:gridCol w:w="1654"/>
      </w:tblGrid>
      <w:tr w14:paraId="4289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BA88EC5">
            <w:pPr>
              <w:jc w:val="center"/>
              <w:rPr>
                <w:rFonts w:ascii="宋体" w:hAnsi="宋体"/>
                <w:b/>
                <w:color w:val="auto"/>
                <w:sz w:val="24"/>
                <w:szCs w:val="28"/>
                <w:highlight w:val="none"/>
              </w:rPr>
            </w:pPr>
            <w:bookmarkStart w:id="183" w:name="_Toc247527827"/>
            <w:bookmarkStart w:id="184" w:name="_Toc352691661"/>
            <w:bookmarkStart w:id="185" w:name="_Toc384308375"/>
            <w:bookmarkStart w:id="186" w:name="_Toc152045787"/>
            <w:bookmarkStart w:id="187" w:name="_Toc144974856"/>
            <w:bookmarkStart w:id="188" w:name="_Toc152042576"/>
            <w:bookmarkStart w:id="189" w:name="_Toc247514246"/>
            <w:bookmarkStart w:id="190" w:name="_Toc369531697"/>
            <w:bookmarkStart w:id="191" w:name="_Toc17960"/>
            <w:bookmarkStart w:id="192" w:name="_Toc361508752"/>
            <w:bookmarkStart w:id="193" w:name="_Toc300835209"/>
            <w:r>
              <w:rPr>
                <w:rFonts w:hint="eastAsia" w:ascii="宋体" w:hAnsi="宋体"/>
                <w:b/>
                <w:color w:val="auto"/>
                <w:sz w:val="24"/>
                <w:szCs w:val="28"/>
                <w:highlight w:val="none"/>
              </w:rPr>
              <w:t>序号</w:t>
            </w:r>
          </w:p>
        </w:tc>
        <w:tc>
          <w:tcPr>
            <w:tcW w:w="1889" w:type="dxa"/>
            <w:tcBorders>
              <w:top w:val="single" w:color="auto" w:sz="4" w:space="0"/>
              <w:left w:val="single" w:color="auto" w:sz="4" w:space="0"/>
              <w:bottom w:val="single" w:color="auto" w:sz="4" w:space="0"/>
              <w:right w:val="single" w:color="auto" w:sz="4" w:space="0"/>
            </w:tcBorders>
            <w:vAlign w:val="center"/>
          </w:tcPr>
          <w:p w14:paraId="4975E4EB">
            <w:pPr>
              <w:jc w:val="center"/>
              <w:rPr>
                <w:rFonts w:ascii="宋体" w:hAnsi="宋体"/>
                <w:b/>
                <w:color w:val="auto"/>
                <w:sz w:val="24"/>
                <w:szCs w:val="28"/>
                <w:highlight w:val="none"/>
              </w:rPr>
            </w:pPr>
            <w:r>
              <w:rPr>
                <w:rFonts w:hint="eastAsia" w:ascii="宋体" w:hAnsi="宋体"/>
                <w:b/>
                <w:color w:val="auto"/>
                <w:sz w:val="24"/>
                <w:szCs w:val="28"/>
                <w:highlight w:val="none"/>
              </w:rPr>
              <w:t>条款名称</w:t>
            </w:r>
          </w:p>
        </w:tc>
        <w:tc>
          <w:tcPr>
            <w:tcW w:w="4126" w:type="dxa"/>
            <w:tcBorders>
              <w:top w:val="single" w:color="auto" w:sz="4" w:space="0"/>
              <w:left w:val="single" w:color="auto" w:sz="4" w:space="0"/>
              <w:bottom w:val="single" w:color="auto" w:sz="4" w:space="0"/>
              <w:right w:val="single" w:color="auto" w:sz="4" w:space="0"/>
            </w:tcBorders>
            <w:vAlign w:val="center"/>
          </w:tcPr>
          <w:p w14:paraId="554D63E7">
            <w:pPr>
              <w:jc w:val="center"/>
              <w:rPr>
                <w:rFonts w:ascii="宋体" w:hAnsi="宋体"/>
                <w:b/>
                <w:color w:val="auto"/>
                <w:sz w:val="24"/>
                <w:szCs w:val="28"/>
                <w:highlight w:val="none"/>
              </w:rPr>
            </w:pPr>
            <w:r>
              <w:rPr>
                <w:rFonts w:hint="eastAsia" w:ascii="宋体" w:hAnsi="宋体"/>
                <w:b/>
                <w:color w:val="auto"/>
                <w:sz w:val="24"/>
                <w:szCs w:val="28"/>
                <w:highlight w:val="none"/>
              </w:rPr>
              <w:t>约定内容</w:t>
            </w:r>
          </w:p>
        </w:tc>
        <w:tc>
          <w:tcPr>
            <w:tcW w:w="1654" w:type="dxa"/>
            <w:tcBorders>
              <w:top w:val="single" w:color="auto" w:sz="4" w:space="0"/>
              <w:left w:val="single" w:color="auto" w:sz="4" w:space="0"/>
              <w:bottom w:val="single" w:color="auto" w:sz="4" w:space="0"/>
              <w:right w:val="single" w:color="auto" w:sz="4" w:space="0"/>
            </w:tcBorders>
            <w:vAlign w:val="center"/>
          </w:tcPr>
          <w:p w14:paraId="394614FE">
            <w:pPr>
              <w:jc w:val="center"/>
              <w:rPr>
                <w:rFonts w:ascii="宋体" w:hAnsi="宋体"/>
                <w:b/>
                <w:color w:val="auto"/>
                <w:sz w:val="24"/>
                <w:szCs w:val="28"/>
                <w:highlight w:val="none"/>
              </w:rPr>
            </w:pPr>
            <w:r>
              <w:rPr>
                <w:rFonts w:hint="eastAsia" w:ascii="宋体" w:hAnsi="宋体"/>
                <w:b/>
                <w:color w:val="auto"/>
                <w:sz w:val="24"/>
                <w:szCs w:val="28"/>
                <w:highlight w:val="none"/>
              </w:rPr>
              <w:t>备注</w:t>
            </w:r>
          </w:p>
        </w:tc>
      </w:tr>
      <w:tr w14:paraId="5B4A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620C08C">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889" w:type="dxa"/>
            <w:tcBorders>
              <w:top w:val="single" w:color="auto" w:sz="4" w:space="0"/>
              <w:left w:val="single" w:color="auto" w:sz="4" w:space="0"/>
              <w:bottom w:val="single" w:color="auto" w:sz="4" w:space="0"/>
              <w:right w:val="single" w:color="auto" w:sz="4" w:space="0"/>
            </w:tcBorders>
            <w:vAlign w:val="center"/>
          </w:tcPr>
          <w:p w14:paraId="4A80CF1B">
            <w:pPr>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4126" w:type="dxa"/>
            <w:tcBorders>
              <w:top w:val="single" w:color="auto" w:sz="4" w:space="0"/>
              <w:left w:val="single" w:color="auto" w:sz="4" w:space="0"/>
              <w:bottom w:val="single" w:color="auto" w:sz="4" w:space="0"/>
              <w:right w:val="single" w:color="auto" w:sz="4" w:space="0"/>
            </w:tcBorders>
            <w:vAlign w:val="center"/>
          </w:tcPr>
          <w:p w14:paraId="61D10B05">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姓    名：</w:t>
            </w:r>
            <w:r>
              <w:rPr>
                <w:rFonts w:hint="eastAsia" w:ascii="宋体" w:hAnsi="宋体" w:cs="宋体"/>
                <w:bCs/>
                <w:color w:val="auto"/>
                <w:sz w:val="24"/>
                <w:szCs w:val="24"/>
                <w:highlight w:val="none"/>
                <w:u w:val="single"/>
              </w:rPr>
              <w:t xml:space="preserve">           </w:t>
            </w:r>
          </w:p>
          <w:p w14:paraId="3C378F3E">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技术职称：</w:t>
            </w:r>
            <w:r>
              <w:rPr>
                <w:rFonts w:hint="eastAsia" w:ascii="宋体" w:hAnsi="宋体" w:cs="宋体"/>
                <w:bCs/>
                <w:color w:val="auto"/>
                <w:sz w:val="24"/>
                <w:szCs w:val="24"/>
                <w:highlight w:val="none"/>
                <w:u w:val="single"/>
              </w:rPr>
              <w:t xml:space="preserve">           </w:t>
            </w:r>
          </w:p>
          <w:p w14:paraId="3FE3FA57">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专    业：</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65DE9F8E">
            <w:pPr>
              <w:jc w:val="center"/>
              <w:rPr>
                <w:rFonts w:ascii="宋体" w:hAnsi="宋体"/>
                <w:b/>
                <w:color w:val="auto"/>
                <w:szCs w:val="21"/>
                <w:highlight w:val="none"/>
              </w:rPr>
            </w:pPr>
          </w:p>
        </w:tc>
      </w:tr>
      <w:tr w14:paraId="05E6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193E2EE">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889" w:type="dxa"/>
            <w:tcBorders>
              <w:top w:val="single" w:color="auto" w:sz="4" w:space="0"/>
              <w:left w:val="single" w:color="auto" w:sz="4" w:space="0"/>
              <w:bottom w:val="single" w:color="auto" w:sz="4" w:space="0"/>
              <w:right w:val="single" w:color="auto" w:sz="4" w:space="0"/>
            </w:tcBorders>
            <w:vAlign w:val="center"/>
          </w:tcPr>
          <w:p w14:paraId="07FE0B89">
            <w:pPr>
              <w:jc w:val="center"/>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4126" w:type="dxa"/>
            <w:tcBorders>
              <w:top w:val="single" w:color="auto" w:sz="4" w:space="0"/>
              <w:left w:val="single" w:color="auto" w:sz="4" w:space="0"/>
              <w:bottom w:val="single" w:color="auto" w:sz="4" w:space="0"/>
              <w:right w:val="single" w:color="auto" w:sz="4" w:space="0"/>
            </w:tcBorders>
            <w:vAlign w:val="center"/>
          </w:tcPr>
          <w:p w14:paraId="32301FF3">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177C68D4">
            <w:pPr>
              <w:jc w:val="center"/>
              <w:rPr>
                <w:rFonts w:ascii="宋体" w:hAnsi="宋体"/>
                <w:b/>
                <w:color w:val="auto"/>
                <w:szCs w:val="21"/>
                <w:highlight w:val="none"/>
              </w:rPr>
            </w:pPr>
          </w:p>
        </w:tc>
      </w:tr>
      <w:tr w14:paraId="7783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D7B2922">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889" w:type="dxa"/>
            <w:tcBorders>
              <w:top w:val="single" w:color="auto" w:sz="4" w:space="0"/>
              <w:left w:val="single" w:color="auto" w:sz="4" w:space="0"/>
              <w:bottom w:val="single" w:color="auto" w:sz="4" w:space="0"/>
              <w:right w:val="single" w:color="auto" w:sz="4" w:space="0"/>
            </w:tcBorders>
            <w:vAlign w:val="center"/>
          </w:tcPr>
          <w:p w14:paraId="1A1D52B7">
            <w:pPr>
              <w:jc w:val="center"/>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4126" w:type="dxa"/>
            <w:tcBorders>
              <w:top w:val="single" w:color="auto" w:sz="4" w:space="0"/>
              <w:left w:val="single" w:color="auto" w:sz="4" w:space="0"/>
              <w:bottom w:val="single" w:color="auto" w:sz="4" w:space="0"/>
              <w:right w:val="single" w:color="auto" w:sz="4" w:space="0"/>
            </w:tcBorders>
            <w:vAlign w:val="center"/>
          </w:tcPr>
          <w:p w14:paraId="4185AE7E">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562C8D7A">
            <w:pPr>
              <w:jc w:val="center"/>
              <w:rPr>
                <w:rFonts w:ascii="宋体" w:hAnsi="宋体"/>
                <w:b/>
                <w:color w:val="auto"/>
                <w:szCs w:val="21"/>
                <w:highlight w:val="none"/>
              </w:rPr>
            </w:pPr>
          </w:p>
        </w:tc>
      </w:tr>
      <w:tr w14:paraId="5044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14:paraId="2ABE0E8B">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889" w:type="dxa"/>
            <w:vMerge w:val="restart"/>
            <w:tcBorders>
              <w:top w:val="single" w:color="auto" w:sz="4" w:space="0"/>
              <w:left w:val="single" w:color="auto" w:sz="4" w:space="0"/>
              <w:bottom w:val="single" w:color="auto" w:sz="4" w:space="0"/>
              <w:right w:val="single" w:color="auto" w:sz="4" w:space="0"/>
            </w:tcBorders>
            <w:vAlign w:val="center"/>
          </w:tcPr>
          <w:p w14:paraId="3051C7D5">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4126" w:type="dxa"/>
            <w:tcBorders>
              <w:top w:val="single" w:color="auto" w:sz="4" w:space="0"/>
              <w:left w:val="single" w:color="auto" w:sz="4" w:space="0"/>
              <w:bottom w:val="single" w:color="auto" w:sz="4" w:space="0"/>
              <w:right w:val="single" w:color="auto" w:sz="4" w:space="0"/>
            </w:tcBorders>
            <w:vAlign w:val="center"/>
          </w:tcPr>
          <w:p w14:paraId="4BA51FB7">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大写： </w:t>
            </w:r>
            <w:r>
              <w:rPr>
                <w:rFonts w:hint="eastAsia" w:ascii="宋体" w:hAnsi="宋体" w:cs="宋体"/>
                <w:bCs/>
                <w:color w:val="auto"/>
                <w:sz w:val="24"/>
                <w:szCs w:val="24"/>
                <w:highlight w:val="none"/>
                <w:u w:val="single"/>
              </w:rPr>
              <w:t xml:space="preserve">        </w:t>
            </w:r>
          </w:p>
          <w:p w14:paraId="0C4697FC">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小写： </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05FF1875">
            <w:pPr>
              <w:jc w:val="center"/>
              <w:rPr>
                <w:rFonts w:ascii="宋体" w:hAnsi="宋体"/>
                <w:b/>
                <w:color w:val="auto"/>
                <w:szCs w:val="21"/>
                <w:highlight w:val="none"/>
              </w:rPr>
            </w:pPr>
            <w:r>
              <w:rPr>
                <w:rFonts w:hint="eastAsia" w:ascii="宋体" w:hAnsi="宋体"/>
                <w:b/>
                <w:color w:val="auto"/>
                <w:szCs w:val="21"/>
                <w:highlight w:val="none"/>
              </w:rPr>
              <w:t>以“元”为单位，精确到小数点后2位。</w:t>
            </w:r>
          </w:p>
        </w:tc>
      </w:tr>
      <w:tr w14:paraId="11E9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14:paraId="59F0A3E8">
            <w:pPr>
              <w:widowControl/>
              <w:jc w:val="left"/>
              <w:rPr>
                <w:rFonts w:ascii="宋体" w:hAnsi="宋体" w:cs="宋体"/>
                <w:color w:val="auto"/>
                <w:sz w:val="24"/>
                <w:szCs w:val="24"/>
                <w:highlight w:val="none"/>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14:paraId="11BB7701">
            <w:pPr>
              <w:widowControl/>
              <w:jc w:val="left"/>
              <w:rPr>
                <w:rFonts w:ascii="宋体" w:hAnsi="宋体" w:cs="宋体"/>
                <w:color w:val="auto"/>
                <w:sz w:val="24"/>
                <w:szCs w:val="24"/>
                <w:highlight w:val="none"/>
              </w:rPr>
            </w:pPr>
          </w:p>
        </w:tc>
        <w:tc>
          <w:tcPr>
            <w:tcW w:w="4126" w:type="dxa"/>
            <w:tcBorders>
              <w:top w:val="single" w:color="auto" w:sz="4" w:space="0"/>
              <w:left w:val="single" w:color="auto" w:sz="4" w:space="0"/>
              <w:bottom w:val="single" w:color="auto" w:sz="4" w:space="0"/>
              <w:right w:val="single" w:color="auto" w:sz="4" w:space="0"/>
            </w:tcBorders>
            <w:vAlign w:val="center"/>
          </w:tcPr>
          <w:p w14:paraId="2B02C4BC">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投标下浮率：</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14:paraId="17B781E3">
            <w:pPr>
              <w:jc w:val="center"/>
              <w:rPr>
                <w:rFonts w:ascii="宋体" w:hAnsi="宋体"/>
                <w:b/>
                <w:color w:val="auto"/>
                <w:szCs w:val="21"/>
                <w:highlight w:val="none"/>
              </w:rPr>
            </w:pPr>
            <w:r>
              <w:rPr>
                <w:rFonts w:hint="eastAsia" w:ascii="宋体" w:hAnsi="宋体"/>
                <w:b/>
                <w:color w:val="auto"/>
                <w:szCs w:val="21"/>
                <w:highlight w:val="none"/>
              </w:rPr>
              <w:t>投标下浮率=（1-投标报价/</w:t>
            </w:r>
            <w:r>
              <w:rPr>
                <w:rFonts w:hint="eastAsia" w:ascii="宋体" w:hAnsi="宋体" w:cs="宋体"/>
                <w:b/>
                <w:color w:val="auto"/>
                <w:szCs w:val="21"/>
                <w:highlight w:val="none"/>
              </w:rPr>
              <w:t>最高投标限价</w:t>
            </w:r>
            <w:r>
              <w:rPr>
                <w:rFonts w:hint="eastAsia" w:ascii="宋体" w:hAnsi="宋体"/>
                <w:b/>
                <w:color w:val="auto"/>
                <w:szCs w:val="21"/>
                <w:highlight w:val="none"/>
              </w:rPr>
              <w:t>）*100%</w:t>
            </w:r>
          </w:p>
        </w:tc>
      </w:tr>
      <w:tr w14:paraId="6FD0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131A897">
            <w:pPr>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889" w:type="dxa"/>
            <w:tcBorders>
              <w:top w:val="single" w:color="auto" w:sz="4" w:space="0"/>
              <w:left w:val="single" w:color="auto" w:sz="4" w:space="0"/>
              <w:bottom w:val="single" w:color="auto" w:sz="4" w:space="0"/>
              <w:right w:val="single" w:color="auto" w:sz="4" w:space="0"/>
            </w:tcBorders>
            <w:vAlign w:val="center"/>
          </w:tcPr>
          <w:p w14:paraId="5D87A00F">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4126" w:type="dxa"/>
            <w:tcBorders>
              <w:top w:val="single" w:color="auto" w:sz="4" w:space="0"/>
              <w:left w:val="single" w:color="auto" w:sz="4" w:space="0"/>
              <w:bottom w:val="single" w:color="auto" w:sz="4" w:space="0"/>
              <w:right w:val="single" w:color="auto" w:sz="4" w:space="0"/>
            </w:tcBorders>
            <w:vAlign w:val="center"/>
          </w:tcPr>
          <w:p w14:paraId="32D69F0F">
            <w:pPr>
              <w:jc w:val="left"/>
              <w:rPr>
                <w:rFonts w:ascii="宋体" w:hAnsi="宋体" w:cs="宋体"/>
                <w:bCs/>
                <w:color w:val="auto"/>
                <w:sz w:val="24"/>
                <w:szCs w:val="24"/>
                <w:highlight w:val="none"/>
              </w:rPr>
            </w:pPr>
            <w:r>
              <w:rPr>
                <w:rFonts w:hint="eastAsia" w:ascii="宋体" w:hAnsi="宋体" w:cs="宋体"/>
                <w:bCs/>
                <w:color w:val="auto"/>
                <w:sz w:val="24"/>
                <w:highlight w:val="none"/>
              </w:rPr>
              <w:t xml:space="preserve"> 按招标文件要求</w:t>
            </w:r>
          </w:p>
        </w:tc>
        <w:tc>
          <w:tcPr>
            <w:tcW w:w="1654" w:type="dxa"/>
            <w:tcBorders>
              <w:top w:val="single" w:color="auto" w:sz="4" w:space="0"/>
              <w:left w:val="single" w:color="auto" w:sz="4" w:space="0"/>
              <w:bottom w:val="single" w:color="auto" w:sz="4" w:space="0"/>
              <w:right w:val="single" w:color="auto" w:sz="4" w:space="0"/>
            </w:tcBorders>
            <w:vAlign w:val="center"/>
          </w:tcPr>
          <w:p w14:paraId="5072B68E">
            <w:pPr>
              <w:jc w:val="center"/>
              <w:rPr>
                <w:rFonts w:ascii="宋体" w:hAnsi="宋体"/>
                <w:b/>
                <w:color w:val="auto"/>
                <w:szCs w:val="21"/>
                <w:highlight w:val="none"/>
              </w:rPr>
            </w:pPr>
          </w:p>
        </w:tc>
      </w:tr>
    </w:tbl>
    <w:p w14:paraId="4184BAC5">
      <w:pPr>
        <w:spacing w:line="360" w:lineRule="auto"/>
        <w:ind w:firstLine="2520" w:firstLineChars="1200"/>
        <w:jc w:val="left"/>
        <w:rPr>
          <w:rFonts w:ascii="宋体" w:hAnsi="宋体"/>
          <w:color w:val="auto"/>
          <w:szCs w:val="21"/>
          <w:highlight w:val="none"/>
        </w:rPr>
      </w:pPr>
    </w:p>
    <w:p w14:paraId="76D85769">
      <w:pPr>
        <w:spacing w:line="360" w:lineRule="auto"/>
        <w:ind w:right="960" w:firstLine="4536" w:firstLineChars="1890"/>
        <w:jc w:val="left"/>
        <w:rPr>
          <w:rFonts w:ascii="Times New Roman" w:hAnsi="Times New Roman"/>
          <w:color w:val="auto"/>
          <w:sz w:val="24"/>
          <w:highlight w:val="none"/>
        </w:rPr>
      </w:pPr>
      <w:r>
        <w:rPr>
          <w:rFonts w:hint="eastAsia" w:ascii="Times New Roman" w:hAnsi="Times New Roman"/>
          <w:color w:val="auto"/>
          <w:sz w:val="24"/>
          <w:highlight w:val="none"/>
        </w:rPr>
        <w:t xml:space="preserve">投标人（盖章）： </w:t>
      </w:r>
    </w:p>
    <w:p w14:paraId="69311CA1">
      <w:pPr>
        <w:spacing w:line="360" w:lineRule="auto"/>
        <w:ind w:firstLine="1984" w:firstLineChars="719"/>
        <w:jc w:val="left"/>
        <w:rPr>
          <w:rFonts w:ascii="Times New Roman" w:hAnsi="Times New Roman"/>
          <w:color w:val="auto"/>
          <w:sz w:val="24"/>
          <w:highlight w:val="none"/>
        </w:rPr>
      </w:pPr>
      <w:r>
        <w:rPr>
          <w:rFonts w:hint="eastAsia" w:ascii="Times New Roman" w:hAnsi="Times New Roman"/>
          <w:color w:val="auto"/>
          <w:spacing w:val="18"/>
          <w:sz w:val="24"/>
          <w:highlight w:val="none"/>
        </w:rPr>
        <w:t>法定</w:t>
      </w:r>
      <w:r>
        <w:rPr>
          <w:rFonts w:ascii="Times New Roman" w:hAnsi="Times New Roman"/>
          <w:color w:val="auto"/>
          <w:spacing w:val="18"/>
          <w:sz w:val="24"/>
          <w:highlight w:val="none"/>
        </w:rPr>
        <w:t>代表人(或被授权人)</w:t>
      </w:r>
      <w:r>
        <w:rPr>
          <w:rFonts w:hint="eastAsia" w:ascii="Times New Roman" w:hAnsi="Times New Roman"/>
          <w:color w:val="auto"/>
          <w:spacing w:val="18"/>
          <w:sz w:val="24"/>
          <w:highlight w:val="none"/>
        </w:rPr>
        <w:t>签字或盖章</w:t>
      </w:r>
      <w:r>
        <w:rPr>
          <w:rFonts w:hint="eastAsia" w:ascii="Times New Roman" w:hAnsi="Times New Roman"/>
          <w:color w:val="auto"/>
          <w:sz w:val="24"/>
          <w:highlight w:val="none"/>
        </w:rPr>
        <w:t>：</w:t>
      </w:r>
    </w:p>
    <w:p w14:paraId="38C397C6">
      <w:pPr>
        <w:spacing w:line="360" w:lineRule="auto"/>
        <w:ind w:firstLine="5280" w:firstLineChars="2200"/>
        <w:rPr>
          <w:rFonts w:ascii="宋体" w:hAnsi="宋体"/>
          <w:color w:val="auto"/>
          <w:highlight w:val="none"/>
        </w:rPr>
      </w:pPr>
      <w:r>
        <w:rPr>
          <w:rFonts w:hint="eastAsia" w:ascii="Times New Roman" w:hAnsi="Times New Roman"/>
          <w:color w:val="auto"/>
          <w:sz w:val="24"/>
          <w:highlight w:val="none"/>
        </w:rPr>
        <w:t>2025年  月  日</w:t>
      </w:r>
    </w:p>
    <w:p w14:paraId="7E4715F9">
      <w:pPr>
        <w:spacing w:line="360" w:lineRule="auto"/>
        <w:rPr>
          <w:rFonts w:ascii="宋体" w:hAnsi="宋体" w:cs="宋体"/>
          <w:b/>
          <w:bCs/>
          <w:color w:val="auto"/>
          <w:sz w:val="32"/>
          <w:szCs w:val="32"/>
          <w:highlight w:val="none"/>
        </w:rPr>
      </w:pPr>
    </w:p>
    <w:p w14:paraId="1727F791">
      <w:pPr>
        <w:keepNext/>
        <w:keepLines/>
        <w:spacing w:line="360" w:lineRule="auto"/>
        <w:outlineLvl w:val="1"/>
        <w:rPr>
          <w:rFonts w:ascii="宋体" w:hAnsi="宋体" w:cs="宋体"/>
          <w:color w:val="auto"/>
          <w:sz w:val="32"/>
          <w:highlight w:val="none"/>
        </w:rPr>
      </w:pPr>
      <w:r>
        <w:rPr>
          <w:rFonts w:ascii="宋体" w:hAnsi="宋体" w:cs="宋体"/>
          <w:b/>
          <w:bCs/>
          <w:color w:val="auto"/>
          <w:sz w:val="32"/>
          <w:szCs w:val="32"/>
          <w:highlight w:val="none"/>
        </w:rPr>
        <w:br w:type="page"/>
      </w:r>
      <w:bookmarkStart w:id="194" w:name="_Toc13471"/>
      <w:r>
        <w:rPr>
          <w:rFonts w:hint="eastAsia" w:ascii="宋体" w:hAnsi="宋体" w:cs="宋体"/>
          <w:b/>
          <w:bCs/>
          <w:color w:val="auto"/>
          <w:sz w:val="32"/>
          <w:szCs w:val="32"/>
          <w:highlight w:val="none"/>
        </w:rPr>
        <w:t>二、法定代表人证明书及授权委托书</w:t>
      </w:r>
      <w:bookmarkEnd w:id="194"/>
    </w:p>
    <w:bookmarkEnd w:id="183"/>
    <w:bookmarkEnd w:id="184"/>
    <w:bookmarkEnd w:id="185"/>
    <w:bookmarkEnd w:id="186"/>
    <w:bookmarkEnd w:id="187"/>
    <w:bookmarkEnd w:id="188"/>
    <w:bookmarkEnd w:id="189"/>
    <w:bookmarkEnd w:id="190"/>
    <w:bookmarkEnd w:id="191"/>
    <w:bookmarkEnd w:id="192"/>
    <w:bookmarkEnd w:id="193"/>
    <w:p w14:paraId="7CC3727F">
      <w:pPr>
        <w:spacing w:before="156" w:beforeLines="50" w:line="360" w:lineRule="auto"/>
        <w:ind w:firstLine="482" w:firstLineChars="200"/>
        <w:jc w:val="center"/>
        <w:rPr>
          <w:rFonts w:ascii="宋体" w:hAnsi="宋体" w:cs="宋体"/>
          <w:b/>
          <w:color w:val="auto"/>
          <w:sz w:val="24"/>
          <w:szCs w:val="24"/>
          <w:highlight w:val="none"/>
        </w:rPr>
      </w:pPr>
      <w:bookmarkStart w:id="195" w:name="_Toc525063283"/>
      <w:bookmarkStart w:id="196" w:name="_Toc28597"/>
      <w:bookmarkStart w:id="197" w:name="_Toc24490"/>
      <w:bookmarkStart w:id="198" w:name="_Toc3626"/>
      <w:bookmarkStart w:id="199" w:name="_Toc9391"/>
      <w:bookmarkStart w:id="200" w:name="_Toc532367891"/>
      <w:bookmarkStart w:id="201" w:name="_Toc787"/>
      <w:r>
        <w:rPr>
          <w:rFonts w:hint="eastAsia" w:ascii="宋体" w:hAnsi="宋体" w:cs="宋体"/>
          <w:b/>
          <w:color w:val="auto"/>
          <w:sz w:val="24"/>
          <w:szCs w:val="24"/>
          <w:highlight w:val="none"/>
        </w:rPr>
        <w:t>法定代表人证明书</w:t>
      </w:r>
    </w:p>
    <w:p w14:paraId="5F9BF607">
      <w:pPr>
        <w:spacing w:line="360" w:lineRule="auto"/>
        <w:jc w:val="center"/>
        <w:rPr>
          <w:rFonts w:ascii="宋体" w:hAnsi="宋体"/>
          <w:color w:val="auto"/>
          <w:sz w:val="30"/>
          <w:szCs w:val="30"/>
          <w:highlight w:val="none"/>
        </w:rPr>
      </w:pPr>
      <w:r>
        <w:rPr>
          <w:color w:val="auto"/>
          <w:highlight w:val="none"/>
        </w:rPr>
        <mc:AlternateContent>
          <mc:Choice Requires="wpg">
            <w:drawing>
              <wp:inline distT="0" distB="0" distL="114300" distR="114300">
                <wp:extent cx="5800725" cy="2639060"/>
                <wp:effectExtent l="4445" t="4445" r="5080" b="23495"/>
                <wp:docPr id="5" name="组合 5"/>
                <wp:cNvGraphicFramePr/>
                <a:graphic xmlns:a="http://schemas.openxmlformats.org/drawingml/2006/main">
                  <a:graphicData uri="http://schemas.microsoft.com/office/word/2010/wordprocessingGroup">
                    <wpg:wgp>
                      <wpg:cNvGrpSpPr>
                        <a:grpSpLocks noRot="1"/>
                      </wpg:cNvGrpSpPr>
                      <wpg:grpSpPr>
                        <a:xfrm>
                          <a:off x="0" y="0"/>
                          <a:ext cx="5800725" cy="2639060"/>
                          <a:chOff x="0" y="0"/>
                          <a:chExt cx="7140" cy="3468"/>
                        </a:xfrm>
                        <a:effectLst/>
                      </wpg:grpSpPr>
                      <wps:wsp>
                        <wps:cNvPr id="6" name="图片 4"/>
                        <wps:cNvSpPr>
                          <a:spLocks noChangeAspect="1" noChangeArrowheads="1" noTextEdit="1"/>
                        </wps:cNvSpPr>
                        <wps:spPr bwMode="auto">
                          <a:xfrm>
                            <a:off x="0" y="0"/>
                            <a:ext cx="7140" cy="3468"/>
                          </a:xfrm>
                          <a:prstGeom prst="rect">
                            <a:avLst/>
                          </a:prstGeom>
                          <a:noFill/>
                          <a:ln>
                            <a:noFill/>
                          </a:ln>
                          <a:effectLst/>
                        </wps:spPr>
                        <wps:bodyPr rot="0" vert="horz" wrap="square" lIns="91440" tIns="45720" rIns="91440" bIns="45720" anchor="t" anchorCtr="0" upright="1">
                          <a:noAutofit/>
                        </wps:bodyPr>
                      </wps:wsp>
                      <wps:wsp>
                        <wps:cNvPr id="7" name="文本框 5"/>
                        <wps:cNvSpPr txBox="1">
                          <a:spLocks noChangeArrowheads="1"/>
                        </wps:cNvSpPr>
                        <wps:spPr bwMode="auto">
                          <a:xfrm>
                            <a:off x="0" y="0"/>
                            <a:ext cx="7140" cy="3468"/>
                          </a:xfrm>
                          <a:prstGeom prst="rect">
                            <a:avLst/>
                          </a:prstGeom>
                          <a:solidFill>
                            <a:srgbClr val="FFFFFF"/>
                          </a:solidFill>
                          <a:ln w="9525" cmpd="sng">
                            <a:solidFill>
                              <a:srgbClr val="000000"/>
                            </a:solidFill>
                            <a:miter lim="800000"/>
                          </a:ln>
                          <a:effectLst/>
                        </wps:spPr>
                        <wps:txbx>
                          <w:txbxContent>
                            <w:p w14:paraId="0B0810F7">
                              <w:pPr>
                                <w:spacing w:before="156" w:beforeLines="50"/>
                                <w:rPr>
                                  <w:sz w:val="24"/>
                                  <w:szCs w:val="24"/>
                                </w:rPr>
                              </w:pPr>
                              <w:r>
                                <w:rPr>
                                  <w:rFonts w:hint="eastAsia" w:cs="宋体"/>
                                  <w:sz w:val="28"/>
                                  <w:szCs w:val="28"/>
                                </w:rPr>
                                <w:t xml:space="preserve"> </w:t>
                              </w:r>
                              <w:r>
                                <w:rPr>
                                  <w:rFonts w:hint="eastAsia" w:cs="宋体"/>
                                  <w:sz w:val="24"/>
                                  <w:szCs w:val="24"/>
                                </w:rPr>
                                <w:t xml:space="preserve"> </w:t>
                              </w:r>
                              <w:r>
                                <w:rPr>
                                  <w:rFonts w:hint="eastAsia" w:cs="宋体"/>
                                  <w:sz w:val="24"/>
                                  <w:szCs w:val="24"/>
                                  <w:u w:val="single"/>
                                </w:rPr>
                                <w:t xml:space="preserve">      </w:t>
                              </w:r>
                              <w:r>
                                <w:rPr>
                                  <w:rFonts w:hint="eastAsia" w:cs="宋体"/>
                                  <w:sz w:val="24"/>
                                  <w:szCs w:val="24"/>
                                </w:rPr>
                                <w:t>现任我单位</w:t>
                              </w:r>
                              <w:r>
                                <w:rPr>
                                  <w:rFonts w:hint="eastAsia" w:cs="宋体"/>
                                  <w:sz w:val="24"/>
                                  <w:szCs w:val="24"/>
                                  <w:u w:val="single"/>
                                </w:rPr>
                                <w:t xml:space="preserve">     </w:t>
                              </w:r>
                              <w:r>
                                <w:rPr>
                                  <w:rFonts w:hint="eastAsia" w:cs="宋体"/>
                                  <w:sz w:val="24"/>
                                  <w:szCs w:val="24"/>
                                </w:rPr>
                                <w:t>职务，为法定代表人（负责人），</w:t>
                              </w:r>
                            </w:p>
                            <w:p w14:paraId="17A7D2B7">
                              <w:pPr>
                                <w:snapToGrid w:val="0"/>
                                <w:spacing w:line="480" w:lineRule="atLeast"/>
                                <w:rPr>
                                  <w:sz w:val="24"/>
                                  <w:szCs w:val="24"/>
                                </w:rPr>
                              </w:pPr>
                              <w:r>
                                <w:rPr>
                                  <w:rFonts w:hint="eastAsia" w:cs="宋体"/>
                                  <w:sz w:val="24"/>
                                  <w:szCs w:val="24"/>
                                </w:rPr>
                                <w:t>特此证明。</w:t>
                              </w:r>
                            </w:p>
                            <w:p w14:paraId="49A73C24">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7A3E89A7">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xml:space="preserve">  </w:t>
                              </w:r>
                              <w:r>
                                <w:rPr>
                                  <w:rFonts w:hint="eastAsia" w:cs="宋体"/>
                                  <w:sz w:val="24"/>
                                  <w:szCs w:val="24"/>
                                </w:rPr>
                                <w:t>年龄：</w:t>
                              </w:r>
                              <w:r>
                                <w:rPr>
                                  <w:rFonts w:hint="eastAsia" w:cs="宋体"/>
                                  <w:sz w:val="24"/>
                                  <w:szCs w:val="24"/>
                                  <w:u w:val="single"/>
                                </w:rPr>
                                <w:t xml:space="preserve">  </w:t>
                              </w:r>
                              <w:r>
                                <w:rPr>
                                  <w:rFonts w:hint="eastAsia" w:cs="宋体"/>
                                  <w:sz w:val="24"/>
                                  <w:szCs w:val="24"/>
                                </w:rPr>
                                <w:t>身份证号码：</w:t>
                              </w:r>
                              <w:r>
                                <w:rPr>
                                  <w:sz w:val="24"/>
                                  <w:szCs w:val="24"/>
                                  <w:u w:val="single"/>
                                </w:rPr>
                                <w:t xml:space="preserve">                  </w:t>
                              </w:r>
                            </w:p>
                            <w:p w14:paraId="2E3530FB">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xml:space="preserve">          </w:t>
                              </w:r>
                              <w:r>
                                <w:rPr>
                                  <w:rFonts w:hint="eastAsia" w:cs="宋体"/>
                                  <w:sz w:val="24"/>
                                  <w:szCs w:val="24"/>
                                </w:rPr>
                                <w:t>企业类型：</w:t>
                              </w:r>
                              <w:r>
                                <w:rPr>
                                  <w:sz w:val="24"/>
                                  <w:szCs w:val="24"/>
                                  <w:u w:val="single"/>
                                </w:rPr>
                                <w:t xml:space="preserve">                             </w:t>
                              </w:r>
                            </w:p>
                            <w:p w14:paraId="10CFBED5">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0CD1BC3D">
                              <w:pPr>
                                <w:snapToGrid w:val="0"/>
                                <w:spacing w:line="480" w:lineRule="atLeast"/>
                                <w:ind w:firstLine="570"/>
                                <w:rPr>
                                  <w:sz w:val="24"/>
                                  <w:szCs w:val="24"/>
                                </w:rPr>
                              </w:pPr>
                              <w:r>
                                <w:rPr>
                                  <w:rFonts w:hint="eastAsia" w:cs="宋体"/>
                                  <w:sz w:val="24"/>
                                  <w:szCs w:val="24"/>
                                  <w:u w:val="single"/>
                                </w:rPr>
                                <w:t xml:space="preserve">                </w:t>
                              </w:r>
                              <w:r>
                                <w:rPr>
                                  <w:sz w:val="24"/>
                                  <w:szCs w:val="24"/>
                                </w:rPr>
                                <w:t xml:space="preserve">      </w:t>
                              </w:r>
                              <w:r>
                                <w:rPr>
                                  <w:rFonts w:hint="eastAsia" w:cs="宋体"/>
                                  <w:sz w:val="24"/>
                                  <w:szCs w:val="24"/>
                                </w:rPr>
                                <w:t>单位：   （盖章）</w:t>
                              </w:r>
                            </w:p>
                            <w:p w14:paraId="447CE4FA">
                              <w:pPr>
                                <w:snapToGrid w:val="0"/>
                                <w:spacing w:after="100" w:afterAutospacing="1" w:line="480" w:lineRule="atLeast"/>
                                <w:ind w:firstLine="4528" w:firstLineChars="1887"/>
                                <w:rPr>
                                  <w:sz w:val="24"/>
                                  <w:szCs w:val="24"/>
                                </w:rPr>
                              </w:pPr>
                              <w:r>
                                <w:rPr>
                                  <w:rFonts w:hint="eastAsia" w:cs="宋体"/>
                                  <w:sz w:val="24"/>
                                  <w:szCs w:val="24"/>
                                </w:rPr>
                                <w:t xml:space="preserve">     </w:t>
                              </w:r>
                              <w:r>
                                <w:rPr>
                                  <w:sz w:val="24"/>
                                  <w:szCs w:val="24"/>
                                </w:rPr>
                                <w:t xml:space="preserve">    </w:t>
                              </w:r>
                              <w:r>
                                <w:rPr>
                                  <w:rFonts w:hint="eastAsia" w:cs="宋体"/>
                                  <w:sz w:val="24"/>
                                  <w:szCs w:val="24"/>
                                </w:rPr>
                                <w:t>年 月  日</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207.8pt;width:456.75pt;" coordsize="7140,3468" o:gfxdata="UEsDBAoAAAAAAIdO4kAAAAAAAAAAAAAAAAAEAAAAZHJzL1BLAwQUAAAACACHTuJAzCVt8N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zCVt8NcAAAAFAQAA&#10;DwAAAAAAAAABACAAAAAiAAAAZHJzL2Rvd25yZXYueG1sUEsBAhQAFAAAAAgAh07iQP0CPXj+AgAA&#10;RwgAAA4AAAAAAAAAAQAgAAAAJgEAAGRycy9lMm9Eb2MueG1sUEsFBgAAAAAGAAYAWQEAAJYGAAAA&#10;AA==&#10;">
                <o:lock v:ext="edit" rotation="t" aspectratio="f"/>
                <v:rect id="图片 4" o:spid="_x0000_s1026" o:spt="1" style="position:absolute;left:0;top:0;height:3468;width:714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text="t" aspectratio="t"/>
                </v:rect>
                <v:shape id="文本框 5" o:spid="_x0000_s1026" o:spt="202" type="#_x0000_t202" style="position:absolute;left:0;top:0;height:3468;width:714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0B0810F7">
                        <w:pPr>
                          <w:spacing w:before="156" w:beforeLines="50"/>
                          <w:rPr>
                            <w:sz w:val="24"/>
                            <w:szCs w:val="24"/>
                          </w:rPr>
                        </w:pPr>
                        <w:r>
                          <w:rPr>
                            <w:rFonts w:hint="eastAsia" w:cs="宋体"/>
                            <w:sz w:val="28"/>
                            <w:szCs w:val="28"/>
                          </w:rPr>
                          <w:t xml:space="preserve"> </w:t>
                        </w:r>
                        <w:r>
                          <w:rPr>
                            <w:rFonts w:hint="eastAsia" w:cs="宋体"/>
                            <w:sz w:val="24"/>
                            <w:szCs w:val="24"/>
                          </w:rPr>
                          <w:t xml:space="preserve"> </w:t>
                        </w:r>
                        <w:r>
                          <w:rPr>
                            <w:rFonts w:hint="eastAsia" w:cs="宋体"/>
                            <w:sz w:val="24"/>
                            <w:szCs w:val="24"/>
                            <w:u w:val="single"/>
                          </w:rPr>
                          <w:t xml:space="preserve">      </w:t>
                        </w:r>
                        <w:r>
                          <w:rPr>
                            <w:rFonts w:hint="eastAsia" w:cs="宋体"/>
                            <w:sz w:val="24"/>
                            <w:szCs w:val="24"/>
                          </w:rPr>
                          <w:t>现任我单位</w:t>
                        </w:r>
                        <w:r>
                          <w:rPr>
                            <w:rFonts w:hint="eastAsia" w:cs="宋体"/>
                            <w:sz w:val="24"/>
                            <w:szCs w:val="24"/>
                            <w:u w:val="single"/>
                          </w:rPr>
                          <w:t xml:space="preserve">     </w:t>
                        </w:r>
                        <w:r>
                          <w:rPr>
                            <w:rFonts w:hint="eastAsia" w:cs="宋体"/>
                            <w:sz w:val="24"/>
                            <w:szCs w:val="24"/>
                          </w:rPr>
                          <w:t>职务，为法定代表人（负责人），</w:t>
                        </w:r>
                      </w:p>
                      <w:p w14:paraId="17A7D2B7">
                        <w:pPr>
                          <w:snapToGrid w:val="0"/>
                          <w:spacing w:line="480" w:lineRule="atLeast"/>
                          <w:rPr>
                            <w:sz w:val="24"/>
                            <w:szCs w:val="24"/>
                          </w:rPr>
                        </w:pPr>
                        <w:r>
                          <w:rPr>
                            <w:rFonts w:hint="eastAsia" w:cs="宋体"/>
                            <w:sz w:val="24"/>
                            <w:szCs w:val="24"/>
                          </w:rPr>
                          <w:t>特此证明。</w:t>
                        </w:r>
                      </w:p>
                      <w:p w14:paraId="49A73C24">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14:paraId="7A3E89A7">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xml:space="preserve">  </w:t>
                        </w:r>
                        <w:r>
                          <w:rPr>
                            <w:rFonts w:hint="eastAsia" w:cs="宋体"/>
                            <w:sz w:val="24"/>
                            <w:szCs w:val="24"/>
                          </w:rPr>
                          <w:t>年龄：</w:t>
                        </w:r>
                        <w:r>
                          <w:rPr>
                            <w:rFonts w:hint="eastAsia" w:cs="宋体"/>
                            <w:sz w:val="24"/>
                            <w:szCs w:val="24"/>
                            <w:u w:val="single"/>
                          </w:rPr>
                          <w:t xml:space="preserve">  </w:t>
                        </w:r>
                        <w:r>
                          <w:rPr>
                            <w:rFonts w:hint="eastAsia" w:cs="宋体"/>
                            <w:sz w:val="24"/>
                            <w:szCs w:val="24"/>
                          </w:rPr>
                          <w:t>身份证号码：</w:t>
                        </w:r>
                        <w:r>
                          <w:rPr>
                            <w:sz w:val="24"/>
                            <w:szCs w:val="24"/>
                            <w:u w:val="single"/>
                          </w:rPr>
                          <w:t xml:space="preserve">                  </w:t>
                        </w:r>
                      </w:p>
                      <w:p w14:paraId="2E3530FB">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xml:space="preserve">          </w:t>
                        </w:r>
                        <w:r>
                          <w:rPr>
                            <w:rFonts w:hint="eastAsia" w:cs="宋体"/>
                            <w:sz w:val="24"/>
                            <w:szCs w:val="24"/>
                          </w:rPr>
                          <w:t>企业类型：</w:t>
                        </w:r>
                        <w:r>
                          <w:rPr>
                            <w:sz w:val="24"/>
                            <w:szCs w:val="24"/>
                            <w:u w:val="single"/>
                          </w:rPr>
                          <w:t xml:space="preserve">                             </w:t>
                        </w:r>
                      </w:p>
                      <w:p w14:paraId="10CFBED5">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14:paraId="0CD1BC3D">
                        <w:pPr>
                          <w:snapToGrid w:val="0"/>
                          <w:spacing w:line="480" w:lineRule="atLeast"/>
                          <w:ind w:firstLine="570"/>
                          <w:rPr>
                            <w:sz w:val="24"/>
                            <w:szCs w:val="24"/>
                          </w:rPr>
                        </w:pPr>
                        <w:r>
                          <w:rPr>
                            <w:rFonts w:hint="eastAsia" w:cs="宋体"/>
                            <w:sz w:val="24"/>
                            <w:szCs w:val="24"/>
                            <w:u w:val="single"/>
                          </w:rPr>
                          <w:t xml:space="preserve">                </w:t>
                        </w:r>
                        <w:r>
                          <w:rPr>
                            <w:sz w:val="24"/>
                            <w:szCs w:val="24"/>
                          </w:rPr>
                          <w:t xml:space="preserve">      </w:t>
                        </w:r>
                        <w:r>
                          <w:rPr>
                            <w:rFonts w:hint="eastAsia" w:cs="宋体"/>
                            <w:sz w:val="24"/>
                            <w:szCs w:val="24"/>
                          </w:rPr>
                          <w:t>单位：   （盖章）</w:t>
                        </w:r>
                      </w:p>
                      <w:p w14:paraId="447CE4FA">
                        <w:pPr>
                          <w:snapToGrid w:val="0"/>
                          <w:spacing w:after="100" w:afterAutospacing="1" w:line="480" w:lineRule="atLeast"/>
                          <w:ind w:firstLine="4528" w:firstLineChars="1887"/>
                          <w:rPr>
                            <w:sz w:val="24"/>
                            <w:szCs w:val="24"/>
                          </w:rPr>
                        </w:pPr>
                        <w:r>
                          <w:rPr>
                            <w:rFonts w:hint="eastAsia" w:cs="宋体"/>
                            <w:sz w:val="24"/>
                            <w:szCs w:val="24"/>
                          </w:rPr>
                          <w:t xml:space="preserve">     </w:t>
                        </w:r>
                        <w:r>
                          <w:rPr>
                            <w:sz w:val="24"/>
                            <w:szCs w:val="24"/>
                          </w:rPr>
                          <w:t xml:space="preserve">    </w:t>
                        </w:r>
                        <w:r>
                          <w:rPr>
                            <w:rFonts w:hint="eastAsia" w:cs="宋体"/>
                            <w:sz w:val="24"/>
                            <w:szCs w:val="24"/>
                          </w:rPr>
                          <w:t>年 月  日</w:t>
                        </w:r>
                      </w:p>
                    </w:txbxContent>
                  </v:textbox>
                </v:shape>
                <w10:wrap type="none"/>
                <w10:anchorlock/>
              </v:group>
            </w:pict>
          </mc:Fallback>
        </mc:AlternateContent>
      </w:r>
    </w:p>
    <w:p w14:paraId="0818D331">
      <w:pPr>
        <w:spacing w:line="360" w:lineRule="auto"/>
        <w:rPr>
          <w:rFonts w:ascii="宋体" w:hAnsi="宋体"/>
          <w:color w:val="auto"/>
          <w:sz w:val="24"/>
          <w:szCs w:val="24"/>
          <w:highlight w:val="none"/>
        </w:rPr>
      </w:pPr>
      <w:r>
        <w:rPr>
          <w:rFonts w:hint="eastAsia" w:ascii="宋体" w:hAnsi="宋体" w:cs="宋体"/>
          <w:color w:val="auto"/>
          <w:sz w:val="24"/>
          <w:szCs w:val="24"/>
          <w:highlight w:val="none"/>
        </w:rPr>
        <w:t>注：按提供的该表格格式填写，或使用工商管理部门的格式填写。</w:t>
      </w:r>
    </w:p>
    <w:p w14:paraId="04D738E9">
      <w:pPr>
        <w:spacing w:before="156" w:beforeLines="50" w:line="360" w:lineRule="auto"/>
        <w:ind w:firstLine="482" w:firstLineChars="200"/>
        <w:jc w:val="center"/>
        <w:rPr>
          <w:rFonts w:ascii="宋体" w:hAnsi="宋体" w:cs="宋体"/>
          <w:b/>
          <w:color w:val="auto"/>
          <w:sz w:val="24"/>
          <w:szCs w:val="24"/>
          <w:highlight w:val="none"/>
        </w:rPr>
      </w:pPr>
    </w:p>
    <w:p w14:paraId="6CDF4E13">
      <w:pPr>
        <w:spacing w:before="156" w:beforeLines="50" w:line="360" w:lineRule="auto"/>
        <w:ind w:firstLine="482" w:firstLineChars="200"/>
        <w:jc w:val="center"/>
        <w:rPr>
          <w:rFonts w:ascii="宋体" w:hAnsi="宋体" w:cs="宋体"/>
          <w:b/>
          <w:color w:val="auto"/>
          <w:sz w:val="24"/>
          <w:szCs w:val="24"/>
          <w:highlight w:val="none"/>
        </w:rPr>
      </w:pPr>
      <w:r>
        <w:rPr>
          <w:rFonts w:hint="eastAsia" w:ascii="宋体" w:hAnsi="宋体" w:cs="宋体"/>
          <w:b/>
          <w:color w:val="auto"/>
          <w:sz w:val="24"/>
          <w:szCs w:val="24"/>
          <w:highlight w:val="none"/>
        </w:rPr>
        <w:t>授权委托书</w:t>
      </w:r>
    </w:p>
    <w:p w14:paraId="55B20E05">
      <w:pPr>
        <w:widowControl/>
        <w:spacing w:line="360" w:lineRule="auto"/>
        <w:ind w:right="1542"/>
        <w:jc w:val="center"/>
        <w:rPr>
          <w:rFonts w:ascii="宋体" w:hAnsi="宋体" w:cs="宋体"/>
          <w:b/>
          <w:bCs/>
          <w:color w:val="auto"/>
          <w:kern w:val="0"/>
          <w:sz w:val="32"/>
          <w:szCs w:val="32"/>
          <w:highlight w:val="none"/>
        </w:rPr>
      </w:pPr>
      <w:r>
        <w:rPr>
          <w:color w:val="auto"/>
          <w:highlight w:val="none"/>
        </w:rPr>
        <mc:AlternateContent>
          <mc:Choice Requires="wps">
            <w:drawing>
              <wp:inline distT="0" distB="0" distL="114300" distR="114300">
                <wp:extent cx="5734685" cy="2946400"/>
                <wp:effectExtent l="4445" t="4445" r="13970" b="20955"/>
                <wp:docPr id="1" name="文本框 1"/>
                <wp:cNvGraphicFramePr/>
                <a:graphic xmlns:a="http://schemas.openxmlformats.org/drawingml/2006/main">
                  <a:graphicData uri="http://schemas.microsoft.com/office/word/2010/wordprocessingShape">
                    <wps:wsp>
                      <wps:cNvSpPr txBox="1">
                        <a:spLocks noRot="1" noChangeArrowheads="1"/>
                      </wps:cNvSpPr>
                      <wps:spPr bwMode="auto">
                        <a:xfrm>
                          <a:off x="0" y="0"/>
                          <a:ext cx="6129020" cy="2946400"/>
                        </a:xfrm>
                        <a:prstGeom prst="rect">
                          <a:avLst/>
                        </a:prstGeom>
                        <a:solidFill>
                          <a:srgbClr val="FFFFFF"/>
                        </a:solidFill>
                        <a:ln w="9525" cmpd="sng">
                          <a:solidFill>
                            <a:srgbClr val="000000"/>
                          </a:solidFill>
                          <a:miter lim="800000"/>
                        </a:ln>
                        <a:effectLst/>
                      </wps:spPr>
                      <wps:txbx>
                        <w:txbxContent>
                          <w:p w14:paraId="396322BF">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1353C012">
                            <w:pPr>
                              <w:snapToGrid w:val="0"/>
                              <w:spacing w:line="480" w:lineRule="atLeast"/>
                              <w:rPr>
                                <w:sz w:val="24"/>
                                <w:szCs w:val="24"/>
                                <w:u w:val="single"/>
                              </w:rPr>
                            </w:pPr>
                            <w:r>
                              <w:rPr>
                                <w:sz w:val="24"/>
                                <w:szCs w:val="24"/>
                                <w:u w:val="single"/>
                              </w:rPr>
                              <w:t xml:space="preserve">                                                                        </w:t>
                            </w:r>
                          </w:p>
                          <w:p w14:paraId="58D1E544">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11A7062B">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07B961C6">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2BEC411C">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437ED633">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14:paraId="325AB8A0">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314ACD1C">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32pt;width:451.55pt;" fillcolor="#FFFFFF" filled="t" stroked="t" coordsize="21600,21600" o:gfxdata="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XPiX9YAAAAF&#10;AQAADwAAAAAAAAABACAAAAAiAAAAZHJzL2Rvd25yZXYueG1sUEsBAhQAFAAAAAgAh07iQGvjoIFX&#10;AgAAqwQAAA4AAAAAAAAAAQAgAAAAJQEAAGRycy9lMm9Eb2MueG1sUEsFBgAAAAAGAAYAWQEAAO4F&#10;AAAAAA==&#10;">
                <v:fill on="t" focussize="0,0"/>
                <v:stroke color="#000000" miterlimit="8" joinstyle="miter"/>
                <v:imagedata o:title=""/>
                <o:lock v:ext="edit" rotation="t" aspectratio="f"/>
                <v:textbox>
                  <w:txbxContent>
                    <w:p w14:paraId="396322BF">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14:paraId="1353C012">
                      <w:pPr>
                        <w:snapToGrid w:val="0"/>
                        <w:spacing w:line="480" w:lineRule="atLeast"/>
                        <w:rPr>
                          <w:sz w:val="24"/>
                          <w:szCs w:val="24"/>
                          <w:u w:val="single"/>
                        </w:rPr>
                      </w:pPr>
                      <w:r>
                        <w:rPr>
                          <w:sz w:val="24"/>
                          <w:szCs w:val="24"/>
                          <w:u w:val="single"/>
                        </w:rPr>
                        <w:t xml:space="preserve">                                                                        </w:t>
                      </w:r>
                    </w:p>
                    <w:p w14:paraId="58D1E544">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14:paraId="11A7062B">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14:paraId="07B961C6">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14:paraId="2BEC411C">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14:paraId="437ED633">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14:paraId="325AB8A0">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14:paraId="314ACD1C">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v:textbox>
                <w10:wrap type="none"/>
                <w10:anchorlock/>
              </v:shape>
            </w:pict>
          </mc:Fallback>
        </mc:AlternateContent>
      </w:r>
    </w:p>
    <w:p w14:paraId="43A07F0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注：按提供的该表格格式填写，或使用工商管理部门的格式填写。</w:t>
      </w:r>
    </w:p>
    <w:bookmarkEnd w:id="195"/>
    <w:bookmarkEnd w:id="196"/>
    <w:bookmarkEnd w:id="197"/>
    <w:bookmarkEnd w:id="198"/>
    <w:bookmarkEnd w:id="199"/>
    <w:bookmarkEnd w:id="200"/>
    <w:bookmarkEnd w:id="201"/>
    <w:p w14:paraId="67576E69">
      <w:pPr>
        <w:spacing w:line="360" w:lineRule="auto"/>
        <w:rPr>
          <w:rFonts w:ascii="宋体" w:hAnsi="宋体" w:cs="宋体"/>
          <w:color w:val="auto"/>
          <w:highlight w:val="none"/>
        </w:rPr>
      </w:pPr>
      <w:bookmarkStart w:id="202" w:name="_Toc525063284"/>
      <w:bookmarkStart w:id="203" w:name="_Toc23444"/>
      <w:bookmarkStart w:id="204" w:name="_Toc15147"/>
      <w:bookmarkStart w:id="205" w:name="_Toc25035"/>
      <w:bookmarkStart w:id="206" w:name="_Toc29040"/>
      <w:bookmarkStart w:id="207" w:name="_Toc532367892"/>
      <w:bookmarkStart w:id="208" w:name="_Toc8221"/>
    </w:p>
    <w:p w14:paraId="5D6062F0">
      <w:pPr>
        <w:keepNext/>
        <w:keepLines/>
        <w:spacing w:line="360" w:lineRule="auto"/>
        <w:jc w:val="center"/>
        <w:outlineLvl w:val="1"/>
        <w:rPr>
          <w:rFonts w:ascii="宋体" w:hAnsi="宋体" w:cs="宋体"/>
          <w:color w:val="auto"/>
          <w:highlight w:val="none"/>
        </w:rPr>
      </w:pPr>
      <w:r>
        <w:rPr>
          <w:rFonts w:hint="eastAsia" w:ascii="宋体" w:hAnsi="宋体" w:cs="宋体"/>
          <w:color w:val="auto"/>
          <w:highlight w:val="none"/>
        </w:rPr>
        <w:br w:type="page"/>
      </w:r>
      <w:bookmarkStart w:id="209" w:name="_Toc15064"/>
      <w:r>
        <w:rPr>
          <w:rFonts w:hint="eastAsia" w:ascii="宋体" w:hAnsi="宋体" w:cs="宋体"/>
          <w:b/>
          <w:bCs/>
          <w:color w:val="auto"/>
          <w:sz w:val="32"/>
          <w:szCs w:val="32"/>
          <w:highlight w:val="none"/>
        </w:rPr>
        <w:t>三、关于投标保证金的承诺</w:t>
      </w:r>
      <w:bookmarkEnd w:id="209"/>
    </w:p>
    <w:p w14:paraId="77C71BFB">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本招标项目招标人及招标监管机构：</w:t>
      </w:r>
    </w:p>
    <w:p w14:paraId="5F9FCC2C">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本公司就参加</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项目的投标工作，作出郑重声明：</w:t>
      </w:r>
    </w:p>
    <w:p w14:paraId="728C6ADB">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本公司满足招标文件中免交投标保证金的相关要求，在投标时未提交投标保证金。我司理解在投标时免交投标保证金是为企业减负的举措，并未免除我司的投标义务，本公司</w:t>
      </w:r>
      <w:r>
        <w:rPr>
          <w:rFonts w:hint="eastAsia" w:ascii="宋体" w:hAnsi="宋体" w:cs="宋体"/>
          <w:color w:val="auto"/>
          <w:kern w:val="0"/>
          <w:sz w:val="24"/>
          <w:szCs w:val="24"/>
          <w:highlight w:val="none"/>
          <w:lang w:val="zh-CN"/>
        </w:rPr>
        <w:t>一旦发生符合招标文件规定的不予退还投标保证金情形的，将</w:t>
      </w:r>
      <w:r>
        <w:rPr>
          <w:rFonts w:hint="eastAsia" w:ascii="宋体" w:hAnsi="宋体" w:cs="宋体"/>
          <w:color w:val="auto"/>
          <w:sz w:val="24"/>
          <w:szCs w:val="24"/>
          <w:highlight w:val="none"/>
        </w:rPr>
        <w:t>按照招标人的要求，在规定的时间内向招标人足额补交投标保证金。</w:t>
      </w:r>
    </w:p>
    <w:p w14:paraId="6947DB2D">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本公司违反上述保证的，将被视为虚假承诺，按相关规定进行信用记录。本公司对失信行为产生的一切后果已知悉，并承担由此产生的相应责任。</w:t>
      </w:r>
    </w:p>
    <w:p w14:paraId="2FB986F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1CF3F623">
      <w:pPr>
        <w:spacing w:line="360" w:lineRule="auto"/>
        <w:ind w:firstLine="480" w:firstLineChars="200"/>
        <w:jc w:val="left"/>
        <w:rPr>
          <w:rFonts w:ascii="宋体" w:hAnsi="宋体" w:cs="宋体"/>
          <w:color w:val="auto"/>
          <w:sz w:val="24"/>
          <w:szCs w:val="24"/>
          <w:highlight w:val="none"/>
        </w:rPr>
      </w:pPr>
    </w:p>
    <w:p w14:paraId="56028FE3">
      <w:pPr>
        <w:spacing w:line="360" w:lineRule="auto"/>
        <w:ind w:firstLine="4320" w:firstLineChars="18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（盖章）</w:t>
      </w:r>
    </w:p>
    <w:p w14:paraId="0CADDF82">
      <w:pPr>
        <w:spacing w:line="360" w:lineRule="auto"/>
        <w:rPr>
          <w:rFonts w:ascii="宋体" w:hAnsi="宋体"/>
          <w:color w:val="auto"/>
          <w:highlight w:val="none"/>
        </w:rPr>
      </w:pPr>
      <w:r>
        <w:rPr>
          <w:rFonts w:hint="eastAsia" w:ascii="宋体" w:hAnsi="宋体" w:cs="宋体"/>
          <w:color w:val="auto"/>
          <w:sz w:val="24"/>
          <w:szCs w:val="24"/>
          <w:highlight w:val="none"/>
        </w:rPr>
        <w:t xml:space="preserve">                                    日  期：</w:t>
      </w:r>
      <w:r>
        <w:rPr>
          <w:rFonts w:hint="eastAsia" w:ascii="宋体" w:hAnsi="宋体" w:cs="宋体"/>
          <w:color w:val="auto"/>
          <w:sz w:val="24"/>
          <w:szCs w:val="24"/>
          <w:highlight w:val="none"/>
          <w:u w:val="single"/>
        </w:rPr>
        <w:t xml:space="preserve">　        　   </w:t>
      </w:r>
    </w:p>
    <w:p w14:paraId="40BC4643">
      <w:pPr>
        <w:keepNext/>
        <w:keepLines/>
        <w:spacing w:line="360" w:lineRule="auto"/>
        <w:jc w:val="center"/>
        <w:outlineLvl w:val="1"/>
        <w:rPr>
          <w:rFonts w:ascii="宋体" w:hAnsi="宋体" w:cs="宋体"/>
          <w:color w:val="auto"/>
          <w:highlight w:val="none"/>
        </w:rPr>
      </w:pPr>
    </w:p>
    <w:p w14:paraId="650E51E9">
      <w:pPr>
        <w:keepNext/>
        <w:keepLines/>
        <w:spacing w:line="360" w:lineRule="auto"/>
        <w:jc w:val="center"/>
        <w:outlineLvl w:val="1"/>
        <w:rPr>
          <w:rFonts w:ascii="宋体" w:hAnsi="宋体" w:cs="宋体"/>
          <w:color w:val="auto"/>
          <w:sz w:val="32"/>
          <w:highlight w:val="none"/>
        </w:rPr>
      </w:pPr>
      <w:r>
        <w:rPr>
          <w:rFonts w:ascii="宋体" w:hAnsi="宋体" w:cs="宋体"/>
          <w:b/>
          <w:bCs/>
          <w:color w:val="auto"/>
          <w:sz w:val="32"/>
          <w:szCs w:val="32"/>
          <w:highlight w:val="none"/>
        </w:rPr>
        <w:br w:type="page"/>
      </w:r>
      <w:bookmarkStart w:id="210" w:name="_Toc26045"/>
      <w:r>
        <w:rPr>
          <w:rFonts w:hint="eastAsia" w:ascii="宋体" w:hAnsi="宋体" w:cs="宋体"/>
          <w:b/>
          <w:bCs/>
          <w:color w:val="auto"/>
          <w:sz w:val="32"/>
          <w:szCs w:val="32"/>
          <w:highlight w:val="none"/>
        </w:rPr>
        <w:t>四、联合体协议书（如有）</w:t>
      </w:r>
      <w:bookmarkEnd w:id="210"/>
    </w:p>
    <w:p w14:paraId="3C1A6E7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（可参考本项目招标公告附件格式）</w:t>
      </w:r>
      <w:r>
        <w:rPr>
          <w:rFonts w:hint="eastAsia" w:ascii="宋体" w:hAnsi="宋体" w:cs="宋体"/>
          <w:color w:val="auto"/>
          <w:sz w:val="24"/>
          <w:szCs w:val="24"/>
          <w:highlight w:val="none"/>
        </w:rPr>
        <w:br w:type="page"/>
      </w:r>
    </w:p>
    <w:p w14:paraId="790E6E3C">
      <w:pPr>
        <w:keepNext/>
        <w:keepLines/>
        <w:spacing w:line="360" w:lineRule="auto"/>
        <w:jc w:val="center"/>
        <w:outlineLvl w:val="1"/>
        <w:rPr>
          <w:rFonts w:ascii="宋体" w:hAnsi="宋体" w:cs="宋体"/>
          <w:b/>
          <w:bCs/>
          <w:color w:val="auto"/>
          <w:sz w:val="32"/>
          <w:szCs w:val="32"/>
          <w:highlight w:val="none"/>
        </w:rPr>
      </w:pPr>
      <w:bookmarkStart w:id="211" w:name="_Toc4362"/>
      <w:r>
        <w:rPr>
          <w:rFonts w:hint="eastAsia" w:ascii="宋体" w:hAnsi="宋体" w:cs="宋体"/>
          <w:b/>
          <w:bCs/>
          <w:color w:val="auto"/>
          <w:sz w:val="32"/>
          <w:szCs w:val="32"/>
          <w:highlight w:val="none"/>
        </w:rPr>
        <w:t>五、</w:t>
      </w:r>
      <w:bookmarkEnd w:id="202"/>
      <w:bookmarkEnd w:id="203"/>
      <w:bookmarkEnd w:id="204"/>
      <w:bookmarkEnd w:id="205"/>
      <w:bookmarkEnd w:id="206"/>
      <w:bookmarkEnd w:id="207"/>
      <w:bookmarkEnd w:id="208"/>
      <w:r>
        <w:rPr>
          <w:rFonts w:hint="eastAsia" w:ascii="宋体" w:hAnsi="宋体" w:cs="宋体"/>
          <w:b/>
          <w:bCs/>
          <w:color w:val="auto"/>
          <w:sz w:val="32"/>
          <w:szCs w:val="32"/>
          <w:highlight w:val="none"/>
        </w:rPr>
        <w:t>资格审查资料</w:t>
      </w:r>
      <w:bookmarkEnd w:id="211"/>
    </w:p>
    <w:p w14:paraId="6E258DD5">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（一）投标人基本情况表</w:t>
      </w:r>
    </w:p>
    <w:tbl>
      <w:tblPr>
        <w:tblStyle w:val="17"/>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33053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A0EE3CD">
            <w:pPr>
              <w:topLinePunct/>
              <w:spacing w:line="360" w:lineRule="auto"/>
              <w:jc w:val="center"/>
              <w:rPr>
                <w:rFonts w:ascii="宋体" w:hAnsi="宋体"/>
                <w:color w:val="auto"/>
                <w:highlight w:val="none"/>
              </w:rPr>
            </w:pPr>
            <w:r>
              <w:rPr>
                <w:rFonts w:hint="eastAsia" w:ascii="宋体" w:hAnsi="宋体"/>
                <w:color w:val="auto"/>
                <w:highlight w:val="none"/>
              </w:rPr>
              <w:t>投标人名称</w:t>
            </w:r>
          </w:p>
        </w:tc>
        <w:tc>
          <w:tcPr>
            <w:tcW w:w="6840" w:type="dxa"/>
            <w:gridSpan w:val="8"/>
            <w:tcBorders>
              <w:top w:val="single" w:color="auto" w:sz="4" w:space="0"/>
              <w:left w:val="single" w:color="auto" w:sz="4" w:space="0"/>
              <w:bottom w:val="single" w:color="auto" w:sz="4" w:space="0"/>
            </w:tcBorders>
            <w:vAlign w:val="center"/>
          </w:tcPr>
          <w:p w14:paraId="5AA5089A">
            <w:pPr>
              <w:topLinePunct/>
              <w:spacing w:line="360" w:lineRule="auto"/>
              <w:jc w:val="center"/>
              <w:rPr>
                <w:rFonts w:ascii="宋体" w:hAnsi="宋体"/>
                <w:color w:val="auto"/>
                <w:highlight w:val="none"/>
              </w:rPr>
            </w:pPr>
          </w:p>
        </w:tc>
      </w:tr>
      <w:tr w14:paraId="4B02B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9A6EBC5">
            <w:pPr>
              <w:topLinePunct/>
              <w:spacing w:line="360" w:lineRule="auto"/>
              <w:jc w:val="center"/>
              <w:rPr>
                <w:rFonts w:ascii="宋体" w:hAnsi="宋体"/>
                <w:color w:val="auto"/>
                <w:highlight w:val="none"/>
              </w:rPr>
            </w:pPr>
            <w:r>
              <w:rPr>
                <w:rFonts w:hint="eastAsia" w:ascii="宋体" w:hAnsi="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B7D8C73">
            <w:pPr>
              <w:topLinePunct/>
              <w:spacing w:line="360" w:lineRule="auto"/>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3D5B05D">
            <w:pPr>
              <w:topLinePunct/>
              <w:spacing w:line="360" w:lineRule="auto"/>
              <w:jc w:val="center"/>
              <w:rPr>
                <w:rFonts w:ascii="宋体" w:hAnsi="宋体"/>
                <w:color w:val="auto"/>
                <w:highlight w:val="none"/>
              </w:rPr>
            </w:pPr>
            <w:r>
              <w:rPr>
                <w:rFonts w:hint="eastAsia" w:ascii="宋体" w:hAnsi="宋体"/>
                <w:color w:val="auto"/>
                <w:highlight w:val="none"/>
              </w:rPr>
              <w:t>邮政编码</w:t>
            </w:r>
          </w:p>
        </w:tc>
        <w:tc>
          <w:tcPr>
            <w:tcW w:w="2342" w:type="dxa"/>
            <w:gridSpan w:val="3"/>
            <w:tcBorders>
              <w:top w:val="single" w:color="auto" w:sz="4" w:space="0"/>
              <w:left w:val="single" w:color="auto" w:sz="4" w:space="0"/>
              <w:bottom w:val="single" w:color="auto" w:sz="4" w:space="0"/>
            </w:tcBorders>
            <w:vAlign w:val="center"/>
          </w:tcPr>
          <w:p w14:paraId="2A6AAFF7">
            <w:pPr>
              <w:topLinePunct/>
              <w:spacing w:line="360" w:lineRule="auto"/>
              <w:jc w:val="center"/>
              <w:rPr>
                <w:rFonts w:ascii="宋体" w:hAnsi="宋体"/>
                <w:color w:val="auto"/>
                <w:highlight w:val="none"/>
              </w:rPr>
            </w:pPr>
          </w:p>
        </w:tc>
      </w:tr>
      <w:tr w14:paraId="12D59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bottom w:val="single" w:color="auto" w:sz="4" w:space="0"/>
              <w:right w:val="single" w:color="auto" w:sz="4" w:space="0"/>
            </w:tcBorders>
            <w:vAlign w:val="center"/>
          </w:tcPr>
          <w:p w14:paraId="54B36BAC">
            <w:pPr>
              <w:topLinePunct/>
              <w:spacing w:line="360" w:lineRule="auto"/>
              <w:jc w:val="center"/>
              <w:rPr>
                <w:rFonts w:ascii="宋体" w:hAnsi="宋体"/>
                <w:color w:val="auto"/>
                <w:highlight w:val="none"/>
              </w:rPr>
            </w:pPr>
            <w:r>
              <w:rPr>
                <w:rFonts w:hint="eastAsia" w:ascii="宋体" w:hAnsi="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F913B57">
            <w:pPr>
              <w:topLinePunct/>
              <w:spacing w:line="360" w:lineRule="auto"/>
              <w:jc w:val="center"/>
              <w:rPr>
                <w:rFonts w:ascii="宋体" w:hAnsi="宋体"/>
                <w:color w:val="auto"/>
                <w:highlight w:val="none"/>
              </w:rPr>
            </w:pPr>
            <w:r>
              <w:rPr>
                <w:rFonts w:hint="eastAsia" w:ascii="宋体" w:hAnsi="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57534EB1">
            <w:pPr>
              <w:topLinePunct/>
              <w:spacing w:line="360" w:lineRule="auto"/>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1AD3D92">
            <w:pPr>
              <w:topLinePunct/>
              <w:spacing w:line="360" w:lineRule="auto"/>
              <w:jc w:val="center"/>
              <w:rPr>
                <w:rFonts w:ascii="宋体" w:hAnsi="宋体"/>
                <w:color w:val="auto"/>
                <w:highlight w:val="none"/>
              </w:rPr>
            </w:pPr>
            <w:r>
              <w:rPr>
                <w:rFonts w:hint="eastAsia" w:ascii="宋体" w:hAnsi="宋体"/>
                <w:color w:val="auto"/>
                <w:highlight w:val="none"/>
              </w:rPr>
              <w:t>电话</w:t>
            </w:r>
          </w:p>
        </w:tc>
        <w:tc>
          <w:tcPr>
            <w:tcW w:w="2342" w:type="dxa"/>
            <w:gridSpan w:val="3"/>
            <w:tcBorders>
              <w:top w:val="single" w:color="auto" w:sz="4" w:space="0"/>
              <w:left w:val="single" w:color="auto" w:sz="4" w:space="0"/>
              <w:bottom w:val="single" w:color="auto" w:sz="4" w:space="0"/>
            </w:tcBorders>
            <w:vAlign w:val="center"/>
          </w:tcPr>
          <w:p w14:paraId="6438BC63">
            <w:pPr>
              <w:topLinePunct/>
              <w:spacing w:line="360" w:lineRule="auto"/>
              <w:jc w:val="center"/>
              <w:rPr>
                <w:rFonts w:ascii="宋体" w:hAnsi="宋体"/>
                <w:color w:val="auto"/>
                <w:highlight w:val="none"/>
              </w:rPr>
            </w:pPr>
          </w:p>
        </w:tc>
      </w:tr>
      <w:tr w14:paraId="2D4A8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bottom w:val="single" w:color="auto" w:sz="4" w:space="0"/>
              <w:right w:val="single" w:color="auto" w:sz="4" w:space="0"/>
            </w:tcBorders>
            <w:vAlign w:val="center"/>
          </w:tcPr>
          <w:p w14:paraId="3AA36AFF">
            <w:pPr>
              <w:spacing w:line="360" w:lineRule="auto"/>
              <w:jc w:val="center"/>
              <w:rPr>
                <w:rFonts w:ascii="宋体" w:hAnsi="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13363063">
            <w:pPr>
              <w:topLinePunct/>
              <w:spacing w:line="360" w:lineRule="auto"/>
              <w:jc w:val="center"/>
              <w:rPr>
                <w:rFonts w:ascii="宋体" w:hAnsi="宋体"/>
                <w:color w:val="auto"/>
                <w:highlight w:val="none"/>
              </w:rPr>
            </w:pPr>
            <w:r>
              <w:rPr>
                <w:rFonts w:hint="eastAsia" w:ascii="宋体" w:hAnsi="宋体"/>
                <w:color w:val="auto"/>
                <w:highlight w:val="none"/>
              </w:rPr>
              <w:t>传真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71FD2EA7">
            <w:pPr>
              <w:topLinePunct/>
              <w:spacing w:line="360" w:lineRule="auto"/>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068AD0C">
            <w:pPr>
              <w:topLinePunct/>
              <w:spacing w:line="360" w:lineRule="auto"/>
              <w:jc w:val="center"/>
              <w:rPr>
                <w:rFonts w:ascii="宋体" w:hAnsi="宋体"/>
                <w:color w:val="auto"/>
                <w:highlight w:val="none"/>
              </w:rPr>
            </w:pPr>
            <w:r>
              <w:rPr>
                <w:rFonts w:hint="eastAsia" w:ascii="宋体" w:hAnsi="宋体"/>
                <w:color w:val="auto"/>
                <w:highlight w:val="none"/>
              </w:rPr>
              <w:t>网址</w:t>
            </w:r>
          </w:p>
        </w:tc>
        <w:tc>
          <w:tcPr>
            <w:tcW w:w="2342" w:type="dxa"/>
            <w:gridSpan w:val="3"/>
            <w:tcBorders>
              <w:top w:val="single" w:color="auto" w:sz="4" w:space="0"/>
              <w:left w:val="single" w:color="auto" w:sz="4" w:space="0"/>
              <w:bottom w:val="single" w:color="auto" w:sz="4" w:space="0"/>
            </w:tcBorders>
            <w:vAlign w:val="center"/>
          </w:tcPr>
          <w:p w14:paraId="00DF9E5C">
            <w:pPr>
              <w:topLinePunct/>
              <w:spacing w:line="360" w:lineRule="auto"/>
              <w:jc w:val="center"/>
              <w:rPr>
                <w:rFonts w:ascii="宋体" w:hAnsi="宋体"/>
                <w:color w:val="auto"/>
                <w:highlight w:val="none"/>
              </w:rPr>
            </w:pPr>
          </w:p>
        </w:tc>
      </w:tr>
      <w:tr w14:paraId="0134D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C08365E">
            <w:pPr>
              <w:topLinePunct/>
              <w:spacing w:line="360" w:lineRule="auto"/>
              <w:jc w:val="center"/>
              <w:rPr>
                <w:rFonts w:ascii="宋体" w:hAnsi="宋体"/>
                <w:color w:val="auto"/>
                <w:highlight w:val="none"/>
              </w:rPr>
            </w:pPr>
            <w:r>
              <w:rPr>
                <w:rFonts w:hint="eastAsia" w:ascii="宋体" w:hAnsi="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DD7760F">
            <w:pPr>
              <w:topLinePunct/>
              <w:spacing w:line="360" w:lineRule="auto"/>
              <w:jc w:val="center"/>
              <w:rPr>
                <w:rFonts w:ascii="宋体" w:hAnsi="宋体"/>
                <w:color w:val="auto"/>
                <w:highlight w:val="none"/>
              </w:rPr>
            </w:pPr>
            <w:r>
              <w:rPr>
                <w:rFonts w:hint="eastAsia" w:ascii="宋体" w:hAnsi="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42AEFB8E">
            <w:pPr>
              <w:topLinePunct/>
              <w:spacing w:line="360" w:lineRule="auto"/>
              <w:jc w:val="center"/>
              <w:rPr>
                <w:rFonts w:ascii="宋体" w:hAnsi="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7DD05F2A">
            <w:pPr>
              <w:topLinePunct/>
              <w:spacing w:line="360" w:lineRule="auto"/>
              <w:jc w:val="center"/>
              <w:rPr>
                <w:rFonts w:ascii="宋体" w:hAnsi="宋体"/>
                <w:color w:val="auto"/>
                <w:highlight w:val="none"/>
              </w:rPr>
            </w:pPr>
            <w:r>
              <w:rPr>
                <w:rFonts w:hint="eastAsia" w:ascii="宋体" w:hAnsi="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BDB980D">
            <w:pPr>
              <w:topLinePunct/>
              <w:spacing w:line="360" w:lineRule="auto"/>
              <w:jc w:val="center"/>
              <w:rPr>
                <w:rFonts w:ascii="宋体" w:hAnsi="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0CB3E40">
            <w:pPr>
              <w:topLinePunct/>
              <w:spacing w:line="360" w:lineRule="auto"/>
              <w:jc w:val="center"/>
              <w:rPr>
                <w:rFonts w:ascii="宋体" w:hAnsi="宋体"/>
                <w:color w:val="auto"/>
                <w:highlight w:val="none"/>
              </w:rPr>
            </w:pPr>
            <w:r>
              <w:rPr>
                <w:rFonts w:hint="eastAsia" w:ascii="宋体" w:hAnsi="宋体"/>
                <w:color w:val="auto"/>
                <w:highlight w:val="none"/>
              </w:rPr>
              <w:t>电话</w:t>
            </w:r>
          </w:p>
        </w:tc>
        <w:tc>
          <w:tcPr>
            <w:tcW w:w="1230" w:type="dxa"/>
            <w:tcBorders>
              <w:top w:val="single" w:color="auto" w:sz="4" w:space="0"/>
              <w:left w:val="single" w:color="auto" w:sz="4" w:space="0"/>
              <w:bottom w:val="single" w:color="auto" w:sz="4" w:space="0"/>
            </w:tcBorders>
            <w:vAlign w:val="center"/>
          </w:tcPr>
          <w:p w14:paraId="1A7177A6">
            <w:pPr>
              <w:topLinePunct/>
              <w:spacing w:line="360" w:lineRule="auto"/>
              <w:jc w:val="center"/>
              <w:rPr>
                <w:rFonts w:ascii="宋体" w:hAnsi="宋体"/>
                <w:color w:val="auto"/>
                <w:highlight w:val="none"/>
              </w:rPr>
            </w:pPr>
          </w:p>
        </w:tc>
      </w:tr>
      <w:tr w14:paraId="5D43F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289A0DD">
            <w:pPr>
              <w:topLinePunct/>
              <w:spacing w:line="360" w:lineRule="auto"/>
              <w:jc w:val="center"/>
              <w:rPr>
                <w:rFonts w:ascii="宋体" w:hAnsi="宋体"/>
                <w:color w:val="auto"/>
                <w:highlight w:val="none"/>
              </w:rPr>
            </w:pPr>
            <w:r>
              <w:rPr>
                <w:rFonts w:hint="eastAsia" w:ascii="宋体" w:hAnsi="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9852F40">
            <w:pPr>
              <w:topLinePunct/>
              <w:spacing w:line="360" w:lineRule="auto"/>
              <w:jc w:val="center"/>
              <w:rPr>
                <w:rFonts w:ascii="宋体" w:hAnsi="宋体"/>
                <w:color w:val="auto"/>
                <w:highlight w:val="none"/>
              </w:rPr>
            </w:pPr>
            <w:r>
              <w:rPr>
                <w:rFonts w:hint="eastAsia" w:ascii="宋体" w:hAnsi="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58BC61E1">
            <w:pPr>
              <w:topLinePunct/>
              <w:spacing w:line="360" w:lineRule="auto"/>
              <w:jc w:val="center"/>
              <w:rPr>
                <w:rFonts w:ascii="宋体" w:hAnsi="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515C71CC">
            <w:pPr>
              <w:topLinePunct/>
              <w:spacing w:line="360" w:lineRule="auto"/>
              <w:jc w:val="center"/>
              <w:rPr>
                <w:rFonts w:ascii="宋体" w:hAnsi="宋体"/>
                <w:color w:val="auto"/>
                <w:highlight w:val="none"/>
              </w:rPr>
            </w:pPr>
            <w:r>
              <w:rPr>
                <w:rFonts w:hint="eastAsia" w:ascii="宋体" w:hAnsi="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0D5CCAF">
            <w:pPr>
              <w:topLinePunct/>
              <w:spacing w:line="360" w:lineRule="auto"/>
              <w:jc w:val="center"/>
              <w:rPr>
                <w:rFonts w:ascii="宋体" w:hAnsi="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E1276FA">
            <w:pPr>
              <w:topLinePunct/>
              <w:spacing w:line="360" w:lineRule="auto"/>
              <w:jc w:val="center"/>
              <w:rPr>
                <w:rFonts w:ascii="宋体" w:hAnsi="宋体"/>
                <w:color w:val="auto"/>
                <w:highlight w:val="none"/>
              </w:rPr>
            </w:pPr>
            <w:r>
              <w:rPr>
                <w:rFonts w:hint="eastAsia" w:ascii="宋体" w:hAnsi="宋体"/>
                <w:color w:val="auto"/>
                <w:highlight w:val="none"/>
              </w:rPr>
              <w:t>电话</w:t>
            </w:r>
          </w:p>
        </w:tc>
        <w:tc>
          <w:tcPr>
            <w:tcW w:w="1230" w:type="dxa"/>
            <w:tcBorders>
              <w:top w:val="single" w:color="auto" w:sz="4" w:space="0"/>
              <w:left w:val="single" w:color="auto" w:sz="4" w:space="0"/>
              <w:bottom w:val="single" w:color="auto" w:sz="4" w:space="0"/>
            </w:tcBorders>
            <w:vAlign w:val="center"/>
          </w:tcPr>
          <w:p w14:paraId="651A6AD6">
            <w:pPr>
              <w:topLinePunct/>
              <w:spacing w:line="360" w:lineRule="auto"/>
              <w:jc w:val="center"/>
              <w:rPr>
                <w:rFonts w:ascii="宋体" w:hAnsi="宋体"/>
                <w:color w:val="auto"/>
                <w:highlight w:val="none"/>
              </w:rPr>
            </w:pPr>
          </w:p>
        </w:tc>
      </w:tr>
      <w:tr w14:paraId="52F44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51A52747">
            <w:pPr>
              <w:topLinePunct/>
              <w:spacing w:line="360" w:lineRule="auto"/>
              <w:jc w:val="center"/>
              <w:rPr>
                <w:rFonts w:ascii="宋体" w:hAnsi="宋体"/>
                <w:color w:val="auto"/>
                <w:highlight w:val="none"/>
              </w:rPr>
            </w:pPr>
            <w:r>
              <w:rPr>
                <w:rFonts w:hint="eastAsia" w:ascii="宋体" w:hAnsi="宋体"/>
                <w:color w:val="auto"/>
                <w:highlight w:val="none"/>
              </w:rPr>
              <w:t>企业资质证书</w:t>
            </w:r>
          </w:p>
        </w:tc>
        <w:tc>
          <w:tcPr>
            <w:tcW w:w="6840" w:type="dxa"/>
            <w:gridSpan w:val="8"/>
            <w:tcBorders>
              <w:top w:val="single" w:color="auto" w:sz="4" w:space="0"/>
              <w:left w:val="single" w:color="auto" w:sz="4" w:space="0"/>
              <w:bottom w:val="single" w:color="auto" w:sz="4" w:space="0"/>
            </w:tcBorders>
            <w:vAlign w:val="center"/>
          </w:tcPr>
          <w:p w14:paraId="632824C3">
            <w:pPr>
              <w:topLinePunct/>
              <w:spacing w:line="360" w:lineRule="auto"/>
              <w:ind w:firstLine="105" w:firstLineChars="50"/>
              <w:jc w:val="center"/>
              <w:rPr>
                <w:rFonts w:ascii="宋体" w:hAnsi="宋体"/>
                <w:color w:val="auto"/>
                <w:highlight w:val="none"/>
              </w:rPr>
            </w:pPr>
            <w:r>
              <w:rPr>
                <w:rFonts w:hint="eastAsia" w:ascii="宋体" w:hAnsi="宋体"/>
                <w:color w:val="auto"/>
                <w:highlight w:val="none"/>
              </w:rPr>
              <w:t>类型：等级：证书号：</w:t>
            </w:r>
          </w:p>
        </w:tc>
      </w:tr>
      <w:tr w14:paraId="1B03A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7939F03">
            <w:pPr>
              <w:topLinePunct/>
              <w:spacing w:line="360" w:lineRule="auto"/>
              <w:jc w:val="center"/>
              <w:rPr>
                <w:rFonts w:ascii="宋体" w:hAnsi="宋体"/>
                <w:color w:val="auto"/>
                <w:highlight w:val="none"/>
              </w:rPr>
            </w:pPr>
            <w:r>
              <w:rPr>
                <w:rFonts w:hint="eastAsia" w:ascii="宋体" w:hAnsi="宋体"/>
                <w:color w:val="auto"/>
                <w:highlight w:val="none"/>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1556CE76">
            <w:pPr>
              <w:topLinePunct/>
              <w:spacing w:line="360" w:lineRule="auto"/>
              <w:ind w:firstLine="105" w:firstLineChars="50"/>
              <w:jc w:val="center"/>
              <w:rPr>
                <w:rFonts w:ascii="宋体" w:hAnsi="宋体"/>
                <w:color w:val="auto"/>
                <w:highlight w:val="none"/>
              </w:rPr>
            </w:pPr>
            <w:r>
              <w:rPr>
                <w:rFonts w:hint="eastAsia" w:ascii="宋体" w:hAnsi="宋体"/>
                <w:color w:val="auto"/>
                <w:highlight w:val="none"/>
              </w:rPr>
              <w:t>类型：等级：证书号：</w:t>
            </w:r>
          </w:p>
        </w:tc>
      </w:tr>
      <w:tr w14:paraId="1F57D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338E8FA">
            <w:pPr>
              <w:topLinePunct/>
              <w:spacing w:line="360" w:lineRule="auto"/>
              <w:jc w:val="center"/>
              <w:rPr>
                <w:rFonts w:ascii="宋体" w:hAnsi="宋体"/>
                <w:color w:val="auto"/>
                <w:highlight w:val="none"/>
              </w:rPr>
            </w:pPr>
            <w:r>
              <w:rPr>
                <w:rFonts w:hint="eastAsia" w:ascii="宋体" w:hAnsi="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720045D">
            <w:pPr>
              <w:topLinePunct/>
              <w:spacing w:line="360" w:lineRule="auto"/>
              <w:jc w:val="center"/>
              <w:rPr>
                <w:rFonts w:ascii="宋体" w:hAnsi="宋体"/>
                <w:color w:val="auto"/>
                <w:highlight w:val="none"/>
              </w:rPr>
            </w:pPr>
          </w:p>
        </w:tc>
        <w:tc>
          <w:tcPr>
            <w:tcW w:w="3629" w:type="dxa"/>
            <w:gridSpan w:val="5"/>
            <w:tcBorders>
              <w:top w:val="single" w:color="auto" w:sz="4" w:space="0"/>
              <w:left w:val="single" w:color="auto" w:sz="4" w:space="0"/>
              <w:bottom w:val="single" w:color="auto" w:sz="4" w:space="0"/>
            </w:tcBorders>
            <w:vAlign w:val="center"/>
          </w:tcPr>
          <w:p w14:paraId="64EA9D79">
            <w:pPr>
              <w:topLinePunct/>
              <w:spacing w:line="360" w:lineRule="auto"/>
              <w:jc w:val="center"/>
              <w:rPr>
                <w:rFonts w:ascii="宋体" w:hAnsi="宋体"/>
                <w:color w:val="auto"/>
                <w:highlight w:val="none"/>
              </w:rPr>
            </w:pPr>
            <w:r>
              <w:rPr>
                <w:rFonts w:hint="eastAsia" w:ascii="宋体" w:hAnsi="宋体"/>
                <w:color w:val="auto"/>
                <w:highlight w:val="none"/>
              </w:rPr>
              <w:t>员工总人数：</w:t>
            </w:r>
          </w:p>
        </w:tc>
      </w:tr>
      <w:tr w14:paraId="71381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4262BC39">
            <w:pPr>
              <w:topLinePunct/>
              <w:spacing w:line="360" w:lineRule="auto"/>
              <w:jc w:val="center"/>
              <w:rPr>
                <w:rFonts w:ascii="宋体" w:hAnsi="宋体"/>
                <w:color w:val="auto"/>
                <w:highlight w:val="none"/>
              </w:rPr>
            </w:pPr>
            <w:r>
              <w:rPr>
                <w:rFonts w:hint="eastAsia" w:ascii="宋体" w:hAnsi="宋体"/>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4537B98">
            <w:pPr>
              <w:topLinePunct/>
              <w:spacing w:line="360" w:lineRule="auto"/>
              <w:jc w:val="center"/>
              <w:rPr>
                <w:rFonts w:ascii="宋体" w:hAnsi="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14:paraId="11949FAF">
            <w:pPr>
              <w:topLinePunct/>
              <w:spacing w:line="360" w:lineRule="auto"/>
              <w:jc w:val="center"/>
              <w:rPr>
                <w:rFonts w:ascii="宋体" w:hAnsi="宋体"/>
                <w:color w:val="auto"/>
                <w:highlight w:val="none"/>
              </w:rPr>
            </w:pPr>
            <w:r>
              <w:rPr>
                <w:rFonts w:hint="eastAsia" w:ascii="宋体" w:hAnsi="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8937CD6">
            <w:pPr>
              <w:topLinePunct/>
              <w:spacing w:line="360" w:lineRule="auto"/>
              <w:jc w:val="center"/>
              <w:rPr>
                <w:rFonts w:ascii="宋体" w:hAnsi="宋体"/>
                <w:color w:val="auto"/>
                <w:highlight w:val="none"/>
              </w:rPr>
            </w:pPr>
            <w:r>
              <w:rPr>
                <w:rFonts w:hint="eastAsia" w:ascii="宋体" w:hAnsi="宋体"/>
                <w:color w:val="auto"/>
                <w:highlight w:val="none"/>
              </w:rPr>
              <w:t>高级职称人员</w:t>
            </w:r>
          </w:p>
        </w:tc>
        <w:tc>
          <w:tcPr>
            <w:tcW w:w="1514" w:type="dxa"/>
            <w:gridSpan w:val="2"/>
            <w:tcBorders>
              <w:top w:val="single" w:color="auto" w:sz="4" w:space="0"/>
              <w:left w:val="single" w:color="auto" w:sz="4" w:space="0"/>
              <w:bottom w:val="single" w:color="auto" w:sz="4" w:space="0"/>
            </w:tcBorders>
            <w:vAlign w:val="center"/>
          </w:tcPr>
          <w:p w14:paraId="0EF964B2">
            <w:pPr>
              <w:topLinePunct/>
              <w:spacing w:line="360" w:lineRule="auto"/>
              <w:jc w:val="center"/>
              <w:rPr>
                <w:rFonts w:ascii="宋体" w:hAnsi="宋体"/>
                <w:color w:val="auto"/>
                <w:highlight w:val="none"/>
              </w:rPr>
            </w:pPr>
          </w:p>
        </w:tc>
      </w:tr>
      <w:tr w14:paraId="7D3E3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472D547">
            <w:pPr>
              <w:topLinePunct/>
              <w:spacing w:line="360" w:lineRule="auto"/>
              <w:jc w:val="center"/>
              <w:rPr>
                <w:rFonts w:ascii="宋体" w:hAnsi="宋体"/>
                <w:color w:val="auto"/>
                <w:highlight w:val="none"/>
              </w:rPr>
            </w:pPr>
            <w:r>
              <w:rPr>
                <w:rFonts w:hint="eastAsia" w:ascii="宋体" w:hAnsi="宋体"/>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5C33900C">
            <w:pPr>
              <w:topLinePunct/>
              <w:spacing w:line="360" w:lineRule="auto"/>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3E3879DE">
            <w:pPr>
              <w:spacing w:line="360" w:lineRule="auto"/>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DF87F69">
            <w:pPr>
              <w:topLinePunct/>
              <w:spacing w:line="360" w:lineRule="auto"/>
              <w:jc w:val="center"/>
              <w:rPr>
                <w:rFonts w:ascii="宋体" w:hAnsi="宋体"/>
                <w:color w:val="auto"/>
                <w:highlight w:val="none"/>
              </w:rPr>
            </w:pPr>
            <w:r>
              <w:rPr>
                <w:rFonts w:hint="eastAsia" w:ascii="宋体" w:hAnsi="宋体"/>
                <w:color w:val="auto"/>
                <w:highlight w:val="none"/>
              </w:rPr>
              <w:t>中级职称人员</w:t>
            </w:r>
          </w:p>
        </w:tc>
        <w:tc>
          <w:tcPr>
            <w:tcW w:w="1514" w:type="dxa"/>
            <w:gridSpan w:val="2"/>
            <w:tcBorders>
              <w:top w:val="single" w:color="auto" w:sz="4" w:space="0"/>
              <w:left w:val="single" w:color="auto" w:sz="4" w:space="0"/>
              <w:bottom w:val="single" w:color="auto" w:sz="4" w:space="0"/>
            </w:tcBorders>
            <w:vAlign w:val="center"/>
          </w:tcPr>
          <w:p w14:paraId="0F59EF84">
            <w:pPr>
              <w:topLinePunct/>
              <w:spacing w:line="360" w:lineRule="auto"/>
              <w:jc w:val="center"/>
              <w:rPr>
                <w:rFonts w:ascii="宋体" w:hAnsi="宋体"/>
                <w:color w:val="auto"/>
                <w:highlight w:val="none"/>
              </w:rPr>
            </w:pPr>
          </w:p>
        </w:tc>
      </w:tr>
      <w:tr w14:paraId="1C7AB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8E24B60">
            <w:pPr>
              <w:topLinePunct/>
              <w:spacing w:line="360" w:lineRule="auto"/>
              <w:jc w:val="center"/>
              <w:rPr>
                <w:rFonts w:ascii="宋体" w:hAnsi="宋体"/>
                <w:color w:val="auto"/>
                <w:highlight w:val="none"/>
              </w:rPr>
            </w:pPr>
            <w:r>
              <w:rPr>
                <w:rFonts w:hint="eastAsia" w:ascii="宋体" w:hAnsi="宋体"/>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B7E19D4">
            <w:pPr>
              <w:topLinePunct/>
              <w:spacing w:line="360" w:lineRule="auto"/>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6FB0721E">
            <w:pPr>
              <w:spacing w:line="360" w:lineRule="auto"/>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DCE3B1B">
            <w:pPr>
              <w:topLinePunct/>
              <w:spacing w:line="360" w:lineRule="auto"/>
              <w:jc w:val="center"/>
              <w:rPr>
                <w:rFonts w:ascii="宋体" w:hAnsi="宋体"/>
                <w:color w:val="auto"/>
                <w:highlight w:val="none"/>
              </w:rPr>
            </w:pPr>
            <w:r>
              <w:rPr>
                <w:rFonts w:hint="eastAsia" w:ascii="宋体" w:hAnsi="宋体"/>
                <w:color w:val="auto"/>
                <w:highlight w:val="none"/>
              </w:rPr>
              <w:t>技术人员数量</w:t>
            </w:r>
          </w:p>
        </w:tc>
        <w:tc>
          <w:tcPr>
            <w:tcW w:w="1514" w:type="dxa"/>
            <w:gridSpan w:val="2"/>
            <w:tcBorders>
              <w:top w:val="single" w:color="auto" w:sz="4" w:space="0"/>
              <w:left w:val="single" w:color="auto" w:sz="4" w:space="0"/>
              <w:bottom w:val="single" w:color="auto" w:sz="4" w:space="0"/>
            </w:tcBorders>
            <w:vAlign w:val="center"/>
          </w:tcPr>
          <w:p w14:paraId="5DFC5CAB">
            <w:pPr>
              <w:topLinePunct/>
              <w:spacing w:line="360" w:lineRule="auto"/>
              <w:jc w:val="center"/>
              <w:rPr>
                <w:rFonts w:ascii="宋体" w:hAnsi="宋体"/>
                <w:color w:val="auto"/>
                <w:highlight w:val="none"/>
              </w:rPr>
            </w:pPr>
          </w:p>
        </w:tc>
      </w:tr>
      <w:tr w14:paraId="41B1B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53E18110">
            <w:pPr>
              <w:topLinePunct/>
              <w:spacing w:line="360" w:lineRule="auto"/>
              <w:jc w:val="center"/>
              <w:rPr>
                <w:rFonts w:ascii="宋体" w:hAnsi="宋体"/>
                <w:color w:val="auto"/>
                <w:highlight w:val="none"/>
              </w:rPr>
            </w:pPr>
            <w:r>
              <w:rPr>
                <w:rFonts w:hint="eastAsia" w:ascii="宋体" w:hAnsi="宋体"/>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99C5886">
            <w:pPr>
              <w:topLinePunct/>
              <w:spacing w:line="360" w:lineRule="auto"/>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14:paraId="58386329">
            <w:pPr>
              <w:spacing w:line="360" w:lineRule="auto"/>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AD636AA">
            <w:pPr>
              <w:topLinePunct/>
              <w:spacing w:line="360" w:lineRule="auto"/>
              <w:jc w:val="center"/>
              <w:rPr>
                <w:rFonts w:ascii="宋体" w:hAnsi="宋体"/>
                <w:color w:val="auto"/>
                <w:highlight w:val="none"/>
              </w:rPr>
            </w:pPr>
            <w:r>
              <w:rPr>
                <w:rFonts w:hint="eastAsia" w:ascii="宋体" w:hAnsi="宋体"/>
                <w:color w:val="auto"/>
                <w:szCs w:val="21"/>
                <w:highlight w:val="none"/>
              </w:rPr>
              <w:t>各类注册人员</w:t>
            </w:r>
          </w:p>
        </w:tc>
        <w:tc>
          <w:tcPr>
            <w:tcW w:w="1514" w:type="dxa"/>
            <w:gridSpan w:val="2"/>
            <w:tcBorders>
              <w:top w:val="single" w:color="auto" w:sz="4" w:space="0"/>
              <w:left w:val="single" w:color="auto" w:sz="4" w:space="0"/>
              <w:bottom w:val="single" w:color="auto" w:sz="4" w:space="0"/>
            </w:tcBorders>
            <w:vAlign w:val="center"/>
          </w:tcPr>
          <w:p w14:paraId="75A3B43E">
            <w:pPr>
              <w:topLinePunct/>
              <w:spacing w:line="360" w:lineRule="auto"/>
              <w:jc w:val="center"/>
              <w:rPr>
                <w:rFonts w:ascii="宋体" w:hAnsi="宋体"/>
                <w:color w:val="auto"/>
                <w:highlight w:val="none"/>
              </w:rPr>
            </w:pPr>
          </w:p>
        </w:tc>
      </w:tr>
      <w:tr w14:paraId="7E830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06076D29">
            <w:pPr>
              <w:topLinePunct/>
              <w:spacing w:line="360" w:lineRule="auto"/>
              <w:ind w:firstLine="210" w:firstLineChars="100"/>
              <w:jc w:val="center"/>
              <w:rPr>
                <w:rFonts w:ascii="宋体" w:hAnsi="宋体"/>
                <w:color w:val="auto"/>
                <w:highlight w:val="none"/>
              </w:rPr>
            </w:pPr>
            <w:r>
              <w:rPr>
                <w:rFonts w:hint="eastAsia" w:ascii="宋体" w:hAnsi="宋体"/>
                <w:color w:val="auto"/>
                <w:highlight w:val="none"/>
              </w:rPr>
              <w:t>经营范围</w:t>
            </w:r>
          </w:p>
        </w:tc>
        <w:tc>
          <w:tcPr>
            <w:tcW w:w="6840" w:type="dxa"/>
            <w:gridSpan w:val="8"/>
            <w:tcBorders>
              <w:top w:val="single" w:color="auto" w:sz="4" w:space="0"/>
              <w:left w:val="single" w:color="auto" w:sz="4" w:space="0"/>
            </w:tcBorders>
            <w:vAlign w:val="center"/>
          </w:tcPr>
          <w:p w14:paraId="413E27C2">
            <w:pPr>
              <w:topLinePunct/>
              <w:spacing w:line="360" w:lineRule="auto"/>
              <w:jc w:val="center"/>
              <w:rPr>
                <w:rFonts w:ascii="宋体" w:hAnsi="宋体"/>
                <w:color w:val="auto"/>
                <w:highlight w:val="none"/>
              </w:rPr>
            </w:pPr>
          </w:p>
        </w:tc>
      </w:tr>
      <w:tr w14:paraId="5D2CB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46CE9AAB">
            <w:pPr>
              <w:topLinePunct/>
              <w:spacing w:line="360" w:lineRule="auto"/>
              <w:jc w:val="center"/>
              <w:rPr>
                <w:rFonts w:ascii="宋体" w:hAnsi="宋体"/>
                <w:color w:val="auto"/>
                <w:highlight w:val="none"/>
              </w:rPr>
            </w:pPr>
            <w:r>
              <w:rPr>
                <w:rFonts w:hint="eastAsia" w:ascii="宋体" w:hAnsi="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14:paraId="219003AF">
            <w:pPr>
              <w:topLinePunct/>
              <w:spacing w:line="360" w:lineRule="auto"/>
              <w:jc w:val="center"/>
              <w:rPr>
                <w:rFonts w:ascii="宋体" w:hAnsi="宋体"/>
                <w:color w:val="auto"/>
                <w:highlight w:val="none"/>
              </w:rPr>
            </w:pPr>
          </w:p>
        </w:tc>
      </w:tr>
      <w:tr w14:paraId="67E3D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bottom w:val="single" w:color="auto" w:sz="4" w:space="0"/>
              <w:right w:val="single" w:color="auto" w:sz="4" w:space="0"/>
            </w:tcBorders>
            <w:vAlign w:val="center"/>
          </w:tcPr>
          <w:p w14:paraId="2277893B">
            <w:pPr>
              <w:topLinePunct/>
              <w:spacing w:line="360" w:lineRule="auto"/>
              <w:jc w:val="center"/>
              <w:rPr>
                <w:rFonts w:ascii="宋体" w:hAnsi="宋体"/>
                <w:color w:val="auto"/>
                <w:highlight w:val="none"/>
              </w:rPr>
            </w:pPr>
            <w:r>
              <w:rPr>
                <w:rFonts w:hint="eastAsia" w:ascii="宋体" w:hAnsi="宋体"/>
                <w:color w:val="auto"/>
                <w:highlight w:val="none"/>
              </w:rPr>
              <w:t>备注</w:t>
            </w:r>
          </w:p>
        </w:tc>
        <w:tc>
          <w:tcPr>
            <w:tcW w:w="6840" w:type="dxa"/>
            <w:gridSpan w:val="8"/>
            <w:tcBorders>
              <w:top w:val="single" w:color="auto" w:sz="4" w:space="0"/>
              <w:left w:val="single" w:color="auto" w:sz="4" w:space="0"/>
              <w:bottom w:val="single" w:color="auto" w:sz="4" w:space="0"/>
            </w:tcBorders>
            <w:vAlign w:val="center"/>
          </w:tcPr>
          <w:p w14:paraId="3E35320E">
            <w:pPr>
              <w:topLinePunct/>
              <w:spacing w:line="360" w:lineRule="auto"/>
              <w:jc w:val="center"/>
              <w:rPr>
                <w:rFonts w:ascii="宋体" w:hAnsi="宋体"/>
                <w:color w:val="auto"/>
                <w:highlight w:val="none"/>
              </w:rPr>
            </w:pPr>
          </w:p>
        </w:tc>
      </w:tr>
    </w:tbl>
    <w:p w14:paraId="1B80929C">
      <w:pPr>
        <w:snapToGrid w:val="0"/>
        <w:spacing w:line="360" w:lineRule="auto"/>
        <w:rPr>
          <w:rFonts w:ascii="宋体" w:hAnsi="宋体"/>
          <w:color w:val="auto"/>
          <w:spacing w:val="-5"/>
          <w:szCs w:val="21"/>
          <w:highlight w:val="none"/>
        </w:rPr>
      </w:pPr>
      <w:r>
        <w:rPr>
          <w:rFonts w:hint="eastAsia" w:ascii="宋体" w:hAnsi="宋体"/>
          <w:color w:val="auto"/>
          <w:spacing w:val="-5"/>
          <w:szCs w:val="21"/>
          <w:highlight w:val="none"/>
        </w:rPr>
        <w:t>注：投标人应附投标人事业单位登记管理部门核发的事业单位法人证书或工商行政管理部门核发的企业法人营业执照、投标人资质证书、广州市住房和城乡建设局建立信用档案网页截图等材料的扫描件</w:t>
      </w:r>
    </w:p>
    <w:p w14:paraId="4A89269E">
      <w:pPr>
        <w:widowControl/>
        <w:spacing w:line="360" w:lineRule="auto"/>
        <w:jc w:val="center"/>
        <w:rPr>
          <w:rFonts w:ascii="宋体" w:hAnsi="宋体" w:cs="宋体"/>
          <w:b/>
          <w:bCs/>
          <w:color w:val="auto"/>
          <w:sz w:val="32"/>
          <w:szCs w:val="32"/>
          <w:highlight w:val="none"/>
        </w:rPr>
      </w:pPr>
      <w:r>
        <w:rPr>
          <w:rFonts w:ascii="宋体" w:hAnsi="宋体" w:cs="宋体"/>
          <w:b/>
          <w:bCs/>
          <w:color w:val="auto"/>
          <w:sz w:val="32"/>
          <w:szCs w:val="32"/>
          <w:highlight w:val="none"/>
        </w:rPr>
        <w:br w:type="page"/>
      </w:r>
      <w:r>
        <w:rPr>
          <w:rFonts w:hint="eastAsia" w:ascii="宋体" w:hAnsi="宋体" w:cs="宋体"/>
          <w:b/>
          <w:bCs/>
          <w:color w:val="auto"/>
          <w:kern w:val="0"/>
          <w:sz w:val="28"/>
          <w:szCs w:val="28"/>
          <w:highlight w:val="none"/>
        </w:rPr>
        <w:t>（二）投标人声明</w:t>
      </w:r>
    </w:p>
    <w:p w14:paraId="2A66F1E2">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（按照本项目招标公告附件）</w:t>
      </w:r>
    </w:p>
    <w:p w14:paraId="5D50E420">
      <w:pPr>
        <w:spacing w:line="360" w:lineRule="auto"/>
        <w:jc w:val="center"/>
        <w:rPr>
          <w:rFonts w:ascii="宋体" w:hAnsi="宋体" w:cs="宋体"/>
          <w:color w:val="auto"/>
          <w:sz w:val="28"/>
          <w:szCs w:val="28"/>
          <w:highlight w:val="none"/>
        </w:rPr>
      </w:pPr>
    </w:p>
    <w:p w14:paraId="69D091FA">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（三）投标承诺函</w:t>
      </w:r>
    </w:p>
    <w:p w14:paraId="412FB212">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（按照本项目招标公告附件）</w:t>
      </w:r>
    </w:p>
    <w:p w14:paraId="31FC8618">
      <w:pPr>
        <w:keepNext/>
        <w:keepLines/>
        <w:spacing w:line="360" w:lineRule="auto"/>
        <w:jc w:val="center"/>
        <w:outlineLvl w:val="1"/>
        <w:rPr>
          <w:rFonts w:ascii="宋体" w:hAnsi="宋体" w:cs="宋体"/>
          <w:color w:val="auto"/>
          <w:sz w:val="28"/>
          <w:szCs w:val="28"/>
          <w:highlight w:val="none"/>
        </w:rPr>
      </w:pPr>
    </w:p>
    <w:p w14:paraId="45942D3E">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（四）其他符合第二章“投标人须知”第1.4.1项规定的资料</w:t>
      </w:r>
    </w:p>
    <w:p w14:paraId="108447B1">
      <w:pPr>
        <w:keepNext/>
        <w:keepLines/>
        <w:spacing w:line="360" w:lineRule="auto"/>
        <w:jc w:val="center"/>
        <w:outlineLvl w:val="1"/>
        <w:rPr>
          <w:rFonts w:ascii="宋体" w:hAnsi="宋体" w:cs="宋体"/>
          <w:color w:val="auto"/>
          <w:szCs w:val="24"/>
          <w:highlight w:val="none"/>
        </w:rPr>
      </w:pPr>
      <w:r>
        <w:rPr>
          <w:rFonts w:ascii="宋体" w:hAnsi="宋体" w:cs="宋体"/>
          <w:color w:val="auto"/>
          <w:sz w:val="28"/>
          <w:szCs w:val="28"/>
          <w:highlight w:val="none"/>
        </w:rPr>
        <w:br w:type="page"/>
      </w:r>
      <w:bookmarkStart w:id="212" w:name="_Toc7456"/>
      <w:r>
        <w:rPr>
          <w:rFonts w:hint="eastAsia" w:ascii="宋体" w:hAnsi="宋体" w:cs="宋体"/>
          <w:b/>
          <w:bCs/>
          <w:color w:val="auto"/>
          <w:sz w:val="32"/>
          <w:szCs w:val="32"/>
          <w:highlight w:val="none"/>
        </w:rPr>
        <w:t>六、类似项目业绩表</w:t>
      </w:r>
      <w:bookmarkEnd w:id="212"/>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344"/>
        <w:gridCol w:w="1419"/>
        <w:gridCol w:w="1826"/>
        <w:gridCol w:w="1254"/>
        <w:gridCol w:w="1170"/>
      </w:tblGrid>
      <w:tr w14:paraId="6468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405" w:type="pct"/>
            <w:vAlign w:val="center"/>
          </w:tcPr>
          <w:p w14:paraId="498AFD0C">
            <w:pPr>
              <w:snapToGrid w:val="0"/>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344" w:type="pct"/>
            <w:vAlign w:val="center"/>
          </w:tcPr>
          <w:p w14:paraId="32A58DA0">
            <w:pPr>
              <w:snapToGrid w:val="0"/>
              <w:spacing w:line="360" w:lineRule="auto"/>
              <w:jc w:val="center"/>
              <w:rPr>
                <w:rFonts w:ascii="宋体" w:hAnsi="宋体"/>
                <w:color w:val="auto"/>
                <w:sz w:val="24"/>
                <w:highlight w:val="none"/>
              </w:rPr>
            </w:pPr>
            <w:r>
              <w:rPr>
                <w:rFonts w:hint="eastAsia" w:ascii="宋体" w:hAnsi="宋体"/>
                <w:color w:val="auto"/>
                <w:sz w:val="24"/>
                <w:highlight w:val="none"/>
              </w:rPr>
              <w:t>工程名称</w:t>
            </w:r>
          </w:p>
        </w:tc>
        <w:tc>
          <w:tcPr>
            <w:tcW w:w="814" w:type="pct"/>
            <w:vAlign w:val="center"/>
          </w:tcPr>
          <w:p w14:paraId="5AA287FB">
            <w:pPr>
              <w:snapToGrid w:val="0"/>
              <w:spacing w:line="360" w:lineRule="auto"/>
              <w:jc w:val="center"/>
              <w:rPr>
                <w:rFonts w:ascii="宋体" w:hAnsi="宋体"/>
                <w:color w:val="auto"/>
                <w:sz w:val="24"/>
                <w:highlight w:val="none"/>
              </w:rPr>
            </w:pPr>
            <w:r>
              <w:rPr>
                <w:rFonts w:hint="eastAsia" w:ascii="宋体" w:hAnsi="宋体"/>
                <w:color w:val="auto"/>
                <w:sz w:val="24"/>
                <w:highlight w:val="none"/>
              </w:rPr>
              <w:t>建设单位</w:t>
            </w:r>
          </w:p>
        </w:tc>
        <w:tc>
          <w:tcPr>
            <w:tcW w:w="1047" w:type="pct"/>
            <w:vAlign w:val="center"/>
          </w:tcPr>
          <w:p w14:paraId="02EF7B10">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合同价（万元）</w:t>
            </w:r>
          </w:p>
        </w:tc>
        <w:tc>
          <w:tcPr>
            <w:tcW w:w="719" w:type="pct"/>
            <w:vAlign w:val="center"/>
          </w:tcPr>
          <w:p w14:paraId="3967D450">
            <w:pPr>
              <w:snapToGrid w:val="0"/>
              <w:spacing w:line="360" w:lineRule="auto"/>
              <w:jc w:val="center"/>
              <w:rPr>
                <w:rFonts w:ascii="宋体" w:hAnsi="宋体"/>
                <w:color w:val="auto"/>
                <w:sz w:val="24"/>
                <w:highlight w:val="none"/>
              </w:rPr>
            </w:pPr>
            <w:r>
              <w:rPr>
                <w:rFonts w:hint="eastAsia" w:ascii="宋体" w:hAnsi="宋体"/>
                <w:color w:val="auto"/>
                <w:sz w:val="24"/>
                <w:highlight w:val="none"/>
              </w:rPr>
              <w:t>起止时间</w:t>
            </w:r>
          </w:p>
        </w:tc>
        <w:tc>
          <w:tcPr>
            <w:tcW w:w="672" w:type="pct"/>
            <w:vAlign w:val="center"/>
          </w:tcPr>
          <w:p w14:paraId="5D5E9169">
            <w:pPr>
              <w:snapToGrid w:val="0"/>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6549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05" w:type="pct"/>
            <w:vAlign w:val="center"/>
          </w:tcPr>
          <w:p w14:paraId="777D939B">
            <w:pPr>
              <w:spacing w:line="360" w:lineRule="auto"/>
              <w:jc w:val="center"/>
              <w:rPr>
                <w:rFonts w:ascii="宋体" w:hAnsi="宋体"/>
                <w:color w:val="auto"/>
                <w:sz w:val="24"/>
                <w:highlight w:val="none"/>
              </w:rPr>
            </w:pPr>
          </w:p>
        </w:tc>
        <w:tc>
          <w:tcPr>
            <w:tcW w:w="1344" w:type="pct"/>
            <w:vAlign w:val="center"/>
          </w:tcPr>
          <w:p w14:paraId="5C937B58">
            <w:pPr>
              <w:spacing w:line="360" w:lineRule="auto"/>
              <w:jc w:val="center"/>
              <w:rPr>
                <w:rFonts w:ascii="宋体" w:hAnsi="宋体"/>
                <w:color w:val="auto"/>
                <w:sz w:val="24"/>
                <w:highlight w:val="none"/>
              </w:rPr>
            </w:pPr>
          </w:p>
        </w:tc>
        <w:tc>
          <w:tcPr>
            <w:tcW w:w="814" w:type="pct"/>
            <w:vAlign w:val="center"/>
          </w:tcPr>
          <w:p w14:paraId="3343C785">
            <w:pPr>
              <w:spacing w:line="360" w:lineRule="auto"/>
              <w:jc w:val="center"/>
              <w:rPr>
                <w:rFonts w:ascii="宋体" w:hAnsi="宋体"/>
                <w:color w:val="auto"/>
                <w:sz w:val="24"/>
                <w:highlight w:val="none"/>
              </w:rPr>
            </w:pPr>
          </w:p>
        </w:tc>
        <w:tc>
          <w:tcPr>
            <w:tcW w:w="1047" w:type="pct"/>
            <w:vAlign w:val="center"/>
          </w:tcPr>
          <w:p w14:paraId="03B1BE7D">
            <w:pPr>
              <w:spacing w:line="360" w:lineRule="auto"/>
              <w:jc w:val="center"/>
              <w:rPr>
                <w:rFonts w:ascii="宋体" w:hAnsi="宋体"/>
                <w:color w:val="auto"/>
                <w:sz w:val="24"/>
                <w:highlight w:val="none"/>
              </w:rPr>
            </w:pPr>
          </w:p>
        </w:tc>
        <w:tc>
          <w:tcPr>
            <w:tcW w:w="719" w:type="pct"/>
            <w:vAlign w:val="center"/>
          </w:tcPr>
          <w:p w14:paraId="15DA7AFC">
            <w:pPr>
              <w:spacing w:line="360" w:lineRule="auto"/>
              <w:jc w:val="center"/>
              <w:rPr>
                <w:rFonts w:ascii="宋体" w:hAnsi="宋体"/>
                <w:color w:val="auto"/>
                <w:sz w:val="24"/>
                <w:highlight w:val="none"/>
              </w:rPr>
            </w:pPr>
          </w:p>
        </w:tc>
        <w:tc>
          <w:tcPr>
            <w:tcW w:w="672" w:type="pct"/>
            <w:vAlign w:val="center"/>
          </w:tcPr>
          <w:p w14:paraId="39F9959B">
            <w:pPr>
              <w:spacing w:line="360" w:lineRule="auto"/>
              <w:jc w:val="center"/>
              <w:rPr>
                <w:rFonts w:ascii="宋体" w:hAnsi="宋体"/>
                <w:color w:val="auto"/>
                <w:sz w:val="24"/>
                <w:highlight w:val="none"/>
              </w:rPr>
            </w:pPr>
          </w:p>
        </w:tc>
      </w:tr>
      <w:tr w14:paraId="38A3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2E93AED3">
            <w:pPr>
              <w:spacing w:line="360" w:lineRule="auto"/>
              <w:jc w:val="center"/>
              <w:rPr>
                <w:rFonts w:ascii="宋体" w:hAnsi="宋体"/>
                <w:color w:val="auto"/>
                <w:sz w:val="24"/>
                <w:highlight w:val="none"/>
              </w:rPr>
            </w:pPr>
          </w:p>
        </w:tc>
        <w:tc>
          <w:tcPr>
            <w:tcW w:w="1344" w:type="pct"/>
            <w:vAlign w:val="center"/>
          </w:tcPr>
          <w:p w14:paraId="6F8E164C">
            <w:pPr>
              <w:spacing w:line="360" w:lineRule="auto"/>
              <w:jc w:val="center"/>
              <w:rPr>
                <w:rFonts w:ascii="宋体" w:hAnsi="宋体"/>
                <w:color w:val="auto"/>
                <w:sz w:val="24"/>
                <w:highlight w:val="none"/>
              </w:rPr>
            </w:pPr>
          </w:p>
        </w:tc>
        <w:tc>
          <w:tcPr>
            <w:tcW w:w="814" w:type="pct"/>
            <w:vAlign w:val="center"/>
          </w:tcPr>
          <w:p w14:paraId="23ACB30E">
            <w:pPr>
              <w:spacing w:line="360" w:lineRule="auto"/>
              <w:jc w:val="center"/>
              <w:rPr>
                <w:rFonts w:ascii="宋体" w:hAnsi="宋体"/>
                <w:color w:val="auto"/>
                <w:sz w:val="24"/>
                <w:highlight w:val="none"/>
              </w:rPr>
            </w:pPr>
          </w:p>
        </w:tc>
        <w:tc>
          <w:tcPr>
            <w:tcW w:w="1047" w:type="pct"/>
            <w:vAlign w:val="center"/>
          </w:tcPr>
          <w:p w14:paraId="2DADEA92">
            <w:pPr>
              <w:spacing w:line="360" w:lineRule="auto"/>
              <w:jc w:val="center"/>
              <w:rPr>
                <w:rFonts w:ascii="宋体" w:hAnsi="宋体"/>
                <w:color w:val="auto"/>
                <w:sz w:val="24"/>
                <w:highlight w:val="none"/>
              </w:rPr>
            </w:pPr>
          </w:p>
        </w:tc>
        <w:tc>
          <w:tcPr>
            <w:tcW w:w="719" w:type="pct"/>
            <w:vAlign w:val="center"/>
          </w:tcPr>
          <w:p w14:paraId="0B7F9A33">
            <w:pPr>
              <w:spacing w:line="360" w:lineRule="auto"/>
              <w:jc w:val="center"/>
              <w:rPr>
                <w:rFonts w:ascii="宋体" w:hAnsi="宋体"/>
                <w:color w:val="auto"/>
                <w:sz w:val="24"/>
                <w:highlight w:val="none"/>
              </w:rPr>
            </w:pPr>
          </w:p>
        </w:tc>
        <w:tc>
          <w:tcPr>
            <w:tcW w:w="672" w:type="pct"/>
            <w:vAlign w:val="center"/>
          </w:tcPr>
          <w:p w14:paraId="03B8FA75">
            <w:pPr>
              <w:spacing w:line="360" w:lineRule="auto"/>
              <w:jc w:val="center"/>
              <w:rPr>
                <w:rFonts w:ascii="宋体" w:hAnsi="宋体"/>
                <w:color w:val="auto"/>
                <w:sz w:val="24"/>
                <w:highlight w:val="none"/>
              </w:rPr>
            </w:pPr>
          </w:p>
        </w:tc>
      </w:tr>
      <w:tr w14:paraId="3329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3ED656EF">
            <w:pPr>
              <w:spacing w:line="360" w:lineRule="auto"/>
              <w:jc w:val="center"/>
              <w:rPr>
                <w:rFonts w:ascii="宋体" w:hAnsi="宋体"/>
                <w:color w:val="auto"/>
                <w:sz w:val="24"/>
                <w:highlight w:val="none"/>
              </w:rPr>
            </w:pPr>
          </w:p>
        </w:tc>
        <w:tc>
          <w:tcPr>
            <w:tcW w:w="1344" w:type="pct"/>
            <w:vAlign w:val="center"/>
          </w:tcPr>
          <w:p w14:paraId="7F0C7BAE">
            <w:pPr>
              <w:spacing w:line="360" w:lineRule="auto"/>
              <w:jc w:val="center"/>
              <w:rPr>
                <w:rFonts w:ascii="宋体" w:hAnsi="宋体"/>
                <w:color w:val="auto"/>
                <w:sz w:val="24"/>
                <w:highlight w:val="none"/>
              </w:rPr>
            </w:pPr>
          </w:p>
        </w:tc>
        <w:tc>
          <w:tcPr>
            <w:tcW w:w="814" w:type="pct"/>
            <w:vAlign w:val="center"/>
          </w:tcPr>
          <w:p w14:paraId="48F7152E">
            <w:pPr>
              <w:spacing w:line="360" w:lineRule="auto"/>
              <w:jc w:val="center"/>
              <w:rPr>
                <w:rFonts w:ascii="宋体" w:hAnsi="宋体"/>
                <w:color w:val="auto"/>
                <w:sz w:val="24"/>
                <w:highlight w:val="none"/>
              </w:rPr>
            </w:pPr>
          </w:p>
        </w:tc>
        <w:tc>
          <w:tcPr>
            <w:tcW w:w="1047" w:type="pct"/>
            <w:vAlign w:val="center"/>
          </w:tcPr>
          <w:p w14:paraId="3DB1F327">
            <w:pPr>
              <w:spacing w:line="360" w:lineRule="auto"/>
              <w:jc w:val="center"/>
              <w:rPr>
                <w:rFonts w:ascii="宋体" w:hAnsi="宋体"/>
                <w:color w:val="auto"/>
                <w:sz w:val="24"/>
                <w:highlight w:val="none"/>
              </w:rPr>
            </w:pPr>
          </w:p>
        </w:tc>
        <w:tc>
          <w:tcPr>
            <w:tcW w:w="719" w:type="pct"/>
            <w:vAlign w:val="center"/>
          </w:tcPr>
          <w:p w14:paraId="3B2998B9">
            <w:pPr>
              <w:spacing w:line="360" w:lineRule="auto"/>
              <w:jc w:val="center"/>
              <w:rPr>
                <w:rFonts w:ascii="宋体" w:hAnsi="宋体"/>
                <w:color w:val="auto"/>
                <w:sz w:val="24"/>
                <w:highlight w:val="none"/>
              </w:rPr>
            </w:pPr>
          </w:p>
        </w:tc>
        <w:tc>
          <w:tcPr>
            <w:tcW w:w="672" w:type="pct"/>
            <w:vAlign w:val="center"/>
          </w:tcPr>
          <w:p w14:paraId="59139023">
            <w:pPr>
              <w:spacing w:line="360" w:lineRule="auto"/>
              <w:jc w:val="center"/>
              <w:rPr>
                <w:rFonts w:ascii="宋体" w:hAnsi="宋体"/>
                <w:color w:val="auto"/>
                <w:sz w:val="24"/>
                <w:highlight w:val="none"/>
              </w:rPr>
            </w:pPr>
          </w:p>
        </w:tc>
      </w:tr>
      <w:tr w14:paraId="197F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482C9B44">
            <w:pPr>
              <w:spacing w:line="360" w:lineRule="auto"/>
              <w:jc w:val="center"/>
              <w:rPr>
                <w:rFonts w:ascii="宋体" w:hAnsi="宋体"/>
                <w:color w:val="auto"/>
                <w:sz w:val="24"/>
                <w:highlight w:val="none"/>
              </w:rPr>
            </w:pPr>
          </w:p>
        </w:tc>
        <w:tc>
          <w:tcPr>
            <w:tcW w:w="1344" w:type="pct"/>
            <w:vAlign w:val="center"/>
          </w:tcPr>
          <w:p w14:paraId="1848AF59">
            <w:pPr>
              <w:spacing w:line="360" w:lineRule="auto"/>
              <w:jc w:val="center"/>
              <w:rPr>
                <w:rFonts w:ascii="宋体" w:hAnsi="宋体"/>
                <w:color w:val="auto"/>
                <w:sz w:val="24"/>
                <w:highlight w:val="none"/>
              </w:rPr>
            </w:pPr>
          </w:p>
        </w:tc>
        <w:tc>
          <w:tcPr>
            <w:tcW w:w="814" w:type="pct"/>
            <w:vAlign w:val="center"/>
          </w:tcPr>
          <w:p w14:paraId="71AB05EB">
            <w:pPr>
              <w:spacing w:line="360" w:lineRule="auto"/>
              <w:jc w:val="center"/>
              <w:rPr>
                <w:rFonts w:ascii="宋体" w:hAnsi="宋体"/>
                <w:color w:val="auto"/>
                <w:sz w:val="24"/>
                <w:highlight w:val="none"/>
              </w:rPr>
            </w:pPr>
          </w:p>
        </w:tc>
        <w:tc>
          <w:tcPr>
            <w:tcW w:w="1047" w:type="pct"/>
            <w:vAlign w:val="center"/>
          </w:tcPr>
          <w:p w14:paraId="499903B2">
            <w:pPr>
              <w:spacing w:line="360" w:lineRule="auto"/>
              <w:jc w:val="center"/>
              <w:rPr>
                <w:rFonts w:ascii="宋体" w:hAnsi="宋体"/>
                <w:color w:val="auto"/>
                <w:sz w:val="24"/>
                <w:highlight w:val="none"/>
              </w:rPr>
            </w:pPr>
          </w:p>
        </w:tc>
        <w:tc>
          <w:tcPr>
            <w:tcW w:w="719" w:type="pct"/>
            <w:vAlign w:val="center"/>
          </w:tcPr>
          <w:p w14:paraId="4BD41295">
            <w:pPr>
              <w:spacing w:line="360" w:lineRule="auto"/>
              <w:jc w:val="center"/>
              <w:rPr>
                <w:rFonts w:ascii="宋体" w:hAnsi="宋体"/>
                <w:color w:val="auto"/>
                <w:sz w:val="24"/>
                <w:highlight w:val="none"/>
              </w:rPr>
            </w:pPr>
          </w:p>
        </w:tc>
        <w:tc>
          <w:tcPr>
            <w:tcW w:w="672" w:type="pct"/>
            <w:vAlign w:val="center"/>
          </w:tcPr>
          <w:p w14:paraId="1F0190ED">
            <w:pPr>
              <w:spacing w:line="360" w:lineRule="auto"/>
              <w:jc w:val="center"/>
              <w:rPr>
                <w:rFonts w:ascii="宋体" w:hAnsi="宋体"/>
                <w:color w:val="auto"/>
                <w:sz w:val="24"/>
                <w:highlight w:val="none"/>
              </w:rPr>
            </w:pPr>
          </w:p>
        </w:tc>
      </w:tr>
      <w:tr w14:paraId="7CD1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635B3A5D">
            <w:pPr>
              <w:spacing w:line="360" w:lineRule="auto"/>
              <w:jc w:val="center"/>
              <w:rPr>
                <w:rFonts w:ascii="宋体" w:hAnsi="宋体"/>
                <w:color w:val="auto"/>
                <w:sz w:val="24"/>
                <w:highlight w:val="none"/>
              </w:rPr>
            </w:pPr>
          </w:p>
        </w:tc>
        <w:tc>
          <w:tcPr>
            <w:tcW w:w="1344" w:type="pct"/>
            <w:vAlign w:val="center"/>
          </w:tcPr>
          <w:p w14:paraId="7E9178FC">
            <w:pPr>
              <w:spacing w:line="360" w:lineRule="auto"/>
              <w:jc w:val="center"/>
              <w:rPr>
                <w:rFonts w:ascii="宋体" w:hAnsi="宋体"/>
                <w:color w:val="auto"/>
                <w:sz w:val="24"/>
                <w:highlight w:val="none"/>
              </w:rPr>
            </w:pPr>
          </w:p>
        </w:tc>
        <w:tc>
          <w:tcPr>
            <w:tcW w:w="814" w:type="pct"/>
            <w:vAlign w:val="center"/>
          </w:tcPr>
          <w:p w14:paraId="25AEA687">
            <w:pPr>
              <w:spacing w:line="360" w:lineRule="auto"/>
              <w:jc w:val="center"/>
              <w:rPr>
                <w:rFonts w:ascii="宋体" w:hAnsi="宋体"/>
                <w:color w:val="auto"/>
                <w:sz w:val="24"/>
                <w:highlight w:val="none"/>
              </w:rPr>
            </w:pPr>
          </w:p>
        </w:tc>
        <w:tc>
          <w:tcPr>
            <w:tcW w:w="1047" w:type="pct"/>
            <w:vAlign w:val="center"/>
          </w:tcPr>
          <w:p w14:paraId="761AE859">
            <w:pPr>
              <w:spacing w:line="360" w:lineRule="auto"/>
              <w:jc w:val="center"/>
              <w:rPr>
                <w:rFonts w:ascii="宋体" w:hAnsi="宋体"/>
                <w:color w:val="auto"/>
                <w:sz w:val="24"/>
                <w:highlight w:val="none"/>
              </w:rPr>
            </w:pPr>
          </w:p>
        </w:tc>
        <w:tc>
          <w:tcPr>
            <w:tcW w:w="719" w:type="pct"/>
            <w:vAlign w:val="center"/>
          </w:tcPr>
          <w:p w14:paraId="65E94163">
            <w:pPr>
              <w:spacing w:line="360" w:lineRule="auto"/>
              <w:jc w:val="center"/>
              <w:rPr>
                <w:rFonts w:ascii="宋体" w:hAnsi="宋体"/>
                <w:color w:val="auto"/>
                <w:sz w:val="24"/>
                <w:highlight w:val="none"/>
              </w:rPr>
            </w:pPr>
          </w:p>
        </w:tc>
        <w:tc>
          <w:tcPr>
            <w:tcW w:w="672" w:type="pct"/>
            <w:vAlign w:val="center"/>
          </w:tcPr>
          <w:p w14:paraId="3F95CD09">
            <w:pPr>
              <w:spacing w:line="360" w:lineRule="auto"/>
              <w:jc w:val="center"/>
              <w:rPr>
                <w:rFonts w:ascii="宋体" w:hAnsi="宋体"/>
                <w:color w:val="auto"/>
                <w:sz w:val="24"/>
                <w:highlight w:val="none"/>
              </w:rPr>
            </w:pPr>
          </w:p>
        </w:tc>
      </w:tr>
      <w:tr w14:paraId="6EB2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66C95F9E">
            <w:pPr>
              <w:spacing w:line="360" w:lineRule="auto"/>
              <w:jc w:val="center"/>
              <w:rPr>
                <w:rFonts w:ascii="宋体" w:hAnsi="宋体"/>
                <w:color w:val="auto"/>
                <w:sz w:val="24"/>
                <w:highlight w:val="none"/>
              </w:rPr>
            </w:pPr>
          </w:p>
        </w:tc>
        <w:tc>
          <w:tcPr>
            <w:tcW w:w="1344" w:type="pct"/>
            <w:vAlign w:val="center"/>
          </w:tcPr>
          <w:p w14:paraId="6D957025">
            <w:pPr>
              <w:spacing w:line="360" w:lineRule="auto"/>
              <w:jc w:val="center"/>
              <w:rPr>
                <w:rFonts w:ascii="宋体" w:hAnsi="宋体"/>
                <w:color w:val="auto"/>
                <w:sz w:val="24"/>
                <w:highlight w:val="none"/>
              </w:rPr>
            </w:pPr>
          </w:p>
        </w:tc>
        <w:tc>
          <w:tcPr>
            <w:tcW w:w="814" w:type="pct"/>
            <w:vAlign w:val="center"/>
          </w:tcPr>
          <w:p w14:paraId="1E1E4547">
            <w:pPr>
              <w:spacing w:line="360" w:lineRule="auto"/>
              <w:jc w:val="center"/>
              <w:rPr>
                <w:rFonts w:ascii="宋体" w:hAnsi="宋体"/>
                <w:color w:val="auto"/>
                <w:sz w:val="24"/>
                <w:highlight w:val="none"/>
              </w:rPr>
            </w:pPr>
          </w:p>
        </w:tc>
        <w:tc>
          <w:tcPr>
            <w:tcW w:w="1047" w:type="pct"/>
            <w:vAlign w:val="center"/>
          </w:tcPr>
          <w:p w14:paraId="776643B7">
            <w:pPr>
              <w:spacing w:line="360" w:lineRule="auto"/>
              <w:jc w:val="center"/>
              <w:rPr>
                <w:rFonts w:ascii="宋体" w:hAnsi="宋体"/>
                <w:color w:val="auto"/>
                <w:sz w:val="24"/>
                <w:highlight w:val="none"/>
              </w:rPr>
            </w:pPr>
          </w:p>
        </w:tc>
        <w:tc>
          <w:tcPr>
            <w:tcW w:w="719" w:type="pct"/>
            <w:vAlign w:val="center"/>
          </w:tcPr>
          <w:p w14:paraId="664B7409">
            <w:pPr>
              <w:spacing w:line="360" w:lineRule="auto"/>
              <w:jc w:val="center"/>
              <w:rPr>
                <w:rFonts w:ascii="宋体" w:hAnsi="宋体"/>
                <w:color w:val="auto"/>
                <w:sz w:val="24"/>
                <w:highlight w:val="none"/>
              </w:rPr>
            </w:pPr>
          </w:p>
        </w:tc>
        <w:tc>
          <w:tcPr>
            <w:tcW w:w="672" w:type="pct"/>
            <w:vAlign w:val="center"/>
          </w:tcPr>
          <w:p w14:paraId="7DA57AE8">
            <w:pPr>
              <w:spacing w:line="360" w:lineRule="auto"/>
              <w:jc w:val="center"/>
              <w:rPr>
                <w:rFonts w:ascii="宋体" w:hAnsi="宋体"/>
                <w:color w:val="auto"/>
                <w:sz w:val="24"/>
                <w:highlight w:val="none"/>
              </w:rPr>
            </w:pPr>
          </w:p>
        </w:tc>
      </w:tr>
      <w:tr w14:paraId="68E4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5D65ADEB">
            <w:pPr>
              <w:spacing w:line="360" w:lineRule="auto"/>
              <w:jc w:val="center"/>
              <w:rPr>
                <w:rFonts w:ascii="宋体" w:hAnsi="宋体"/>
                <w:color w:val="auto"/>
                <w:sz w:val="24"/>
                <w:highlight w:val="none"/>
              </w:rPr>
            </w:pPr>
          </w:p>
        </w:tc>
        <w:tc>
          <w:tcPr>
            <w:tcW w:w="1344" w:type="pct"/>
            <w:vAlign w:val="center"/>
          </w:tcPr>
          <w:p w14:paraId="37540F48">
            <w:pPr>
              <w:spacing w:line="360" w:lineRule="auto"/>
              <w:jc w:val="center"/>
              <w:rPr>
                <w:rFonts w:ascii="宋体" w:hAnsi="宋体"/>
                <w:color w:val="auto"/>
                <w:sz w:val="24"/>
                <w:highlight w:val="none"/>
              </w:rPr>
            </w:pPr>
          </w:p>
        </w:tc>
        <w:tc>
          <w:tcPr>
            <w:tcW w:w="814" w:type="pct"/>
            <w:vAlign w:val="center"/>
          </w:tcPr>
          <w:p w14:paraId="6F16916F">
            <w:pPr>
              <w:spacing w:line="360" w:lineRule="auto"/>
              <w:jc w:val="center"/>
              <w:rPr>
                <w:rFonts w:ascii="宋体" w:hAnsi="宋体"/>
                <w:color w:val="auto"/>
                <w:sz w:val="24"/>
                <w:highlight w:val="none"/>
              </w:rPr>
            </w:pPr>
          </w:p>
        </w:tc>
        <w:tc>
          <w:tcPr>
            <w:tcW w:w="1047" w:type="pct"/>
            <w:vAlign w:val="center"/>
          </w:tcPr>
          <w:p w14:paraId="7B0C6608">
            <w:pPr>
              <w:spacing w:line="360" w:lineRule="auto"/>
              <w:jc w:val="center"/>
              <w:rPr>
                <w:rFonts w:ascii="宋体" w:hAnsi="宋体"/>
                <w:color w:val="auto"/>
                <w:sz w:val="24"/>
                <w:highlight w:val="none"/>
              </w:rPr>
            </w:pPr>
          </w:p>
        </w:tc>
        <w:tc>
          <w:tcPr>
            <w:tcW w:w="719" w:type="pct"/>
            <w:vAlign w:val="center"/>
          </w:tcPr>
          <w:p w14:paraId="690D7C82">
            <w:pPr>
              <w:spacing w:line="360" w:lineRule="auto"/>
              <w:jc w:val="center"/>
              <w:rPr>
                <w:rFonts w:ascii="宋体" w:hAnsi="宋体"/>
                <w:color w:val="auto"/>
                <w:sz w:val="24"/>
                <w:highlight w:val="none"/>
              </w:rPr>
            </w:pPr>
          </w:p>
        </w:tc>
        <w:tc>
          <w:tcPr>
            <w:tcW w:w="672" w:type="pct"/>
            <w:vAlign w:val="center"/>
          </w:tcPr>
          <w:p w14:paraId="2FB2FAC6">
            <w:pPr>
              <w:spacing w:line="360" w:lineRule="auto"/>
              <w:jc w:val="center"/>
              <w:rPr>
                <w:rFonts w:ascii="宋体" w:hAnsi="宋体"/>
                <w:color w:val="auto"/>
                <w:sz w:val="24"/>
                <w:highlight w:val="none"/>
              </w:rPr>
            </w:pPr>
          </w:p>
        </w:tc>
      </w:tr>
      <w:tr w14:paraId="4FE7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632DFDAA">
            <w:pPr>
              <w:spacing w:line="360" w:lineRule="auto"/>
              <w:jc w:val="center"/>
              <w:rPr>
                <w:rFonts w:ascii="宋体" w:hAnsi="宋体"/>
                <w:color w:val="auto"/>
                <w:sz w:val="24"/>
                <w:highlight w:val="none"/>
              </w:rPr>
            </w:pPr>
          </w:p>
        </w:tc>
        <w:tc>
          <w:tcPr>
            <w:tcW w:w="1344" w:type="pct"/>
            <w:vAlign w:val="center"/>
          </w:tcPr>
          <w:p w14:paraId="74E5157D">
            <w:pPr>
              <w:spacing w:line="360" w:lineRule="auto"/>
              <w:jc w:val="center"/>
              <w:rPr>
                <w:rFonts w:ascii="宋体" w:hAnsi="宋体"/>
                <w:color w:val="auto"/>
                <w:sz w:val="24"/>
                <w:highlight w:val="none"/>
              </w:rPr>
            </w:pPr>
          </w:p>
        </w:tc>
        <w:tc>
          <w:tcPr>
            <w:tcW w:w="814" w:type="pct"/>
            <w:vAlign w:val="center"/>
          </w:tcPr>
          <w:p w14:paraId="7EDE61EE">
            <w:pPr>
              <w:spacing w:line="360" w:lineRule="auto"/>
              <w:jc w:val="center"/>
              <w:rPr>
                <w:rFonts w:ascii="宋体" w:hAnsi="宋体"/>
                <w:color w:val="auto"/>
                <w:sz w:val="24"/>
                <w:highlight w:val="none"/>
              </w:rPr>
            </w:pPr>
          </w:p>
        </w:tc>
        <w:tc>
          <w:tcPr>
            <w:tcW w:w="1047" w:type="pct"/>
            <w:vAlign w:val="center"/>
          </w:tcPr>
          <w:p w14:paraId="449F5603">
            <w:pPr>
              <w:spacing w:line="360" w:lineRule="auto"/>
              <w:jc w:val="center"/>
              <w:rPr>
                <w:rFonts w:ascii="宋体" w:hAnsi="宋体"/>
                <w:color w:val="auto"/>
                <w:sz w:val="24"/>
                <w:highlight w:val="none"/>
              </w:rPr>
            </w:pPr>
          </w:p>
        </w:tc>
        <w:tc>
          <w:tcPr>
            <w:tcW w:w="719" w:type="pct"/>
            <w:vAlign w:val="center"/>
          </w:tcPr>
          <w:p w14:paraId="2B809DDF">
            <w:pPr>
              <w:spacing w:line="360" w:lineRule="auto"/>
              <w:jc w:val="center"/>
              <w:rPr>
                <w:rFonts w:ascii="宋体" w:hAnsi="宋体"/>
                <w:color w:val="auto"/>
                <w:sz w:val="24"/>
                <w:highlight w:val="none"/>
              </w:rPr>
            </w:pPr>
          </w:p>
        </w:tc>
        <w:tc>
          <w:tcPr>
            <w:tcW w:w="672" w:type="pct"/>
            <w:vAlign w:val="center"/>
          </w:tcPr>
          <w:p w14:paraId="22B43512">
            <w:pPr>
              <w:spacing w:line="360" w:lineRule="auto"/>
              <w:jc w:val="center"/>
              <w:rPr>
                <w:rFonts w:ascii="宋体" w:hAnsi="宋体"/>
                <w:color w:val="auto"/>
                <w:sz w:val="24"/>
                <w:highlight w:val="none"/>
              </w:rPr>
            </w:pPr>
          </w:p>
        </w:tc>
      </w:tr>
      <w:tr w14:paraId="78A9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05" w:type="pct"/>
            <w:vAlign w:val="center"/>
          </w:tcPr>
          <w:p w14:paraId="32013B11">
            <w:pPr>
              <w:spacing w:line="360" w:lineRule="auto"/>
              <w:jc w:val="center"/>
              <w:rPr>
                <w:rFonts w:ascii="宋体" w:hAnsi="宋体"/>
                <w:color w:val="auto"/>
                <w:sz w:val="24"/>
                <w:highlight w:val="none"/>
              </w:rPr>
            </w:pPr>
          </w:p>
        </w:tc>
        <w:tc>
          <w:tcPr>
            <w:tcW w:w="1344" w:type="pct"/>
            <w:vAlign w:val="center"/>
          </w:tcPr>
          <w:p w14:paraId="22C93588">
            <w:pPr>
              <w:spacing w:line="360" w:lineRule="auto"/>
              <w:jc w:val="center"/>
              <w:rPr>
                <w:rFonts w:ascii="宋体" w:hAnsi="宋体"/>
                <w:color w:val="auto"/>
                <w:sz w:val="24"/>
                <w:highlight w:val="none"/>
              </w:rPr>
            </w:pPr>
          </w:p>
        </w:tc>
        <w:tc>
          <w:tcPr>
            <w:tcW w:w="814" w:type="pct"/>
            <w:vAlign w:val="center"/>
          </w:tcPr>
          <w:p w14:paraId="479AFE1B">
            <w:pPr>
              <w:spacing w:line="360" w:lineRule="auto"/>
              <w:jc w:val="center"/>
              <w:rPr>
                <w:rFonts w:ascii="宋体" w:hAnsi="宋体"/>
                <w:color w:val="auto"/>
                <w:sz w:val="24"/>
                <w:highlight w:val="none"/>
              </w:rPr>
            </w:pPr>
          </w:p>
        </w:tc>
        <w:tc>
          <w:tcPr>
            <w:tcW w:w="1047" w:type="pct"/>
            <w:vAlign w:val="center"/>
          </w:tcPr>
          <w:p w14:paraId="1F1C4298">
            <w:pPr>
              <w:spacing w:line="360" w:lineRule="auto"/>
              <w:jc w:val="center"/>
              <w:rPr>
                <w:rFonts w:ascii="宋体" w:hAnsi="宋体"/>
                <w:color w:val="auto"/>
                <w:sz w:val="24"/>
                <w:highlight w:val="none"/>
              </w:rPr>
            </w:pPr>
          </w:p>
        </w:tc>
        <w:tc>
          <w:tcPr>
            <w:tcW w:w="719" w:type="pct"/>
            <w:vAlign w:val="center"/>
          </w:tcPr>
          <w:p w14:paraId="53B9513A">
            <w:pPr>
              <w:spacing w:line="360" w:lineRule="auto"/>
              <w:jc w:val="center"/>
              <w:rPr>
                <w:rFonts w:ascii="宋体" w:hAnsi="宋体"/>
                <w:color w:val="auto"/>
                <w:sz w:val="24"/>
                <w:highlight w:val="none"/>
              </w:rPr>
            </w:pPr>
          </w:p>
        </w:tc>
        <w:tc>
          <w:tcPr>
            <w:tcW w:w="672" w:type="pct"/>
            <w:vAlign w:val="center"/>
          </w:tcPr>
          <w:p w14:paraId="7815587F">
            <w:pPr>
              <w:spacing w:line="360" w:lineRule="auto"/>
              <w:jc w:val="center"/>
              <w:rPr>
                <w:rFonts w:ascii="宋体" w:hAnsi="宋体"/>
                <w:color w:val="auto"/>
                <w:sz w:val="24"/>
                <w:highlight w:val="none"/>
              </w:rPr>
            </w:pPr>
          </w:p>
        </w:tc>
      </w:tr>
    </w:tbl>
    <w:p w14:paraId="207C1CE7">
      <w:pPr>
        <w:spacing w:line="360" w:lineRule="auto"/>
        <w:rPr>
          <w:rFonts w:ascii="宋体" w:hAnsi="宋体" w:cs="宋体"/>
          <w:color w:val="auto"/>
          <w:szCs w:val="24"/>
          <w:highlight w:val="none"/>
        </w:rPr>
      </w:pPr>
    </w:p>
    <w:p w14:paraId="572593F3">
      <w:pPr>
        <w:spacing w:line="360" w:lineRule="auto"/>
        <w:rPr>
          <w:rFonts w:ascii="宋体" w:hAnsi="宋体" w:cs="宋体"/>
          <w:color w:val="auto"/>
          <w:highlight w:val="none"/>
        </w:rPr>
      </w:pPr>
      <w:r>
        <w:rPr>
          <w:rFonts w:hint="eastAsia" w:ascii="宋体" w:hAnsi="宋体" w:cs="宋体"/>
          <w:color w:val="auto"/>
          <w:highlight w:val="none"/>
        </w:rPr>
        <w:t>注：投标人应根据招标文件的要求在本表后附相关证明材料</w:t>
      </w:r>
    </w:p>
    <w:p w14:paraId="3B2EB199">
      <w:pPr>
        <w:spacing w:line="360" w:lineRule="auto"/>
        <w:jc w:val="center"/>
        <w:rPr>
          <w:rFonts w:ascii="宋体" w:hAnsi="宋体" w:cs="宋体"/>
          <w:color w:val="auto"/>
          <w:sz w:val="28"/>
          <w:szCs w:val="28"/>
          <w:highlight w:val="none"/>
        </w:rPr>
      </w:pPr>
      <w:r>
        <w:rPr>
          <w:rFonts w:hint="eastAsia" w:ascii="宋体" w:hAnsi="宋体" w:cs="宋体"/>
          <w:color w:val="auto"/>
          <w:highlight w:val="none"/>
        </w:rPr>
        <w:t>（本项不作为资格审查内容，但（如有）需提供，仅作为投标人的评标（综合评分）资料进行考察。表格格式可以根据实际情况调整。）</w:t>
      </w:r>
    </w:p>
    <w:p w14:paraId="5A3BC524">
      <w:pPr>
        <w:pStyle w:val="4"/>
        <w:spacing w:before="0" w:after="0" w:line="360" w:lineRule="auto"/>
        <w:ind w:firstLine="119"/>
        <w:jc w:val="center"/>
        <w:rPr>
          <w:rFonts w:ascii="宋体" w:hAnsi="宋体" w:cs="宋体"/>
          <w:b w:val="0"/>
          <w:bCs w:val="0"/>
          <w:color w:val="auto"/>
          <w:sz w:val="32"/>
          <w:highlight w:val="none"/>
        </w:rPr>
      </w:pPr>
      <w:r>
        <w:rPr>
          <w:rFonts w:hint="eastAsia" w:ascii="宋体" w:hAnsi="宋体" w:cs="宋体"/>
          <w:b w:val="0"/>
          <w:bCs w:val="0"/>
          <w:color w:val="auto"/>
          <w:highlight w:val="none"/>
        </w:rPr>
        <w:br w:type="page"/>
      </w:r>
      <w:bookmarkStart w:id="213" w:name="_Toc22808"/>
      <w:r>
        <w:rPr>
          <w:rFonts w:hint="eastAsia" w:ascii="宋体" w:hAnsi="宋体" w:eastAsia="宋体" w:cs="宋体"/>
          <w:color w:val="auto"/>
          <w:sz w:val="32"/>
          <w:highlight w:val="none"/>
        </w:rPr>
        <w:t>七、</w:t>
      </w:r>
      <w:bookmarkStart w:id="214" w:name="_Hlk171603198"/>
      <w:r>
        <w:rPr>
          <w:rFonts w:hint="eastAsia" w:ascii="宋体" w:hAnsi="宋体" w:eastAsia="宋体" w:cs="宋体"/>
          <w:color w:val="auto"/>
          <w:sz w:val="32"/>
          <w:highlight w:val="none"/>
        </w:rPr>
        <w:t>拟投入本项目的人员</w:t>
      </w:r>
      <w:bookmarkEnd w:id="214"/>
      <w:r>
        <w:rPr>
          <w:rFonts w:hint="eastAsia" w:ascii="宋体" w:hAnsi="宋体" w:eastAsia="宋体" w:cs="宋体"/>
          <w:color w:val="auto"/>
          <w:sz w:val="32"/>
          <w:highlight w:val="none"/>
        </w:rPr>
        <w:t>一览表</w:t>
      </w:r>
      <w:bookmarkEnd w:id="213"/>
    </w:p>
    <w:p w14:paraId="666D6878">
      <w:pPr>
        <w:spacing w:line="360" w:lineRule="auto"/>
        <w:jc w:val="left"/>
        <w:rPr>
          <w:rFonts w:ascii="宋体" w:hAnsi="宋体" w:cs="宋体"/>
          <w:color w:val="auto"/>
          <w:szCs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39"/>
        <w:gridCol w:w="904"/>
        <w:gridCol w:w="1484"/>
        <w:gridCol w:w="1885"/>
        <w:gridCol w:w="883"/>
        <w:gridCol w:w="992"/>
        <w:gridCol w:w="1276"/>
      </w:tblGrid>
      <w:tr w14:paraId="5C1A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17" w:type="dxa"/>
            <w:vAlign w:val="center"/>
          </w:tcPr>
          <w:p w14:paraId="6F17554C">
            <w:pPr>
              <w:snapToGrid w:val="0"/>
              <w:spacing w:line="360" w:lineRule="auto"/>
              <w:jc w:val="center"/>
              <w:rPr>
                <w:rFonts w:ascii="宋体" w:hAnsi="宋体" w:cs="宋体"/>
                <w:color w:val="auto"/>
                <w:sz w:val="24"/>
                <w:highlight w:val="none"/>
              </w:rPr>
            </w:pPr>
            <w:bookmarkStart w:id="215" w:name="_Hlk171603204"/>
            <w:r>
              <w:rPr>
                <w:rFonts w:hint="eastAsia" w:ascii="宋体" w:hAnsi="宋体" w:cs="宋体"/>
                <w:color w:val="auto"/>
                <w:sz w:val="24"/>
                <w:highlight w:val="none"/>
              </w:rPr>
              <w:t>序号</w:t>
            </w:r>
          </w:p>
        </w:tc>
        <w:tc>
          <w:tcPr>
            <w:tcW w:w="939" w:type="dxa"/>
            <w:vAlign w:val="center"/>
          </w:tcPr>
          <w:p w14:paraId="4A155C0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904" w:type="dxa"/>
            <w:vAlign w:val="center"/>
          </w:tcPr>
          <w:p w14:paraId="594076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484" w:type="dxa"/>
            <w:vAlign w:val="center"/>
          </w:tcPr>
          <w:p w14:paraId="63D96E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拟在本项目任职职位</w:t>
            </w:r>
          </w:p>
        </w:tc>
        <w:tc>
          <w:tcPr>
            <w:tcW w:w="1885" w:type="dxa"/>
            <w:vAlign w:val="center"/>
          </w:tcPr>
          <w:p w14:paraId="126995D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w:t>
            </w:r>
            <w:bookmarkStart w:id="216" w:name="_Toc32483"/>
            <w:bookmarkStart w:id="217" w:name="_Toc377719916"/>
            <w:r>
              <w:rPr>
                <w:rFonts w:hint="eastAsia" w:ascii="宋体" w:hAnsi="宋体" w:cs="宋体"/>
                <w:color w:val="auto"/>
                <w:sz w:val="24"/>
                <w:highlight w:val="none"/>
              </w:rPr>
              <w:t>专</w:t>
            </w:r>
            <w:bookmarkStart w:id="218" w:name="_Toc7316"/>
            <w:bookmarkStart w:id="219" w:name="_Toc12800"/>
            <w:bookmarkStart w:id="220" w:name="_Toc29731"/>
            <w:bookmarkStart w:id="221" w:name="_Toc23762"/>
            <w:bookmarkStart w:id="222" w:name="_Toc24823"/>
            <w:bookmarkStart w:id="223" w:name="_Toc532367896"/>
            <w:bookmarkStart w:id="224" w:name="_Toc21254"/>
            <w:bookmarkStart w:id="225" w:name="_Toc18456"/>
            <w:bookmarkStart w:id="226" w:name="_Toc17600"/>
            <w:bookmarkStart w:id="227" w:name="_Toc38224866"/>
            <w:r>
              <w:rPr>
                <w:rFonts w:hint="eastAsia" w:ascii="宋体" w:hAnsi="宋体" w:cs="宋体"/>
                <w:color w:val="auto"/>
                <w:sz w:val="24"/>
                <w:highlight w:val="none"/>
              </w:rPr>
              <w:t>业</w:t>
            </w:r>
          </w:p>
          <w:bookmarkEnd w:id="216"/>
          <w:bookmarkEnd w:id="217"/>
          <w:bookmarkEnd w:id="218"/>
          <w:bookmarkEnd w:id="219"/>
          <w:bookmarkEnd w:id="220"/>
          <w:bookmarkEnd w:id="221"/>
          <w:bookmarkEnd w:id="222"/>
          <w:bookmarkEnd w:id="223"/>
        </w:tc>
        <w:tc>
          <w:tcPr>
            <w:tcW w:w="883" w:type="dxa"/>
            <w:vAlign w:val="center"/>
          </w:tcPr>
          <w:p w14:paraId="15C7A30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992" w:type="dxa"/>
            <w:vAlign w:val="center"/>
          </w:tcPr>
          <w:p w14:paraId="45F7FB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bookmarkEnd w:id="224"/>
            <w:bookmarkEnd w:id="225"/>
            <w:bookmarkEnd w:id="226"/>
            <w:bookmarkEnd w:id="227"/>
            <w:r>
              <w:rPr>
                <w:rFonts w:hint="eastAsia" w:ascii="宋体" w:hAnsi="宋体" w:cs="宋体"/>
                <w:color w:val="auto"/>
                <w:sz w:val="24"/>
                <w:highlight w:val="none"/>
              </w:rPr>
              <w:t>及专业</w:t>
            </w:r>
          </w:p>
        </w:tc>
        <w:tc>
          <w:tcPr>
            <w:tcW w:w="1276" w:type="dxa"/>
            <w:vAlign w:val="center"/>
          </w:tcPr>
          <w:p w14:paraId="571C31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从事检测/监测工作年限</w:t>
            </w:r>
          </w:p>
        </w:tc>
        <w:bookmarkStart w:id="228" w:name="_Toc31785"/>
        <w:bookmarkStart w:id="229" w:name="_Toc38224867"/>
        <w:bookmarkStart w:id="230" w:name="_Toc9140"/>
        <w:bookmarkStart w:id="231" w:name="_Toc25406"/>
        <w:bookmarkStart w:id="232" w:name="_Toc532367897"/>
        <w:bookmarkStart w:id="233" w:name="_Toc18694"/>
        <w:bookmarkStart w:id="234" w:name="_Toc377719917"/>
        <w:bookmarkStart w:id="235" w:name="_Toc13214"/>
        <w:bookmarkStart w:id="236" w:name="_Toc17488"/>
        <w:bookmarkStart w:id="237" w:name="_Toc12738"/>
        <w:bookmarkStart w:id="238" w:name="_Toc29747"/>
      </w:tr>
      <w:tr w14:paraId="1119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24399D95">
            <w:pPr>
              <w:spacing w:line="360" w:lineRule="auto"/>
              <w:jc w:val="center"/>
              <w:rPr>
                <w:rFonts w:ascii="宋体" w:hAnsi="宋体" w:cs="宋体"/>
                <w:color w:val="auto"/>
                <w:sz w:val="22"/>
                <w:highlight w:val="none"/>
              </w:rPr>
            </w:pPr>
          </w:p>
        </w:tc>
        <w:tc>
          <w:tcPr>
            <w:tcW w:w="939" w:type="dxa"/>
            <w:vAlign w:val="center"/>
          </w:tcPr>
          <w:p w14:paraId="1F592B49">
            <w:pPr>
              <w:spacing w:line="360" w:lineRule="auto"/>
              <w:jc w:val="center"/>
              <w:rPr>
                <w:rFonts w:ascii="宋体" w:hAnsi="宋体" w:cs="宋体"/>
                <w:color w:val="auto"/>
                <w:sz w:val="22"/>
                <w:highlight w:val="none"/>
              </w:rPr>
            </w:pPr>
          </w:p>
        </w:tc>
        <w:tc>
          <w:tcPr>
            <w:tcW w:w="904" w:type="dxa"/>
            <w:vAlign w:val="center"/>
          </w:tcPr>
          <w:p w14:paraId="111315A7">
            <w:pPr>
              <w:spacing w:line="360" w:lineRule="auto"/>
              <w:jc w:val="center"/>
              <w:rPr>
                <w:rFonts w:ascii="宋体" w:hAnsi="宋体" w:cs="宋体"/>
                <w:color w:val="auto"/>
                <w:sz w:val="22"/>
                <w:highlight w:val="none"/>
              </w:rPr>
            </w:pPr>
          </w:p>
        </w:tc>
        <w:tc>
          <w:tcPr>
            <w:tcW w:w="1484" w:type="dxa"/>
            <w:vAlign w:val="center"/>
          </w:tcPr>
          <w:p w14:paraId="7FF5356D">
            <w:pPr>
              <w:spacing w:line="360" w:lineRule="auto"/>
              <w:jc w:val="center"/>
              <w:rPr>
                <w:rFonts w:ascii="宋体" w:hAnsi="宋体" w:cs="宋体"/>
                <w:color w:val="auto"/>
                <w:sz w:val="22"/>
                <w:highlight w:val="none"/>
              </w:rPr>
            </w:pPr>
          </w:p>
        </w:tc>
        <w:tc>
          <w:tcPr>
            <w:tcW w:w="1885" w:type="dxa"/>
            <w:vAlign w:val="center"/>
          </w:tcPr>
          <w:p w14:paraId="312A4F70">
            <w:pPr>
              <w:spacing w:line="360" w:lineRule="auto"/>
              <w:jc w:val="center"/>
              <w:rPr>
                <w:rFonts w:ascii="宋体" w:hAnsi="宋体" w:cs="宋体"/>
                <w:color w:val="auto"/>
                <w:sz w:val="22"/>
                <w:highlight w:val="none"/>
              </w:rPr>
            </w:pPr>
          </w:p>
        </w:tc>
        <w:tc>
          <w:tcPr>
            <w:tcW w:w="883" w:type="dxa"/>
            <w:vAlign w:val="center"/>
          </w:tcPr>
          <w:p w14:paraId="503B2F75">
            <w:pPr>
              <w:spacing w:line="360" w:lineRule="auto"/>
              <w:jc w:val="center"/>
              <w:rPr>
                <w:rFonts w:ascii="宋体" w:hAnsi="宋体" w:cs="宋体"/>
                <w:color w:val="auto"/>
                <w:sz w:val="22"/>
                <w:highlight w:val="none"/>
              </w:rPr>
            </w:pPr>
          </w:p>
        </w:tc>
        <w:tc>
          <w:tcPr>
            <w:tcW w:w="992" w:type="dxa"/>
            <w:vAlign w:val="center"/>
          </w:tcPr>
          <w:p w14:paraId="1F900127">
            <w:pPr>
              <w:spacing w:line="360" w:lineRule="auto"/>
              <w:jc w:val="center"/>
              <w:rPr>
                <w:rFonts w:ascii="宋体" w:hAnsi="宋体" w:cs="宋体"/>
                <w:color w:val="auto"/>
                <w:sz w:val="22"/>
                <w:highlight w:val="none"/>
              </w:rPr>
            </w:pPr>
          </w:p>
        </w:tc>
        <w:tc>
          <w:tcPr>
            <w:tcW w:w="1276" w:type="dxa"/>
            <w:vAlign w:val="center"/>
          </w:tcPr>
          <w:p w14:paraId="7A6BDF69">
            <w:pPr>
              <w:spacing w:line="360" w:lineRule="auto"/>
              <w:jc w:val="center"/>
              <w:rPr>
                <w:rFonts w:ascii="宋体" w:hAnsi="宋体" w:cs="宋体"/>
                <w:color w:val="auto"/>
                <w:sz w:val="22"/>
                <w:highlight w:val="none"/>
              </w:rPr>
            </w:pPr>
          </w:p>
        </w:tc>
      </w:tr>
      <w:tr w14:paraId="2DF0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1835FB49">
            <w:pPr>
              <w:spacing w:line="360" w:lineRule="auto"/>
              <w:jc w:val="center"/>
              <w:rPr>
                <w:rFonts w:ascii="宋体" w:hAnsi="宋体" w:cs="宋体"/>
                <w:color w:val="auto"/>
                <w:sz w:val="22"/>
                <w:highlight w:val="none"/>
              </w:rPr>
            </w:pPr>
          </w:p>
        </w:tc>
        <w:tc>
          <w:tcPr>
            <w:tcW w:w="939" w:type="dxa"/>
            <w:vAlign w:val="center"/>
          </w:tcPr>
          <w:p w14:paraId="1BE524A9">
            <w:pPr>
              <w:spacing w:line="360" w:lineRule="auto"/>
              <w:jc w:val="center"/>
              <w:rPr>
                <w:rFonts w:ascii="宋体" w:hAnsi="宋体" w:cs="宋体"/>
                <w:color w:val="auto"/>
                <w:sz w:val="22"/>
                <w:highlight w:val="none"/>
              </w:rPr>
            </w:pPr>
          </w:p>
        </w:tc>
        <w:tc>
          <w:tcPr>
            <w:tcW w:w="904" w:type="dxa"/>
            <w:vAlign w:val="center"/>
          </w:tcPr>
          <w:p w14:paraId="2BFBB13D">
            <w:pPr>
              <w:spacing w:line="360" w:lineRule="auto"/>
              <w:jc w:val="center"/>
              <w:rPr>
                <w:rFonts w:ascii="宋体" w:hAnsi="宋体" w:cs="宋体"/>
                <w:color w:val="auto"/>
                <w:sz w:val="22"/>
                <w:highlight w:val="none"/>
              </w:rPr>
            </w:pPr>
          </w:p>
        </w:tc>
        <w:tc>
          <w:tcPr>
            <w:tcW w:w="1484" w:type="dxa"/>
            <w:vAlign w:val="center"/>
          </w:tcPr>
          <w:p w14:paraId="1CE72422">
            <w:pPr>
              <w:spacing w:line="360" w:lineRule="auto"/>
              <w:jc w:val="center"/>
              <w:rPr>
                <w:rFonts w:ascii="宋体" w:hAnsi="宋体" w:cs="宋体"/>
                <w:color w:val="auto"/>
                <w:sz w:val="22"/>
                <w:highlight w:val="none"/>
              </w:rPr>
            </w:pPr>
          </w:p>
          <w:bookmarkEnd w:id="228"/>
          <w:bookmarkEnd w:id="229"/>
          <w:bookmarkEnd w:id="230"/>
        </w:tc>
        <w:tc>
          <w:tcPr>
            <w:tcW w:w="1885" w:type="dxa"/>
            <w:vAlign w:val="center"/>
          </w:tcPr>
          <w:p w14:paraId="03082836">
            <w:pPr>
              <w:spacing w:line="360" w:lineRule="auto"/>
              <w:jc w:val="center"/>
              <w:rPr>
                <w:rFonts w:ascii="宋体" w:hAnsi="宋体" w:cs="宋体"/>
                <w:color w:val="auto"/>
                <w:sz w:val="22"/>
                <w:highlight w:val="none"/>
              </w:rPr>
            </w:pPr>
          </w:p>
          <w:bookmarkEnd w:id="231"/>
          <w:bookmarkEnd w:id="232"/>
          <w:bookmarkEnd w:id="233"/>
          <w:bookmarkEnd w:id="234"/>
          <w:bookmarkEnd w:id="235"/>
          <w:bookmarkEnd w:id="236"/>
          <w:bookmarkEnd w:id="237"/>
          <w:bookmarkEnd w:id="238"/>
        </w:tc>
        <w:tc>
          <w:tcPr>
            <w:tcW w:w="883" w:type="dxa"/>
            <w:vAlign w:val="center"/>
          </w:tcPr>
          <w:p w14:paraId="6EDF73F7">
            <w:pPr>
              <w:spacing w:line="360" w:lineRule="auto"/>
              <w:jc w:val="center"/>
              <w:rPr>
                <w:rFonts w:ascii="宋体" w:hAnsi="宋体" w:cs="宋体"/>
                <w:color w:val="auto"/>
                <w:sz w:val="22"/>
                <w:highlight w:val="none"/>
              </w:rPr>
            </w:pPr>
          </w:p>
        </w:tc>
        <w:tc>
          <w:tcPr>
            <w:tcW w:w="992" w:type="dxa"/>
            <w:vAlign w:val="center"/>
          </w:tcPr>
          <w:p w14:paraId="395F3E2F">
            <w:pPr>
              <w:spacing w:line="360" w:lineRule="auto"/>
              <w:jc w:val="center"/>
              <w:rPr>
                <w:rFonts w:ascii="宋体" w:hAnsi="宋体" w:cs="宋体"/>
                <w:color w:val="auto"/>
                <w:sz w:val="22"/>
                <w:highlight w:val="none"/>
              </w:rPr>
            </w:pPr>
          </w:p>
        </w:tc>
        <w:tc>
          <w:tcPr>
            <w:tcW w:w="1276" w:type="dxa"/>
            <w:vAlign w:val="center"/>
          </w:tcPr>
          <w:p w14:paraId="0B7D53B0">
            <w:pPr>
              <w:spacing w:line="360" w:lineRule="auto"/>
              <w:jc w:val="center"/>
              <w:rPr>
                <w:rFonts w:ascii="宋体" w:hAnsi="宋体" w:cs="宋体"/>
                <w:color w:val="auto"/>
                <w:sz w:val="22"/>
                <w:highlight w:val="none"/>
              </w:rPr>
            </w:pPr>
          </w:p>
        </w:tc>
      </w:tr>
      <w:tr w14:paraId="7958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4E84481C">
            <w:pPr>
              <w:spacing w:line="360" w:lineRule="auto"/>
              <w:jc w:val="center"/>
              <w:rPr>
                <w:rFonts w:ascii="宋体" w:hAnsi="宋体" w:cs="宋体"/>
                <w:color w:val="auto"/>
                <w:sz w:val="22"/>
                <w:highlight w:val="none"/>
              </w:rPr>
            </w:pPr>
          </w:p>
        </w:tc>
        <w:tc>
          <w:tcPr>
            <w:tcW w:w="939" w:type="dxa"/>
            <w:vAlign w:val="center"/>
          </w:tcPr>
          <w:p w14:paraId="6585C940">
            <w:pPr>
              <w:spacing w:line="360" w:lineRule="auto"/>
              <w:jc w:val="center"/>
              <w:rPr>
                <w:rFonts w:ascii="宋体" w:hAnsi="宋体" w:cs="宋体"/>
                <w:color w:val="auto"/>
                <w:sz w:val="22"/>
                <w:highlight w:val="none"/>
              </w:rPr>
            </w:pPr>
          </w:p>
        </w:tc>
        <w:tc>
          <w:tcPr>
            <w:tcW w:w="904" w:type="dxa"/>
            <w:vAlign w:val="center"/>
          </w:tcPr>
          <w:p w14:paraId="59753254">
            <w:pPr>
              <w:spacing w:line="360" w:lineRule="auto"/>
              <w:jc w:val="center"/>
              <w:rPr>
                <w:rFonts w:ascii="宋体" w:hAnsi="宋体" w:cs="宋体"/>
                <w:color w:val="auto"/>
                <w:sz w:val="22"/>
                <w:highlight w:val="none"/>
              </w:rPr>
            </w:pPr>
          </w:p>
        </w:tc>
        <w:tc>
          <w:tcPr>
            <w:tcW w:w="1484" w:type="dxa"/>
            <w:vAlign w:val="center"/>
          </w:tcPr>
          <w:p w14:paraId="2E7C2795">
            <w:pPr>
              <w:spacing w:line="360" w:lineRule="auto"/>
              <w:jc w:val="center"/>
              <w:rPr>
                <w:rFonts w:ascii="宋体" w:hAnsi="宋体" w:cs="宋体"/>
                <w:color w:val="auto"/>
                <w:sz w:val="22"/>
                <w:highlight w:val="none"/>
              </w:rPr>
            </w:pPr>
          </w:p>
        </w:tc>
        <w:tc>
          <w:tcPr>
            <w:tcW w:w="1885" w:type="dxa"/>
            <w:vAlign w:val="center"/>
          </w:tcPr>
          <w:p w14:paraId="35816DD6">
            <w:pPr>
              <w:spacing w:line="360" w:lineRule="auto"/>
              <w:jc w:val="center"/>
              <w:rPr>
                <w:rFonts w:ascii="宋体" w:hAnsi="宋体" w:cs="宋体"/>
                <w:color w:val="auto"/>
                <w:sz w:val="22"/>
                <w:highlight w:val="none"/>
              </w:rPr>
            </w:pPr>
          </w:p>
        </w:tc>
        <w:tc>
          <w:tcPr>
            <w:tcW w:w="883" w:type="dxa"/>
            <w:vAlign w:val="center"/>
          </w:tcPr>
          <w:p w14:paraId="45C7901D">
            <w:pPr>
              <w:spacing w:line="360" w:lineRule="auto"/>
              <w:jc w:val="center"/>
              <w:rPr>
                <w:rFonts w:ascii="宋体" w:hAnsi="宋体" w:cs="宋体"/>
                <w:color w:val="auto"/>
                <w:sz w:val="22"/>
                <w:highlight w:val="none"/>
              </w:rPr>
            </w:pPr>
          </w:p>
        </w:tc>
        <w:tc>
          <w:tcPr>
            <w:tcW w:w="992" w:type="dxa"/>
            <w:vAlign w:val="center"/>
          </w:tcPr>
          <w:p w14:paraId="0BB7BF9E">
            <w:pPr>
              <w:spacing w:line="360" w:lineRule="auto"/>
              <w:jc w:val="center"/>
              <w:rPr>
                <w:rFonts w:ascii="宋体" w:hAnsi="宋体" w:cs="宋体"/>
                <w:color w:val="auto"/>
                <w:sz w:val="22"/>
                <w:highlight w:val="none"/>
              </w:rPr>
            </w:pPr>
          </w:p>
        </w:tc>
        <w:tc>
          <w:tcPr>
            <w:tcW w:w="1276" w:type="dxa"/>
            <w:vAlign w:val="center"/>
          </w:tcPr>
          <w:p w14:paraId="0F3A6B76">
            <w:pPr>
              <w:spacing w:line="360" w:lineRule="auto"/>
              <w:jc w:val="center"/>
              <w:rPr>
                <w:rFonts w:ascii="宋体" w:hAnsi="宋体" w:cs="宋体"/>
                <w:color w:val="auto"/>
                <w:sz w:val="22"/>
                <w:highlight w:val="none"/>
              </w:rPr>
            </w:pPr>
          </w:p>
        </w:tc>
      </w:tr>
      <w:tr w14:paraId="31AF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2E51927F">
            <w:pPr>
              <w:spacing w:line="360" w:lineRule="auto"/>
              <w:jc w:val="center"/>
              <w:rPr>
                <w:rFonts w:ascii="宋体" w:hAnsi="宋体" w:cs="宋体"/>
                <w:color w:val="auto"/>
                <w:sz w:val="22"/>
                <w:highlight w:val="none"/>
              </w:rPr>
            </w:pPr>
          </w:p>
        </w:tc>
        <w:tc>
          <w:tcPr>
            <w:tcW w:w="939" w:type="dxa"/>
            <w:vAlign w:val="center"/>
          </w:tcPr>
          <w:p w14:paraId="60EC0745">
            <w:pPr>
              <w:spacing w:line="360" w:lineRule="auto"/>
              <w:jc w:val="center"/>
              <w:rPr>
                <w:rFonts w:ascii="宋体" w:hAnsi="宋体" w:cs="宋体"/>
                <w:color w:val="auto"/>
                <w:sz w:val="22"/>
                <w:highlight w:val="none"/>
              </w:rPr>
            </w:pPr>
          </w:p>
        </w:tc>
        <w:tc>
          <w:tcPr>
            <w:tcW w:w="904" w:type="dxa"/>
            <w:vAlign w:val="center"/>
          </w:tcPr>
          <w:p w14:paraId="0A0DE6D0">
            <w:pPr>
              <w:spacing w:line="360" w:lineRule="auto"/>
              <w:jc w:val="center"/>
              <w:rPr>
                <w:rFonts w:ascii="宋体" w:hAnsi="宋体" w:cs="宋体"/>
                <w:color w:val="auto"/>
                <w:sz w:val="22"/>
                <w:highlight w:val="none"/>
              </w:rPr>
            </w:pPr>
          </w:p>
        </w:tc>
        <w:tc>
          <w:tcPr>
            <w:tcW w:w="1484" w:type="dxa"/>
            <w:vAlign w:val="center"/>
          </w:tcPr>
          <w:p w14:paraId="31CF74AA">
            <w:pPr>
              <w:spacing w:line="360" w:lineRule="auto"/>
              <w:jc w:val="center"/>
              <w:rPr>
                <w:rFonts w:ascii="宋体" w:hAnsi="宋体" w:cs="宋体"/>
                <w:color w:val="auto"/>
                <w:sz w:val="22"/>
                <w:highlight w:val="none"/>
              </w:rPr>
            </w:pPr>
          </w:p>
        </w:tc>
        <w:tc>
          <w:tcPr>
            <w:tcW w:w="1885" w:type="dxa"/>
            <w:vAlign w:val="center"/>
          </w:tcPr>
          <w:p w14:paraId="4AE9EF5A">
            <w:pPr>
              <w:spacing w:line="360" w:lineRule="auto"/>
              <w:jc w:val="center"/>
              <w:rPr>
                <w:rFonts w:ascii="宋体" w:hAnsi="宋体" w:cs="宋体"/>
                <w:color w:val="auto"/>
                <w:sz w:val="22"/>
                <w:highlight w:val="none"/>
              </w:rPr>
            </w:pPr>
          </w:p>
        </w:tc>
        <w:tc>
          <w:tcPr>
            <w:tcW w:w="883" w:type="dxa"/>
            <w:vAlign w:val="center"/>
          </w:tcPr>
          <w:p w14:paraId="0A38EA77">
            <w:pPr>
              <w:spacing w:line="360" w:lineRule="auto"/>
              <w:jc w:val="center"/>
              <w:rPr>
                <w:rFonts w:ascii="宋体" w:hAnsi="宋体" w:cs="宋体"/>
                <w:color w:val="auto"/>
                <w:sz w:val="22"/>
                <w:highlight w:val="none"/>
              </w:rPr>
            </w:pPr>
          </w:p>
        </w:tc>
        <w:tc>
          <w:tcPr>
            <w:tcW w:w="992" w:type="dxa"/>
            <w:vAlign w:val="center"/>
          </w:tcPr>
          <w:p w14:paraId="1F0988BC">
            <w:pPr>
              <w:spacing w:line="360" w:lineRule="auto"/>
              <w:jc w:val="center"/>
              <w:rPr>
                <w:rFonts w:ascii="宋体" w:hAnsi="宋体" w:cs="宋体"/>
                <w:color w:val="auto"/>
                <w:sz w:val="22"/>
                <w:highlight w:val="none"/>
              </w:rPr>
            </w:pPr>
          </w:p>
        </w:tc>
        <w:tc>
          <w:tcPr>
            <w:tcW w:w="1276" w:type="dxa"/>
            <w:vAlign w:val="center"/>
          </w:tcPr>
          <w:p w14:paraId="7AC0CCDA">
            <w:pPr>
              <w:spacing w:line="360" w:lineRule="auto"/>
              <w:jc w:val="center"/>
              <w:rPr>
                <w:rFonts w:ascii="宋体" w:hAnsi="宋体" w:cs="宋体"/>
                <w:color w:val="auto"/>
                <w:sz w:val="22"/>
                <w:highlight w:val="none"/>
              </w:rPr>
            </w:pPr>
          </w:p>
        </w:tc>
      </w:tr>
      <w:tr w14:paraId="1F87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365A2E40">
            <w:pPr>
              <w:spacing w:line="360" w:lineRule="auto"/>
              <w:jc w:val="center"/>
              <w:rPr>
                <w:rFonts w:ascii="宋体" w:hAnsi="宋体" w:cs="宋体"/>
                <w:color w:val="auto"/>
                <w:sz w:val="22"/>
                <w:highlight w:val="none"/>
              </w:rPr>
            </w:pPr>
          </w:p>
        </w:tc>
        <w:tc>
          <w:tcPr>
            <w:tcW w:w="939" w:type="dxa"/>
            <w:vAlign w:val="center"/>
          </w:tcPr>
          <w:p w14:paraId="249B8E9E">
            <w:pPr>
              <w:spacing w:line="360" w:lineRule="auto"/>
              <w:jc w:val="center"/>
              <w:rPr>
                <w:rFonts w:ascii="宋体" w:hAnsi="宋体" w:cs="宋体"/>
                <w:color w:val="auto"/>
                <w:sz w:val="22"/>
                <w:highlight w:val="none"/>
              </w:rPr>
            </w:pPr>
          </w:p>
        </w:tc>
        <w:tc>
          <w:tcPr>
            <w:tcW w:w="904" w:type="dxa"/>
            <w:vAlign w:val="center"/>
          </w:tcPr>
          <w:p w14:paraId="4A26B9EA">
            <w:pPr>
              <w:spacing w:line="360" w:lineRule="auto"/>
              <w:jc w:val="center"/>
              <w:rPr>
                <w:rFonts w:ascii="宋体" w:hAnsi="宋体" w:cs="宋体"/>
                <w:color w:val="auto"/>
                <w:sz w:val="22"/>
                <w:highlight w:val="none"/>
              </w:rPr>
            </w:pPr>
          </w:p>
        </w:tc>
        <w:tc>
          <w:tcPr>
            <w:tcW w:w="1484" w:type="dxa"/>
            <w:vAlign w:val="center"/>
          </w:tcPr>
          <w:p w14:paraId="78731F05">
            <w:pPr>
              <w:spacing w:line="360" w:lineRule="auto"/>
              <w:jc w:val="center"/>
              <w:rPr>
                <w:rFonts w:ascii="宋体" w:hAnsi="宋体" w:cs="宋体"/>
                <w:color w:val="auto"/>
                <w:sz w:val="22"/>
                <w:highlight w:val="none"/>
              </w:rPr>
            </w:pPr>
          </w:p>
        </w:tc>
        <w:tc>
          <w:tcPr>
            <w:tcW w:w="1885" w:type="dxa"/>
            <w:vAlign w:val="center"/>
          </w:tcPr>
          <w:p w14:paraId="478A1743">
            <w:pPr>
              <w:spacing w:line="360" w:lineRule="auto"/>
              <w:jc w:val="center"/>
              <w:rPr>
                <w:rFonts w:ascii="宋体" w:hAnsi="宋体" w:cs="宋体"/>
                <w:color w:val="auto"/>
                <w:sz w:val="22"/>
                <w:highlight w:val="none"/>
              </w:rPr>
            </w:pPr>
          </w:p>
        </w:tc>
        <w:tc>
          <w:tcPr>
            <w:tcW w:w="883" w:type="dxa"/>
            <w:vAlign w:val="center"/>
          </w:tcPr>
          <w:p w14:paraId="01B7FD6F">
            <w:pPr>
              <w:spacing w:line="360" w:lineRule="auto"/>
              <w:jc w:val="center"/>
              <w:rPr>
                <w:rFonts w:ascii="宋体" w:hAnsi="宋体" w:cs="宋体"/>
                <w:color w:val="auto"/>
                <w:sz w:val="22"/>
                <w:highlight w:val="none"/>
              </w:rPr>
            </w:pPr>
          </w:p>
        </w:tc>
        <w:tc>
          <w:tcPr>
            <w:tcW w:w="992" w:type="dxa"/>
            <w:vAlign w:val="center"/>
          </w:tcPr>
          <w:p w14:paraId="6B6F2B01">
            <w:pPr>
              <w:spacing w:line="360" w:lineRule="auto"/>
              <w:jc w:val="center"/>
              <w:rPr>
                <w:rFonts w:ascii="宋体" w:hAnsi="宋体" w:cs="宋体"/>
                <w:color w:val="auto"/>
                <w:sz w:val="22"/>
                <w:highlight w:val="none"/>
              </w:rPr>
            </w:pPr>
          </w:p>
        </w:tc>
        <w:tc>
          <w:tcPr>
            <w:tcW w:w="1276" w:type="dxa"/>
            <w:vAlign w:val="center"/>
          </w:tcPr>
          <w:p w14:paraId="69B36F9C">
            <w:pPr>
              <w:spacing w:line="360" w:lineRule="auto"/>
              <w:jc w:val="center"/>
              <w:rPr>
                <w:rFonts w:ascii="宋体" w:hAnsi="宋体" w:cs="宋体"/>
                <w:color w:val="auto"/>
                <w:sz w:val="22"/>
                <w:highlight w:val="none"/>
              </w:rPr>
            </w:pPr>
          </w:p>
        </w:tc>
      </w:tr>
      <w:tr w14:paraId="2DD4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77DC86BE">
            <w:pPr>
              <w:spacing w:line="360" w:lineRule="auto"/>
              <w:jc w:val="center"/>
              <w:rPr>
                <w:rFonts w:ascii="宋体" w:hAnsi="宋体" w:cs="宋体"/>
                <w:color w:val="auto"/>
                <w:sz w:val="22"/>
                <w:highlight w:val="none"/>
              </w:rPr>
            </w:pPr>
          </w:p>
        </w:tc>
        <w:tc>
          <w:tcPr>
            <w:tcW w:w="939" w:type="dxa"/>
            <w:vAlign w:val="center"/>
          </w:tcPr>
          <w:p w14:paraId="32DE6B79">
            <w:pPr>
              <w:spacing w:line="360" w:lineRule="auto"/>
              <w:jc w:val="center"/>
              <w:rPr>
                <w:rFonts w:ascii="宋体" w:hAnsi="宋体" w:cs="宋体"/>
                <w:color w:val="auto"/>
                <w:sz w:val="22"/>
                <w:highlight w:val="none"/>
              </w:rPr>
            </w:pPr>
          </w:p>
        </w:tc>
        <w:tc>
          <w:tcPr>
            <w:tcW w:w="904" w:type="dxa"/>
            <w:vAlign w:val="center"/>
          </w:tcPr>
          <w:p w14:paraId="27A731D5">
            <w:pPr>
              <w:spacing w:line="360" w:lineRule="auto"/>
              <w:jc w:val="center"/>
              <w:rPr>
                <w:rFonts w:ascii="宋体" w:hAnsi="宋体" w:cs="宋体"/>
                <w:color w:val="auto"/>
                <w:sz w:val="22"/>
                <w:highlight w:val="none"/>
              </w:rPr>
            </w:pPr>
          </w:p>
        </w:tc>
        <w:tc>
          <w:tcPr>
            <w:tcW w:w="1484" w:type="dxa"/>
            <w:vAlign w:val="center"/>
          </w:tcPr>
          <w:p w14:paraId="71BE37E7">
            <w:pPr>
              <w:spacing w:line="360" w:lineRule="auto"/>
              <w:jc w:val="center"/>
              <w:rPr>
                <w:rFonts w:ascii="宋体" w:hAnsi="宋体" w:cs="宋体"/>
                <w:color w:val="auto"/>
                <w:sz w:val="22"/>
                <w:highlight w:val="none"/>
              </w:rPr>
            </w:pPr>
          </w:p>
        </w:tc>
        <w:tc>
          <w:tcPr>
            <w:tcW w:w="1885" w:type="dxa"/>
            <w:vAlign w:val="center"/>
          </w:tcPr>
          <w:p w14:paraId="78C4EBC1">
            <w:pPr>
              <w:spacing w:line="360" w:lineRule="auto"/>
              <w:jc w:val="center"/>
              <w:rPr>
                <w:rFonts w:ascii="宋体" w:hAnsi="宋体" w:cs="宋体"/>
                <w:color w:val="auto"/>
                <w:sz w:val="22"/>
                <w:highlight w:val="none"/>
              </w:rPr>
            </w:pPr>
          </w:p>
        </w:tc>
        <w:tc>
          <w:tcPr>
            <w:tcW w:w="883" w:type="dxa"/>
            <w:vAlign w:val="center"/>
          </w:tcPr>
          <w:p w14:paraId="25ACBA57">
            <w:pPr>
              <w:spacing w:line="360" w:lineRule="auto"/>
              <w:jc w:val="center"/>
              <w:rPr>
                <w:rFonts w:ascii="宋体" w:hAnsi="宋体" w:cs="宋体"/>
                <w:color w:val="auto"/>
                <w:sz w:val="22"/>
                <w:highlight w:val="none"/>
              </w:rPr>
            </w:pPr>
          </w:p>
        </w:tc>
        <w:tc>
          <w:tcPr>
            <w:tcW w:w="992" w:type="dxa"/>
            <w:vAlign w:val="center"/>
          </w:tcPr>
          <w:p w14:paraId="7F234ED8">
            <w:pPr>
              <w:spacing w:line="360" w:lineRule="auto"/>
              <w:jc w:val="center"/>
              <w:rPr>
                <w:rFonts w:ascii="宋体" w:hAnsi="宋体" w:cs="宋体"/>
                <w:color w:val="auto"/>
                <w:sz w:val="22"/>
                <w:highlight w:val="none"/>
              </w:rPr>
            </w:pPr>
          </w:p>
        </w:tc>
        <w:tc>
          <w:tcPr>
            <w:tcW w:w="1276" w:type="dxa"/>
            <w:vAlign w:val="center"/>
          </w:tcPr>
          <w:p w14:paraId="6B6898D5">
            <w:pPr>
              <w:spacing w:line="360" w:lineRule="auto"/>
              <w:jc w:val="center"/>
              <w:rPr>
                <w:rFonts w:ascii="宋体" w:hAnsi="宋体" w:cs="宋体"/>
                <w:color w:val="auto"/>
                <w:sz w:val="22"/>
                <w:highlight w:val="none"/>
              </w:rPr>
            </w:pPr>
          </w:p>
        </w:tc>
      </w:tr>
      <w:tr w14:paraId="29B2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425611D7">
            <w:pPr>
              <w:spacing w:line="360" w:lineRule="auto"/>
              <w:jc w:val="center"/>
              <w:rPr>
                <w:rFonts w:ascii="宋体" w:hAnsi="宋体" w:cs="宋体"/>
                <w:color w:val="auto"/>
                <w:sz w:val="22"/>
                <w:highlight w:val="none"/>
              </w:rPr>
            </w:pPr>
          </w:p>
        </w:tc>
        <w:tc>
          <w:tcPr>
            <w:tcW w:w="939" w:type="dxa"/>
            <w:vAlign w:val="center"/>
          </w:tcPr>
          <w:p w14:paraId="10C1AB3D">
            <w:pPr>
              <w:spacing w:line="360" w:lineRule="auto"/>
              <w:jc w:val="center"/>
              <w:rPr>
                <w:rFonts w:ascii="宋体" w:hAnsi="宋体" w:cs="宋体"/>
                <w:color w:val="auto"/>
                <w:sz w:val="22"/>
                <w:highlight w:val="none"/>
              </w:rPr>
            </w:pPr>
          </w:p>
        </w:tc>
        <w:tc>
          <w:tcPr>
            <w:tcW w:w="904" w:type="dxa"/>
            <w:vAlign w:val="center"/>
          </w:tcPr>
          <w:p w14:paraId="164FA161">
            <w:pPr>
              <w:spacing w:line="360" w:lineRule="auto"/>
              <w:jc w:val="center"/>
              <w:rPr>
                <w:rFonts w:ascii="宋体" w:hAnsi="宋体" w:cs="宋体"/>
                <w:color w:val="auto"/>
                <w:sz w:val="22"/>
                <w:highlight w:val="none"/>
              </w:rPr>
            </w:pPr>
          </w:p>
        </w:tc>
        <w:tc>
          <w:tcPr>
            <w:tcW w:w="1484" w:type="dxa"/>
            <w:vAlign w:val="center"/>
          </w:tcPr>
          <w:p w14:paraId="71AA7F40">
            <w:pPr>
              <w:spacing w:line="360" w:lineRule="auto"/>
              <w:jc w:val="center"/>
              <w:rPr>
                <w:rFonts w:ascii="宋体" w:hAnsi="宋体" w:cs="宋体"/>
                <w:color w:val="auto"/>
                <w:sz w:val="22"/>
                <w:highlight w:val="none"/>
              </w:rPr>
            </w:pPr>
          </w:p>
        </w:tc>
        <w:tc>
          <w:tcPr>
            <w:tcW w:w="1885" w:type="dxa"/>
            <w:vAlign w:val="center"/>
          </w:tcPr>
          <w:p w14:paraId="4718BD3A">
            <w:pPr>
              <w:spacing w:line="360" w:lineRule="auto"/>
              <w:jc w:val="center"/>
              <w:rPr>
                <w:rFonts w:ascii="宋体" w:hAnsi="宋体" w:cs="宋体"/>
                <w:color w:val="auto"/>
                <w:sz w:val="22"/>
                <w:highlight w:val="none"/>
              </w:rPr>
            </w:pPr>
          </w:p>
        </w:tc>
        <w:tc>
          <w:tcPr>
            <w:tcW w:w="883" w:type="dxa"/>
            <w:vAlign w:val="center"/>
          </w:tcPr>
          <w:p w14:paraId="5534B323">
            <w:pPr>
              <w:spacing w:line="360" w:lineRule="auto"/>
              <w:jc w:val="center"/>
              <w:rPr>
                <w:rFonts w:ascii="宋体" w:hAnsi="宋体" w:cs="宋体"/>
                <w:color w:val="auto"/>
                <w:sz w:val="22"/>
                <w:highlight w:val="none"/>
              </w:rPr>
            </w:pPr>
          </w:p>
        </w:tc>
        <w:tc>
          <w:tcPr>
            <w:tcW w:w="992" w:type="dxa"/>
            <w:vAlign w:val="center"/>
          </w:tcPr>
          <w:p w14:paraId="27FC499E">
            <w:pPr>
              <w:spacing w:line="360" w:lineRule="auto"/>
              <w:jc w:val="center"/>
              <w:rPr>
                <w:rFonts w:ascii="宋体" w:hAnsi="宋体" w:cs="宋体"/>
                <w:color w:val="auto"/>
                <w:sz w:val="22"/>
                <w:highlight w:val="none"/>
              </w:rPr>
            </w:pPr>
          </w:p>
        </w:tc>
        <w:tc>
          <w:tcPr>
            <w:tcW w:w="1276" w:type="dxa"/>
            <w:vAlign w:val="center"/>
          </w:tcPr>
          <w:p w14:paraId="6F68CD7A">
            <w:pPr>
              <w:spacing w:line="360" w:lineRule="auto"/>
              <w:jc w:val="center"/>
              <w:rPr>
                <w:rFonts w:ascii="宋体" w:hAnsi="宋体" w:cs="宋体"/>
                <w:color w:val="auto"/>
                <w:sz w:val="22"/>
                <w:highlight w:val="none"/>
              </w:rPr>
            </w:pPr>
          </w:p>
        </w:tc>
      </w:tr>
      <w:tr w14:paraId="053F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21734E07">
            <w:pPr>
              <w:spacing w:line="360" w:lineRule="auto"/>
              <w:jc w:val="center"/>
              <w:rPr>
                <w:rFonts w:ascii="宋体" w:hAnsi="宋体" w:cs="宋体"/>
                <w:color w:val="auto"/>
                <w:sz w:val="22"/>
                <w:highlight w:val="none"/>
              </w:rPr>
            </w:pPr>
          </w:p>
        </w:tc>
        <w:tc>
          <w:tcPr>
            <w:tcW w:w="939" w:type="dxa"/>
            <w:vAlign w:val="center"/>
          </w:tcPr>
          <w:p w14:paraId="41E01FD0">
            <w:pPr>
              <w:spacing w:line="360" w:lineRule="auto"/>
              <w:jc w:val="center"/>
              <w:rPr>
                <w:rFonts w:ascii="宋体" w:hAnsi="宋体" w:cs="宋体"/>
                <w:color w:val="auto"/>
                <w:sz w:val="22"/>
                <w:highlight w:val="none"/>
              </w:rPr>
            </w:pPr>
          </w:p>
        </w:tc>
        <w:tc>
          <w:tcPr>
            <w:tcW w:w="904" w:type="dxa"/>
            <w:vAlign w:val="center"/>
          </w:tcPr>
          <w:p w14:paraId="1894CAD8">
            <w:pPr>
              <w:spacing w:line="360" w:lineRule="auto"/>
              <w:jc w:val="center"/>
              <w:rPr>
                <w:rFonts w:ascii="宋体" w:hAnsi="宋体" w:cs="宋体"/>
                <w:color w:val="auto"/>
                <w:sz w:val="22"/>
                <w:highlight w:val="none"/>
              </w:rPr>
            </w:pPr>
          </w:p>
        </w:tc>
        <w:tc>
          <w:tcPr>
            <w:tcW w:w="1484" w:type="dxa"/>
            <w:vAlign w:val="center"/>
          </w:tcPr>
          <w:p w14:paraId="1B975A45">
            <w:pPr>
              <w:spacing w:line="360" w:lineRule="auto"/>
              <w:jc w:val="center"/>
              <w:rPr>
                <w:rFonts w:ascii="宋体" w:hAnsi="宋体" w:cs="宋体"/>
                <w:color w:val="auto"/>
                <w:sz w:val="22"/>
                <w:highlight w:val="none"/>
              </w:rPr>
            </w:pPr>
          </w:p>
        </w:tc>
        <w:tc>
          <w:tcPr>
            <w:tcW w:w="1885" w:type="dxa"/>
            <w:vAlign w:val="center"/>
          </w:tcPr>
          <w:p w14:paraId="5A5CD624">
            <w:pPr>
              <w:spacing w:line="360" w:lineRule="auto"/>
              <w:jc w:val="center"/>
              <w:rPr>
                <w:rFonts w:ascii="宋体" w:hAnsi="宋体" w:cs="宋体"/>
                <w:color w:val="auto"/>
                <w:sz w:val="22"/>
                <w:highlight w:val="none"/>
              </w:rPr>
            </w:pPr>
          </w:p>
        </w:tc>
        <w:tc>
          <w:tcPr>
            <w:tcW w:w="883" w:type="dxa"/>
            <w:vAlign w:val="center"/>
          </w:tcPr>
          <w:p w14:paraId="3D0E0CF7">
            <w:pPr>
              <w:spacing w:line="360" w:lineRule="auto"/>
              <w:jc w:val="center"/>
              <w:rPr>
                <w:rFonts w:ascii="宋体" w:hAnsi="宋体" w:cs="宋体"/>
                <w:color w:val="auto"/>
                <w:sz w:val="22"/>
                <w:highlight w:val="none"/>
              </w:rPr>
            </w:pPr>
          </w:p>
        </w:tc>
        <w:tc>
          <w:tcPr>
            <w:tcW w:w="992" w:type="dxa"/>
            <w:vAlign w:val="center"/>
          </w:tcPr>
          <w:p w14:paraId="7714A94B">
            <w:pPr>
              <w:spacing w:line="360" w:lineRule="auto"/>
              <w:jc w:val="center"/>
              <w:rPr>
                <w:rFonts w:ascii="宋体" w:hAnsi="宋体" w:cs="宋体"/>
                <w:color w:val="auto"/>
                <w:sz w:val="22"/>
                <w:highlight w:val="none"/>
              </w:rPr>
            </w:pPr>
          </w:p>
        </w:tc>
        <w:tc>
          <w:tcPr>
            <w:tcW w:w="1276" w:type="dxa"/>
            <w:vAlign w:val="center"/>
          </w:tcPr>
          <w:p w14:paraId="0CDBD860">
            <w:pPr>
              <w:spacing w:line="360" w:lineRule="auto"/>
              <w:jc w:val="center"/>
              <w:rPr>
                <w:rFonts w:ascii="宋体" w:hAnsi="宋体" w:cs="宋体"/>
                <w:color w:val="auto"/>
                <w:sz w:val="22"/>
                <w:highlight w:val="none"/>
              </w:rPr>
            </w:pPr>
          </w:p>
        </w:tc>
      </w:tr>
      <w:tr w14:paraId="49BC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0261A928">
            <w:pPr>
              <w:spacing w:line="360" w:lineRule="auto"/>
              <w:jc w:val="center"/>
              <w:rPr>
                <w:rFonts w:ascii="宋体" w:hAnsi="宋体" w:cs="宋体"/>
                <w:color w:val="auto"/>
                <w:sz w:val="22"/>
                <w:highlight w:val="none"/>
              </w:rPr>
            </w:pPr>
          </w:p>
        </w:tc>
        <w:tc>
          <w:tcPr>
            <w:tcW w:w="939" w:type="dxa"/>
            <w:vAlign w:val="center"/>
          </w:tcPr>
          <w:p w14:paraId="153483A0">
            <w:pPr>
              <w:spacing w:line="360" w:lineRule="auto"/>
              <w:jc w:val="center"/>
              <w:rPr>
                <w:rFonts w:ascii="宋体" w:hAnsi="宋体" w:cs="宋体"/>
                <w:color w:val="auto"/>
                <w:sz w:val="22"/>
                <w:highlight w:val="none"/>
              </w:rPr>
            </w:pPr>
          </w:p>
        </w:tc>
        <w:tc>
          <w:tcPr>
            <w:tcW w:w="904" w:type="dxa"/>
            <w:vAlign w:val="center"/>
          </w:tcPr>
          <w:p w14:paraId="0899794E">
            <w:pPr>
              <w:spacing w:line="360" w:lineRule="auto"/>
              <w:jc w:val="center"/>
              <w:rPr>
                <w:rFonts w:ascii="宋体" w:hAnsi="宋体" w:cs="宋体"/>
                <w:color w:val="auto"/>
                <w:sz w:val="22"/>
                <w:highlight w:val="none"/>
              </w:rPr>
            </w:pPr>
          </w:p>
        </w:tc>
        <w:tc>
          <w:tcPr>
            <w:tcW w:w="1484" w:type="dxa"/>
            <w:vAlign w:val="center"/>
          </w:tcPr>
          <w:p w14:paraId="6C81080D">
            <w:pPr>
              <w:spacing w:line="360" w:lineRule="auto"/>
              <w:jc w:val="center"/>
              <w:rPr>
                <w:rFonts w:ascii="宋体" w:hAnsi="宋体" w:cs="宋体"/>
                <w:color w:val="auto"/>
                <w:sz w:val="22"/>
                <w:highlight w:val="none"/>
              </w:rPr>
            </w:pPr>
          </w:p>
        </w:tc>
        <w:tc>
          <w:tcPr>
            <w:tcW w:w="1885" w:type="dxa"/>
            <w:vAlign w:val="center"/>
          </w:tcPr>
          <w:p w14:paraId="4714266E">
            <w:pPr>
              <w:spacing w:line="360" w:lineRule="auto"/>
              <w:jc w:val="center"/>
              <w:rPr>
                <w:rFonts w:ascii="宋体" w:hAnsi="宋体" w:cs="宋体"/>
                <w:color w:val="auto"/>
                <w:sz w:val="22"/>
                <w:highlight w:val="none"/>
              </w:rPr>
            </w:pPr>
          </w:p>
        </w:tc>
        <w:tc>
          <w:tcPr>
            <w:tcW w:w="883" w:type="dxa"/>
            <w:vAlign w:val="center"/>
          </w:tcPr>
          <w:p w14:paraId="66A5F7C1">
            <w:pPr>
              <w:spacing w:line="360" w:lineRule="auto"/>
              <w:jc w:val="center"/>
              <w:rPr>
                <w:rFonts w:ascii="宋体" w:hAnsi="宋体" w:cs="宋体"/>
                <w:color w:val="auto"/>
                <w:sz w:val="22"/>
                <w:highlight w:val="none"/>
              </w:rPr>
            </w:pPr>
          </w:p>
        </w:tc>
        <w:tc>
          <w:tcPr>
            <w:tcW w:w="992" w:type="dxa"/>
            <w:vAlign w:val="center"/>
          </w:tcPr>
          <w:p w14:paraId="59EC0B3B">
            <w:pPr>
              <w:spacing w:line="360" w:lineRule="auto"/>
              <w:jc w:val="center"/>
              <w:rPr>
                <w:rFonts w:ascii="宋体" w:hAnsi="宋体" w:cs="宋体"/>
                <w:color w:val="auto"/>
                <w:sz w:val="22"/>
                <w:highlight w:val="none"/>
              </w:rPr>
            </w:pPr>
          </w:p>
        </w:tc>
        <w:tc>
          <w:tcPr>
            <w:tcW w:w="1276" w:type="dxa"/>
            <w:vAlign w:val="center"/>
          </w:tcPr>
          <w:p w14:paraId="7E35184E">
            <w:pPr>
              <w:spacing w:line="360" w:lineRule="auto"/>
              <w:jc w:val="center"/>
              <w:rPr>
                <w:rFonts w:ascii="宋体" w:hAnsi="宋体" w:cs="宋体"/>
                <w:color w:val="auto"/>
                <w:sz w:val="22"/>
                <w:highlight w:val="none"/>
              </w:rPr>
            </w:pPr>
          </w:p>
        </w:tc>
      </w:tr>
      <w:tr w14:paraId="4832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41A18A0E">
            <w:pPr>
              <w:spacing w:line="360" w:lineRule="auto"/>
              <w:jc w:val="center"/>
              <w:rPr>
                <w:rFonts w:ascii="宋体" w:hAnsi="宋体" w:cs="宋体"/>
                <w:color w:val="auto"/>
                <w:sz w:val="22"/>
                <w:highlight w:val="none"/>
              </w:rPr>
            </w:pPr>
          </w:p>
        </w:tc>
        <w:tc>
          <w:tcPr>
            <w:tcW w:w="939" w:type="dxa"/>
            <w:vAlign w:val="center"/>
          </w:tcPr>
          <w:p w14:paraId="4413E0BA">
            <w:pPr>
              <w:spacing w:line="360" w:lineRule="auto"/>
              <w:jc w:val="center"/>
              <w:rPr>
                <w:rFonts w:ascii="宋体" w:hAnsi="宋体" w:cs="宋体"/>
                <w:color w:val="auto"/>
                <w:sz w:val="22"/>
                <w:highlight w:val="none"/>
              </w:rPr>
            </w:pPr>
          </w:p>
        </w:tc>
        <w:tc>
          <w:tcPr>
            <w:tcW w:w="904" w:type="dxa"/>
            <w:vAlign w:val="center"/>
          </w:tcPr>
          <w:p w14:paraId="092FA323">
            <w:pPr>
              <w:spacing w:line="360" w:lineRule="auto"/>
              <w:jc w:val="center"/>
              <w:rPr>
                <w:rFonts w:ascii="宋体" w:hAnsi="宋体" w:cs="宋体"/>
                <w:color w:val="auto"/>
                <w:sz w:val="22"/>
                <w:highlight w:val="none"/>
              </w:rPr>
            </w:pPr>
          </w:p>
        </w:tc>
        <w:tc>
          <w:tcPr>
            <w:tcW w:w="1484" w:type="dxa"/>
            <w:vAlign w:val="center"/>
          </w:tcPr>
          <w:p w14:paraId="5F5128A6">
            <w:pPr>
              <w:spacing w:line="360" w:lineRule="auto"/>
              <w:jc w:val="center"/>
              <w:rPr>
                <w:rFonts w:ascii="宋体" w:hAnsi="宋体" w:cs="宋体"/>
                <w:color w:val="auto"/>
                <w:sz w:val="22"/>
                <w:highlight w:val="none"/>
              </w:rPr>
            </w:pPr>
          </w:p>
        </w:tc>
        <w:tc>
          <w:tcPr>
            <w:tcW w:w="1885" w:type="dxa"/>
            <w:vAlign w:val="center"/>
          </w:tcPr>
          <w:p w14:paraId="7E131D1F">
            <w:pPr>
              <w:spacing w:line="360" w:lineRule="auto"/>
              <w:jc w:val="center"/>
              <w:rPr>
                <w:rFonts w:ascii="宋体" w:hAnsi="宋体" w:cs="宋体"/>
                <w:color w:val="auto"/>
                <w:sz w:val="22"/>
                <w:highlight w:val="none"/>
              </w:rPr>
            </w:pPr>
          </w:p>
        </w:tc>
        <w:tc>
          <w:tcPr>
            <w:tcW w:w="883" w:type="dxa"/>
            <w:vAlign w:val="center"/>
          </w:tcPr>
          <w:p w14:paraId="12A467E2">
            <w:pPr>
              <w:spacing w:line="360" w:lineRule="auto"/>
              <w:jc w:val="center"/>
              <w:rPr>
                <w:rFonts w:ascii="宋体" w:hAnsi="宋体" w:cs="宋体"/>
                <w:color w:val="auto"/>
                <w:sz w:val="22"/>
                <w:highlight w:val="none"/>
              </w:rPr>
            </w:pPr>
          </w:p>
        </w:tc>
        <w:tc>
          <w:tcPr>
            <w:tcW w:w="992" w:type="dxa"/>
            <w:vAlign w:val="center"/>
          </w:tcPr>
          <w:p w14:paraId="6512EE0B">
            <w:pPr>
              <w:spacing w:line="360" w:lineRule="auto"/>
              <w:jc w:val="center"/>
              <w:rPr>
                <w:rFonts w:ascii="宋体" w:hAnsi="宋体" w:cs="宋体"/>
                <w:color w:val="auto"/>
                <w:sz w:val="22"/>
                <w:highlight w:val="none"/>
              </w:rPr>
            </w:pPr>
          </w:p>
        </w:tc>
        <w:tc>
          <w:tcPr>
            <w:tcW w:w="1276" w:type="dxa"/>
            <w:vAlign w:val="center"/>
          </w:tcPr>
          <w:p w14:paraId="5E409421">
            <w:pPr>
              <w:spacing w:line="360" w:lineRule="auto"/>
              <w:jc w:val="center"/>
              <w:rPr>
                <w:rFonts w:ascii="宋体" w:hAnsi="宋体" w:cs="宋体"/>
                <w:color w:val="auto"/>
                <w:sz w:val="22"/>
                <w:highlight w:val="none"/>
              </w:rPr>
            </w:pPr>
          </w:p>
        </w:tc>
      </w:tr>
      <w:tr w14:paraId="7DAB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752F1210">
            <w:pPr>
              <w:spacing w:line="360" w:lineRule="auto"/>
              <w:jc w:val="center"/>
              <w:rPr>
                <w:rFonts w:ascii="宋体" w:hAnsi="宋体" w:cs="宋体"/>
                <w:color w:val="auto"/>
                <w:sz w:val="22"/>
                <w:highlight w:val="none"/>
              </w:rPr>
            </w:pPr>
          </w:p>
        </w:tc>
        <w:tc>
          <w:tcPr>
            <w:tcW w:w="939" w:type="dxa"/>
            <w:vAlign w:val="center"/>
          </w:tcPr>
          <w:p w14:paraId="3507C5B3">
            <w:pPr>
              <w:spacing w:line="360" w:lineRule="auto"/>
              <w:jc w:val="center"/>
              <w:rPr>
                <w:rFonts w:ascii="宋体" w:hAnsi="宋体" w:cs="宋体"/>
                <w:color w:val="auto"/>
                <w:sz w:val="22"/>
                <w:highlight w:val="none"/>
              </w:rPr>
            </w:pPr>
          </w:p>
        </w:tc>
        <w:tc>
          <w:tcPr>
            <w:tcW w:w="904" w:type="dxa"/>
            <w:vAlign w:val="center"/>
          </w:tcPr>
          <w:p w14:paraId="4B44937B">
            <w:pPr>
              <w:spacing w:line="360" w:lineRule="auto"/>
              <w:jc w:val="center"/>
              <w:rPr>
                <w:rFonts w:ascii="宋体" w:hAnsi="宋体" w:cs="宋体"/>
                <w:color w:val="auto"/>
                <w:sz w:val="22"/>
                <w:highlight w:val="none"/>
              </w:rPr>
            </w:pPr>
          </w:p>
        </w:tc>
        <w:tc>
          <w:tcPr>
            <w:tcW w:w="1484" w:type="dxa"/>
            <w:vAlign w:val="center"/>
          </w:tcPr>
          <w:p w14:paraId="5661ABA5">
            <w:pPr>
              <w:spacing w:line="360" w:lineRule="auto"/>
              <w:jc w:val="center"/>
              <w:rPr>
                <w:rFonts w:ascii="宋体" w:hAnsi="宋体" w:cs="宋体"/>
                <w:color w:val="auto"/>
                <w:sz w:val="22"/>
                <w:highlight w:val="none"/>
              </w:rPr>
            </w:pPr>
          </w:p>
        </w:tc>
        <w:tc>
          <w:tcPr>
            <w:tcW w:w="1885" w:type="dxa"/>
            <w:vAlign w:val="center"/>
          </w:tcPr>
          <w:p w14:paraId="27D3A44D">
            <w:pPr>
              <w:spacing w:line="360" w:lineRule="auto"/>
              <w:jc w:val="center"/>
              <w:rPr>
                <w:rFonts w:ascii="宋体" w:hAnsi="宋体" w:cs="宋体"/>
                <w:color w:val="auto"/>
                <w:sz w:val="22"/>
                <w:highlight w:val="none"/>
              </w:rPr>
            </w:pPr>
          </w:p>
        </w:tc>
        <w:tc>
          <w:tcPr>
            <w:tcW w:w="883" w:type="dxa"/>
            <w:vAlign w:val="center"/>
          </w:tcPr>
          <w:p w14:paraId="6F3B70AE">
            <w:pPr>
              <w:spacing w:line="360" w:lineRule="auto"/>
              <w:jc w:val="center"/>
              <w:rPr>
                <w:rFonts w:ascii="宋体" w:hAnsi="宋体" w:cs="宋体"/>
                <w:color w:val="auto"/>
                <w:sz w:val="22"/>
                <w:highlight w:val="none"/>
              </w:rPr>
            </w:pPr>
          </w:p>
        </w:tc>
        <w:tc>
          <w:tcPr>
            <w:tcW w:w="992" w:type="dxa"/>
            <w:vAlign w:val="center"/>
          </w:tcPr>
          <w:p w14:paraId="68699EC2">
            <w:pPr>
              <w:spacing w:line="360" w:lineRule="auto"/>
              <w:jc w:val="center"/>
              <w:rPr>
                <w:rFonts w:ascii="宋体" w:hAnsi="宋体" w:cs="宋体"/>
                <w:color w:val="auto"/>
                <w:sz w:val="22"/>
                <w:highlight w:val="none"/>
              </w:rPr>
            </w:pPr>
          </w:p>
        </w:tc>
        <w:tc>
          <w:tcPr>
            <w:tcW w:w="1276" w:type="dxa"/>
            <w:vAlign w:val="center"/>
          </w:tcPr>
          <w:p w14:paraId="38FD3399">
            <w:pPr>
              <w:spacing w:line="360" w:lineRule="auto"/>
              <w:jc w:val="center"/>
              <w:rPr>
                <w:rFonts w:ascii="宋体" w:hAnsi="宋体" w:cs="宋体"/>
                <w:color w:val="auto"/>
                <w:sz w:val="22"/>
                <w:highlight w:val="none"/>
              </w:rPr>
            </w:pPr>
          </w:p>
        </w:tc>
      </w:tr>
      <w:tr w14:paraId="13D5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4B07566F">
            <w:pPr>
              <w:spacing w:line="360" w:lineRule="auto"/>
              <w:jc w:val="center"/>
              <w:rPr>
                <w:rFonts w:ascii="宋体" w:hAnsi="宋体" w:cs="宋体"/>
                <w:color w:val="auto"/>
                <w:sz w:val="22"/>
                <w:highlight w:val="none"/>
              </w:rPr>
            </w:pPr>
          </w:p>
        </w:tc>
        <w:tc>
          <w:tcPr>
            <w:tcW w:w="939" w:type="dxa"/>
            <w:vAlign w:val="center"/>
          </w:tcPr>
          <w:p w14:paraId="32B5CB30">
            <w:pPr>
              <w:spacing w:line="360" w:lineRule="auto"/>
              <w:jc w:val="center"/>
              <w:rPr>
                <w:rFonts w:ascii="宋体" w:hAnsi="宋体" w:cs="宋体"/>
                <w:color w:val="auto"/>
                <w:sz w:val="22"/>
                <w:highlight w:val="none"/>
              </w:rPr>
            </w:pPr>
          </w:p>
        </w:tc>
        <w:tc>
          <w:tcPr>
            <w:tcW w:w="904" w:type="dxa"/>
            <w:vAlign w:val="center"/>
          </w:tcPr>
          <w:p w14:paraId="25EA6261">
            <w:pPr>
              <w:spacing w:line="360" w:lineRule="auto"/>
              <w:jc w:val="center"/>
              <w:rPr>
                <w:rFonts w:ascii="宋体" w:hAnsi="宋体" w:cs="宋体"/>
                <w:color w:val="auto"/>
                <w:sz w:val="22"/>
                <w:highlight w:val="none"/>
              </w:rPr>
            </w:pPr>
          </w:p>
        </w:tc>
        <w:tc>
          <w:tcPr>
            <w:tcW w:w="1484" w:type="dxa"/>
            <w:vAlign w:val="center"/>
          </w:tcPr>
          <w:p w14:paraId="75BDCFA3">
            <w:pPr>
              <w:spacing w:line="360" w:lineRule="auto"/>
              <w:jc w:val="center"/>
              <w:rPr>
                <w:rFonts w:ascii="宋体" w:hAnsi="宋体" w:cs="宋体"/>
                <w:color w:val="auto"/>
                <w:sz w:val="22"/>
                <w:highlight w:val="none"/>
              </w:rPr>
            </w:pPr>
          </w:p>
        </w:tc>
        <w:tc>
          <w:tcPr>
            <w:tcW w:w="1885" w:type="dxa"/>
            <w:vAlign w:val="center"/>
          </w:tcPr>
          <w:p w14:paraId="3AAA5415">
            <w:pPr>
              <w:spacing w:line="360" w:lineRule="auto"/>
              <w:jc w:val="center"/>
              <w:rPr>
                <w:rFonts w:ascii="宋体" w:hAnsi="宋体" w:cs="宋体"/>
                <w:color w:val="auto"/>
                <w:sz w:val="22"/>
                <w:highlight w:val="none"/>
              </w:rPr>
            </w:pPr>
          </w:p>
        </w:tc>
        <w:tc>
          <w:tcPr>
            <w:tcW w:w="883" w:type="dxa"/>
            <w:vAlign w:val="center"/>
          </w:tcPr>
          <w:p w14:paraId="6B596580">
            <w:pPr>
              <w:spacing w:line="360" w:lineRule="auto"/>
              <w:jc w:val="center"/>
              <w:rPr>
                <w:rFonts w:ascii="宋体" w:hAnsi="宋体" w:cs="宋体"/>
                <w:color w:val="auto"/>
                <w:sz w:val="22"/>
                <w:highlight w:val="none"/>
              </w:rPr>
            </w:pPr>
          </w:p>
        </w:tc>
        <w:tc>
          <w:tcPr>
            <w:tcW w:w="992" w:type="dxa"/>
            <w:vAlign w:val="center"/>
          </w:tcPr>
          <w:p w14:paraId="172D87AD">
            <w:pPr>
              <w:spacing w:line="360" w:lineRule="auto"/>
              <w:jc w:val="center"/>
              <w:rPr>
                <w:rFonts w:ascii="宋体" w:hAnsi="宋体" w:cs="宋体"/>
                <w:color w:val="auto"/>
                <w:sz w:val="22"/>
                <w:highlight w:val="none"/>
              </w:rPr>
            </w:pPr>
          </w:p>
        </w:tc>
        <w:tc>
          <w:tcPr>
            <w:tcW w:w="1276" w:type="dxa"/>
            <w:vAlign w:val="center"/>
          </w:tcPr>
          <w:p w14:paraId="56422E30">
            <w:pPr>
              <w:spacing w:line="360" w:lineRule="auto"/>
              <w:jc w:val="center"/>
              <w:rPr>
                <w:rFonts w:ascii="宋体" w:hAnsi="宋体" w:cs="宋体"/>
                <w:color w:val="auto"/>
                <w:sz w:val="22"/>
                <w:highlight w:val="none"/>
              </w:rPr>
            </w:pPr>
          </w:p>
        </w:tc>
      </w:tr>
      <w:tr w14:paraId="1CD4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14:paraId="6F8E4AC3">
            <w:pPr>
              <w:spacing w:line="360" w:lineRule="auto"/>
              <w:jc w:val="center"/>
              <w:rPr>
                <w:rFonts w:ascii="宋体" w:hAnsi="宋体" w:cs="宋体"/>
                <w:color w:val="auto"/>
                <w:sz w:val="22"/>
                <w:highlight w:val="none"/>
              </w:rPr>
            </w:pPr>
          </w:p>
        </w:tc>
        <w:tc>
          <w:tcPr>
            <w:tcW w:w="939" w:type="dxa"/>
            <w:vAlign w:val="center"/>
          </w:tcPr>
          <w:p w14:paraId="7BA3D13A">
            <w:pPr>
              <w:spacing w:line="360" w:lineRule="auto"/>
              <w:jc w:val="center"/>
              <w:rPr>
                <w:rFonts w:ascii="宋体" w:hAnsi="宋体" w:cs="宋体"/>
                <w:color w:val="auto"/>
                <w:sz w:val="22"/>
                <w:highlight w:val="none"/>
              </w:rPr>
            </w:pPr>
          </w:p>
        </w:tc>
        <w:tc>
          <w:tcPr>
            <w:tcW w:w="904" w:type="dxa"/>
            <w:vAlign w:val="center"/>
          </w:tcPr>
          <w:p w14:paraId="5C9EC0C9">
            <w:pPr>
              <w:spacing w:line="360" w:lineRule="auto"/>
              <w:jc w:val="center"/>
              <w:rPr>
                <w:rFonts w:ascii="宋体" w:hAnsi="宋体" w:cs="宋体"/>
                <w:color w:val="auto"/>
                <w:sz w:val="22"/>
                <w:highlight w:val="none"/>
              </w:rPr>
            </w:pPr>
          </w:p>
        </w:tc>
        <w:tc>
          <w:tcPr>
            <w:tcW w:w="1484" w:type="dxa"/>
            <w:vAlign w:val="center"/>
          </w:tcPr>
          <w:p w14:paraId="5D73FB72">
            <w:pPr>
              <w:spacing w:line="360" w:lineRule="auto"/>
              <w:jc w:val="center"/>
              <w:rPr>
                <w:rFonts w:ascii="宋体" w:hAnsi="宋体" w:cs="宋体"/>
                <w:color w:val="auto"/>
                <w:sz w:val="22"/>
                <w:highlight w:val="none"/>
              </w:rPr>
            </w:pPr>
          </w:p>
        </w:tc>
        <w:tc>
          <w:tcPr>
            <w:tcW w:w="1885" w:type="dxa"/>
            <w:vAlign w:val="center"/>
          </w:tcPr>
          <w:p w14:paraId="2D358DBB">
            <w:pPr>
              <w:spacing w:line="360" w:lineRule="auto"/>
              <w:jc w:val="center"/>
              <w:rPr>
                <w:rFonts w:ascii="宋体" w:hAnsi="宋体" w:cs="宋体"/>
                <w:color w:val="auto"/>
                <w:sz w:val="22"/>
                <w:highlight w:val="none"/>
              </w:rPr>
            </w:pPr>
          </w:p>
        </w:tc>
        <w:tc>
          <w:tcPr>
            <w:tcW w:w="883" w:type="dxa"/>
            <w:vAlign w:val="center"/>
          </w:tcPr>
          <w:p w14:paraId="788D2A38">
            <w:pPr>
              <w:spacing w:line="360" w:lineRule="auto"/>
              <w:jc w:val="center"/>
              <w:rPr>
                <w:rFonts w:ascii="宋体" w:hAnsi="宋体" w:cs="宋体"/>
                <w:color w:val="auto"/>
                <w:sz w:val="22"/>
                <w:highlight w:val="none"/>
              </w:rPr>
            </w:pPr>
          </w:p>
        </w:tc>
        <w:tc>
          <w:tcPr>
            <w:tcW w:w="992" w:type="dxa"/>
            <w:vAlign w:val="center"/>
          </w:tcPr>
          <w:p w14:paraId="1FBBB539">
            <w:pPr>
              <w:spacing w:line="360" w:lineRule="auto"/>
              <w:jc w:val="center"/>
              <w:rPr>
                <w:rFonts w:ascii="宋体" w:hAnsi="宋体" w:cs="宋体"/>
                <w:color w:val="auto"/>
                <w:sz w:val="22"/>
                <w:highlight w:val="none"/>
              </w:rPr>
            </w:pPr>
          </w:p>
        </w:tc>
        <w:tc>
          <w:tcPr>
            <w:tcW w:w="1276" w:type="dxa"/>
            <w:vAlign w:val="center"/>
          </w:tcPr>
          <w:p w14:paraId="0869B65E">
            <w:pPr>
              <w:spacing w:line="360" w:lineRule="auto"/>
              <w:jc w:val="center"/>
              <w:rPr>
                <w:rFonts w:ascii="宋体" w:hAnsi="宋体" w:cs="宋体"/>
                <w:color w:val="auto"/>
                <w:sz w:val="22"/>
                <w:highlight w:val="none"/>
              </w:rPr>
            </w:pPr>
          </w:p>
        </w:tc>
      </w:tr>
      <w:bookmarkEnd w:id="215"/>
    </w:tbl>
    <w:p w14:paraId="4DB53465">
      <w:pPr>
        <w:spacing w:line="360" w:lineRule="auto"/>
        <w:ind w:firstLine="480" w:firstLineChars="200"/>
        <w:rPr>
          <w:rFonts w:ascii="宋体" w:hAnsi="宋体" w:cs="宋体"/>
          <w:color w:val="auto"/>
          <w:sz w:val="24"/>
          <w:highlight w:val="none"/>
        </w:rPr>
      </w:pPr>
    </w:p>
    <w:p w14:paraId="08F41F9B">
      <w:pPr>
        <w:spacing w:line="360" w:lineRule="auto"/>
        <w:rPr>
          <w:rFonts w:ascii="宋体" w:hAnsi="宋体" w:cs="宋体"/>
          <w:color w:val="auto"/>
          <w:highlight w:val="none"/>
        </w:rPr>
      </w:pPr>
      <w:r>
        <w:rPr>
          <w:rFonts w:hint="eastAsia" w:ascii="宋体" w:hAnsi="宋体" w:cs="宋体"/>
          <w:color w:val="auto"/>
          <w:highlight w:val="none"/>
        </w:rPr>
        <w:t>注：投标人应根据招标文件的要求在本表后附相关证明材料。</w:t>
      </w:r>
    </w:p>
    <w:p w14:paraId="44FB95AF">
      <w:pPr>
        <w:spacing w:line="360" w:lineRule="auto"/>
        <w:jc w:val="left"/>
        <w:rPr>
          <w:rFonts w:ascii="宋体" w:hAnsi="宋体" w:cs="宋体"/>
          <w:color w:val="auto"/>
          <w:highlight w:val="none"/>
        </w:rPr>
      </w:pPr>
      <w:r>
        <w:rPr>
          <w:rFonts w:hint="eastAsia" w:ascii="宋体" w:hAnsi="宋体" w:cs="宋体"/>
          <w:color w:val="auto"/>
          <w:highlight w:val="none"/>
        </w:rPr>
        <w:t>（本项不作为资格审查内容，但（如有）需提供，仅作为投标人的评标（综合评分）资料进行考察。表格格式可以根据实际情况调整。）</w:t>
      </w:r>
    </w:p>
    <w:p w14:paraId="7185CB5B">
      <w:pPr>
        <w:spacing w:line="360" w:lineRule="auto"/>
        <w:jc w:val="left"/>
        <w:rPr>
          <w:rFonts w:ascii="宋体" w:hAnsi="宋体" w:cs="宋体"/>
          <w:color w:val="auto"/>
          <w:szCs w:val="24"/>
          <w:highlight w:val="none"/>
        </w:rPr>
      </w:pPr>
      <w:r>
        <w:rPr>
          <w:rFonts w:hint="eastAsia" w:ascii="宋体" w:hAnsi="宋体" w:cs="宋体"/>
          <w:color w:val="auto"/>
          <w:highlight w:val="none"/>
        </w:rPr>
        <w:br w:type="page"/>
      </w:r>
    </w:p>
    <w:p w14:paraId="02F4805F">
      <w:pPr>
        <w:pStyle w:val="4"/>
        <w:spacing w:before="0" w:after="0" w:line="360" w:lineRule="auto"/>
        <w:ind w:firstLine="119"/>
        <w:jc w:val="center"/>
        <w:rPr>
          <w:rFonts w:ascii="宋体" w:hAnsi="宋体" w:eastAsia="宋体" w:cs="宋体"/>
          <w:color w:val="auto"/>
          <w:sz w:val="32"/>
          <w:highlight w:val="none"/>
        </w:rPr>
      </w:pPr>
      <w:bookmarkStart w:id="239" w:name="_Toc9717"/>
      <w:r>
        <w:rPr>
          <w:rFonts w:hint="eastAsia" w:ascii="宋体" w:hAnsi="宋体" w:eastAsia="宋体" w:cs="宋体"/>
          <w:color w:val="auto"/>
          <w:sz w:val="32"/>
          <w:highlight w:val="none"/>
        </w:rPr>
        <w:t>八、拟投入本项目的人员简历表</w:t>
      </w:r>
      <w:bookmarkEnd w:id="239"/>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7"/>
        <w:gridCol w:w="180"/>
        <w:gridCol w:w="1295"/>
        <w:gridCol w:w="281"/>
        <w:gridCol w:w="763"/>
        <w:gridCol w:w="957"/>
        <w:gridCol w:w="407"/>
        <w:gridCol w:w="1200"/>
        <w:gridCol w:w="630"/>
        <w:gridCol w:w="2027"/>
      </w:tblGrid>
      <w:tr w14:paraId="4FE29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atLeast"/>
        </w:trPr>
        <w:tc>
          <w:tcPr>
            <w:tcW w:w="1367" w:type="dxa"/>
            <w:gridSpan w:val="2"/>
            <w:vAlign w:val="center"/>
          </w:tcPr>
          <w:p w14:paraId="216023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95" w:type="dxa"/>
            <w:vAlign w:val="center"/>
          </w:tcPr>
          <w:p w14:paraId="479A7D00">
            <w:pPr>
              <w:snapToGrid w:val="0"/>
              <w:spacing w:line="360" w:lineRule="auto"/>
              <w:jc w:val="center"/>
              <w:rPr>
                <w:rFonts w:ascii="宋体" w:hAnsi="宋体" w:cs="宋体"/>
                <w:color w:val="auto"/>
                <w:sz w:val="24"/>
                <w:highlight w:val="none"/>
              </w:rPr>
            </w:pPr>
          </w:p>
        </w:tc>
        <w:tc>
          <w:tcPr>
            <w:tcW w:w="1044" w:type="dxa"/>
            <w:gridSpan w:val="2"/>
            <w:vAlign w:val="center"/>
          </w:tcPr>
          <w:p w14:paraId="69E3CA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364" w:type="dxa"/>
            <w:gridSpan w:val="2"/>
            <w:vAlign w:val="center"/>
          </w:tcPr>
          <w:p w14:paraId="7A7C68DF">
            <w:pPr>
              <w:snapToGrid w:val="0"/>
              <w:spacing w:line="360" w:lineRule="auto"/>
              <w:jc w:val="center"/>
              <w:rPr>
                <w:rFonts w:ascii="宋体" w:hAnsi="宋体" w:cs="宋体"/>
                <w:color w:val="auto"/>
                <w:sz w:val="24"/>
                <w:highlight w:val="none"/>
              </w:rPr>
            </w:pPr>
          </w:p>
        </w:tc>
        <w:tc>
          <w:tcPr>
            <w:tcW w:w="1830" w:type="dxa"/>
            <w:gridSpan w:val="2"/>
            <w:vAlign w:val="center"/>
          </w:tcPr>
          <w:p w14:paraId="5AC850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2027" w:type="dxa"/>
          </w:tcPr>
          <w:p w14:paraId="658D01A7">
            <w:pPr>
              <w:snapToGrid w:val="0"/>
              <w:spacing w:line="360" w:lineRule="auto"/>
              <w:jc w:val="center"/>
              <w:rPr>
                <w:rFonts w:ascii="宋体" w:hAnsi="宋体" w:cs="宋体"/>
                <w:color w:val="auto"/>
                <w:sz w:val="24"/>
                <w:highlight w:val="none"/>
              </w:rPr>
            </w:pPr>
          </w:p>
        </w:tc>
      </w:tr>
      <w:tr w14:paraId="423C3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1367" w:type="dxa"/>
            <w:gridSpan w:val="2"/>
            <w:vAlign w:val="center"/>
          </w:tcPr>
          <w:p w14:paraId="285CC3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295" w:type="dxa"/>
            <w:vAlign w:val="center"/>
          </w:tcPr>
          <w:p w14:paraId="00FC5F03">
            <w:pPr>
              <w:snapToGrid w:val="0"/>
              <w:spacing w:line="360" w:lineRule="auto"/>
              <w:jc w:val="center"/>
              <w:rPr>
                <w:rFonts w:ascii="宋体" w:hAnsi="宋体" w:cs="宋体"/>
                <w:color w:val="auto"/>
                <w:sz w:val="24"/>
                <w:highlight w:val="none"/>
              </w:rPr>
            </w:pPr>
          </w:p>
        </w:tc>
        <w:tc>
          <w:tcPr>
            <w:tcW w:w="1044" w:type="dxa"/>
            <w:gridSpan w:val="2"/>
            <w:vAlign w:val="center"/>
          </w:tcPr>
          <w:p w14:paraId="48271F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职务</w:t>
            </w:r>
          </w:p>
        </w:tc>
        <w:tc>
          <w:tcPr>
            <w:tcW w:w="1364" w:type="dxa"/>
            <w:gridSpan w:val="2"/>
            <w:vAlign w:val="center"/>
          </w:tcPr>
          <w:p w14:paraId="301F122D">
            <w:pPr>
              <w:snapToGrid w:val="0"/>
              <w:spacing w:line="360" w:lineRule="auto"/>
              <w:jc w:val="center"/>
              <w:rPr>
                <w:rFonts w:ascii="宋体" w:hAnsi="宋体" w:cs="宋体"/>
                <w:color w:val="auto"/>
                <w:sz w:val="24"/>
                <w:highlight w:val="none"/>
              </w:rPr>
            </w:pPr>
          </w:p>
        </w:tc>
        <w:tc>
          <w:tcPr>
            <w:tcW w:w="1830" w:type="dxa"/>
            <w:gridSpan w:val="2"/>
            <w:vAlign w:val="center"/>
          </w:tcPr>
          <w:p w14:paraId="7CAEDC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在本项目担任职务</w:t>
            </w:r>
          </w:p>
        </w:tc>
        <w:tc>
          <w:tcPr>
            <w:tcW w:w="2027" w:type="dxa"/>
          </w:tcPr>
          <w:p w14:paraId="0CB3920A">
            <w:pPr>
              <w:snapToGrid w:val="0"/>
              <w:spacing w:line="360" w:lineRule="auto"/>
              <w:jc w:val="center"/>
              <w:rPr>
                <w:rFonts w:ascii="宋体" w:hAnsi="宋体" w:cs="宋体"/>
                <w:color w:val="auto"/>
                <w:sz w:val="24"/>
                <w:highlight w:val="none"/>
              </w:rPr>
            </w:pPr>
          </w:p>
        </w:tc>
      </w:tr>
      <w:tr w14:paraId="162AE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7" w:type="dxa"/>
            <w:gridSpan w:val="2"/>
            <w:vAlign w:val="center"/>
          </w:tcPr>
          <w:p w14:paraId="0AB270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w:t>
            </w:r>
          </w:p>
        </w:tc>
        <w:tc>
          <w:tcPr>
            <w:tcW w:w="3703" w:type="dxa"/>
            <w:gridSpan w:val="5"/>
            <w:vAlign w:val="center"/>
          </w:tcPr>
          <w:p w14:paraId="5B06B9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毕业于      学校 </w:t>
            </w:r>
            <w:bookmarkStart w:id="240" w:name="_Toc11072"/>
            <w:bookmarkStart w:id="241" w:name="_Toc16786"/>
            <w:bookmarkStart w:id="242" w:name="_Toc27070"/>
            <w:bookmarkStart w:id="243" w:name="_Toc12140"/>
            <w:bookmarkStart w:id="244" w:name="_Toc17534"/>
            <w:bookmarkStart w:id="245" w:name="_Toc4156"/>
            <w:r>
              <w:rPr>
                <w:rFonts w:hint="eastAsia" w:ascii="宋体" w:hAnsi="宋体" w:cs="宋体"/>
                <w:color w:val="auto"/>
                <w:sz w:val="24"/>
                <w:highlight w:val="none"/>
              </w:rPr>
              <w:t xml:space="preserve">    专业</w:t>
            </w:r>
          </w:p>
        </w:tc>
        <w:tc>
          <w:tcPr>
            <w:tcW w:w="1830" w:type="dxa"/>
            <w:gridSpan w:val="2"/>
            <w:vAlign w:val="center"/>
          </w:tcPr>
          <w:p w14:paraId="4876D96F">
            <w:pPr>
              <w:snapToGrid w:val="0"/>
              <w:spacing w:line="360" w:lineRule="auto"/>
              <w:jc w:val="center"/>
              <w:rPr>
                <w:rFonts w:ascii="宋体" w:hAnsi="宋体" w:cs="宋体"/>
                <w:color w:val="auto"/>
                <w:sz w:val="24"/>
                <w:highlight w:val="none"/>
              </w:rPr>
            </w:pPr>
            <w:r>
              <w:rPr>
                <w:rFonts w:hint="eastAsia" w:ascii="宋体" w:hAnsi="宋体" w:cs="宋体"/>
                <w:color w:val="auto"/>
                <w:position w:val="-30"/>
                <w:sz w:val="24"/>
                <w:highlight w:val="none"/>
              </w:rPr>
              <w:t>从事检测/监测工作年限</w:t>
            </w:r>
          </w:p>
        </w:tc>
        <w:tc>
          <w:tcPr>
            <w:tcW w:w="2027" w:type="dxa"/>
          </w:tcPr>
          <w:p w14:paraId="0D1523D8">
            <w:pPr>
              <w:snapToGrid w:val="0"/>
              <w:spacing w:line="360" w:lineRule="auto"/>
              <w:jc w:val="center"/>
              <w:rPr>
                <w:rFonts w:ascii="宋体" w:hAnsi="宋体" w:cs="宋体"/>
                <w:color w:val="auto"/>
                <w:sz w:val="24"/>
                <w:highlight w:val="none"/>
              </w:rPr>
            </w:pPr>
          </w:p>
        </w:tc>
      </w:tr>
      <w:tr w14:paraId="6F791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2943" w:type="dxa"/>
            <w:gridSpan w:val="4"/>
            <w:vAlign w:val="center"/>
          </w:tcPr>
          <w:p w14:paraId="7C02A8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执业资格证号或注册证号</w:t>
            </w:r>
          </w:p>
        </w:tc>
        <w:tc>
          <w:tcPr>
            <w:tcW w:w="5984" w:type="dxa"/>
            <w:gridSpan w:val="6"/>
          </w:tcPr>
          <w:p w14:paraId="67C7F442">
            <w:pPr>
              <w:snapToGrid w:val="0"/>
              <w:spacing w:line="360" w:lineRule="auto"/>
              <w:rPr>
                <w:rFonts w:ascii="宋体" w:hAnsi="宋体" w:cs="宋体"/>
                <w:color w:val="auto"/>
                <w:sz w:val="24"/>
                <w:highlight w:val="none"/>
              </w:rPr>
            </w:pPr>
          </w:p>
        </w:tc>
      </w:tr>
      <w:tr w14:paraId="64B46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2943" w:type="dxa"/>
            <w:gridSpan w:val="4"/>
            <w:vAlign w:val="center"/>
          </w:tcPr>
          <w:p w14:paraId="52668E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检测员证或检测鉴定培训合格证（证书状态正常或有效）</w:t>
            </w:r>
          </w:p>
        </w:tc>
        <w:tc>
          <w:tcPr>
            <w:tcW w:w="5984" w:type="dxa"/>
            <w:gridSpan w:val="6"/>
          </w:tcPr>
          <w:p w14:paraId="3FF4F61D">
            <w:pPr>
              <w:snapToGrid w:val="0"/>
              <w:spacing w:line="360" w:lineRule="auto"/>
              <w:rPr>
                <w:rFonts w:ascii="宋体" w:hAnsi="宋体" w:cs="宋体"/>
                <w:color w:val="auto"/>
                <w:sz w:val="24"/>
                <w:highlight w:val="none"/>
              </w:rPr>
            </w:pPr>
          </w:p>
        </w:tc>
      </w:tr>
      <w:tr w14:paraId="41881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8927" w:type="dxa"/>
            <w:gridSpan w:val="10"/>
            <w:vAlign w:val="center"/>
          </w:tcPr>
          <w:p w14:paraId="5615B7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主要业绩经历</w:t>
            </w:r>
          </w:p>
        </w:tc>
      </w:tr>
      <w:tr w14:paraId="168BD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187" w:type="dxa"/>
            <w:vAlign w:val="center"/>
          </w:tcPr>
          <w:p w14:paraId="59FC81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时间</w:t>
            </w:r>
          </w:p>
        </w:tc>
        <w:tc>
          <w:tcPr>
            <w:tcW w:w="3476" w:type="dxa"/>
            <w:gridSpan w:val="5"/>
            <w:vAlign w:val="center"/>
          </w:tcPr>
          <w:p w14:paraId="1EAE8D4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参加过的主要工作</w:t>
            </w:r>
          </w:p>
        </w:tc>
        <w:tc>
          <w:tcPr>
            <w:tcW w:w="1607" w:type="dxa"/>
            <w:gridSpan w:val="2"/>
            <w:vAlign w:val="center"/>
          </w:tcPr>
          <w:p w14:paraId="04F69C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担任何职</w:t>
            </w:r>
          </w:p>
        </w:tc>
        <w:tc>
          <w:tcPr>
            <w:tcW w:w="2657" w:type="dxa"/>
            <w:gridSpan w:val="2"/>
            <w:vAlign w:val="center"/>
          </w:tcPr>
          <w:p w14:paraId="2C1B33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获得的奖励情况</w:t>
            </w:r>
          </w:p>
        </w:tc>
      </w:tr>
      <w:tr w14:paraId="77962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108206A6">
            <w:pPr>
              <w:snapToGrid w:val="0"/>
              <w:spacing w:line="360" w:lineRule="auto"/>
              <w:rPr>
                <w:rFonts w:ascii="宋体" w:hAnsi="宋体" w:cs="宋体"/>
                <w:color w:val="auto"/>
                <w:sz w:val="24"/>
                <w:highlight w:val="none"/>
              </w:rPr>
            </w:pPr>
          </w:p>
        </w:tc>
        <w:tc>
          <w:tcPr>
            <w:tcW w:w="3476" w:type="dxa"/>
            <w:gridSpan w:val="5"/>
          </w:tcPr>
          <w:p w14:paraId="10EF6C80">
            <w:pPr>
              <w:snapToGrid w:val="0"/>
              <w:spacing w:line="360" w:lineRule="auto"/>
              <w:rPr>
                <w:rFonts w:ascii="宋体" w:hAnsi="宋体" w:cs="宋体"/>
                <w:color w:val="auto"/>
                <w:sz w:val="24"/>
                <w:highlight w:val="none"/>
              </w:rPr>
            </w:pPr>
          </w:p>
        </w:tc>
        <w:tc>
          <w:tcPr>
            <w:tcW w:w="1607" w:type="dxa"/>
            <w:gridSpan w:val="2"/>
          </w:tcPr>
          <w:p w14:paraId="0165A40B">
            <w:pPr>
              <w:snapToGrid w:val="0"/>
              <w:spacing w:line="360" w:lineRule="auto"/>
              <w:rPr>
                <w:rFonts w:ascii="宋体" w:hAnsi="宋体" w:cs="宋体"/>
                <w:color w:val="auto"/>
                <w:sz w:val="24"/>
                <w:highlight w:val="none"/>
              </w:rPr>
            </w:pPr>
          </w:p>
        </w:tc>
        <w:tc>
          <w:tcPr>
            <w:tcW w:w="2657" w:type="dxa"/>
            <w:gridSpan w:val="2"/>
          </w:tcPr>
          <w:p w14:paraId="11B68B07">
            <w:pPr>
              <w:snapToGrid w:val="0"/>
              <w:spacing w:line="360" w:lineRule="auto"/>
              <w:rPr>
                <w:rFonts w:ascii="宋体" w:hAnsi="宋体" w:cs="宋体"/>
                <w:color w:val="auto"/>
                <w:sz w:val="24"/>
                <w:highlight w:val="none"/>
              </w:rPr>
            </w:pPr>
          </w:p>
        </w:tc>
      </w:tr>
      <w:tr w14:paraId="75A8E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2F22574D">
            <w:pPr>
              <w:snapToGrid w:val="0"/>
              <w:spacing w:line="360" w:lineRule="auto"/>
              <w:rPr>
                <w:rFonts w:ascii="宋体" w:hAnsi="宋体" w:cs="宋体"/>
                <w:color w:val="auto"/>
                <w:sz w:val="24"/>
                <w:highlight w:val="none"/>
              </w:rPr>
            </w:pPr>
          </w:p>
        </w:tc>
        <w:tc>
          <w:tcPr>
            <w:tcW w:w="3476" w:type="dxa"/>
            <w:gridSpan w:val="5"/>
          </w:tcPr>
          <w:p w14:paraId="73EE9485">
            <w:pPr>
              <w:snapToGrid w:val="0"/>
              <w:spacing w:line="360" w:lineRule="auto"/>
              <w:rPr>
                <w:rFonts w:ascii="宋体" w:hAnsi="宋体" w:cs="宋体"/>
                <w:color w:val="auto"/>
                <w:sz w:val="24"/>
                <w:highlight w:val="none"/>
              </w:rPr>
            </w:pPr>
          </w:p>
        </w:tc>
        <w:tc>
          <w:tcPr>
            <w:tcW w:w="1607" w:type="dxa"/>
            <w:gridSpan w:val="2"/>
          </w:tcPr>
          <w:p w14:paraId="25CB48EF">
            <w:pPr>
              <w:snapToGrid w:val="0"/>
              <w:spacing w:line="360" w:lineRule="auto"/>
              <w:rPr>
                <w:rFonts w:ascii="宋体" w:hAnsi="宋体" w:cs="宋体"/>
                <w:color w:val="auto"/>
                <w:sz w:val="24"/>
                <w:highlight w:val="none"/>
              </w:rPr>
            </w:pPr>
          </w:p>
        </w:tc>
        <w:tc>
          <w:tcPr>
            <w:tcW w:w="2657" w:type="dxa"/>
            <w:gridSpan w:val="2"/>
          </w:tcPr>
          <w:p w14:paraId="7E817755">
            <w:pPr>
              <w:snapToGrid w:val="0"/>
              <w:spacing w:line="360" w:lineRule="auto"/>
              <w:rPr>
                <w:rFonts w:ascii="宋体" w:hAnsi="宋体" w:cs="宋体"/>
                <w:color w:val="auto"/>
                <w:sz w:val="24"/>
                <w:highlight w:val="none"/>
              </w:rPr>
            </w:pPr>
          </w:p>
        </w:tc>
      </w:tr>
      <w:tr w14:paraId="57FCB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0D437CA9">
            <w:pPr>
              <w:snapToGrid w:val="0"/>
              <w:spacing w:line="360" w:lineRule="auto"/>
              <w:rPr>
                <w:rFonts w:ascii="宋体" w:hAnsi="宋体" w:cs="宋体"/>
                <w:color w:val="auto"/>
                <w:sz w:val="24"/>
                <w:highlight w:val="none"/>
              </w:rPr>
            </w:pPr>
          </w:p>
        </w:tc>
        <w:tc>
          <w:tcPr>
            <w:tcW w:w="3476" w:type="dxa"/>
            <w:gridSpan w:val="5"/>
          </w:tcPr>
          <w:p w14:paraId="1D3BD375">
            <w:pPr>
              <w:snapToGrid w:val="0"/>
              <w:spacing w:line="360" w:lineRule="auto"/>
              <w:rPr>
                <w:rFonts w:ascii="宋体" w:hAnsi="宋体" w:cs="宋体"/>
                <w:color w:val="auto"/>
                <w:sz w:val="24"/>
                <w:highlight w:val="none"/>
              </w:rPr>
            </w:pPr>
          </w:p>
        </w:tc>
        <w:tc>
          <w:tcPr>
            <w:tcW w:w="1607" w:type="dxa"/>
            <w:gridSpan w:val="2"/>
          </w:tcPr>
          <w:p w14:paraId="36C1A563">
            <w:pPr>
              <w:snapToGrid w:val="0"/>
              <w:spacing w:line="360" w:lineRule="auto"/>
              <w:rPr>
                <w:rFonts w:ascii="宋体" w:hAnsi="宋体" w:cs="宋体"/>
                <w:color w:val="auto"/>
                <w:sz w:val="24"/>
                <w:highlight w:val="none"/>
              </w:rPr>
            </w:pPr>
          </w:p>
        </w:tc>
        <w:tc>
          <w:tcPr>
            <w:tcW w:w="2657" w:type="dxa"/>
            <w:gridSpan w:val="2"/>
          </w:tcPr>
          <w:p w14:paraId="2F3547B4">
            <w:pPr>
              <w:snapToGrid w:val="0"/>
              <w:spacing w:line="360" w:lineRule="auto"/>
              <w:rPr>
                <w:rFonts w:ascii="宋体" w:hAnsi="宋体" w:cs="宋体"/>
                <w:color w:val="auto"/>
                <w:sz w:val="24"/>
                <w:highlight w:val="none"/>
              </w:rPr>
            </w:pPr>
          </w:p>
        </w:tc>
      </w:tr>
      <w:tr w14:paraId="6BA66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50233947">
            <w:pPr>
              <w:snapToGrid w:val="0"/>
              <w:spacing w:line="360" w:lineRule="auto"/>
              <w:rPr>
                <w:rFonts w:ascii="宋体" w:hAnsi="宋体" w:cs="宋体"/>
                <w:color w:val="auto"/>
                <w:sz w:val="24"/>
                <w:highlight w:val="none"/>
              </w:rPr>
            </w:pPr>
          </w:p>
        </w:tc>
        <w:tc>
          <w:tcPr>
            <w:tcW w:w="3476" w:type="dxa"/>
            <w:gridSpan w:val="5"/>
          </w:tcPr>
          <w:p w14:paraId="5CF83070">
            <w:pPr>
              <w:snapToGrid w:val="0"/>
              <w:spacing w:line="360" w:lineRule="auto"/>
              <w:rPr>
                <w:rFonts w:ascii="宋体" w:hAnsi="宋体" w:cs="宋体"/>
                <w:color w:val="auto"/>
                <w:sz w:val="24"/>
                <w:highlight w:val="none"/>
              </w:rPr>
            </w:pPr>
          </w:p>
        </w:tc>
        <w:tc>
          <w:tcPr>
            <w:tcW w:w="1607" w:type="dxa"/>
            <w:gridSpan w:val="2"/>
          </w:tcPr>
          <w:p w14:paraId="11B79B34">
            <w:pPr>
              <w:snapToGrid w:val="0"/>
              <w:spacing w:line="360" w:lineRule="auto"/>
              <w:rPr>
                <w:rFonts w:ascii="宋体" w:hAnsi="宋体" w:cs="宋体"/>
                <w:color w:val="auto"/>
                <w:sz w:val="24"/>
                <w:highlight w:val="none"/>
              </w:rPr>
            </w:pPr>
          </w:p>
        </w:tc>
        <w:tc>
          <w:tcPr>
            <w:tcW w:w="2657" w:type="dxa"/>
            <w:gridSpan w:val="2"/>
          </w:tcPr>
          <w:p w14:paraId="6E9D06A7">
            <w:pPr>
              <w:snapToGrid w:val="0"/>
              <w:spacing w:line="360" w:lineRule="auto"/>
              <w:rPr>
                <w:rFonts w:ascii="宋体" w:hAnsi="宋体" w:cs="宋体"/>
                <w:color w:val="auto"/>
                <w:sz w:val="24"/>
                <w:highlight w:val="none"/>
              </w:rPr>
            </w:pPr>
          </w:p>
        </w:tc>
      </w:tr>
      <w:tr w14:paraId="7348C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58E97A63">
            <w:pPr>
              <w:snapToGrid w:val="0"/>
              <w:spacing w:line="360" w:lineRule="auto"/>
              <w:rPr>
                <w:rFonts w:ascii="宋体" w:hAnsi="宋体" w:cs="宋体"/>
                <w:color w:val="auto"/>
                <w:sz w:val="24"/>
                <w:highlight w:val="none"/>
              </w:rPr>
            </w:pPr>
          </w:p>
        </w:tc>
        <w:tc>
          <w:tcPr>
            <w:tcW w:w="3476" w:type="dxa"/>
            <w:gridSpan w:val="5"/>
          </w:tcPr>
          <w:p w14:paraId="14D9B64B">
            <w:pPr>
              <w:snapToGrid w:val="0"/>
              <w:spacing w:line="360" w:lineRule="auto"/>
              <w:rPr>
                <w:rFonts w:ascii="宋体" w:hAnsi="宋体" w:cs="宋体"/>
                <w:color w:val="auto"/>
                <w:sz w:val="24"/>
                <w:highlight w:val="none"/>
              </w:rPr>
            </w:pPr>
          </w:p>
        </w:tc>
        <w:tc>
          <w:tcPr>
            <w:tcW w:w="1607" w:type="dxa"/>
            <w:gridSpan w:val="2"/>
          </w:tcPr>
          <w:p w14:paraId="56F3F9A9">
            <w:pPr>
              <w:snapToGrid w:val="0"/>
              <w:spacing w:line="360" w:lineRule="auto"/>
              <w:rPr>
                <w:rFonts w:ascii="宋体" w:hAnsi="宋体" w:cs="宋体"/>
                <w:color w:val="auto"/>
                <w:sz w:val="24"/>
                <w:highlight w:val="none"/>
              </w:rPr>
            </w:pPr>
          </w:p>
        </w:tc>
        <w:tc>
          <w:tcPr>
            <w:tcW w:w="2657" w:type="dxa"/>
            <w:gridSpan w:val="2"/>
          </w:tcPr>
          <w:p w14:paraId="17087630">
            <w:pPr>
              <w:snapToGrid w:val="0"/>
              <w:spacing w:line="360" w:lineRule="auto"/>
              <w:rPr>
                <w:rFonts w:ascii="宋体" w:hAnsi="宋体" w:cs="宋体"/>
                <w:color w:val="auto"/>
                <w:sz w:val="24"/>
                <w:highlight w:val="none"/>
              </w:rPr>
            </w:pPr>
          </w:p>
        </w:tc>
      </w:tr>
      <w:tr w14:paraId="08D72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3DE49C66">
            <w:pPr>
              <w:snapToGrid w:val="0"/>
              <w:spacing w:line="360" w:lineRule="auto"/>
              <w:rPr>
                <w:rFonts w:ascii="宋体" w:hAnsi="宋体" w:cs="宋体"/>
                <w:color w:val="auto"/>
                <w:sz w:val="24"/>
                <w:highlight w:val="none"/>
              </w:rPr>
            </w:pPr>
          </w:p>
        </w:tc>
        <w:tc>
          <w:tcPr>
            <w:tcW w:w="3476" w:type="dxa"/>
            <w:gridSpan w:val="5"/>
          </w:tcPr>
          <w:p w14:paraId="17C24935">
            <w:pPr>
              <w:snapToGrid w:val="0"/>
              <w:spacing w:line="360" w:lineRule="auto"/>
              <w:rPr>
                <w:rFonts w:ascii="宋体" w:hAnsi="宋体" w:cs="宋体"/>
                <w:color w:val="auto"/>
                <w:sz w:val="24"/>
                <w:highlight w:val="none"/>
              </w:rPr>
            </w:pPr>
          </w:p>
        </w:tc>
        <w:tc>
          <w:tcPr>
            <w:tcW w:w="1607" w:type="dxa"/>
            <w:gridSpan w:val="2"/>
          </w:tcPr>
          <w:p w14:paraId="42950018">
            <w:pPr>
              <w:snapToGrid w:val="0"/>
              <w:spacing w:line="360" w:lineRule="auto"/>
              <w:rPr>
                <w:rFonts w:ascii="宋体" w:hAnsi="宋体" w:cs="宋体"/>
                <w:color w:val="auto"/>
                <w:sz w:val="24"/>
                <w:highlight w:val="none"/>
              </w:rPr>
            </w:pPr>
          </w:p>
        </w:tc>
        <w:tc>
          <w:tcPr>
            <w:tcW w:w="2657" w:type="dxa"/>
            <w:gridSpan w:val="2"/>
          </w:tcPr>
          <w:p w14:paraId="2A90AD6B">
            <w:pPr>
              <w:snapToGrid w:val="0"/>
              <w:spacing w:line="360" w:lineRule="auto"/>
              <w:rPr>
                <w:rFonts w:ascii="宋体" w:hAnsi="宋体" w:cs="宋体"/>
                <w:color w:val="auto"/>
                <w:sz w:val="24"/>
                <w:highlight w:val="none"/>
              </w:rPr>
            </w:pPr>
          </w:p>
        </w:tc>
      </w:tr>
      <w:tr w14:paraId="03421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70459857">
            <w:pPr>
              <w:snapToGrid w:val="0"/>
              <w:spacing w:line="360" w:lineRule="auto"/>
              <w:rPr>
                <w:rFonts w:ascii="宋体" w:hAnsi="宋体" w:cs="宋体"/>
                <w:color w:val="auto"/>
                <w:sz w:val="24"/>
                <w:highlight w:val="none"/>
              </w:rPr>
            </w:pPr>
          </w:p>
        </w:tc>
        <w:tc>
          <w:tcPr>
            <w:tcW w:w="3476" w:type="dxa"/>
            <w:gridSpan w:val="5"/>
          </w:tcPr>
          <w:p w14:paraId="0B19154B">
            <w:pPr>
              <w:snapToGrid w:val="0"/>
              <w:spacing w:line="360" w:lineRule="auto"/>
              <w:rPr>
                <w:rFonts w:ascii="宋体" w:hAnsi="宋体" w:cs="宋体"/>
                <w:color w:val="auto"/>
                <w:sz w:val="24"/>
                <w:highlight w:val="none"/>
              </w:rPr>
            </w:pPr>
          </w:p>
        </w:tc>
        <w:tc>
          <w:tcPr>
            <w:tcW w:w="1607" w:type="dxa"/>
            <w:gridSpan w:val="2"/>
          </w:tcPr>
          <w:p w14:paraId="41C2973C">
            <w:pPr>
              <w:snapToGrid w:val="0"/>
              <w:spacing w:line="360" w:lineRule="auto"/>
              <w:rPr>
                <w:rFonts w:ascii="宋体" w:hAnsi="宋体" w:cs="宋体"/>
                <w:color w:val="auto"/>
                <w:sz w:val="24"/>
                <w:highlight w:val="none"/>
              </w:rPr>
            </w:pPr>
          </w:p>
        </w:tc>
        <w:tc>
          <w:tcPr>
            <w:tcW w:w="2657" w:type="dxa"/>
            <w:gridSpan w:val="2"/>
          </w:tcPr>
          <w:p w14:paraId="229E2A9F">
            <w:pPr>
              <w:snapToGrid w:val="0"/>
              <w:spacing w:line="360" w:lineRule="auto"/>
              <w:rPr>
                <w:rFonts w:ascii="宋体" w:hAnsi="宋体" w:cs="宋体"/>
                <w:color w:val="auto"/>
                <w:sz w:val="24"/>
                <w:highlight w:val="none"/>
              </w:rPr>
            </w:pPr>
          </w:p>
        </w:tc>
      </w:tr>
      <w:tr w14:paraId="0CB2C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5330333A">
            <w:pPr>
              <w:snapToGrid w:val="0"/>
              <w:spacing w:line="360" w:lineRule="auto"/>
              <w:rPr>
                <w:rFonts w:ascii="宋体" w:hAnsi="宋体" w:cs="宋体"/>
                <w:color w:val="auto"/>
                <w:sz w:val="24"/>
                <w:highlight w:val="none"/>
              </w:rPr>
            </w:pPr>
          </w:p>
        </w:tc>
        <w:tc>
          <w:tcPr>
            <w:tcW w:w="3476" w:type="dxa"/>
            <w:gridSpan w:val="5"/>
          </w:tcPr>
          <w:p w14:paraId="7E13579B">
            <w:pPr>
              <w:snapToGrid w:val="0"/>
              <w:spacing w:line="360" w:lineRule="auto"/>
              <w:rPr>
                <w:rFonts w:ascii="宋体" w:hAnsi="宋体" w:cs="宋体"/>
                <w:color w:val="auto"/>
                <w:sz w:val="24"/>
                <w:highlight w:val="none"/>
              </w:rPr>
            </w:pPr>
          </w:p>
        </w:tc>
        <w:tc>
          <w:tcPr>
            <w:tcW w:w="1607" w:type="dxa"/>
            <w:gridSpan w:val="2"/>
          </w:tcPr>
          <w:p w14:paraId="0E7AA817">
            <w:pPr>
              <w:snapToGrid w:val="0"/>
              <w:spacing w:line="360" w:lineRule="auto"/>
              <w:rPr>
                <w:rFonts w:ascii="宋体" w:hAnsi="宋体" w:cs="宋体"/>
                <w:color w:val="auto"/>
                <w:sz w:val="24"/>
                <w:highlight w:val="none"/>
              </w:rPr>
            </w:pPr>
          </w:p>
        </w:tc>
        <w:tc>
          <w:tcPr>
            <w:tcW w:w="2657" w:type="dxa"/>
            <w:gridSpan w:val="2"/>
          </w:tcPr>
          <w:p w14:paraId="2456AE69">
            <w:pPr>
              <w:snapToGrid w:val="0"/>
              <w:spacing w:line="360" w:lineRule="auto"/>
              <w:rPr>
                <w:rFonts w:ascii="宋体" w:hAnsi="宋体" w:cs="宋体"/>
                <w:color w:val="auto"/>
                <w:sz w:val="24"/>
                <w:highlight w:val="none"/>
              </w:rPr>
            </w:pPr>
          </w:p>
        </w:tc>
      </w:tr>
      <w:tr w14:paraId="3D076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87" w:type="dxa"/>
          </w:tcPr>
          <w:p w14:paraId="76817DC2">
            <w:pPr>
              <w:snapToGrid w:val="0"/>
              <w:spacing w:line="360" w:lineRule="auto"/>
              <w:rPr>
                <w:rFonts w:ascii="宋体" w:hAnsi="宋体" w:cs="宋体"/>
                <w:color w:val="auto"/>
                <w:sz w:val="24"/>
                <w:highlight w:val="none"/>
              </w:rPr>
            </w:pPr>
          </w:p>
        </w:tc>
        <w:tc>
          <w:tcPr>
            <w:tcW w:w="3476" w:type="dxa"/>
            <w:gridSpan w:val="5"/>
          </w:tcPr>
          <w:p w14:paraId="2B07B028">
            <w:pPr>
              <w:snapToGrid w:val="0"/>
              <w:spacing w:line="360" w:lineRule="auto"/>
              <w:rPr>
                <w:rFonts w:ascii="宋体" w:hAnsi="宋体" w:cs="宋体"/>
                <w:color w:val="auto"/>
                <w:sz w:val="24"/>
                <w:highlight w:val="none"/>
              </w:rPr>
            </w:pPr>
          </w:p>
        </w:tc>
        <w:tc>
          <w:tcPr>
            <w:tcW w:w="1607" w:type="dxa"/>
            <w:gridSpan w:val="2"/>
          </w:tcPr>
          <w:p w14:paraId="38D50C8D">
            <w:pPr>
              <w:snapToGrid w:val="0"/>
              <w:spacing w:line="360" w:lineRule="auto"/>
              <w:rPr>
                <w:rFonts w:ascii="宋体" w:hAnsi="宋体" w:cs="宋体"/>
                <w:color w:val="auto"/>
                <w:sz w:val="24"/>
                <w:highlight w:val="none"/>
              </w:rPr>
            </w:pPr>
          </w:p>
        </w:tc>
        <w:tc>
          <w:tcPr>
            <w:tcW w:w="2657" w:type="dxa"/>
            <w:gridSpan w:val="2"/>
          </w:tcPr>
          <w:p w14:paraId="374BD679">
            <w:pPr>
              <w:snapToGrid w:val="0"/>
              <w:spacing w:line="360" w:lineRule="auto"/>
              <w:rPr>
                <w:rFonts w:ascii="宋体" w:hAnsi="宋体" w:cs="宋体"/>
                <w:color w:val="auto"/>
                <w:sz w:val="24"/>
                <w:highlight w:val="none"/>
              </w:rPr>
            </w:pPr>
          </w:p>
        </w:tc>
      </w:tr>
    </w:tbl>
    <w:p w14:paraId="0CB22031">
      <w:pPr>
        <w:widowControl/>
        <w:spacing w:line="360" w:lineRule="auto"/>
        <w:jc w:val="left"/>
        <w:rPr>
          <w:rFonts w:ascii="宋体" w:hAnsi="宋体" w:cs="宋体"/>
          <w:color w:val="auto"/>
          <w:sz w:val="24"/>
          <w:highlight w:val="none"/>
        </w:rPr>
      </w:pPr>
    </w:p>
    <w:p w14:paraId="561E5294">
      <w:pPr>
        <w:spacing w:line="360" w:lineRule="auto"/>
        <w:rPr>
          <w:rFonts w:ascii="宋体" w:hAnsi="宋体" w:cs="宋体"/>
          <w:color w:val="auto"/>
          <w:highlight w:val="none"/>
        </w:rPr>
      </w:pPr>
      <w:r>
        <w:rPr>
          <w:rFonts w:hint="eastAsia" w:ascii="宋体" w:hAnsi="宋体" w:cs="宋体"/>
          <w:color w:val="auto"/>
          <w:highlight w:val="none"/>
        </w:rPr>
        <w:t>注：投标人应根据招标文件的要求在本表后附相关证明材料</w:t>
      </w:r>
    </w:p>
    <w:p w14:paraId="7327BD7A">
      <w:pPr>
        <w:spacing w:line="360" w:lineRule="auto"/>
        <w:jc w:val="left"/>
        <w:rPr>
          <w:rFonts w:ascii="宋体" w:hAnsi="宋体" w:cs="宋体"/>
          <w:color w:val="auto"/>
          <w:sz w:val="28"/>
          <w:szCs w:val="28"/>
          <w:highlight w:val="none"/>
        </w:rPr>
      </w:pPr>
      <w:r>
        <w:rPr>
          <w:rFonts w:hint="eastAsia" w:ascii="宋体" w:hAnsi="宋体" w:cs="宋体"/>
          <w:color w:val="auto"/>
          <w:highlight w:val="none"/>
        </w:rPr>
        <w:t>（本项不作为资格审查内容，但（如有）需提供，仅作为投标人的评标（综合评分）资料进行考察。表格格式可以根据实际情况调整。）</w:t>
      </w:r>
    </w:p>
    <w:p w14:paraId="1FB785F5">
      <w:pPr>
        <w:keepNext/>
        <w:keepLines/>
        <w:spacing w:line="360" w:lineRule="auto"/>
        <w:jc w:val="center"/>
        <w:outlineLvl w:val="1"/>
        <w:rPr>
          <w:rFonts w:ascii="宋体" w:hAnsi="宋体" w:cs="宋体"/>
          <w:color w:val="auto"/>
          <w:sz w:val="32"/>
          <w:highlight w:val="none"/>
        </w:rPr>
      </w:pPr>
      <w:r>
        <w:rPr>
          <w:rFonts w:hint="eastAsia" w:ascii="宋体" w:hAnsi="宋体" w:cs="宋体"/>
          <w:b/>
          <w:bCs/>
          <w:color w:val="auto"/>
          <w:sz w:val="40"/>
          <w:szCs w:val="32"/>
          <w:highlight w:val="none"/>
        </w:rPr>
        <w:br w:type="page"/>
      </w:r>
      <w:bookmarkEnd w:id="240"/>
      <w:bookmarkEnd w:id="241"/>
      <w:bookmarkEnd w:id="242"/>
      <w:bookmarkEnd w:id="243"/>
      <w:bookmarkEnd w:id="244"/>
      <w:bookmarkEnd w:id="245"/>
    </w:p>
    <w:p w14:paraId="16A7E59A">
      <w:pPr>
        <w:pStyle w:val="4"/>
        <w:spacing w:before="0" w:after="0" w:line="360" w:lineRule="auto"/>
        <w:jc w:val="center"/>
        <w:rPr>
          <w:rFonts w:ascii="宋体" w:hAnsi="宋体" w:eastAsia="宋体" w:cs="宋体"/>
          <w:color w:val="auto"/>
          <w:highlight w:val="none"/>
        </w:rPr>
      </w:pPr>
      <w:bookmarkStart w:id="246" w:name="_Toc6338"/>
      <w:r>
        <w:rPr>
          <w:rFonts w:hint="eastAsia" w:ascii="宋体" w:hAnsi="宋体" w:eastAsia="宋体" w:cs="宋体"/>
          <w:color w:val="auto"/>
          <w:sz w:val="32"/>
          <w:highlight w:val="none"/>
        </w:rPr>
        <w:t>九、拟投入本项目的主要仪器设备一览表</w:t>
      </w:r>
      <w:bookmarkEnd w:id="246"/>
    </w:p>
    <w:tbl>
      <w:tblPr>
        <w:tblStyle w:val="17"/>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93"/>
        <w:gridCol w:w="900"/>
        <w:gridCol w:w="992"/>
        <w:gridCol w:w="1785"/>
        <w:gridCol w:w="1116"/>
        <w:gridCol w:w="1341"/>
        <w:gridCol w:w="1080"/>
      </w:tblGrid>
      <w:tr w14:paraId="6311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36" w:type="dxa"/>
            <w:vMerge w:val="restart"/>
            <w:vAlign w:val="center"/>
          </w:tcPr>
          <w:p w14:paraId="4A215F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93" w:type="dxa"/>
            <w:vMerge w:val="restart"/>
            <w:vAlign w:val="center"/>
          </w:tcPr>
          <w:p w14:paraId="5CA9EF3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900" w:type="dxa"/>
            <w:vMerge w:val="restart"/>
            <w:vAlign w:val="center"/>
          </w:tcPr>
          <w:p w14:paraId="5FA40A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本项目</w:t>
            </w:r>
          </w:p>
          <w:p w14:paraId="3111BF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数量基本要求</w:t>
            </w:r>
          </w:p>
        </w:tc>
        <w:tc>
          <w:tcPr>
            <w:tcW w:w="6314" w:type="dxa"/>
            <w:gridSpan w:val="5"/>
            <w:vAlign w:val="center"/>
          </w:tcPr>
          <w:p w14:paraId="2A70873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投标人填写</w:t>
            </w:r>
          </w:p>
        </w:tc>
      </w:tr>
      <w:tr w14:paraId="1E11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6" w:type="dxa"/>
            <w:vMerge w:val="continue"/>
            <w:vAlign w:val="center"/>
          </w:tcPr>
          <w:p w14:paraId="025ECE1E">
            <w:pPr>
              <w:spacing w:line="360" w:lineRule="auto"/>
              <w:jc w:val="center"/>
              <w:rPr>
                <w:rFonts w:ascii="宋体" w:hAnsi="宋体" w:cs="宋体"/>
                <w:color w:val="auto"/>
                <w:szCs w:val="21"/>
                <w:highlight w:val="none"/>
              </w:rPr>
            </w:pPr>
          </w:p>
        </w:tc>
        <w:tc>
          <w:tcPr>
            <w:tcW w:w="1793" w:type="dxa"/>
            <w:vMerge w:val="continue"/>
            <w:vAlign w:val="center"/>
          </w:tcPr>
          <w:p w14:paraId="3F15B940">
            <w:pPr>
              <w:spacing w:line="360" w:lineRule="auto"/>
              <w:jc w:val="center"/>
              <w:rPr>
                <w:rFonts w:ascii="宋体" w:hAnsi="宋体" w:cs="宋体"/>
                <w:color w:val="auto"/>
                <w:szCs w:val="21"/>
                <w:highlight w:val="none"/>
              </w:rPr>
            </w:pPr>
          </w:p>
        </w:tc>
        <w:tc>
          <w:tcPr>
            <w:tcW w:w="900" w:type="dxa"/>
            <w:vMerge w:val="continue"/>
            <w:vAlign w:val="center"/>
          </w:tcPr>
          <w:p w14:paraId="4D77FAD5">
            <w:pPr>
              <w:spacing w:line="360" w:lineRule="auto"/>
              <w:jc w:val="center"/>
              <w:rPr>
                <w:rFonts w:ascii="宋体" w:hAnsi="宋体" w:cs="宋体"/>
                <w:color w:val="auto"/>
                <w:szCs w:val="21"/>
                <w:highlight w:val="none"/>
              </w:rPr>
            </w:pPr>
          </w:p>
        </w:tc>
        <w:tc>
          <w:tcPr>
            <w:tcW w:w="992" w:type="dxa"/>
            <w:vAlign w:val="center"/>
          </w:tcPr>
          <w:p w14:paraId="132C3F5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785" w:type="dxa"/>
            <w:vAlign w:val="center"/>
          </w:tcPr>
          <w:p w14:paraId="6F3734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检定/校准机构</w:t>
            </w:r>
          </w:p>
        </w:tc>
        <w:tc>
          <w:tcPr>
            <w:tcW w:w="1116" w:type="dxa"/>
            <w:vAlign w:val="center"/>
          </w:tcPr>
          <w:p w14:paraId="1A4251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有效期</w:t>
            </w:r>
          </w:p>
        </w:tc>
        <w:tc>
          <w:tcPr>
            <w:tcW w:w="1341" w:type="dxa"/>
            <w:vAlign w:val="center"/>
          </w:tcPr>
          <w:p w14:paraId="29259A22">
            <w:pPr>
              <w:spacing w:line="360" w:lineRule="auto"/>
              <w:jc w:val="center"/>
              <w:rPr>
                <w:rFonts w:ascii="宋体" w:hAnsi="宋体" w:cs="宋体"/>
                <w:color w:val="auto"/>
                <w:szCs w:val="21"/>
                <w:highlight w:val="none"/>
              </w:rPr>
            </w:pPr>
            <w:bookmarkStart w:id="247" w:name="_Toc31367"/>
            <w:bookmarkStart w:id="248" w:name="_Toc25992"/>
            <w:bookmarkStart w:id="249" w:name="_Toc532367899"/>
            <w:bookmarkStart w:id="250" w:name="_Toc30833"/>
            <w:bookmarkStart w:id="251" w:name="_Toc168"/>
            <w:bookmarkStart w:id="252" w:name="_Toc377719919"/>
            <w:bookmarkStart w:id="253" w:name="_Toc23148"/>
            <w:bookmarkStart w:id="254" w:name="_Toc76"/>
            <w:bookmarkStart w:id="255" w:name="_Toc13512"/>
            <w:bookmarkStart w:id="256" w:name="_Toc12595"/>
            <w:r>
              <w:rPr>
                <w:rFonts w:hint="eastAsia" w:ascii="宋体" w:hAnsi="宋体" w:cs="宋体"/>
                <w:color w:val="auto"/>
                <w:szCs w:val="21"/>
                <w:highlight w:val="none"/>
              </w:rPr>
              <w:t>检定/</w:t>
            </w:r>
            <w:bookmarkEnd w:id="247"/>
            <w:bookmarkEnd w:id="248"/>
            <w:bookmarkEnd w:id="249"/>
            <w:bookmarkEnd w:id="250"/>
            <w:bookmarkEnd w:id="251"/>
            <w:bookmarkEnd w:id="252"/>
            <w:bookmarkEnd w:id="253"/>
            <w:bookmarkEnd w:id="254"/>
            <w:r>
              <w:rPr>
                <w:rFonts w:hint="eastAsia" w:ascii="宋体" w:hAnsi="宋体" w:cs="宋体"/>
                <w:color w:val="auto"/>
                <w:szCs w:val="21"/>
                <w:highlight w:val="none"/>
              </w:rPr>
              <w:t>校准周期</w:t>
            </w:r>
          </w:p>
        </w:tc>
        <w:tc>
          <w:tcPr>
            <w:tcW w:w="1080" w:type="dxa"/>
            <w:vAlign w:val="center"/>
          </w:tcPr>
          <w:p w14:paraId="07F5196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6653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00158A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793" w:type="dxa"/>
            <w:vAlign w:val="center"/>
          </w:tcPr>
          <w:p w14:paraId="068377E6">
            <w:pPr>
              <w:spacing w:line="360" w:lineRule="auto"/>
              <w:jc w:val="center"/>
              <w:rPr>
                <w:rFonts w:ascii="宋体" w:hAnsi="宋体" w:cs="宋体"/>
                <w:color w:val="auto"/>
                <w:szCs w:val="21"/>
                <w:highlight w:val="none"/>
              </w:rPr>
            </w:pPr>
          </w:p>
        </w:tc>
        <w:tc>
          <w:tcPr>
            <w:tcW w:w="900" w:type="dxa"/>
            <w:vAlign w:val="center"/>
          </w:tcPr>
          <w:p w14:paraId="5F480935">
            <w:pPr>
              <w:spacing w:line="360" w:lineRule="auto"/>
              <w:jc w:val="center"/>
              <w:rPr>
                <w:rFonts w:ascii="宋体" w:hAnsi="宋体" w:cs="宋体"/>
                <w:color w:val="auto"/>
                <w:szCs w:val="21"/>
                <w:highlight w:val="none"/>
              </w:rPr>
            </w:pPr>
          </w:p>
        </w:tc>
        <w:tc>
          <w:tcPr>
            <w:tcW w:w="992" w:type="dxa"/>
            <w:vAlign w:val="center"/>
          </w:tcPr>
          <w:p w14:paraId="2C095DAB">
            <w:pPr>
              <w:spacing w:line="360" w:lineRule="auto"/>
              <w:jc w:val="center"/>
              <w:rPr>
                <w:rFonts w:ascii="宋体" w:hAnsi="宋体" w:cs="宋体"/>
                <w:color w:val="auto"/>
                <w:szCs w:val="21"/>
                <w:highlight w:val="none"/>
              </w:rPr>
            </w:pPr>
          </w:p>
        </w:tc>
        <w:tc>
          <w:tcPr>
            <w:tcW w:w="1785" w:type="dxa"/>
            <w:vAlign w:val="center"/>
          </w:tcPr>
          <w:p w14:paraId="3C93C55C">
            <w:pPr>
              <w:spacing w:line="360" w:lineRule="auto"/>
              <w:jc w:val="center"/>
              <w:rPr>
                <w:rFonts w:ascii="宋体" w:hAnsi="宋体" w:cs="宋体"/>
                <w:color w:val="auto"/>
                <w:szCs w:val="21"/>
                <w:highlight w:val="none"/>
              </w:rPr>
            </w:pPr>
          </w:p>
        </w:tc>
        <w:tc>
          <w:tcPr>
            <w:tcW w:w="1116" w:type="dxa"/>
            <w:vAlign w:val="center"/>
          </w:tcPr>
          <w:p w14:paraId="580001F4">
            <w:pPr>
              <w:spacing w:line="360" w:lineRule="auto"/>
              <w:jc w:val="center"/>
              <w:rPr>
                <w:rFonts w:ascii="宋体" w:hAnsi="宋体" w:cs="宋体"/>
                <w:color w:val="auto"/>
                <w:szCs w:val="21"/>
                <w:highlight w:val="none"/>
              </w:rPr>
            </w:pPr>
          </w:p>
        </w:tc>
        <w:tc>
          <w:tcPr>
            <w:tcW w:w="1341" w:type="dxa"/>
            <w:vAlign w:val="center"/>
          </w:tcPr>
          <w:p w14:paraId="084DE904">
            <w:pPr>
              <w:spacing w:line="360" w:lineRule="auto"/>
              <w:jc w:val="center"/>
              <w:rPr>
                <w:rFonts w:ascii="宋体" w:hAnsi="宋体" w:cs="宋体"/>
                <w:color w:val="auto"/>
                <w:szCs w:val="21"/>
                <w:highlight w:val="none"/>
              </w:rPr>
            </w:pPr>
          </w:p>
        </w:tc>
        <w:tc>
          <w:tcPr>
            <w:tcW w:w="1080" w:type="dxa"/>
            <w:vAlign w:val="center"/>
          </w:tcPr>
          <w:p w14:paraId="2FB20638">
            <w:pPr>
              <w:spacing w:line="360" w:lineRule="auto"/>
              <w:jc w:val="center"/>
              <w:rPr>
                <w:rFonts w:ascii="宋体" w:hAnsi="宋体" w:cs="宋体"/>
                <w:color w:val="auto"/>
                <w:szCs w:val="21"/>
                <w:highlight w:val="none"/>
              </w:rPr>
            </w:pPr>
          </w:p>
        </w:tc>
      </w:tr>
      <w:tr w14:paraId="1748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3D1040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793" w:type="dxa"/>
            <w:vAlign w:val="center"/>
          </w:tcPr>
          <w:p w14:paraId="2CA23FD4">
            <w:pPr>
              <w:spacing w:line="360" w:lineRule="auto"/>
              <w:jc w:val="center"/>
              <w:rPr>
                <w:rFonts w:ascii="宋体" w:hAnsi="宋体" w:cs="宋体"/>
                <w:color w:val="auto"/>
                <w:szCs w:val="21"/>
                <w:highlight w:val="none"/>
              </w:rPr>
            </w:pPr>
          </w:p>
        </w:tc>
        <w:tc>
          <w:tcPr>
            <w:tcW w:w="900" w:type="dxa"/>
            <w:vAlign w:val="center"/>
          </w:tcPr>
          <w:p w14:paraId="3996B2DA">
            <w:pPr>
              <w:spacing w:line="360" w:lineRule="auto"/>
              <w:jc w:val="center"/>
              <w:rPr>
                <w:rFonts w:ascii="宋体" w:hAnsi="宋体" w:cs="宋体"/>
                <w:color w:val="auto"/>
                <w:szCs w:val="21"/>
                <w:highlight w:val="none"/>
              </w:rPr>
            </w:pPr>
          </w:p>
        </w:tc>
        <w:tc>
          <w:tcPr>
            <w:tcW w:w="992" w:type="dxa"/>
            <w:vAlign w:val="center"/>
          </w:tcPr>
          <w:p w14:paraId="3414F4EE">
            <w:pPr>
              <w:spacing w:line="360" w:lineRule="auto"/>
              <w:jc w:val="center"/>
              <w:rPr>
                <w:rFonts w:ascii="宋体" w:hAnsi="宋体" w:cs="宋体"/>
                <w:color w:val="auto"/>
                <w:szCs w:val="21"/>
                <w:highlight w:val="none"/>
              </w:rPr>
            </w:pPr>
          </w:p>
        </w:tc>
        <w:tc>
          <w:tcPr>
            <w:tcW w:w="1785" w:type="dxa"/>
            <w:vAlign w:val="center"/>
          </w:tcPr>
          <w:p w14:paraId="77F39252">
            <w:pPr>
              <w:spacing w:line="360" w:lineRule="auto"/>
              <w:jc w:val="center"/>
              <w:rPr>
                <w:rFonts w:ascii="宋体" w:hAnsi="宋体" w:cs="宋体"/>
                <w:color w:val="auto"/>
                <w:szCs w:val="21"/>
                <w:highlight w:val="none"/>
              </w:rPr>
            </w:pPr>
          </w:p>
        </w:tc>
        <w:tc>
          <w:tcPr>
            <w:tcW w:w="1116" w:type="dxa"/>
            <w:vAlign w:val="center"/>
          </w:tcPr>
          <w:p w14:paraId="218EC463">
            <w:pPr>
              <w:spacing w:line="360" w:lineRule="auto"/>
              <w:jc w:val="center"/>
              <w:rPr>
                <w:rFonts w:ascii="宋体" w:hAnsi="宋体" w:cs="宋体"/>
                <w:color w:val="auto"/>
                <w:szCs w:val="21"/>
                <w:highlight w:val="none"/>
              </w:rPr>
            </w:pPr>
          </w:p>
        </w:tc>
        <w:tc>
          <w:tcPr>
            <w:tcW w:w="1341" w:type="dxa"/>
            <w:vAlign w:val="center"/>
          </w:tcPr>
          <w:p w14:paraId="368D5840">
            <w:pPr>
              <w:spacing w:line="360" w:lineRule="auto"/>
              <w:jc w:val="center"/>
              <w:rPr>
                <w:rFonts w:ascii="宋体" w:hAnsi="宋体" w:cs="宋体"/>
                <w:color w:val="auto"/>
                <w:szCs w:val="21"/>
                <w:highlight w:val="none"/>
              </w:rPr>
            </w:pPr>
          </w:p>
        </w:tc>
        <w:tc>
          <w:tcPr>
            <w:tcW w:w="1080" w:type="dxa"/>
            <w:vAlign w:val="center"/>
          </w:tcPr>
          <w:p w14:paraId="48F46603">
            <w:pPr>
              <w:spacing w:line="360" w:lineRule="auto"/>
              <w:jc w:val="center"/>
              <w:rPr>
                <w:rFonts w:ascii="宋体" w:hAnsi="宋体" w:cs="宋体"/>
                <w:i/>
                <w:color w:val="auto"/>
                <w:szCs w:val="21"/>
                <w:highlight w:val="none"/>
              </w:rPr>
            </w:pPr>
          </w:p>
        </w:tc>
      </w:tr>
      <w:tr w14:paraId="5449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4DD6445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793" w:type="dxa"/>
            <w:vAlign w:val="center"/>
          </w:tcPr>
          <w:p w14:paraId="40A03C8C">
            <w:pPr>
              <w:spacing w:line="360" w:lineRule="auto"/>
              <w:jc w:val="center"/>
              <w:rPr>
                <w:rFonts w:ascii="宋体" w:hAnsi="宋体" w:cs="宋体"/>
                <w:color w:val="auto"/>
                <w:szCs w:val="21"/>
                <w:highlight w:val="none"/>
              </w:rPr>
            </w:pPr>
          </w:p>
        </w:tc>
        <w:tc>
          <w:tcPr>
            <w:tcW w:w="900" w:type="dxa"/>
            <w:vAlign w:val="center"/>
          </w:tcPr>
          <w:p w14:paraId="42FB64E3">
            <w:pPr>
              <w:spacing w:line="360" w:lineRule="auto"/>
              <w:jc w:val="center"/>
              <w:rPr>
                <w:rFonts w:ascii="宋体" w:hAnsi="宋体" w:cs="宋体"/>
                <w:color w:val="auto"/>
                <w:szCs w:val="21"/>
                <w:highlight w:val="none"/>
              </w:rPr>
            </w:pPr>
          </w:p>
        </w:tc>
        <w:tc>
          <w:tcPr>
            <w:tcW w:w="992" w:type="dxa"/>
            <w:vAlign w:val="center"/>
          </w:tcPr>
          <w:p w14:paraId="08DDB941">
            <w:pPr>
              <w:spacing w:line="360" w:lineRule="auto"/>
              <w:jc w:val="center"/>
              <w:rPr>
                <w:rFonts w:ascii="宋体" w:hAnsi="宋体" w:cs="宋体"/>
                <w:color w:val="auto"/>
                <w:szCs w:val="21"/>
                <w:highlight w:val="none"/>
              </w:rPr>
            </w:pPr>
          </w:p>
        </w:tc>
        <w:tc>
          <w:tcPr>
            <w:tcW w:w="1785" w:type="dxa"/>
            <w:vAlign w:val="center"/>
          </w:tcPr>
          <w:p w14:paraId="3441BDF2">
            <w:pPr>
              <w:spacing w:line="360" w:lineRule="auto"/>
              <w:jc w:val="center"/>
              <w:rPr>
                <w:rFonts w:ascii="宋体" w:hAnsi="宋体" w:cs="宋体"/>
                <w:color w:val="auto"/>
                <w:szCs w:val="21"/>
                <w:highlight w:val="none"/>
              </w:rPr>
            </w:pPr>
          </w:p>
        </w:tc>
        <w:tc>
          <w:tcPr>
            <w:tcW w:w="1116" w:type="dxa"/>
            <w:vAlign w:val="center"/>
          </w:tcPr>
          <w:p w14:paraId="44F047E2">
            <w:pPr>
              <w:spacing w:line="360" w:lineRule="auto"/>
              <w:jc w:val="center"/>
              <w:rPr>
                <w:rFonts w:ascii="宋体" w:hAnsi="宋体" w:cs="宋体"/>
                <w:color w:val="auto"/>
                <w:szCs w:val="21"/>
                <w:highlight w:val="none"/>
              </w:rPr>
            </w:pPr>
          </w:p>
        </w:tc>
        <w:tc>
          <w:tcPr>
            <w:tcW w:w="1341" w:type="dxa"/>
            <w:vAlign w:val="center"/>
          </w:tcPr>
          <w:p w14:paraId="59B41EFB">
            <w:pPr>
              <w:spacing w:line="360" w:lineRule="auto"/>
              <w:jc w:val="center"/>
              <w:rPr>
                <w:rFonts w:ascii="宋体" w:hAnsi="宋体" w:cs="宋体"/>
                <w:color w:val="auto"/>
                <w:szCs w:val="21"/>
                <w:highlight w:val="none"/>
              </w:rPr>
            </w:pPr>
          </w:p>
        </w:tc>
        <w:tc>
          <w:tcPr>
            <w:tcW w:w="1080" w:type="dxa"/>
            <w:vAlign w:val="center"/>
          </w:tcPr>
          <w:p w14:paraId="5D169D5C">
            <w:pPr>
              <w:spacing w:line="360" w:lineRule="auto"/>
              <w:jc w:val="center"/>
              <w:rPr>
                <w:rFonts w:ascii="宋体" w:hAnsi="宋体" w:cs="宋体"/>
                <w:color w:val="auto"/>
                <w:szCs w:val="21"/>
                <w:highlight w:val="none"/>
              </w:rPr>
            </w:pPr>
          </w:p>
        </w:tc>
      </w:tr>
      <w:tr w14:paraId="7A8D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3A96F5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793" w:type="dxa"/>
            <w:vAlign w:val="center"/>
          </w:tcPr>
          <w:p w14:paraId="5315885F">
            <w:pPr>
              <w:spacing w:line="360" w:lineRule="auto"/>
              <w:jc w:val="center"/>
              <w:rPr>
                <w:rFonts w:ascii="宋体" w:hAnsi="宋体" w:cs="宋体"/>
                <w:color w:val="auto"/>
                <w:szCs w:val="21"/>
                <w:highlight w:val="none"/>
              </w:rPr>
            </w:pPr>
          </w:p>
        </w:tc>
        <w:tc>
          <w:tcPr>
            <w:tcW w:w="900" w:type="dxa"/>
            <w:vAlign w:val="center"/>
          </w:tcPr>
          <w:p w14:paraId="55B9004C">
            <w:pPr>
              <w:spacing w:line="360" w:lineRule="auto"/>
              <w:jc w:val="center"/>
              <w:rPr>
                <w:rFonts w:ascii="宋体" w:hAnsi="宋体" w:cs="宋体"/>
                <w:color w:val="auto"/>
                <w:szCs w:val="21"/>
                <w:highlight w:val="none"/>
              </w:rPr>
            </w:pPr>
          </w:p>
        </w:tc>
        <w:tc>
          <w:tcPr>
            <w:tcW w:w="992" w:type="dxa"/>
            <w:vAlign w:val="center"/>
          </w:tcPr>
          <w:p w14:paraId="2AB733D8">
            <w:pPr>
              <w:spacing w:line="360" w:lineRule="auto"/>
              <w:jc w:val="center"/>
              <w:rPr>
                <w:rFonts w:ascii="宋体" w:hAnsi="宋体" w:cs="宋体"/>
                <w:color w:val="auto"/>
                <w:szCs w:val="21"/>
                <w:highlight w:val="none"/>
              </w:rPr>
            </w:pPr>
          </w:p>
        </w:tc>
        <w:tc>
          <w:tcPr>
            <w:tcW w:w="1785" w:type="dxa"/>
            <w:vAlign w:val="center"/>
          </w:tcPr>
          <w:p w14:paraId="065BE00E">
            <w:pPr>
              <w:spacing w:line="360" w:lineRule="auto"/>
              <w:jc w:val="center"/>
              <w:rPr>
                <w:rFonts w:ascii="宋体" w:hAnsi="宋体" w:cs="宋体"/>
                <w:color w:val="auto"/>
                <w:szCs w:val="21"/>
                <w:highlight w:val="none"/>
              </w:rPr>
            </w:pPr>
          </w:p>
        </w:tc>
        <w:tc>
          <w:tcPr>
            <w:tcW w:w="1116" w:type="dxa"/>
            <w:vAlign w:val="center"/>
          </w:tcPr>
          <w:p w14:paraId="5790FA7C">
            <w:pPr>
              <w:spacing w:line="360" w:lineRule="auto"/>
              <w:jc w:val="center"/>
              <w:rPr>
                <w:rFonts w:ascii="宋体" w:hAnsi="宋体" w:cs="宋体"/>
                <w:color w:val="auto"/>
                <w:szCs w:val="21"/>
                <w:highlight w:val="none"/>
              </w:rPr>
            </w:pPr>
          </w:p>
        </w:tc>
        <w:tc>
          <w:tcPr>
            <w:tcW w:w="1341" w:type="dxa"/>
            <w:vAlign w:val="center"/>
          </w:tcPr>
          <w:p w14:paraId="4B6E4B65">
            <w:pPr>
              <w:spacing w:line="360" w:lineRule="auto"/>
              <w:jc w:val="center"/>
              <w:rPr>
                <w:rFonts w:ascii="宋体" w:hAnsi="宋体" w:cs="宋体"/>
                <w:color w:val="auto"/>
                <w:szCs w:val="21"/>
                <w:highlight w:val="none"/>
              </w:rPr>
            </w:pPr>
          </w:p>
        </w:tc>
        <w:tc>
          <w:tcPr>
            <w:tcW w:w="1080" w:type="dxa"/>
            <w:vAlign w:val="center"/>
          </w:tcPr>
          <w:p w14:paraId="41D1C93D">
            <w:pPr>
              <w:spacing w:line="360" w:lineRule="auto"/>
              <w:jc w:val="center"/>
              <w:rPr>
                <w:rFonts w:ascii="宋体" w:hAnsi="宋体" w:cs="宋体"/>
                <w:color w:val="auto"/>
                <w:szCs w:val="21"/>
                <w:highlight w:val="none"/>
              </w:rPr>
            </w:pPr>
          </w:p>
        </w:tc>
      </w:tr>
      <w:tr w14:paraId="43D8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76EF15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793" w:type="dxa"/>
            <w:vAlign w:val="center"/>
          </w:tcPr>
          <w:p w14:paraId="09CCD616">
            <w:pPr>
              <w:spacing w:line="360" w:lineRule="auto"/>
              <w:jc w:val="center"/>
              <w:rPr>
                <w:rFonts w:ascii="宋体" w:hAnsi="宋体" w:cs="宋体"/>
                <w:color w:val="auto"/>
                <w:szCs w:val="21"/>
                <w:highlight w:val="none"/>
              </w:rPr>
            </w:pPr>
          </w:p>
        </w:tc>
        <w:tc>
          <w:tcPr>
            <w:tcW w:w="900" w:type="dxa"/>
            <w:vAlign w:val="center"/>
          </w:tcPr>
          <w:p w14:paraId="1895A700">
            <w:pPr>
              <w:spacing w:line="360" w:lineRule="auto"/>
              <w:jc w:val="center"/>
              <w:rPr>
                <w:rFonts w:ascii="宋体" w:hAnsi="宋体" w:cs="宋体"/>
                <w:color w:val="auto"/>
                <w:szCs w:val="21"/>
                <w:highlight w:val="none"/>
              </w:rPr>
            </w:pPr>
          </w:p>
        </w:tc>
        <w:tc>
          <w:tcPr>
            <w:tcW w:w="992" w:type="dxa"/>
            <w:vAlign w:val="center"/>
          </w:tcPr>
          <w:p w14:paraId="0825F014">
            <w:pPr>
              <w:spacing w:line="360" w:lineRule="auto"/>
              <w:jc w:val="center"/>
              <w:rPr>
                <w:rFonts w:ascii="宋体" w:hAnsi="宋体" w:cs="宋体"/>
                <w:color w:val="auto"/>
                <w:szCs w:val="21"/>
                <w:highlight w:val="none"/>
              </w:rPr>
            </w:pPr>
          </w:p>
        </w:tc>
        <w:tc>
          <w:tcPr>
            <w:tcW w:w="1785" w:type="dxa"/>
            <w:vAlign w:val="center"/>
          </w:tcPr>
          <w:p w14:paraId="0C58A140">
            <w:pPr>
              <w:spacing w:line="360" w:lineRule="auto"/>
              <w:jc w:val="center"/>
              <w:rPr>
                <w:rFonts w:ascii="宋体" w:hAnsi="宋体" w:cs="宋体"/>
                <w:color w:val="auto"/>
                <w:szCs w:val="21"/>
                <w:highlight w:val="none"/>
              </w:rPr>
            </w:pPr>
          </w:p>
        </w:tc>
        <w:tc>
          <w:tcPr>
            <w:tcW w:w="1116" w:type="dxa"/>
            <w:vAlign w:val="center"/>
          </w:tcPr>
          <w:p w14:paraId="0C63C6B8">
            <w:pPr>
              <w:spacing w:line="360" w:lineRule="auto"/>
              <w:jc w:val="center"/>
              <w:rPr>
                <w:rFonts w:ascii="宋体" w:hAnsi="宋体" w:cs="宋体"/>
                <w:color w:val="auto"/>
                <w:szCs w:val="21"/>
                <w:highlight w:val="none"/>
              </w:rPr>
            </w:pPr>
          </w:p>
        </w:tc>
        <w:tc>
          <w:tcPr>
            <w:tcW w:w="1341" w:type="dxa"/>
            <w:vAlign w:val="center"/>
          </w:tcPr>
          <w:p w14:paraId="318EC951">
            <w:pPr>
              <w:spacing w:line="360" w:lineRule="auto"/>
              <w:jc w:val="center"/>
              <w:rPr>
                <w:rFonts w:ascii="宋体" w:hAnsi="宋体" w:cs="宋体"/>
                <w:color w:val="auto"/>
                <w:szCs w:val="21"/>
                <w:highlight w:val="none"/>
              </w:rPr>
            </w:pPr>
          </w:p>
        </w:tc>
        <w:tc>
          <w:tcPr>
            <w:tcW w:w="1080" w:type="dxa"/>
            <w:vAlign w:val="center"/>
          </w:tcPr>
          <w:p w14:paraId="1B01F008">
            <w:pPr>
              <w:spacing w:line="360" w:lineRule="auto"/>
              <w:jc w:val="center"/>
              <w:rPr>
                <w:rFonts w:ascii="宋体" w:hAnsi="宋体" w:cs="宋体"/>
                <w:color w:val="auto"/>
                <w:szCs w:val="21"/>
                <w:highlight w:val="none"/>
              </w:rPr>
            </w:pPr>
          </w:p>
        </w:tc>
      </w:tr>
      <w:tr w14:paraId="1A9C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391B0C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793" w:type="dxa"/>
            <w:vAlign w:val="center"/>
          </w:tcPr>
          <w:p w14:paraId="0A1199DE">
            <w:pPr>
              <w:spacing w:line="360" w:lineRule="auto"/>
              <w:jc w:val="center"/>
              <w:rPr>
                <w:rFonts w:ascii="宋体" w:hAnsi="宋体" w:cs="宋体"/>
                <w:color w:val="auto"/>
                <w:szCs w:val="21"/>
                <w:highlight w:val="none"/>
              </w:rPr>
            </w:pPr>
          </w:p>
        </w:tc>
        <w:tc>
          <w:tcPr>
            <w:tcW w:w="900" w:type="dxa"/>
            <w:vAlign w:val="center"/>
          </w:tcPr>
          <w:p w14:paraId="41786237">
            <w:pPr>
              <w:spacing w:line="360" w:lineRule="auto"/>
              <w:jc w:val="center"/>
              <w:rPr>
                <w:rFonts w:ascii="宋体" w:hAnsi="宋体" w:cs="宋体"/>
                <w:color w:val="auto"/>
                <w:szCs w:val="21"/>
                <w:highlight w:val="none"/>
              </w:rPr>
            </w:pPr>
          </w:p>
        </w:tc>
        <w:tc>
          <w:tcPr>
            <w:tcW w:w="992" w:type="dxa"/>
            <w:vAlign w:val="center"/>
          </w:tcPr>
          <w:p w14:paraId="22EAA0DF">
            <w:pPr>
              <w:spacing w:line="360" w:lineRule="auto"/>
              <w:jc w:val="center"/>
              <w:rPr>
                <w:rFonts w:ascii="宋体" w:hAnsi="宋体" w:cs="宋体"/>
                <w:color w:val="auto"/>
                <w:szCs w:val="21"/>
                <w:highlight w:val="none"/>
              </w:rPr>
            </w:pPr>
          </w:p>
        </w:tc>
        <w:tc>
          <w:tcPr>
            <w:tcW w:w="1785" w:type="dxa"/>
            <w:vAlign w:val="center"/>
          </w:tcPr>
          <w:p w14:paraId="4BEB3384">
            <w:pPr>
              <w:spacing w:line="360" w:lineRule="auto"/>
              <w:jc w:val="center"/>
              <w:rPr>
                <w:rFonts w:ascii="宋体" w:hAnsi="宋体" w:cs="宋体"/>
                <w:color w:val="auto"/>
                <w:szCs w:val="21"/>
                <w:highlight w:val="none"/>
              </w:rPr>
            </w:pPr>
          </w:p>
        </w:tc>
        <w:tc>
          <w:tcPr>
            <w:tcW w:w="1116" w:type="dxa"/>
            <w:vAlign w:val="center"/>
          </w:tcPr>
          <w:p w14:paraId="1EF0CCBD">
            <w:pPr>
              <w:spacing w:line="360" w:lineRule="auto"/>
              <w:jc w:val="center"/>
              <w:rPr>
                <w:rFonts w:ascii="宋体" w:hAnsi="宋体" w:cs="宋体"/>
                <w:color w:val="auto"/>
                <w:szCs w:val="21"/>
                <w:highlight w:val="none"/>
              </w:rPr>
            </w:pPr>
          </w:p>
        </w:tc>
        <w:tc>
          <w:tcPr>
            <w:tcW w:w="1341" w:type="dxa"/>
            <w:vAlign w:val="center"/>
          </w:tcPr>
          <w:p w14:paraId="2BFC0A5A">
            <w:pPr>
              <w:spacing w:line="360" w:lineRule="auto"/>
              <w:jc w:val="center"/>
              <w:rPr>
                <w:rFonts w:ascii="宋体" w:hAnsi="宋体" w:cs="宋体"/>
                <w:color w:val="auto"/>
                <w:szCs w:val="21"/>
                <w:highlight w:val="none"/>
              </w:rPr>
            </w:pPr>
          </w:p>
        </w:tc>
        <w:tc>
          <w:tcPr>
            <w:tcW w:w="1080" w:type="dxa"/>
            <w:vAlign w:val="center"/>
          </w:tcPr>
          <w:p w14:paraId="3D622722">
            <w:pPr>
              <w:spacing w:line="360" w:lineRule="auto"/>
              <w:jc w:val="center"/>
              <w:rPr>
                <w:rFonts w:ascii="宋体" w:hAnsi="宋体" w:cs="宋体"/>
                <w:color w:val="auto"/>
                <w:szCs w:val="21"/>
                <w:highlight w:val="none"/>
              </w:rPr>
            </w:pPr>
          </w:p>
        </w:tc>
      </w:tr>
      <w:tr w14:paraId="351D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0F444A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793" w:type="dxa"/>
            <w:vAlign w:val="center"/>
          </w:tcPr>
          <w:p w14:paraId="10921877">
            <w:pPr>
              <w:spacing w:line="360" w:lineRule="auto"/>
              <w:jc w:val="center"/>
              <w:rPr>
                <w:rFonts w:ascii="宋体" w:hAnsi="宋体" w:cs="宋体"/>
                <w:color w:val="auto"/>
                <w:szCs w:val="21"/>
                <w:highlight w:val="none"/>
              </w:rPr>
            </w:pPr>
          </w:p>
        </w:tc>
        <w:tc>
          <w:tcPr>
            <w:tcW w:w="900" w:type="dxa"/>
            <w:vAlign w:val="center"/>
          </w:tcPr>
          <w:p w14:paraId="1C52D7CA">
            <w:pPr>
              <w:spacing w:line="360" w:lineRule="auto"/>
              <w:jc w:val="center"/>
              <w:rPr>
                <w:rFonts w:ascii="宋体" w:hAnsi="宋体" w:cs="宋体"/>
                <w:color w:val="auto"/>
                <w:szCs w:val="21"/>
                <w:highlight w:val="none"/>
              </w:rPr>
            </w:pPr>
          </w:p>
        </w:tc>
        <w:tc>
          <w:tcPr>
            <w:tcW w:w="992" w:type="dxa"/>
            <w:vAlign w:val="center"/>
          </w:tcPr>
          <w:p w14:paraId="113B3691">
            <w:pPr>
              <w:spacing w:line="360" w:lineRule="auto"/>
              <w:jc w:val="center"/>
              <w:rPr>
                <w:rFonts w:ascii="宋体" w:hAnsi="宋体" w:cs="宋体"/>
                <w:color w:val="auto"/>
                <w:szCs w:val="21"/>
                <w:highlight w:val="none"/>
              </w:rPr>
            </w:pPr>
          </w:p>
        </w:tc>
        <w:tc>
          <w:tcPr>
            <w:tcW w:w="1785" w:type="dxa"/>
            <w:vAlign w:val="center"/>
          </w:tcPr>
          <w:p w14:paraId="278A4AAF">
            <w:pPr>
              <w:spacing w:line="360" w:lineRule="auto"/>
              <w:jc w:val="center"/>
              <w:rPr>
                <w:rFonts w:ascii="宋体" w:hAnsi="宋体" w:cs="宋体"/>
                <w:color w:val="auto"/>
                <w:szCs w:val="21"/>
                <w:highlight w:val="none"/>
              </w:rPr>
            </w:pPr>
          </w:p>
        </w:tc>
        <w:tc>
          <w:tcPr>
            <w:tcW w:w="1116" w:type="dxa"/>
            <w:vAlign w:val="center"/>
          </w:tcPr>
          <w:p w14:paraId="7F74CBE2">
            <w:pPr>
              <w:spacing w:line="360" w:lineRule="auto"/>
              <w:jc w:val="center"/>
              <w:rPr>
                <w:rFonts w:ascii="宋体" w:hAnsi="宋体" w:cs="宋体"/>
                <w:color w:val="auto"/>
                <w:szCs w:val="21"/>
                <w:highlight w:val="none"/>
              </w:rPr>
            </w:pPr>
          </w:p>
        </w:tc>
        <w:tc>
          <w:tcPr>
            <w:tcW w:w="1341" w:type="dxa"/>
            <w:vAlign w:val="center"/>
          </w:tcPr>
          <w:p w14:paraId="1B27251A">
            <w:pPr>
              <w:spacing w:line="360" w:lineRule="auto"/>
              <w:jc w:val="center"/>
              <w:rPr>
                <w:rFonts w:ascii="宋体" w:hAnsi="宋体" w:cs="宋体"/>
                <w:color w:val="auto"/>
                <w:szCs w:val="21"/>
                <w:highlight w:val="none"/>
              </w:rPr>
            </w:pPr>
          </w:p>
        </w:tc>
        <w:tc>
          <w:tcPr>
            <w:tcW w:w="1080" w:type="dxa"/>
            <w:vAlign w:val="center"/>
          </w:tcPr>
          <w:p w14:paraId="2FACE339">
            <w:pPr>
              <w:spacing w:line="360" w:lineRule="auto"/>
              <w:jc w:val="center"/>
              <w:rPr>
                <w:rFonts w:ascii="宋体" w:hAnsi="宋体" w:cs="宋体"/>
                <w:color w:val="auto"/>
                <w:szCs w:val="21"/>
                <w:highlight w:val="none"/>
              </w:rPr>
            </w:pPr>
          </w:p>
        </w:tc>
      </w:tr>
      <w:tr w14:paraId="4F76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197491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793" w:type="dxa"/>
            <w:vAlign w:val="center"/>
          </w:tcPr>
          <w:p w14:paraId="5A73DD58">
            <w:pPr>
              <w:spacing w:line="360" w:lineRule="auto"/>
              <w:jc w:val="center"/>
              <w:rPr>
                <w:rFonts w:ascii="宋体" w:hAnsi="宋体" w:cs="宋体"/>
                <w:color w:val="auto"/>
                <w:szCs w:val="21"/>
                <w:highlight w:val="none"/>
              </w:rPr>
            </w:pPr>
          </w:p>
        </w:tc>
        <w:tc>
          <w:tcPr>
            <w:tcW w:w="900" w:type="dxa"/>
            <w:vAlign w:val="center"/>
          </w:tcPr>
          <w:p w14:paraId="07DB6794">
            <w:pPr>
              <w:spacing w:line="360" w:lineRule="auto"/>
              <w:jc w:val="center"/>
              <w:rPr>
                <w:rFonts w:ascii="宋体" w:hAnsi="宋体" w:cs="宋体"/>
                <w:color w:val="auto"/>
                <w:szCs w:val="21"/>
                <w:highlight w:val="none"/>
              </w:rPr>
            </w:pPr>
          </w:p>
        </w:tc>
        <w:tc>
          <w:tcPr>
            <w:tcW w:w="992" w:type="dxa"/>
            <w:vAlign w:val="center"/>
          </w:tcPr>
          <w:p w14:paraId="7CE2D5AB">
            <w:pPr>
              <w:spacing w:line="360" w:lineRule="auto"/>
              <w:jc w:val="center"/>
              <w:rPr>
                <w:rFonts w:ascii="宋体" w:hAnsi="宋体" w:cs="宋体"/>
                <w:color w:val="auto"/>
                <w:szCs w:val="21"/>
                <w:highlight w:val="none"/>
              </w:rPr>
            </w:pPr>
          </w:p>
        </w:tc>
        <w:tc>
          <w:tcPr>
            <w:tcW w:w="1785" w:type="dxa"/>
            <w:vAlign w:val="center"/>
          </w:tcPr>
          <w:p w14:paraId="566F2B8B">
            <w:pPr>
              <w:spacing w:line="360" w:lineRule="auto"/>
              <w:jc w:val="center"/>
              <w:rPr>
                <w:rFonts w:ascii="宋体" w:hAnsi="宋体" w:cs="宋体"/>
                <w:color w:val="auto"/>
                <w:szCs w:val="21"/>
                <w:highlight w:val="none"/>
              </w:rPr>
            </w:pPr>
          </w:p>
        </w:tc>
        <w:tc>
          <w:tcPr>
            <w:tcW w:w="1116" w:type="dxa"/>
            <w:vAlign w:val="center"/>
          </w:tcPr>
          <w:p w14:paraId="42E9BF9D">
            <w:pPr>
              <w:spacing w:line="360" w:lineRule="auto"/>
              <w:jc w:val="center"/>
              <w:rPr>
                <w:rFonts w:ascii="宋体" w:hAnsi="宋体" w:cs="宋体"/>
                <w:color w:val="auto"/>
                <w:szCs w:val="21"/>
                <w:highlight w:val="none"/>
              </w:rPr>
            </w:pPr>
          </w:p>
        </w:tc>
        <w:tc>
          <w:tcPr>
            <w:tcW w:w="1341" w:type="dxa"/>
            <w:vAlign w:val="center"/>
          </w:tcPr>
          <w:p w14:paraId="0B454C6E">
            <w:pPr>
              <w:spacing w:line="360" w:lineRule="auto"/>
              <w:jc w:val="center"/>
              <w:rPr>
                <w:rFonts w:ascii="宋体" w:hAnsi="宋体" w:cs="宋体"/>
                <w:color w:val="auto"/>
                <w:szCs w:val="21"/>
                <w:highlight w:val="none"/>
              </w:rPr>
            </w:pPr>
          </w:p>
        </w:tc>
        <w:tc>
          <w:tcPr>
            <w:tcW w:w="1080" w:type="dxa"/>
            <w:vAlign w:val="center"/>
          </w:tcPr>
          <w:p w14:paraId="7ACEF6B5">
            <w:pPr>
              <w:spacing w:line="360" w:lineRule="auto"/>
              <w:jc w:val="center"/>
              <w:rPr>
                <w:rFonts w:ascii="宋体" w:hAnsi="宋体" w:cs="宋体"/>
                <w:color w:val="auto"/>
                <w:szCs w:val="21"/>
                <w:highlight w:val="none"/>
              </w:rPr>
            </w:pPr>
          </w:p>
        </w:tc>
      </w:tr>
      <w:tr w14:paraId="37A4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604075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793" w:type="dxa"/>
            <w:vAlign w:val="center"/>
          </w:tcPr>
          <w:p w14:paraId="389C308C">
            <w:pPr>
              <w:spacing w:line="360" w:lineRule="auto"/>
              <w:jc w:val="center"/>
              <w:rPr>
                <w:rFonts w:ascii="宋体" w:hAnsi="宋体" w:cs="宋体"/>
                <w:color w:val="auto"/>
                <w:szCs w:val="21"/>
                <w:highlight w:val="none"/>
              </w:rPr>
            </w:pPr>
          </w:p>
        </w:tc>
        <w:tc>
          <w:tcPr>
            <w:tcW w:w="900" w:type="dxa"/>
            <w:vAlign w:val="center"/>
          </w:tcPr>
          <w:p w14:paraId="7E242403">
            <w:pPr>
              <w:spacing w:line="360" w:lineRule="auto"/>
              <w:jc w:val="center"/>
              <w:rPr>
                <w:rFonts w:ascii="宋体" w:hAnsi="宋体" w:cs="宋体"/>
                <w:color w:val="auto"/>
                <w:szCs w:val="21"/>
                <w:highlight w:val="none"/>
              </w:rPr>
            </w:pPr>
          </w:p>
        </w:tc>
        <w:tc>
          <w:tcPr>
            <w:tcW w:w="992" w:type="dxa"/>
            <w:vAlign w:val="center"/>
          </w:tcPr>
          <w:p w14:paraId="76C015E3">
            <w:pPr>
              <w:spacing w:line="360" w:lineRule="auto"/>
              <w:jc w:val="center"/>
              <w:rPr>
                <w:rFonts w:ascii="宋体" w:hAnsi="宋体" w:cs="宋体"/>
                <w:color w:val="auto"/>
                <w:szCs w:val="21"/>
                <w:highlight w:val="none"/>
              </w:rPr>
            </w:pPr>
          </w:p>
        </w:tc>
        <w:tc>
          <w:tcPr>
            <w:tcW w:w="1785" w:type="dxa"/>
            <w:vAlign w:val="center"/>
          </w:tcPr>
          <w:p w14:paraId="711AD64C">
            <w:pPr>
              <w:spacing w:line="360" w:lineRule="auto"/>
              <w:jc w:val="center"/>
              <w:rPr>
                <w:rFonts w:ascii="宋体" w:hAnsi="宋体" w:cs="宋体"/>
                <w:color w:val="auto"/>
                <w:szCs w:val="21"/>
                <w:highlight w:val="none"/>
              </w:rPr>
            </w:pPr>
          </w:p>
        </w:tc>
        <w:tc>
          <w:tcPr>
            <w:tcW w:w="1116" w:type="dxa"/>
            <w:vAlign w:val="center"/>
          </w:tcPr>
          <w:p w14:paraId="0A9F278D">
            <w:pPr>
              <w:spacing w:line="360" w:lineRule="auto"/>
              <w:jc w:val="center"/>
              <w:rPr>
                <w:rFonts w:ascii="宋体" w:hAnsi="宋体" w:cs="宋体"/>
                <w:color w:val="auto"/>
                <w:szCs w:val="21"/>
                <w:highlight w:val="none"/>
              </w:rPr>
            </w:pPr>
          </w:p>
        </w:tc>
        <w:tc>
          <w:tcPr>
            <w:tcW w:w="1341" w:type="dxa"/>
            <w:vAlign w:val="center"/>
          </w:tcPr>
          <w:p w14:paraId="684BCA51">
            <w:pPr>
              <w:spacing w:line="360" w:lineRule="auto"/>
              <w:jc w:val="center"/>
              <w:rPr>
                <w:rFonts w:ascii="宋体" w:hAnsi="宋体" w:cs="宋体"/>
                <w:color w:val="auto"/>
                <w:szCs w:val="21"/>
                <w:highlight w:val="none"/>
              </w:rPr>
            </w:pPr>
          </w:p>
        </w:tc>
        <w:tc>
          <w:tcPr>
            <w:tcW w:w="1080" w:type="dxa"/>
            <w:vAlign w:val="center"/>
          </w:tcPr>
          <w:p w14:paraId="68131757">
            <w:pPr>
              <w:spacing w:line="360" w:lineRule="auto"/>
              <w:jc w:val="center"/>
              <w:rPr>
                <w:rFonts w:ascii="宋体" w:hAnsi="宋体" w:cs="宋体"/>
                <w:color w:val="auto"/>
                <w:szCs w:val="21"/>
                <w:highlight w:val="none"/>
              </w:rPr>
            </w:pPr>
          </w:p>
        </w:tc>
      </w:tr>
      <w:tr w14:paraId="7960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14:paraId="617326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793" w:type="dxa"/>
            <w:vAlign w:val="center"/>
          </w:tcPr>
          <w:p w14:paraId="1F5B47CA">
            <w:pPr>
              <w:spacing w:line="360" w:lineRule="auto"/>
              <w:jc w:val="center"/>
              <w:rPr>
                <w:rFonts w:ascii="宋体" w:hAnsi="宋体" w:cs="宋体"/>
                <w:color w:val="auto"/>
                <w:szCs w:val="21"/>
                <w:highlight w:val="none"/>
              </w:rPr>
            </w:pPr>
          </w:p>
        </w:tc>
        <w:tc>
          <w:tcPr>
            <w:tcW w:w="900" w:type="dxa"/>
            <w:vAlign w:val="center"/>
          </w:tcPr>
          <w:p w14:paraId="4FAE4203">
            <w:pPr>
              <w:spacing w:line="360" w:lineRule="auto"/>
              <w:jc w:val="center"/>
              <w:rPr>
                <w:rFonts w:ascii="宋体" w:hAnsi="宋体" w:cs="宋体"/>
                <w:color w:val="auto"/>
                <w:szCs w:val="21"/>
                <w:highlight w:val="none"/>
              </w:rPr>
            </w:pPr>
          </w:p>
        </w:tc>
        <w:tc>
          <w:tcPr>
            <w:tcW w:w="992" w:type="dxa"/>
            <w:vAlign w:val="center"/>
          </w:tcPr>
          <w:p w14:paraId="1E65C01C">
            <w:pPr>
              <w:spacing w:line="360" w:lineRule="auto"/>
              <w:jc w:val="center"/>
              <w:rPr>
                <w:rFonts w:ascii="宋体" w:hAnsi="宋体" w:cs="宋体"/>
                <w:color w:val="auto"/>
                <w:szCs w:val="21"/>
                <w:highlight w:val="none"/>
              </w:rPr>
            </w:pPr>
          </w:p>
        </w:tc>
        <w:tc>
          <w:tcPr>
            <w:tcW w:w="1785" w:type="dxa"/>
            <w:vAlign w:val="center"/>
          </w:tcPr>
          <w:p w14:paraId="2DF1A412">
            <w:pPr>
              <w:spacing w:line="360" w:lineRule="auto"/>
              <w:jc w:val="center"/>
              <w:rPr>
                <w:rFonts w:ascii="宋体" w:hAnsi="宋体" w:cs="宋体"/>
                <w:color w:val="auto"/>
                <w:szCs w:val="21"/>
                <w:highlight w:val="none"/>
              </w:rPr>
            </w:pPr>
          </w:p>
        </w:tc>
        <w:tc>
          <w:tcPr>
            <w:tcW w:w="1116" w:type="dxa"/>
            <w:vAlign w:val="center"/>
          </w:tcPr>
          <w:p w14:paraId="20FD4D16">
            <w:pPr>
              <w:spacing w:line="360" w:lineRule="auto"/>
              <w:jc w:val="center"/>
              <w:rPr>
                <w:rFonts w:ascii="宋体" w:hAnsi="宋体" w:cs="宋体"/>
                <w:color w:val="auto"/>
                <w:szCs w:val="21"/>
                <w:highlight w:val="none"/>
              </w:rPr>
            </w:pPr>
          </w:p>
        </w:tc>
        <w:tc>
          <w:tcPr>
            <w:tcW w:w="1341" w:type="dxa"/>
            <w:vAlign w:val="center"/>
          </w:tcPr>
          <w:p w14:paraId="55A21F2B">
            <w:pPr>
              <w:spacing w:line="360" w:lineRule="auto"/>
              <w:jc w:val="center"/>
              <w:rPr>
                <w:rFonts w:ascii="宋体" w:hAnsi="宋体" w:cs="宋体"/>
                <w:color w:val="auto"/>
                <w:szCs w:val="21"/>
                <w:highlight w:val="none"/>
              </w:rPr>
            </w:pPr>
          </w:p>
        </w:tc>
        <w:tc>
          <w:tcPr>
            <w:tcW w:w="1080" w:type="dxa"/>
            <w:vAlign w:val="center"/>
          </w:tcPr>
          <w:p w14:paraId="16631A4D">
            <w:pPr>
              <w:spacing w:line="360" w:lineRule="auto"/>
              <w:jc w:val="center"/>
              <w:rPr>
                <w:rFonts w:ascii="宋体" w:hAnsi="宋体" w:cs="宋体"/>
                <w:color w:val="auto"/>
                <w:szCs w:val="21"/>
                <w:highlight w:val="none"/>
              </w:rPr>
            </w:pPr>
          </w:p>
        </w:tc>
      </w:tr>
    </w:tbl>
    <w:p w14:paraId="78DF4BD6">
      <w:pPr>
        <w:spacing w:line="360" w:lineRule="auto"/>
        <w:rPr>
          <w:rFonts w:ascii="宋体" w:hAnsi="宋体" w:cs="宋体"/>
          <w:color w:val="auto"/>
          <w:highlight w:val="none"/>
        </w:rPr>
      </w:pPr>
      <w:r>
        <w:rPr>
          <w:rFonts w:hint="eastAsia" w:ascii="宋体" w:hAnsi="宋体" w:cs="宋体"/>
          <w:color w:val="auto"/>
          <w:highlight w:val="none"/>
        </w:rPr>
        <w:t>注：投标人应根据招标文件的要求在本表后附相关证明材料</w:t>
      </w:r>
    </w:p>
    <w:p w14:paraId="3EBB6FE7">
      <w:pPr>
        <w:spacing w:line="360" w:lineRule="auto"/>
        <w:jc w:val="left"/>
        <w:rPr>
          <w:rFonts w:ascii="宋体" w:hAnsi="宋体" w:cs="宋体"/>
          <w:color w:val="auto"/>
          <w:sz w:val="28"/>
          <w:szCs w:val="28"/>
          <w:highlight w:val="none"/>
        </w:rPr>
      </w:pPr>
      <w:r>
        <w:rPr>
          <w:rFonts w:hint="eastAsia" w:ascii="宋体" w:hAnsi="宋体" w:cs="宋体"/>
          <w:color w:val="auto"/>
          <w:highlight w:val="none"/>
        </w:rPr>
        <w:t>（本项不作为资格审查内容，但（如有）需提供，仅作为投标人的评标（综合评分）资料进行考察。表格格式可以根据实际情况调整。）</w:t>
      </w:r>
    </w:p>
    <w:p w14:paraId="07AD020E">
      <w:pPr>
        <w:spacing w:line="360" w:lineRule="auto"/>
        <w:ind w:firstLine="565" w:firstLineChars="202"/>
        <w:jc w:val="left"/>
        <w:rPr>
          <w:rFonts w:ascii="宋体" w:hAnsi="宋体" w:cs="宋体"/>
          <w:color w:val="auto"/>
          <w:sz w:val="28"/>
          <w:szCs w:val="28"/>
          <w:highlight w:val="none"/>
        </w:rPr>
      </w:pPr>
    </w:p>
    <w:p w14:paraId="57F32712">
      <w:pPr>
        <w:spacing w:line="360" w:lineRule="auto"/>
        <w:ind w:firstLine="565" w:firstLineChars="202"/>
        <w:jc w:val="left"/>
        <w:rPr>
          <w:rFonts w:ascii="宋体" w:hAnsi="宋体" w:cs="宋体"/>
          <w:color w:val="auto"/>
          <w:sz w:val="28"/>
          <w:szCs w:val="28"/>
          <w:highlight w:val="none"/>
        </w:rPr>
      </w:pPr>
    </w:p>
    <w:p w14:paraId="1DA3B54D">
      <w:pPr>
        <w:keepNext/>
        <w:keepLines/>
        <w:spacing w:line="360" w:lineRule="auto"/>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bookmarkStart w:id="257" w:name="_Toc24856"/>
      <w:r>
        <w:rPr>
          <w:rFonts w:hint="eastAsia" w:ascii="宋体" w:hAnsi="宋体" w:cs="宋体"/>
          <w:b/>
          <w:bCs/>
          <w:color w:val="auto"/>
          <w:sz w:val="32"/>
          <w:szCs w:val="32"/>
          <w:highlight w:val="none"/>
        </w:rPr>
        <w:t>十、检测监测技术方案</w:t>
      </w:r>
      <w:bookmarkEnd w:id="257"/>
    </w:p>
    <w:p w14:paraId="5A41616A">
      <w:pPr>
        <w:spacing w:line="360" w:lineRule="auto"/>
        <w:jc w:val="center"/>
        <w:rPr>
          <w:rFonts w:ascii="宋体" w:hAnsi="宋体" w:cs="宋体"/>
          <w:color w:val="auto"/>
          <w:highlight w:val="none"/>
        </w:rPr>
      </w:pPr>
      <w:r>
        <w:rPr>
          <w:rFonts w:hint="eastAsia" w:ascii="宋体" w:hAnsi="宋体" w:cs="宋体"/>
          <w:b/>
          <w:color w:val="auto"/>
          <w:sz w:val="28"/>
          <w:szCs w:val="28"/>
          <w:highlight w:val="none"/>
        </w:rPr>
        <w:t>（格式自定）</w:t>
      </w:r>
      <w:bookmarkEnd w:id="255"/>
      <w:bookmarkEnd w:id="256"/>
    </w:p>
    <w:p w14:paraId="5BB85B64">
      <w:pPr>
        <w:keepNext/>
        <w:keepLines/>
        <w:spacing w:line="360" w:lineRule="auto"/>
        <w:jc w:val="center"/>
        <w:outlineLvl w:val="1"/>
        <w:rPr>
          <w:rFonts w:ascii="宋体" w:hAnsi="宋体" w:cs="宋体"/>
          <w:b/>
          <w:bCs/>
          <w:color w:val="auto"/>
          <w:sz w:val="32"/>
          <w:highlight w:val="none"/>
        </w:rPr>
      </w:pPr>
      <w:r>
        <w:rPr>
          <w:rFonts w:hint="eastAsia" w:ascii="宋体" w:hAnsi="宋体" w:cs="宋体"/>
          <w:color w:val="auto"/>
          <w:highlight w:val="none"/>
        </w:rPr>
        <w:br w:type="page"/>
      </w:r>
      <w:bookmarkStart w:id="258" w:name="_Toc24338"/>
      <w:r>
        <w:rPr>
          <w:rFonts w:hint="eastAsia" w:ascii="宋体" w:hAnsi="宋体" w:cs="宋体"/>
          <w:b/>
          <w:bCs/>
          <w:color w:val="auto"/>
          <w:sz w:val="32"/>
          <w:szCs w:val="32"/>
          <w:highlight w:val="none"/>
        </w:rPr>
        <w:t>十一、投标人认为应该提供的其他资料</w:t>
      </w:r>
      <w:bookmarkEnd w:id="258"/>
    </w:p>
    <w:p w14:paraId="0518FDE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投标人须知前附表规定的其他资料，投标人认为有必要提交的其他资料，格式自定。</w:t>
      </w:r>
    </w:p>
    <w:p w14:paraId="2C450930">
      <w:pPr>
        <w:rPr>
          <w:color w:val="auto"/>
          <w:highlight w:val="none"/>
        </w:rPr>
      </w:pPr>
    </w:p>
    <w:sectPr>
      <w:pgSz w:w="11905" w:h="16838"/>
      <w:pgMar w:top="1418" w:right="1701" w:bottom="1418" w:left="1701"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D1861">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91BAA2">
                          <w:pPr>
                            <w:pStyle w:val="1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91BAA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4C1AB">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C2368A">
                          <w:pPr>
                            <w:pStyle w:val="12"/>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00C2368A">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F16F9">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CA1382">
                          <w:pPr>
                            <w:pStyle w:val="12"/>
                          </w:pPr>
                          <w:r>
                            <w:fldChar w:fldCharType="begin"/>
                          </w:r>
                          <w:r>
                            <w:instrText xml:space="preserve"> PAGE  \* MERGEFORMAT </w:instrText>
                          </w:r>
                          <w:r>
                            <w:fldChar w:fldCharType="separate"/>
                          </w:r>
                          <w:r>
                            <w:t>52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44CA1382">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BEA92"/>
    <w:multiLevelType w:val="singleLevel"/>
    <w:tmpl w:val="E05BEA92"/>
    <w:lvl w:ilvl="0" w:tentative="0">
      <w:start w:val="6"/>
      <w:numFmt w:val="chineseCounting"/>
      <w:suff w:val="space"/>
      <w:lvlText w:val="第%1章"/>
      <w:lvlJc w:val="left"/>
      <w:rPr>
        <w:rFonts w:hint="eastAsia"/>
      </w:rPr>
    </w:lvl>
  </w:abstractNum>
  <w:abstractNum w:abstractNumId="1">
    <w:nsid w:val="E5FFC083"/>
    <w:multiLevelType w:val="singleLevel"/>
    <w:tmpl w:val="E5FFC08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zA2ZDAzMjI2Mzg3ZDdjN2IzMmRjNmU0OWIyNGIifQ=="/>
  </w:docVars>
  <w:rsids>
    <w:rsidRoot w:val="429C3596"/>
    <w:rsid w:val="00102EC3"/>
    <w:rsid w:val="001C2E97"/>
    <w:rsid w:val="002C1E16"/>
    <w:rsid w:val="003336C0"/>
    <w:rsid w:val="003A125E"/>
    <w:rsid w:val="00466765"/>
    <w:rsid w:val="004C3812"/>
    <w:rsid w:val="004E4DD2"/>
    <w:rsid w:val="00574BB8"/>
    <w:rsid w:val="005E26F1"/>
    <w:rsid w:val="006B7EAD"/>
    <w:rsid w:val="007804F5"/>
    <w:rsid w:val="0079519A"/>
    <w:rsid w:val="007E377E"/>
    <w:rsid w:val="008A4022"/>
    <w:rsid w:val="008C7C79"/>
    <w:rsid w:val="008D37F2"/>
    <w:rsid w:val="00B278BD"/>
    <w:rsid w:val="00C12804"/>
    <w:rsid w:val="00CE77D0"/>
    <w:rsid w:val="00DB7A2C"/>
    <w:rsid w:val="00E56A1D"/>
    <w:rsid w:val="00E57F7C"/>
    <w:rsid w:val="00EC6CD2"/>
    <w:rsid w:val="00F52FD8"/>
    <w:rsid w:val="00F5401F"/>
    <w:rsid w:val="00FA6FDE"/>
    <w:rsid w:val="03083A13"/>
    <w:rsid w:val="09104908"/>
    <w:rsid w:val="0AB31712"/>
    <w:rsid w:val="0AE82A66"/>
    <w:rsid w:val="0D112022"/>
    <w:rsid w:val="0F4F0B1B"/>
    <w:rsid w:val="10475002"/>
    <w:rsid w:val="11036B00"/>
    <w:rsid w:val="19102702"/>
    <w:rsid w:val="1D4D5313"/>
    <w:rsid w:val="1FAA11BB"/>
    <w:rsid w:val="24E32A79"/>
    <w:rsid w:val="25D20ADD"/>
    <w:rsid w:val="272950BB"/>
    <w:rsid w:val="28041684"/>
    <w:rsid w:val="2DDC00C1"/>
    <w:rsid w:val="32EB46F7"/>
    <w:rsid w:val="35AD3819"/>
    <w:rsid w:val="3BD82BA6"/>
    <w:rsid w:val="3CCA6C49"/>
    <w:rsid w:val="3EAD617A"/>
    <w:rsid w:val="3F127693"/>
    <w:rsid w:val="41C51A2C"/>
    <w:rsid w:val="42595F30"/>
    <w:rsid w:val="427470FB"/>
    <w:rsid w:val="429C3596"/>
    <w:rsid w:val="4496535B"/>
    <w:rsid w:val="46476EB4"/>
    <w:rsid w:val="498A7E65"/>
    <w:rsid w:val="4A331C29"/>
    <w:rsid w:val="4C3536FF"/>
    <w:rsid w:val="4FB70C06"/>
    <w:rsid w:val="51A404F0"/>
    <w:rsid w:val="54907C78"/>
    <w:rsid w:val="558275C0"/>
    <w:rsid w:val="59AC5554"/>
    <w:rsid w:val="5E7C1D97"/>
    <w:rsid w:val="64BF279B"/>
    <w:rsid w:val="678D23C4"/>
    <w:rsid w:val="67BC1058"/>
    <w:rsid w:val="6BE41585"/>
    <w:rsid w:val="6CC2700A"/>
    <w:rsid w:val="6EC628D6"/>
    <w:rsid w:val="75A1188D"/>
    <w:rsid w:val="7F4801CC"/>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0"/>
    <w:pPr>
      <w:keepNext/>
      <w:keepLines/>
      <w:widowControl w:val="0"/>
      <w:spacing w:line="578" w:lineRule="auto"/>
      <w:jc w:val="both"/>
      <w:outlineLvl w:val="0"/>
    </w:pPr>
    <w:rPr>
      <w:rFonts w:ascii="Calibri" w:hAnsi="Calibri" w:eastAsia="黑体" w:cs="Times New Roman"/>
      <w:b/>
      <w:bCs/>
      <w:kern w:val="44"/>
      <w:sz w:val="44"/>
      <w:szCs w:val="44"/>
      <w:lang w:val="en-US" w:eastAsia="zh-CN" w:bidi="ar-SA"/>
    </w:rPr>
  </w:style>
  <w:style w:type="paragraph" w:styleId="4">
    <w:name w:val="heading 2"/>
    <w:next w:val="1"/>
    <w:qFormat/>
    <w:uiPriority w:val="0"/>
    <w:pPr>
      <w:keepNext/>
      <w:keepLines/>
      <w:widowControl w:val="0"/>
      <w:spacing w:before="240" w:after="240" w:line="416" w:lineRule="auto"/>
      <w:jc w:val="both"/>
      <w:outlineLvl w:val="1"/>
    </w:pPr>
    <w:rPr>
      <w:rFonts w:ascii="Cambria" w:hAnsi="Cambria" w:eastAsia="仿宋" w:cs="Times New Roman"/>
      <w:b/>
      <w:bCs/>
      <w:sz w:val="40"/>
      <w:szCs w:val="32"/>
      <w:lang w:val="en-US" w:eastAsia="zh-CN" w:bidi="ar-SA"/>
    </w:rPr>
  </w:style>
  <w:style w:type="paragraph" w:styleId="5">
    <w:name w:val="heading 7"/>
    <w:next w:val="1"/>
    <w:qFormat/>
    <w:uiPriority w:val="0"/>
    <w:pPr>
      <w:keepNext/>
      <w:keepLines/>
      <w:widowControl w:val="0"/>
      <w:spacing w:before="240" w:after="64" w:line="317" w:lineRule="auto"/>
      <w:jc w:val="both"/>
      <w:outlineLvl w:val="6"/>
    </w:pPr>
    <w:rPr>
      <w:rFonts w:ascii="Times New Roman" w:hAnsi="Times New Roman" w:eastAsia="宋体" w:cs="Times New Roman"/>
      <w:b/>
      <w:sz w:val="24"/>
      <w:lang w:val="en-US" w:eastAsia="zh-CN" w:bidi="ar-SA"/>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6">
    <w:name w:val="annotation text"/>
    <w:qFormat/>
    <w:uiPriority w:val="0"/>
    <w:pPr>
      <w:widowControl w:val="0"/>
    </w:pPr>
    <w:rPr>
      <w:rFonts w:ascii="Times New Roman" w:hAnsi="Times New Roman" w:eastAsia="宋体" w:cs="Times New Roman"/>
      <w:kern w:val="2"/>
      <w:sz w:val="21"/>
      <w:szCs w:val="24"/>
      <w:lang w:val="en-US" w:eastAsia="zh-CN" w:bidi="ar-SA"/>
    </w:rPr>
  </w:style>
  <w:style w:type="paragraph" w:styleId="7">
    <w:name w:val="Body Text 3"/>
    <w:qFormat/>
    <w:uiPriority w:val="0"/>
    <w:pPr>
      <w:widowControl w:val="0"/>
      <w:jc w:val="both"/>
    </w:pPr>
    <w:rPr>
      <w:rFonts w:ascii="宋体" w:hAnsi="Calibri" w:eastAsia="宋体" w:cs="Times New Roman"/>
      <w:kern w:val="2"/>
      <w:sz w:val="24"/>
      <w:lang w:val="en-US" w:eastAsia="zh-CN" w:bidi="ar-SA"/>
    </w:rPr>
  </w:style>
  <w:style w:type="paragraph" w:styleId="8">
    <w:name w:val="Body Text"/>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Body Text Indent"/>
    <w:next w:val="10"/>
    <w:unhideWhenUsed/>
    <w:qFormat/>
    <w:uiPriority w:val="0"/>
    <w:pPr>
      <w:widowControl w:val="0"/>
      <w:spacing w:after="120"/>
      <w:ind w:left="420" w:leftChars="200"/>
      <w:jc w:val="both"/>
    </w:pPr>
    <w:rPr>
      <w:rFonts w:ascii="Calibri" w:hAnsi="Calibri" w:eastAsia="宋体" w:cs="Times New Roman"/>
      <w:lang w:val="en-US" w:eastAsia="zh-CN" w:bidi="ar-SA"/>
    </w:rPr>
  </w:style>
  <w:style w:type="paragraph" w:styleId="10">
    <w:name w:val="envelope return"/>
    <w:qFormat/>
    <w:uiPriority w:val="0"/>
    <w:pPr>
      <w:widowControl w:val="0"/>
      <w:snapToGrid w:val="0"/>
      <w:jc w:val="both"/>
    </w:pPr>
    <w:rPr>
      <w:rFonts w:ascii="Arial" w:hAnsi="Arial" w:eastAsia="宋体" w:cs="Arial"/>
      <w:kern w:val="2"/>
      <w:sz w:val="21"/>
      <w:szCs w:val="22"/>
      <w:lang w:val="en-US" w:eastAsia="zh-CN" w:bidi="ar-SA"/>
    </w:rPr>
  </w:style>
  <w:style w:type="paragraph" w:styleId="11">
    <w:name w:val="Balloon Text"/>
    <w:basedOn w:val="1"/>
    <w:link w:val="21"/>
    <w:qFormat/>
    <w:uiPriority w:val="0"/>
    <w:rPr>
      <w:sz w:val="18"/>
      <w:szCs w:val="18"/>
    </w:rPr>
  </w:style>
  <w:style w:type="paragraph" w:styleId="12">
    <w:name w:val="footer"/>
    <w:unhideWhenUsed/>
    <w:qFormat/>
    <w:uiPriority w:val="99"/>
    <w:pPr>
      <w:widowControl w:val="0"/>
      <w:tabs>
        <w:tab w:val="center" w:pos="4153"/>
        <w:tab w:val="right" w:pos="8306"/>
      </w:tabs>
      <w:snapToGrid w:val="0"/>
    </w:pPr>
    <w:rPr>
      <w:rFonts w:ascii="Calibri" w:hAnsi="Calibri" w:eastAsia="宋体" w:cs="Times New Roman"/>
      <w:sz w:val="18"/>
      <w:szCs w:val="18"/>
      <w:lang w:val="en-US" w:eastAsia="zh-CN" w:bidi="ar-SA"/>
    </w:rPr>
  </w:style>
  <w:style w:type="paragraph" w:styleId="13">
    <w:name w:val="toc 1"/>
    <w:next w:val="1"/>
    <w:unhideWhenUsed/>
    <w:qFormat/>
    <w:uiPriority w:val="39"/>
    <w:pPr>
      <w:widowControl w:val="0"/>
      <w:spacing w:before="120" w:after="120"/>
    </w:pPr>
    <w:rPr>
      <w:rFonts w:ascii="Calibri" w:hAnsi="Calibri" w:eastAsia="宋体" w:cs="Times New Roman"/>
      <w:b/>
      <w:bCs/>
      <w:caps/>
      <w:kern w:val="2"/>
      <w:lang w:val="en-US" w:eastAsia="zh-CN" w:bidi="ar-SA"/>
    </w:rPr>
  </w:style>
  <w:style w:type="paragraph" w:styleId="14">
    <w:name w:val="toc 2"/>
    <w:next w:val="1"/>
    <w:unhideWhenUsed/>
    <w:qFormat/>
    <w:uiPriority w:val="39"/>
    <w:pPr>
      <w:widowControl w:val="0"/>
      <w:ind w:left="210"/>
    </w:pPr>
    <w:rPr>
      <w:rFonts w:ascii="Calibri" w:hAnsi="Calibri" w:eastAsia="宋体" w:cs="Times New Roman"/>
      <w:smallCaps/>
      <w:kern w:val="2"/>
      <w:lang w:val="en-US" w:eastAsia="zh-CN" w:bidi="ar-SA"/>
    </w:rPr>
  </w:style>
  <w:style w:type="paragraph" w:styleId="15">
    <w:name w:val="Body Text First Indent"/>
    <w:next w:val="16"/>
    <w:link w:val="22"/>
    <w:qFormat/>
    <w:uiPriority w:val="0"/>
    <w:pPr>
      <w:widowControl w:val="0"/>
      <w:spacing w:after="120" w:line="312" w:lineRule="auto"/>
      <w:ind w:firstLine="420"/>
      <w:jc w:val="both"/>
    </w:pPr>
    <w:rPr>
      <w:rFonts w:ascii="Times New Roman" w:hAnsi="Times New Roman" w:eastAsia="宋体" w:cs="Times New Roman"/>
      <w:kern w:val="2"/>
      <w:sz w:val="21"/>
      <w:szCs w:val="24"/>
      <w:lang w:val="en-US" w:eastAsia="zh-CN" w:bidi="ar-SA"/>
    </w:rPr>
  </w:style>
  <w:style w:type="paragraph" w:styleId="16">
    <w:name w:val="Body Text First Indent 2"/>
    <w:link w:val="23"/>
    <w:unhideWhenUsed/>
    <w:qFormat/>
    <w:uiPriority w:val="99"/>
    <w:pPr>
      <w:spacing w:after="120" w:line="256" w:lineRule="auto"/>
      <w:ind w:left="420" w:leftChars="200" w:firstLine="420" w:firstLineChars="200"/>
    </w:pPr>
    <w:rPr>
      <w:rFonts w:ascii="Calibri" w:hAnsi="Calibri" w:eastAsia="Calibri" w:cs="Times New Roman"/>
      <w:color w:val="000000"/>
      <w:sz w:val="22"/>
      <w:lang w:val="en-US" w:eastAsia="zh-CN" w:bidi="ar-SA"/>
    </w:rPr>
  </w:style>
  <w:style w:type="paragraph" w:customStyle="1" w:styleId="19">
    <w:name w:val="自定表格内容"/>
    <w:qFormat/>
    <w:uiPriority w:val="0"/>
    <w:pPr>
      <w:widowControl w:val="0"/>
      <w:spacing w:line="360" w:lineRule="auto"/>
    </w:pPr>
    <w:rPr>
      <w:rFonts w:ascii="Calibri" w:hAnsi="Calibri" w:eastAsia="宋体" w:cs="Times New Roman"/>
      <w:kern w:val="2"/>
      <w:sz w:val="21"/>
      <w:szCs w:val="24"/>
      <w:lang w:val="en-US" w:eastAsia="zh-CN" w:bidi="ar-SA"/>
    </w:rPr>
  </w:style>
  <w:style w:type="paragraph" w:styleId="2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1">
    <w:name w:val="批注框文本 Char"/>
    <w:basedOn w:val="18"/>
    <w:link w:val="11"/>
    <w:qFormat/>
    <w:uiPriority w:val="0"/>
    <w:rPr>
      <w:rFonts w:ascii="Calibri" w:hAnsi="Calibri" w:eastAsia="宋体" w:cs="Times New Roman"/>
      <w:kern w:val="2"/>
      <w:sz w:val="18"/>
      <w:szCs w:val="18"/>
    </w:rPr>
  </w:style>
  <w:style w:type="character" w:customStyle="1" w:styleId="22">
    <w:name w:val="正文首行缩进 Char"/>
    <w:link w:val="15"/>
    <w:qFormat/>
    <w:uiPriority w:val="0"/>
    <w:rPr>
      <w:rFonts w:ascii="Times New Roman" w:hAnsi="Times New Roman" w:eastAsia="宋体" w:cs="Times New Roman"/>
      <w:kern w:val="2"/>
      <w:sz w:val="21"/>
      <w:szCs w:val="24"/>
    </w:rPr>
  </w:style>
  <w:style w:type="character" w:customStyle="1" w:styleId="23">
    <w:name w:val="正文首行缩进 2 Char"/>
    <w:basedOn w:val="18"/>
    <w:link w:val="16"/>
    <w:qFormat/>
    <w:uiPriority w:val="99"/>
    <w:rPr>
      <w:rFonts w:ascii="Calibri" w:hAnsi="Calibri" w:eastAsia="Calibri" w:cs="Times New Roman"/>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14863</Words>
  <Characters>15854</Characters>
  <Lines>198</Lines>
  <Paragraphs>56</Paragraphs>
  <TotalTime>5</TotalTime>
  <ScaleCrop>false</ScaleCrop>
  <LinksUpToDate>false</LinksUpToDate>
  <CharactersWithSpaces>16065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2025-02-05T06:50:00Z</dcterms:created>
  <dc:creator>Administrator</dc:creator>
  <cp:lastModifiedBy>.啦啦.</cp:lastModifiedBy>
  <cp:lastPrinted>2025-03-11T02:03:44Z</cp:lastPrinted>
  <dcterms:modified xsi:type="dcterms:W3CDTF">2025-03-11T02:24:41Z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D039F619E08D4592A50E49CD00CAE3A8_11</vt:lpwstr>
  </property>
  <property fmtid="{D5CDD505-2E9C-101B-9397-08002B2CF9AE}" pid="4" name="KSOTemplateDocerSaveRecord">
    <vt:lpwstr>eyJoZGlkIjoiYTMyMmViMDVkODY5YzU5Y2E4YmI2NTQwNDBmNDQ1OTEiLCJ1c2VySWQiOiI0NjIzOTYxNzYifQ==</vt:lpwstr>
  </property>
</Properties>
</file>