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7C29AA">
      <w:pPr>
        <w:adjustRightInd w:val="0"/>
        <w:snapToGrid w:val="0"/>
        <w:spacing w:line="360" w:lineRule="auto"/>
        <w:ind w:firstLine="126" w:firstLineChars="45"/>
        <w:rPr>
          <w:rFonts w:ascii="黑体" w:hAnsi="Times New Roman" w:eastAsia="黑体" w:cs="黑体"/>
          <w:color w:val="auto"/>
          <w:sz w:val="28"/>
          <w:highlight w:val="none"/>
        </w:rPr>
      </w:pPr>
      <w:bookmarkStart w:id="17" w:name="_GoBack"/>
      <w:r>
        <w:rPr>
          <w:rFonts w:hint="eastAsia" w:ascii="黑体" w:hAnsi="Times New Roman" w:eastAsia="黑体" w:cs="黑体"/>
          <w:color w:val="auto"/>
          <w:sz w:val="28"/>
          <w:highlight w:val="none"/>
          <w:lang w:bidi="ar"/>
        </w:rPr>
        <w:t>合同编号：</w:t>
      </w:r>
    </w:p>
    <w:p w14:paraId="78672484">
      <w:pPr>
        <w:adjustRightInd w:val="0"/>
        <w:snapToGrid w:val="0"/>
        <w:spacing w:line="360" w:lineRule="auto"/>
        <w:rPr>
          <w:rFonts w:ascii="黑体" w:hAnsi="Times New Roman" w:eastAsia="黑体" w:cs="黑体"/>
          <w:color w:val="auto"/>
          <w:sz w:val="44"/>
          <w:highlight w:val="none"/>
        </w:rPr>
      </w:pPr>
    </w:p>
    <w:p w14:paraId="4CCE5843">
      <w:pPr>
        <w:adjustRightInd w:val="0"/>
        <w:snapToGrid w:val="0"/>
        <w:spacing w:line="360" w:lineRule="auto"/>
        <w:rPr>
          <w:rFonts w:ascii="黑体" w:hAnsi="Times New Roman" w:eastAsia="黑体" w:cs="黑体"/>
          <w:color w:val="auto"/>
          <w:sz w:val="44"/>
          <w:highlight w:val="none"/>
        </w:rPr>
      </w:pPr>
    </w:p>
    <w:p w14:paraId="3040DFE2">
      <w:pPr>
        <w:adjustRightInd w:val="0"/>
        <w:snapToGrid w:val="0"/>
        <w:spacing w:line="360" w:lineRule="auto"/>
        <w:ind w:firstLine="418" w:firstLineChars="80"/>
        <w:jc w:val="center"/>
        <w:rPr>
          <w:rFonts w:ascii="黑体" w:hAnsi="Times New Roman" w:eastAsia="黑体" w:cs="黑体"/>
          <w:b/>
          <w:color w:val="auto"/>
          <w:sz w:val="52"/>
          <w:highlight w:val="none"/>
        </w:rPr>
      </w:pPr>
      <w:r>
        <w:rPr>
          <w:rFonts w:hint="eastAsia" w:ascii="黑体" w:hAnsi="Times New Roman" w:eastAsia="黑体" w:cs="黑体"/>
          <w:b/>
          <w:color w:val="auto"/>
          <w:sz w:val="52"/>
          <w:highlight w:val="none"/>
          <w:lang w:bidi="ar"/>
        </w:rPr>
        <w:t>技术服务合同</w:t>
      </w:r>
    </w:p>
    <w:p w14:paraId="469E790A">
      <w:pPr>
        <w:adjustRightInd w:val="0"/>
        <w:snapToGrid w:val="0"/>
        <w:spacing w:line="360" w:lineRule="auto"/>
        <w:rPr>
          <w:color w:val="auto"/>
          <w:sz w:val="36"/>
          <w:highlight w:val="none"/>
        </w:rPr>
      </w:pPr>
    </w:p>
    <w:p w14:paraId="14ABEE37">
      <w:pPr>
        <w:adjustRightInd w:val="0"/>
        <w:snapToGrid w:val="0"/>
        <w:spacing w:line="360" w:lineRule="auto"/>
        <w:rPr>
          <w:color w:val="auto"/>
          <w:sz w:val="36"/>
          <w:highlight w:val="none"/>
        </w:rPr>
      </w:pPr>
    </w:p>
    <w:p w14:paraId="56FE1A9B">
      <w:pPr>
        <w:adjustRightInd w:val="0"/>
        <w:snapToGrid w:val="0"/>
        <w:spacing w:line="360" w:lineRule="auto"/>
        <w:rPr>
          <w:color w:val="auto"/>
          <w:sz w:val="36"/>
          <w:highlight w:val="none"/>
        </w:rPr>
      </w:pPr>
    </w:p>
    <w:p w14:paraId="2AE5B0D0">
      <w:pPr>
        <w:adjustRightInd w:val="0"/>
        <w:snapToGrid w:val="0"/>
        <w:spacing w:line="360" w:lineRule="auto"/>
        <w:rPr>
          <w:color w:val="auto"/>
          <w:sz w:val="36"/>
          <w:highlight w:val="none"/>
        </w:rPr>
      </w:pPr>
    </w:p>
    <w:p w14:paraId="4D383A47">
      <w:pPr>
        <w:adjustRightInd w:val="0"/>
        <w:snapToGrid w:val="0"/>
        <w:spacing w:line="360" w:lineRule="auto"/>
        <w:rPr>
          <w:color w:val="auto"/>
          <w:sz w:val="36"/>
          <w:highlight w:val="none"/>
        </w:rPr>
      </w:pPr>
    </w:p>
    <w:p w14:paraId="718E560C">
      <w:pPr>
        <w:adjustRightInd w:val="0"/>
        <w:snapToGrid w:val="0"/>
        <w:spacing w:line="360" w:lineRule="auto"/>
        <w:rPr>
          <w:color w:val="auto"/>
          <w:sz w:val="36"/>
          <w:highlight w:val="none"/>
        </w:rPr>
      </w:pPr>
    </w:p>
    <w:p w14:paraId="03C7865E">
      <w:pPr>
        <w:spacing w:line="360" w:lineRule="auto"/>
        <w:ind w:left="1609" w:leftChars="42" w:hanging="1521" w:hangingChars="505"/>
        <w:outlineLvl w:val="0"/>
        <w:rPr>
          <w:rFonts w:ascii="仿宋" w:hAnsi="仿宋" w:eastAsia="仿宋" w:cs="仿宋_GB2312"/>
          <w:b/>
          <w:color w:val="auto"/>
          <w:sz w:val="30"/>
          <w:szCs w:val="30"/>
          <w:highlight w:val="none"/>
          <w:u w:val="single"/>
        </w:rPr>
      </w:pPr>
      <w:r>
        <w:rPr>
          <w:rFonts w:hint="eastAsia" w:ascii="仿宋" w:hAnsi="仿宋" w:eastAsia="仿宋" w:cs="仿宋_GB2312"/>
          <w:b/>
          <w:color w:val="auto"/>
          <w:sz w:val="30"/>
          <w:szCs w:val="30"/>
          <w:highlight w:val="none"/>
          <w:lang w:bidi="ar"/>
        </w:rPr>
        <w:t>项目名称：</w:t>
      </w:r>
      <w:r>
        <w:rPr>
          <w:rFonts w:hint="eastAsia" w:ascii="仿宋" w:hAnsi="仿宋" w:eastAsia="仿宋" w:cs="Times New Roman"/>
          <w:b/>
          <w:bCs/>
          <w:color w:val="auto"/>
          <w:sz w:val="30"/>
          <w:szCs w:val="30"/>
          <w:highlight w:val="none"/>
          <w:u w:val="single"/>
          <w:lang w:eastAsia="zh-CN"/>
        </w:rPr>
        <w:t>番禺汽车城金轩二路B线工程检测（监测）</w:t>
      </w:r>
    </w:p>
    <w:p w14:paraId="3CD91AFA">
      <w:pPr>
        <w:spacing w:line="360" w:lineRule="auto"/>
        <w:ind w:left="1609" w:leftChars="42" w:hanging="1521" w:hangingChars="505"/>
        <w:outlineLvl w:val="0"/>
        <w:rPr>
          <w:rFonts w:ascii="仿宋" w:hAnsi="仿宋" w:eastAsia="仿宋" w:cs="仿宋_GB2312"/>
          <w:b/>
          <w:bCs/>
          <w:color w:val="auto"/>
          <w:sz w:val="30"/>
          <w:szCs w:val="30"/>
          <w:highlight w:val="none"/>
          <w:u w:val="single"/>
        </w:rPr>
      </w:pPr>
      <w:r>
        <w:rPr>
          <w:rFonts w:hint="eastAsia" w:ascii="仿宋" w:hAnsi="仿宋" w:eastAsia="仿宋" w:cs="仿宋_GB2312"/>
          <w:b/>
          <w:color w:val="auto"/>
          <w:sz w:val="30"/>
          <w:szCs w:val="30"/>
          <w:highlight w:val="none"/>
          <w:lang w:bidi="ar"/>
        </w:rPr>
        <w:t>甲方：</w:t>
      </w:r>
      <w:r>
        <w:rPr>
          <w:rFonts w:hint="eastAsia" w:ascii="仿宋" w:hAnsi="仿宋" w:eastAsia="仿宋"/>
          <w:b/>
          <w:bCs/>
          <w:color w:val="auto"/>
          <w:sz w:val="30"/>
          <w:szCs w:val="30"/>
          <w:highlight w:val="none"/>
          <w:u w:val="single"/>
        </w:rPr>
        <w:t>广州市番禺区基本建设投资管理中心</w:t>
      </w:r>
    </w:p>
    <w:p w14:paraId="4256927B">
      <w:pPr>
        <w:spacing w:line="360" w:lineRule="auto"/>
        <w:ind w:left="1609" w:leftChars="42" w:hanging="1521" w:hangingChars="505"/>
        <w:outlineLvl w:val="0"/>
        <w:rPr>
          <w:rFonts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lang w:bidi="ar"/>
        </w:rPr>
        <w:t>乙方：</w:t>
      </w:r>
      <w:r>
        <w:rPr>
          <w:rFonts w:hint="eastAsia" w:ascii="仿宋" w:hAnsi="仿宋" w:eastAsia="仿宋" w:cs="仿宋_GB2312"/>
          <w:b/>
          <w:color w:val="auto"/>
          <w:sz w:val="30"/>
          <w:szCs w:val="30"/>
          <w:highlight w:val="none"/>
          <w:u w:val="single"/>
          <w:lang w:bidi="ar"/>
        </w:rPr>
        <w:t xml:space="preserve">                              </w:t>
      </w:r>
    </w:p>
    <w:p w14:paraId="268B8BB1">
      <w:pPr>
        <w:spacing w:line="360" w:lineRule="auto"/>
        <w:ind w:left="1609" w:leftChars="42" w:hanging="1521" w:hangingChars="505"/>
        <w:outlineLvl w:val="0"/>
        <w:rPr>
          <w:rFonts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lang w:bidi="ar"/>
        </w:rPr>
        <w:t>签订时间：</w:t>
      </w:r>
      <w:r>
        <w:rPr>
          <w:rFonts w:hint="eastAsia" w:ascii="仿宋" w:hAnsi="仿宋" w:eastAsia="仿宋" w:cs="仿宋_GB2312"/>
          <w:b/>
          <w:color w:val="auto"/>
          <w:sz w:val="30"/>
          <w:szCs w:val="30"/>
          <w:highlight w:val="none"/>
          <w:u w:val="single"/>
          <w:lang w:bidi="ar"/>
        </w:rPr>
        <w:t xml:space="preserve">        2025年   月  日                 </w:t>
      </w:r>
    </w:p>
    <w:p w14:paraId="69753B70">
      <w:pPr>
        <w:spacing w:line="360" w:lineRule="auto"/>
        <w:ind w:left="1609" w:leftChars="42" w:hanging="1521" w:hangingChars="505"/>
        <w:outlineLvl w:val="0"/>
        <w:rPr>
          <w:rFonts w:ascii="仿宋_GB2312" w:eastAsia="仿宋_GB2312" w:cs="仿宋_GB2312"/>
          <w:b/>
          <w:color w:val="auto"/>
          <w:sz w:val="36"/>
          <w:highlight w:val="none"/>
        </w:rPr>
      </w:pPr>
      <w:r>
        <w:rPr>
          <w:rFonts w:hint="eastAsia" w:ascii="仿宋" w:hAnsi="仿宋" w:eastAsia="仿宋" w:cs="仿宋_GB2312"/>
          <w:b/>
          <w:color w:val="auto"/>
          <w:sz w:val="30"/>
          <w:szCs w:val="30"/>
          <w:highlight w:val="none"/>
          <w:lang w:bidi="ar"/>
        </w:rPr>
        <w:t>签订地点：</w:t>
      </w:r>
      <w:r>
        <w:rPr>
          <w:rFonts w:hint="eastAsia" w:ascii="仿宋" w:hAnsi="仿宋" w:eastAsia="仿宋" w:cs="仿宋_GB2312"/>
          <w:b/>
          <w:color w:val="auto"/>
          <w:sz w:val="30"/>
          <w:szCs w:val="30"/>
          <w:highlight w:val="none"/>
          <w:u w:val="single"/>
          <w:lang w:bidi="ar"/>
        </w:rPr>
        <w:t xml:space="preserve">                                     </w:t>
      </w:r>
    </w:p>
    <w:p w14:paraId="194389E9">
      <w:pPr>
        <w:adjustRightInd w:val="0"/>
        <w:snapToGrid w:val="0"/>
        <w:spacing w:line="360" w:lineRule="auto"/>
        <w:rPr>
          <w:b/>
          <w:color w:val="auto"/>
          <w:sz w:val="36"/>
          <w:highlight w:val="none"/>
        </w:rPr>
      </w:pPr>
    </w:p>
    <w:p w14:paraId="6329DDE5">
      <w:pPr>
        <w:adjustRightInd w:val="0"/>
        <w:snapToGrid w:val="0"/>
        <w:spacing w:line="360" w:lineRule="auto"/>
        <w:rPr>
          <w:b/>
          <w:color w:val="auto"/>
          <w:sz w:val="36"/>
          <w:highlight w:val="none"/>
        </w:rPr>
      </w:pPr>
    </w:p>
    <w:p w14:paraId="0DBA5EC2">
      <w:pPr>
        <w:adjustRightInd w:val="0"/>
        <w:snapToGrid w:val="0"/>
        <w:spacing w:before="312" w:beforeLines="130" w:line="360" w:lineRule="auto"/>
        <w:ind w:firstLine="405" w:firstLineChars="112"/>
        <w:jc w:val="center"/>
        <w:rPr>
          <w:rFonts w:ascii="黑体" w:hAnsi="Times New Roman" w:eastAsia="黑体" w:cs="黑体"/>
          <w:b/>
          <w:color w:val="auto"/>
          <w:sz w:val="36"/>
          <w:highlight w:val="none"/>
        </w:rPr>
      </w:pPr>
      <w:r>
        <w:rPr>
          <w:rFonts w:hint="eastAsia" w:ascii="黑体" w:hAnsi="Times New Roman" w:eastAsia="黑体" w:cs="黑体"/>
          <w:b/>
          <w:color w:val="auto"/>
          <w:sz w:val="36"/>
          <w:highlight w:val="none"/>
          <w:lang w:bidi="ar"/>
        </w:rPr>
        <w:t>中华人民共和国科学技术部印制</w:t>
      </w:r>
    </w:p>
    <w:p w14:paraId="432CECDF">
      <w:pPr>
        <w:spacing w:line="360" w:lineRule="auto"/>
        <w:rPr>
          <w:rFonts w:ascii="黑体" w:hAnsi="Times New Roman" w:eastAsia="黑体" w:cs="黑体"/>
          <w:color w:val="auto"/>
          <w:sz w:val="44"/>
          <w:highlight w:val="none"/>
        </w:rPr>
      </w:pPr>
    </w:p>
    <w:p w14:paraId="7676412C">
      <w:pPr>
        <w:adjustRightInd w:val="0"/>
        <w:snapToGrid w:val="0"/>
        <w:spacing w:line="360" w:lineRule="auto"/>
        <w:jc w:val="center"/>
        <w:rPr>
          <w:rFonts w:ascii="黑体" w:hAnsi="Times New Roman" w:eastAsia="黑体" w:cs="黑体"/>
          <w:color w:val="auto"/>
          <w:sz w:val="44"/>
          <w:highlight w:val="none"/>
        </w:rPr>
      </w:pPr>
      <w:r>
        <w:rPr>
          <w:rFonts w:hint="eastAsia" w:ascii="黑体" w:hAnsi="Times New Roman" w:eastAsia="黑体" w:cs="黑体"/>
          <w:color w:val="auto"/>
          <w:sz w:val="44"/>
          <w:highlight w:val="none"/>
          <w:lang w:bidi="ar"/>
        </w:rPr>
        <w:t>填 写 说 明</w:t>
      </w:r>
    </w:p>
    <w:p w14:paraId="2B447570">
      <w:pPr>
        <w:adjustRightInd w:val="0"/>
        <w:snapToGrid w:val="0"/>
        <w:spacing w:line="360" w:lineRule="auto"/>
        <w:jc w:val="center"/>
        <w:rPr>
          <w:color w:val="auto"/>
          <w:sz w:val="44"/>
          <w:highlight w:val="none"/>
        </w:rPr>
      </w:pPr>
    </w:p>
    <w:p w14:paraId="4AB9E9E4">
      <w:pPr>
        <w:adjustRightInd w:val="0"/>
        <w:snapToGrid w:val="0"/>
        <w:spacing w:line="360" w:lineRule="auto"/>
        <w:ind w:firstLine="560" w:firstLineChars="200"/>
        <w:rPr>
          <w:rFonts w:ascii="仿宋_GB2312" w:eastAsia="仿宋_GB2312" w:cs="仿宋_GB2312"/>
          <w:color w:val="auto"/>
          <w:sz w:val="28"/>
          <w:highlight w:val="none"/>
        </w:rPr>
      </w:pPr>
      <w:r>
        <w:rPr>
          <w:rFonts w:hint="eastAsia" w:ascii="仿宋_GB2312" w:hAnsi="Times New Roman" w:eastAsia="仿宋_GB2312" w:cs="仿宋_GB2312"/>
          <w:color w:val="auto"/>
          <w:sz w:val="28"/>
          <w:highlight w:val="none"/>
          <w:lang w:bidi="ar"/>
        </w:rPr>
        <w:t>一、本合同为中华人民共和国科学技术部印制的技术服务合同示范文本，各技术合同登记机构可推介技术合同当事人参照使用。</w:t>
      </w:r>
    </w:p>
    <w:p w14:paraId="5696CAD2">
      <w:pPr>
        <w:adjustRightInd w:val="0"/>
        <w:snapToGrid w:val="0"/>
        <w:spacing w:line="360" w:lineRule="auto"/>
        <w:ind w:firstLine="560" w:firstLineChars="200"/>
        <w:rPr>
          <w:rFonts w:ascii="仿宋_GB2312" w:eastAsia="仿宋_GB2312" w:cs="仿宋_GB2312"/>
          <w:color w:val="auto"/>
          <w:sz w:val="28"/>
          <w:highlight w:val="none"/>
        </w:rPr>
      </w:pPr>
      <w:r>
        <w:rPr>
          <w:rFonts w:hint="eastAsia" w:ascii="仿宋_GB2312" w:hAnsi="Times New Roman" w:eastAsia="仿宋_GB2312" w:cs="仿宋_GB2312"/>
          <w:color w:val="auto"/>
          <w:sz w:val="28"/>
          <w:highlight w:val="none"/>
          <w:lang w:bidi="ar"/>
        </w:rPr>
        <w:t>二、本合同书适用于一方当事人（乙方）以技术知识为另一方（甲方）解决特定技术问题所订立的合同。</w:t>
      </w:r>
    </w:p>
    <w:p w14:paraId="3540FC91">
      <w:pPr>
        <w:adjustRightInd w:val="0"/>
        <w:snapToGrid w:val="0"/>
        <w:spacing w:line="360" w:lineRule="auto"/>
        <w:ind w:firstLine="560" w:firstLineChars="200"/>
        <w:rPr>
          <w:rFonts w:ascii="仿宋_GB2312" w:eastAsia="仿宋_GB2312" w:cs="仿宋_GB2312"/>
          <w:color w:val="auto"/>
          <w:sz w:val="28"/>
          <w:highlight w:val="none"/>
        </w:rPr>
      </w:pPr>
      <w:r>
        <w:rPr>
          <w:rFonts w:hint="eastAsia" w:ascii="仿宋_GB2312" w:hAnsi="Times New Roman" w:eastAsia="仿宋_GB2312" w:cs="仿宋_GB2312"/>
          <w:color w:val="auto"/>
          <w:sz w:val="28"/>
          <w:highlight w:val="none"/>
          <w:lang w:bidi="ar"/>
        </w:rPr>
        <w:t>三、签约一方为多个当事人的，可按各自在合同关系中的作用等，在“甲方”、“乙方”项下（增页）分别排列为共同甲方或共同乙方。</w:t>
      </w:r>
    </w:p>
    <w:p w14:paraId="43123BC4">
      <w:pPr>
        <w:adjustRightInd w:val="0"/>
        <w:snapToGrid w:val="0"/>
        <w:spacing w:line="360" w:lineRule="auto"/>
        <w:ind w:firstLine="560" w:firstLineChars="200"/>
        <w:rPr>
          <w:rFonts w:ascii="仿宋_GB2312" w:eastAsia="仿宋_GB2312" w:cs="仿宋_GB2312"/>
          <w:color w:val="auto"/>
          <w:sz w:val="28"/>
          <w:highlight w:val="none"/>
        </w:rPr>
      </w:pPr>
      <w:r>
        <w:rPr>
          <w:rFonts w:hint="eastAsia" w:ascii="仿宋_GB2312" w:hAnsi="Times New Roman" w:eastAsia="仿宋_GB2312" w:cs="仿宋_GB2312"/>
          <w:color w:val="auto"/>
          <w:sz w:val="28"/>
          <w:highlight w:val="none"/>
          <w:lang w:bidi="ar"/>
        </w:rPr>
        <w:t>四、本合同书未尽事项，可由当事人附页另行约定，并作为本合同的组成部分。</w:t>
      </w:r>
    </w:p>
    <w:p w14:paraId="5E7E13C0">
      <w:pPr>
        <w:adjustRightInd w:val="0"/>
        <w:snapToGrid w:val="0"/>
        <w:spacing w:line="360" w:lineRule="auto"/>
        <w:ind w:firstLine="560" w:firstLineChars="200"/>
        <w:rPr>
          <w:rFonts w:ascii="仿宋_GB2312" w:eastAsia="仿宋_GB2312" w:cs="仿宋_GB2312"/>
          <w:color w:val="auto"/>
          <w:sz w:val="28"/>
          <w:highlight w:val="none"/>
        </w:rPr>
      </w:pPr>
      <w:r>
        <w:rPr>
          <w:rFonts w:hint="eastAsia" w:ascii="仿宋_GB2312" w:hAnsi="Times New Roman" w:eastAsia="仿宋_GB2312" w:cs="仿宋_GB2312"/>
          <w:color w:val="auto"/>
          <w:sz w:val="28"/>
          <w:highlight w:val="none"/>
          <w:lang w:bidi="ar"/>
        </w:rPr>
        <w:t>五、当事人使用本合同书时约定无需填写的条款，应在该条款处注明“无”等字样。</w:t>
      </w:r>
    </w:p>
    <w:p w14:paraId="1D71B0A6">
      <w:pPr>
        <w:pStyle w:val="4"/>
        <w:spacing w:after="240" w:afterLines="100" w:line="360" w:lineRule="auto"/>
        <w:ind w:firstLine="880"/>
        <w:rPr>
          <w:rFonts w:ascii="黑体" w:eastAsia="黑体" w:cs="黑体"/>
          <w:bCs/>
          <w:color w:val="auto"/>
          <w:sz w:val="44"/>
          <w:highlight w:val="none"/>
        </w:rPr>
      </w:pPr>
    </w:p>
    <w:p w14:paraId="16201A0F">
      <w:pPr>
        <w:pStyle w:val="4"/>
        <w:spacing w:after="240" w:afterLines="100" w:line="360" w:lineRule="auto"/>
        <w:ind w:firstLine="880"/>
        <w:rPr>
          <w:rFonts w:ascii="黑体" w:eastAsia="黑体" w:cs="黑体"/>
          <w:bCs/>
          <w:color w:val="auto"/>
          <w:sz w:val="44"/>
          <w:highlight w:val="none"/>
        </w:rPr>
      </w:pPr>
    </w:p>
    <w:p w14:paraId="28C97D4D">
      <w:pPr>
        <w:pStyle w:val="4"/>
        <w:spacing w:after="240" w:afterLines="100" w:line="360" w:lineRule="auto"/>
        <w:rPr>
          <w:rFonts w:ascii="黑体" w:eastAsia="黑体" w:cs="黑体"/>
          <w:bCs/>
          <w:color w:val="auto"/>
          <w:sz w:val="44"/>
          <w:highlight w:val="none"/>
        </w:rPr>
      </w:pPr>
    </w:p>
    <w:p w14:paraId="67B4393B">
      <w:pPr>
        <w:pStyle w:val="4"/>
        <w:spacing w:after="240" w:afterLines="100" w:line="360" w:lineRule="auto"/>
        <w:rPr>
          <w:rFonts w:ascii="黑体" w:eastAsia="黑体" w:cs="黑体"/>
          <w:bCs/>
          <w:color w:val="auto"/>
          <w:sz w:val="44"/>
          <w:highlight w:val="none"/>
        </w:rPr>
      </w:pPr>
    </w:p>
    <w:p w14:paraId="7BAE5AAD">
      <w:pPr>
        <w:pStyle w:val="4"/>
        <w:spacing w:after="240" w:afterLines="100" w:line="360" w:lineRule="auto"/>
        <w:ind w:firstLine="0"/>
        <w:jc w:val="both"/>
        <w:rPr>
          <w:rFonts w:hAnsi="宋体"/>
          <w:b/>
          <w:color w:val="auto"/>
          <w:highlight w:val="none"/>
        </w:rPr>
      </w:pPr>
    </w:p>
    <w:p w14:paraId="484DD8DB">
      <w:pPr>
        <w:pStyle w:val="4"/>
        <w:spacing w:after="240" w:afterLines="100" w:line="360" w:lineRule="auto"/>
        <w:rPr>
          <w:rFonts w:hAnsi="宋体"/>
          <w:b/>
          <w:color w:val="auto"/>
          <w:highlight w:val="none"/>
        </w:rPr>
      </w:pPr>
    </w:p>
    <w:p w14:paraId="33337027">
      <w:pPr>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14:paraId="57C6D5DB">
      <w:pPr>
        <w:pStyle w:val="4"/>
        <w:spacing w:after="240" w:afterLines="100" w:line="360" w:lineRule="auto"/>
        <w:rPr>
          <w:rFonts w:hAnsi="宋体"/>
          <w:b/>
          <w:color w:val="auto"/>
          <w:highlight w:val="none"/>
        </w:rPr>
      </w:pPr>
      <w:r>
        <w:rPr>
          <w:rFonts w:hint="eastAsia" w:hAnsi="宋体"/>
          <w:b/>
          <w:color w:val="auto"/>
          <w:highlight w:val="none"/>
        </w:rPr>
        <w:t>技术服务合同</w:t>
      </w:r>
    </w:p>
    <w:p w14:paraId="1EB75AFF">
      <w:pPr>
        <w:adjustRightInd w:val="0"/>
        <w:snapToGrid w:val="0"/>
        <w:spacing w:line="360" w:lineRule="auto"/>
        <w:ind w:firstLine="482" w:firstLineChars="200"/>
        <w:rPr>
          <w:rFonts w:ascii="Times New Roman" w:hAnsi="宋体" w:cs="宋体"/>
          <w:b/>
          <w:color w:val="auto"/>
          <w:sz w:val="24"/>
          <w:highlight w:val="none"/>
          <w:lang w:bidi="ar"/>
        </w:rPr>
      </w:pPr>
    </w:p>
    <w:p w14:paraId="593848FA">
      <w:pPr>
        <w:adjustRightInd w:val="0"/>
        <w:snapToGrid w:val="0"/>
        <w:spacing w:line="360" w:lineRule="auto"/>
        <w:ind w:firstLine="482" w:firstLineChars="200"/>
        <w:rPr>
          <w:rFonts w:ascii="宋体" w:hAnsi="宋体" w:cs="宋体"/>
          <w:b/>
          <w:color w:val="auto"/>
          <w:sz w:val="24"/>
          <w:highlight w:val="none"/>
          <w:lang w:bidi="ar"/>
        </w:rPr>
      </w:pPr>
      <w:r>
        <w:rPr>
          <w:rFonts w:hint="eastAsia" w:ascii="Times New Roman" w:hAnsi="宋体" w:cs="宋体"/>
          <w:b/>
          <w:color w:val="auto"/>
          <w:sz w:val="24"/>
          <w:highlight w:val="none"/>
          <w:lang w:bidi="ar"/>
        </w:rPr>
        <w:t>甲方：</w:t>
      </w:r>
      <w:r>
        <w:rPr>
          <w:rFonts w:hint="eastAsia" w:ascii="宋体" w:hAnsi="宋体" w:cs="宋体"/>
          <w:b/>
          <w:color w:val="auto"/>
          <w:sz w:val="24"/>
          <w:highlight w:val="none"/>
          <w:u w:val="single"/>
          <w:lang w:bidi="ar"/>
        </w:rPr>
        <w:t>广州市番禺区基本建设投资管理中心</w:t>
      </w:r>
      <w:r>
        <w:rPr>
          <w:rFonts w:hint="eastAsia" w:ascii="宋体" w:hAnsi="宋体" w:cs="宋体"/>
          <w:b/>
          <w:color w:val="auto"/>
          <w:sz w:val="24"/>
          <w:highlight w:val="none"/>
          <w:lang w:bidi="ar"/>
        </w:rPr>
        <w:t xml:space="preserve"> </w:t>
      </w:r>
    </w:p>
    <w:p w14:paraId="1B558FC5">
      <w:pPr>
        <w:adjustRightInd w:val="0"/>
        <w:snapToGrid w:val="0"/>
        <w:spacing w:line="360" w:lineRule="auto"/>
        <w:ind w:firstLine="482" w:firstLineChars="200"/>
        <w:rPr>
          <w:b/>
          <w:color w:val="auto"/>
          <w:sz w:val="24"/>
          <w:highlight w:val="none"/>
        </w:rPr>
      </w:pPr>
      <w:r>
        <w:rPr>
          <w:rFonts w:hint="eastAsia" w:ascii="Times New Roman" w:hAnsi="宋体" w:cs="宋体"/>
          <w:b/>
          <w:color w:val="auto"/>
          <w:sz w:val="24"/>
          <w:highlight w:val="none"/>
          <w:lang w:bidi="ar"/>
        </w:rPr>
        <w:t>乙方：</w:t>
      </w:r>
      <w:r>
        <w:rPr>
          <w:rFonts w:hint="eastAsia" w:ascii="宋体" w:hAnsi="宋体" w:cs="宋体"/>
          <w:b/>
          <w:color w:val="auto"/>
          <w:sz w:val="24"/>
          <w:highlight w:val="none"/>
          <w:lang w:bidi="ar"/>
        </w:rPr>
        <w:t xml:space="preserve"> </w:t>
      </w:r>
      <w:r>
        <w:rPr>
          <w:rFonts w:hint="eastAsia" w:ascii="宋体" w:hAnsi="宋体" w:cs="宋体"/>
          <w:b/>
          <w:color w:val="auto"/>
          <w:sz w:val="24"/>
          <w:highlight w:val="none"/>
          <w:u w:val="single"/>
          <w:lang w:bidi="ar"/>
        </w:rPr>
        <w:t xml:space="preserve">                        </w:t>
      </w:r>
    </w:p>
    <w:p w14:paraId="6BBB3980">
      <w:pPr>
        <w:adjustRightInd w:val="0"/>
        <w:snapToGrid w:val="0"/>
        <w:spacing w:line="360" w:lineRule="auto"/>
        <w:ind w:firstLine="480" w:firstLineChars="200"/>
        <w:rPr>
          <w:color w:val="auto"/>
          <w:sz w:val="24"/>
          <w:highlight w:val="none"/>
        </w:rPr>
      </w:pPr>
      <w:r>
        <w:rPr>
          <w:rFonts w:hint="eastAsia" w:ascii="Times New Roman" w:hAnsi="宋体" w:cs="宋体"/>
          <w:color w:val="auto"/>
          <w:sz w:val="24"/>
          <w:highlight w:val="none"/>
          <w:lang w:bidi="ar"/>
        </w:rPr>
        <w:t>根据《中华人民共和国建筑法》和</w:t>
      </w:r>
      <w:r>
        <w:rPr>
          <w:rFonts w:hint="eastAsia" w:ascii="宋体" w:hAnsi="宋体"/>
          <w:color w:val="auto"/>
          <w:sz w:val="24"/>
          <w:szCs w:val="24"/>
          <w:highlight w:val="none"/>
        </w:rPr>
        <w:t>《中华人民共和国民法典》</w:t>
      </w:r>
      <w:r>
        <w:rPr>
          <w:rFonts w:hint="eastAsia" w:ascii="Times New Roman" w:hAnsi="宋体" w:cs="宋体"/>
          <w:color w:val="auto"/>
          <w:sz w:val="24"/>
          <w:highlight w:val="none"/>
          <w:lang w:bidi="ar"/>
        </w:rPr>
        <w:t>的有关规定，经双方协商一致，签订本合同，以资共同遵守。</w:t>
      </w:r>
    </w:p>
    <w:p w14:paraId="1BBDFB1F">
      <w:pPr>
        <w:spacing w:line="360" w:lineRule="auto"/>
        <w:ind w:left="2178" w:leftChars="228" w:hanging="1699" w:hangingChars="705"/>
        <w:outlineLvl w:val="0"/>
        <w:rPr>
          <w:rFonts w:hint="eastAsia" w:ascii="宋体" w:hAnsi="宋体" w:eastAsia="宋体" w:cs="宋体"/>
          <w:color w:val="auto"/>
          <w:sz w:val="24"/>
          <w:szCs w:val="24"/>
          <w:highlight w:val="none"/>
          <w:u w:val="single"/>
        </w:rPr>
      </w:pPr>
      <w:bookmarkStart w:id="0" w:name="_Toc370832544"/>
      <w:bookmarkStart w:id="1" w:name="_Toc496830638"/>
      <w:r>
        <w:rPr>
          <w:rFonts w:hint="eastAsia" w:ascii="Times New Roman" w:hAnsi="宋体" w:cs="宋体"/>
          <w:b/>
          <w:color w:val="auto"/>
          <w:sz w:val="24"/>
          <w:highlight w:val="none"/>
          <w:lang w:bidi="ar"/>
        </w:rPr>
        <w:t>一、项目名称：</w:t>
      </w:r>
      <w:bookmarkEnd w:id="0"/>
      <w:bookmarkEnd w:id="1"/>
      <w:r>
        <w:rPr>
          <w:rFonts w:hint="eastAsia" w:ascii="宋体" w:hAnsi="宋体" w:eastAsia="宋体" w:cs="宋体"/>
          <w:color w:val="auto"/>
          <w:sz w:val="24"/>
          <w:szCs w:val="24"/>
          <w:highlight w:val="none"/>
          <w:u w:val="single"/>
          <w:lang w:eastAsia="zh-CN"/>
        </w:rPr>
        <w:t>番禺汽车城金轩二路B线工程检测（监测）</w:t>
      </w:r>
    </w:p>
    <w:p w14:paraId="4EC11351">
      <w:pPr>
        <w:spacing w:line="360" w:lineRule="auto"/>
        <w:ind w:firstLine="482" w:firstLineChars="200"/>
        <w:rPr>
          <w:rFonts w:hint="eastAsia" w:ascii="宋体" w:hAnsi="宋体" w:eastAsia="宋体" w:cs="宋体"/>
          <w:color w:val="auto"/>
          <w:sz w:val="24"/>
          <w:szCs w:val="24"/>
          <w:highlight w:val="none"/>
          <w:u w:val="single"/>
          <w:lang w:eastAsia="zh-CN"/>
        </w:rPr>
      </w:pPr>
      <w:r>
        <w:rPr>
          <w:rFonts w:hint="eastAsia" w:ascii="Times New Roman" w:hAnsi="宋体" w:cs="宋体"/>
          <w:b/>
          <w:color w:val="auto"/>
          <w:sz w:val="24"/>
          <w:highlight w:val="none"/>
          <w:lang w:bidi="ar"/>
        </w:rPr>
        <w:t>项目地点</w:t>
      </w:r>
      <w:r>
        <w:rPr>
          <w:rFonts w:hint="eastAsia" w:ascii="Times New Roman" w:hAnsi="Times New Roman" w:cs="宋体"/>
          <w:b/>
          <w:color w:val="auto"/>
          <w:sz w:val="24"/>
          <w:highlight w:val="none"/>
          <w:lang w:bidi="ar"/>
        </w:rPr>
        <w:t>：</w:t>
      </w:r>
      <w:r>
        <w:rPr>
          <w:rFonts w:hint="eastAsia" w:ascii="宋体" w:hAnsi="宋体" w:eastAsia="宋体" w:cs="宋体"/>
          <w:color w:val="auto"/>
          <w:sz w:val="24"/>
          <w:szCs w:val="24"/>
          <w:highlight w:val="none"/>
          <w:u w:val="single"/>
          <w:lang w:val="en-US" w:eastAsia="zh-CN"/>
        </w:rPr>
        <w:t>广州市番禺区石楼镇胜洲村</w:t>
      </w:r>
    </w:p>
    <w:p w14:paraId="7D300229">
      <w:pPr>
        <w:wordWrap w:val="0"/>
        <w:adjustRightInd w:val="0"/>
        <w:snapToGrid w:val="0"/>
        <w:spacing w:line="360" w:lineRule="auto"/>
        <w:ind w:firstLine="482" w:firstLineChars="200"/>
        <w:rPr>
          <w:rFonts w:ascii="宋体" w:hAnsi="宋体" w:cs="宋体"/>
          <w:color w:val="auto"/>
          <w:sz w:val="24"/>
          <w:szCs w:val="24"/>
          <w:highlight w:val="none"/>
          <w:u w:val="single"/>
          <w:shd w:val="clear" w:color="auto" w:fill="FFFFFF"/>
        </w:rPr>
      </w:pPr>
      <w:r>
        <w:rPr>
          <w:rFonts w:hint="eastAsia" w:ascii="Times New Roman" w:hAnsi="宋体" w:cs="宋体"/>
          <w:b/>
          <w:color w:val="auto"/>
          <w:sz w:val="24"/>
          <w:highlight w:val="none"/>
          <w:lang w:bidi="ar"/>
        </w:rPr>
        <w:t>项目概况：</w:t>
      </w:r>
      <w:r>
        <w:rPr>
          <w:rFonts w:hint="eastAsia" w:ascii="宋体" w:hAnsi="宋体" w:cs="宋体"/>
          <w:color w:val="auto"/>
          <w:sz w:val="24"/>
          <w:szCs w:val="24"/>
          <w:highlight w:val="none"/>
          <w:u w:val="single"/>
        </w:rPr>
        <w:t>该</w:t>
      </w:r>
      <w:r>
        <w:rPr>
          <w:rFonts w:hint="eastAsia" w:ascii="宋体" w:hAnsi="宋体"/>
          <w:color w:val="auto"/>
          <w:sz w:val="24"/>
          <w:highlight w:val="none"/>
          <w:u w:val="single"/>
        </w:rPr>
        <w:t>项目总投资约</w:t>
      </w:r>
      <w:r>
        <w:rPr>
          <w:rFonts w:hint="eastAsia" w:ascii="宋体" w:hAnsi="宋体" w:eastAsia="宋体" w:cs="宋体"/>
          <w:color w:val="auto"/>
          <w:kern w:val="2"/>
          <w:sz w:val="24"/>
          <w:szCs w:val="20"/>
          <w:highlight w:val="none"/>
          <w:u w:val="single"/>
          <w:lang w:val="en-US" w:eastAsia="zh-CN" w:bidi="ar-SA"/>
        </w:rPr>
        <w:t>12565.36</w:t>
      </w:r>
      <w:r>
        <w:rPr>
          <w:rFonts w:hint="eastAsia" w:ascii="宋体" w:hAnsi="宋体"/>
          <w:color w:val="auto"/>
          <w:sz w:val="24"/>
          <w:highlight w:val="none"/>
          <w:u w:val="single"/>
        </w:rPr>
        <w:t>万元，</w:t>
      </w:r>
      <w:r>
        <w:rPr>
          <w:rFonts w:hint="eastAsia" w:ascii="宋体" w:hAnsi="宋体" w:eastAsia="宋体" w:cs="宋体"/>
          <w:color w:val="auto"/>
          <w:sz w:val="24"/>
          <w:szCs w:val="24"/>
          <w:highlight w:val="none"/>
          <w:u w:val="single"/>
          <w:lang w:val="en-US" w:eastAsia="zh-CN"/>
        </w:rPr>
        <w:t>该项目计划在番禺区石楼镇胜洲村新建番禺汽车城金轩二路B线道路，路线起点为金轩二路A线道路终点，终点为番禺区广汽智联新能源汽车产业园四号路(金轩三路)，全长约994米，包含跨过胜洲涌的新建桥梁，道路设计等级为城市次干路，道路与桥梁建设红线宽度30米，双向4车道，设计速度40千米/时。主要工程内容包括:道路工程、桥涵工程、综合管线工程、照明工程、电力工程、交通工程、绿化工程及海绵城市等</w:t>
      </w:r>
      <w:r>
        <w:rPr>
          <w:rFonts w:hint="eastAsia" w:ascii="宋体" w:hAnsi="宋体" w:cs="宋体"/>
          <w:color w:val="auto"/>
          <w:sz w:val="24"/>
          <w:szCs w:val="24"/>
          <w:highlight w:val="none"/>
          <w:u w:val="single"/>
        </w:rPr>
        <w:t>。</w:t>
      </w:r>
      <w:r>
        <w:rPr>
          <w:rFonts w:hint="eastAsia" w:ascii="宋体" w:hAnsi="宋体"/>
          <w:color w:val="auto"/>
          <w:sz w:val="24"/>
          <w:szCs w:val="24"/>
          <w:highlight w:val="none"/>
          <w:u w:val="single"/>
        </w:rPr>
        <w:t>（具体数据以施工图纸为准）</w:t>
      </w:r>
    </w:p>
    <w:p w14:paraId="1DEC047B">
      <w:pPr>
        <w:wordWrap w:val="0"/>
        <w:adjustRightInd w:val="0"/>
        <w:snapToGrid w:val="0"/>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根据本项目具体情况，如遇该项目的投资规模、结构形式、项目名称或者造价等发生调整（或变更，或增减），也可能会新增或减少、甚至取消部分子项工程，承包人应充分理解此风险并无条件接受不得拒绝，且投标下浮率固定不变。</w:t>
      </w:r>
    </w:p>
    <w:p w14:paraId="4784EE8B">
      <w:pPr>
        <w:spacing w:line="360" w:lineRule="auto"/>
        <w:ind w:firstLine="966" w:firstLineChars="401"/>
        <w:rPr>
          <w:rFonts w:hAnsi="宋体"/>
          <w:color w:val="auto"/>
          <w:sz w:val="24"/>
          <w:highlight w:val="none"/>
        </w:rPr>
      </w:pPr>
      <w:r>
        <w:rPr>
          <w:rFonts w:hint="eastAsia" w:ascii="Times New Roman" w:hAnsi="Times New Roman" w:cs="宋体"/>
          <w:b/>
          <w:color w:val="auto"/>
          <w:sz w:val="24"/>
          <w:highlight w:val="none"/>
          <w:lang w:bidi="ar"/>
        </w:rPr>
        <w:t>二、服务内容：</w:t>
      </w:r>
      <w:r>
        <w:rPr>
          <w:rFonts w:hAnsi="宋体"/>
          <w:color w:val="auto"/>
          <w:sz w:val="24"/>
          <w:highlight w:val="none"/>
        </w:rPr>
        <w:t xml:space="preserve"> </w:t>
      </w:r>
    </w:p>
    <w:p w14:paraId="2A7392A5">
      <w:pPr>
        <w:adjustRightInd w:val="0"/>
        <w:snapToGrid w:val="0"/>
        <w:spacing w:line="480" w:lineRule="exact"/>
        <w:ind w:firstLine="475" w:firstLineChars="198"/>
        <w:jc w:val="left"/>
        <w:rPr>
          <w:rFonts w:ascii="宋体" w:hAnsi="宋体"/>
          <w:color w:val="auto"/>
          <w:sz w:val="24"/>
          <w:szCs w:val="24"/>
          <w:highlight w:val="none"/>
          <w:u w:val="single"/>
        </w:rPr>
      </w:pPr>
      <w:r>
        <w:rPr>
          <w:rFonts w:hint="eastAsia" w:ascii="宋体" w:hAnsi="宋体" w:cs="宋体"/>
          <w:color w:val="auto"/>
          <w:sz w:val="24"/>
          <w:szCs w:val="24"/>
          <w:highlight w:val="none"/>
          <w:u w:val="single"/>
        </w:rPr>
        <w:t>第三方检测服务包括但不限于见证取样检测、道路地基检测、砼、钢结构检测、交通及照明工程检测、绿化工程检测、智能化检测等内容；监测服务包括但不限于基坑监测、高支模监测等内容</w:t>
      </w:r>
      <w:r>
        <w:rPr>
          <w:rFonts w:hint="eastAsia" w:ascii="宋体" w:hAnsi="宋体"/>
          <w:color w:val="auto"/>
          <w:sz w:val="24"/>
          <w:szCs w:val="24"/>
          <w:highlight w:val="none"/>
          <w:u w:val="single"/>
        </w:rPr>
        <w:t>。具体实施工作内容以施工图纸及有关规范要求和甲方要求为准。</w:t>
      </w:r>
    </w:p>
    <w:p w14:paraId="4EA740A3">
      <w:pPr>
        <w:adjustRightInd w:val="0"/>
        <w:snapToGrid w:val="0"/>
        <w:spacing w:line="480" w:lineRule="exact"/>
        <w:ind w:firstLine="475" w:firstLineChars="198"/>
        <w:jc w:val="left"/>
        <w:rPr>
          <w:rFonts w:ascii="宋体" w:hAnsi="宋体"/>
          <w:color w:val="auto"/>
          <w:sz w:val="24"/>
          <w:szCs w:val="24"/>
          <w:highlight w:val="none"/>
        </w:rPr>
      </w:pPr>
      <w:r>
        <w:rPr>
          <w:rFonts w:hint="eastAsia" w:ascii="宋体" w:hAnsi="宋体"/>
          <w:color w:val="auto"/>
          <w:sz w:val="24"/>
          <w:szCs w:val="24"/>
          <w:highlight w:val="none"/>
        </w:rPr>
        <w:t>（一）工作要求：</w:t>
      </w:r>
    </w:p>
    <w:p w14:paraId="384D8B27">
      <w:pPr>
        <w:widowControl/>
        <w:adjustRightInd w:val="0"/>
        <w:snapToGrid w:val="0"/>
        <w:spacing w:line="480" w:lineRule="exact"/>
        <w:ind w:firstLine="475" w:firstLineChars="198"/>
        <w:jc w:val="left"/>
        <w:rPr>
          <w:rFonts w:ascii="宋体" w:hAnsi="宋体"/>
          <w:color w:val="auto"/>
          <w:sz w:val="24"/>
          <w:szCs w:val="24"/>
          <w:highlight w:val="none"/>
          <w:u w:val="single"/>
        </w:rPr>
      </w:pPr>
      <w:r>
        <w:rPr>
          <w:rFonts w:hint="eastAsia" w:ascii="宋体" w:hAnsi="宋体"/>
          <w:color w:val="auto"/>
          <w:sz w:val="24"/>
          <w:szCs w:val="24"/>
          <w:highlight w:val="none"/>
          <w:u w:val="single"/>
        </w:rPr>
        <w:t>（</w:t>
      </w:r>
      <w:r>
        <w:rPr>
          <w:rFonts w:ascii="宋体" w:hAnsi="宋体"/>
          <w:color w:val="auto"/>
          <w:sz w:val="24"/>
          <w:szCs w:val="24"/>
          <w:highlight w:val="none"/>
          <w:u w:val="single"/>
        </w:rPr>
        <w:t>1）根据设计文件、施工组织设计、相关规范和相关行政职能部门要求和</w:t>
      </w:r>
      <w:r>
        <w:rPr>
          <w:rFonts w:hint="eastAsia" w:ascii="宋体" w:hAnsi="宋体"/>
          <w:color w:val="auto"/>
          <w:sz w:val="24"/>
          <w:szCs w:val="24"/>
          <w:highlight w:val="none"/>
          <w:u w:val="single"/>
        </w:rPr>
        <w:t>甲方</w:t>
      </w:r>
      <w:r>
        <w:rPr>
          <w:rFonts w:ascii="宋体" w:hAnsi="宋体"/>
          <w:color w:val="auto"/>
          <w:sz w:val="24"/>
          <w:szCs w:val="24"/>
          <w:highlight w:val="none"/>
          <w:u w:val="single"/>
        </w:rPr>
        <w:t>要求，结合项目实际情况，编制检测（监测）方案，并确保检测（监测）方案符合有关规范要求及通过工程所在行政区域的相关建设行政主管部门和监督部门的审批，同时负责协调相关工作，保证技术成果能够通过相关部门认可，确保不因检测（监测）工作影响本工程项目的建设进度、项目竣工验收和在城建档案馆备案，</w:t>
      </w:r>
      <w:r>
        <w:rPr>
          <w:rFonts w:hint="eastAsia" w:ascii="宋体" w:hAnsi="宋体"/>
          <w:color w:val="auto"/>
          <w:sz w:val="24"/>
          <w:szCs w:val="24"/>
          <w:highlight w:val="none"/>
          <w:u w:val="single"/>
        </w:rPr>
        <w:t>乙方需在投标报价中综合考虑该项协调工作的费用。提供相关设备、实施相关检测和监测工作，配合完成项目属地行政主管部门相关备案工作。</w:t>
      </w:r>
    </w:p>
    <w:p w14:paraId="5B5D4367">
      <w:pPr>
        <w:widowControl/>
        <w:adjustRightInd w:val="0"/>
        <w:snapToGrid w:val="0"/>
        <w:spacing w:line="480" w:lineRule="exact"/>
        <w:ind w:firstLine="475" w:firstLineChars="198"/>
        <w:jc w:val="left"/>
        <w:rPr>
          <w:rFonts w:ascii="宋体" w:hAnsi="宋体"/>
          <w:color w:val="auto"/>
          <w:sz w:val="24"/>
          <w:szCs w:val="24"/>
          <w:highlight w:val="none"/>
          <w:u w:val="single"/>
        </w:rPr>
      </w:pPr>
      <w:r>
        <w:rPr>
          <w:rFonts w:hint="eastAsia" w:ascii="宋体" w:hAnsi="宋体"/>
          <w:color w:val="auto"/>
          <w:sz w:val="24"/>
          <w:szCs w:val="24"/>
          <w:highlight w:val="none"/>
          <w:u w:val="single"/>
        </w:rPr>
        <w:t>（</w:t>
      </w:r>
      <w:r>
        <w:rPr>
          <w:rFonts w:ascii="宋体" w:hAnsi="宋体"/>
          <w:color w:val="auto"/>
          <w:sz w:val="24"/>
          <w:szCs w:val="24"/>
          <w:highlight w:val="none"/>
          <w:u w:val="single"/>
        </w:rPr>
        <w:t>2）在进行检测（监测）服务过程中，与该工程相关的建设单位、施工、监理、设计、咨询等相关单位及建设协调行政主管部门和监督部门协调，</w:t>
      </w:r>
      <w:r>
        <w:rPr>
          <w:rFonts w:hint="eastAsia" w:ascii="宋体" w:hAnsi="宋体"/>
          <w:color w:val="auto"/>
          <w:sz w:val="24"/>
          <w:szCs w:val="24"/>
          <w:highlight w:val="none"/>
          <w:u w:val="single"/>
        </w:rPr>
        <w:t>乙方需在投标报价中综合考虑该项协调工作费用。</w:t>
      </w:r>
    </w:p>
    <w:p w14:paraId="7C51B13E">
      <w:pPr>
        <w:widowControl/>
        <w:adjustRightInd w:val="0"/>
        <w:snapToGrid w:val="0"/>
        <w:spacing w:line="480" w:lineRule="exact"/>
        <w:ind w:firstLine="475" w:firstLineChars="198"/>
        <w:jc w:val="left"/>
        <w:rPr>
          <w:rFonts w:ascii="宋体" w:hAnsi="宋体"/>
          <w:color w:val="auto"/>
          <w:sz w:val="24"/>
          <w:szCs w:val="24"/>
          <w:highlight w:val="none"/>
          <w:u w:val="single"/>
        </w:rPr>
      </w:pPr>
      <w:r>
        <w:rPr>
          <w:rFonts w:hint="eastAsia" w:ascii="宋体" w:hAnsi="宋体"/>
          <w:color w:val="auto"/>
          <w:sz w:val="24"/>
          <w:szCs w:val="24"/>
          <w:highlight w:val="none"/>
          <w:u w:val="single"/>
        </w:rPr>
        <w:t>（</w:t>
      </w:r>
      <w:r>
        <w:rPr>
          <w:rFonts w:ascii="宋体" w:hAnsi="宋体"/>
          <w:color w:val="auto"/>
          <w:sz w:val="24"/>
          <w:szCs w:val="24"/>
          <w:highlight w:val="none"/>
          <w:u w:val="single"/>
        </w:rPr>
        <w:t>3）本招标项目已包含监督抽检的工作内容，监督抽检数量按建设行政主管部门要求实施，</w:t>
      </w:r>
      <w:r>
        <w:rPr>
          <w:rFonts w:hint="eastAsia" w:ascii="宋体" w:hAnsi="宋体"/>
          <w:color w:val="auto"/>
          <w:sz w:val="24"/>
          <w:szCs w:val="24"/>
          <w:highlight w:val="none"/>
          <w:u w:val="single"/>
        </w:rPr>
        <w:t>乙方需在投标报价中综合考虑该部分费用。</w:t>
      </w:r>
    </w:p>
    <w:p w14:paraId="0E717F73">
      <w:pPr>
        <w:widowControl/>
        <w:adjustRightInd w:val="0"/>
        <w:snapToGrid w:val="0"/>
        <w:spacing w:line="480" w:lineRule="exact"/>
        <w:ind w:firstLine="475" w:firstLineChars="198"/>
        <w:jc w:val="left"/>
        <w:rPr>
          <w:rFonts w:ascii="宋体" w:hAnsi="宋体"/>
          <w:color w:val="auto"/>
          <w:sz w:val="24"/>
          <w:szCs w:val="24"/>
          <w:highlight w:val="none"/>
          <w:u w:val="single"/>
        </w:rPr>
      </w:pPr>
      <w:r>
        <w:rPr>
          <w:rFonts w:hint="eastAsia" w:ascii="宋体" w:hAnsi="宋体"/>
          <w:color w:val="auto"/>
          <w:sz w:val="24"/>
          <w:szCs w:val="24"/>
          <w:highlight w:val="none"/>
          <w:u w:val="single"/>
        </w:rPr>
        <w:t>（4）按相关规定须与行业、行政监督部门传输报送检测(监测）数据信息的工作，且合同价中已经综合考虑了该项协调工作的费用。</w:t>
      </w:r>
    </w:p>
    <w:p w14:paraId="515530B3">
      <w:pPr>
        <w:widowControl/>
        <w:adjustRightInd w:val="0"/>
        <w:snapToGrid w:val="0"/>
        <w:spacing w:line="480" w:lineRule="exact"/>
        <w:ind w:firstLine="475" w:firstLineChars="198"/>
        <w:jc w:val="left"/>
        <w:rPr>
          <w:rFonts w:ascii="宋体" w:hAnsi="宋体"/>
          <w:color w:val="auto"/>
          <w:sz w:val="24"/>
          <w:szCs w:val="24"/>
          <w:highlight w:val="none"/>
          <w:u w:val="single"/>
        </w:rPr>
      </w:pPr>
      <w:r>
        <w:rPr>
          <w:rFonts w:hint="eastAsia" w:ascii="宋体" w:hAnsi="宋体"/>
          <w:color w:val="auto"/>
          <w:sz w:val="24"/>
          <w:szCs w:val="24"/>
          <w:highlight w:val="none"/>
          <w:u w:val="single"/>
        </w:rPr>
        <w:t>（5）本项目允许分包。乙方需要独立完成本项目70%以上的检测监测工作（主要检测监测工作需要由乙方完成），剩余的非主要检测监测工作，乙方不具备资质的，经甲方同意后可依法分包给具备相关资质的检测单位，但分包的检测监测工作不得再次分包。</w:t>
      </w:r>
    </w:p>
    <w:p w14:paraId="39AEC832">
      <w:pPr>
        <w:widowControl/>
        <w:adjustRightInd w:val="0"/>
        <w:snapToGrid w:val="0"/>
        <w:spacing w:line="480" w:lineRule="exact"/>
        <w:ind w:firstLine="475" w:firstLineChars="198"/>
        <w:jc w:val="left"/>
        <w:rPr>
          <w:rFonts w:ascii="宋体" w:hAnsi="宋体"/>
          <w:color w:val="auto"/>
          <w:sz w:val="24"/>
          <w:szCs w:val="24"/>
          <w:highlight w:val="none"/>
          <w:u w:val="single"/>
        </w:rPr>
      </w:pPr>
      <w:r>
        <w:rPr>
          <w:rFonts w:hint="eastAsia" w:ascii="宋体" w:hAnsi="宋体"/>
          <w:color w:val="auto"/>
          <w:sz w:val="24"/>
          <w:szCs w:val="24"/>
          <w:highlight w:val="none"/>
          <w:u w:val="single"/>
        </w:rPr>
        <w:t>（6）乙方承诺：中标后结合项目实际情况编制、申报监测方案，并确保监测方案符合有关规范要求及通过工程所在行政区域的交通局行政主管部门和监督部门的审核。保证技术成果能够通过相关部门认可，确保不因监测工作影响本工程项目的安全质量和建设进度。否则自愿放弃中标资格，并同意接受相关条款处罚。</w:t>
      </w:r>
    </w:p>
    <w:p w14:paraId="0B2A34F9">
      <w:pPr>
        <w:widowControl/>
        <w:adjustRightInd w:val="0"/>
        <w:snapToGrid w:val="0"/>
        <w:spacing w:line="480" w:lineRule="exact"/>
        <w:ind w:firstLine="475" w:firstLineChars="198"/>
        <w:jc w:val="left"/>
        <w:rPr>
          <w:rFonts w:ascii="宋体" w:hAnsi="宋体"/>
          <w:color w:val="auto"/>
          <w:sz w:val="24"/>
          <w:szCs w:val="24"/>
          <w:highlight w:val="none"/>
          <w:u w:val="single"/>
        </w:rPr>
      </w:pPr>
      <w:r>
        <w:rPr>
          <w:rFonts w:hint="eastAsia" w:ascii="宋体" w:hAnsi="宋体"/>
          <w:color w:val="auto"/>
          <w:sz w:val="24"/>
          <w:szCs w:val="24"/>
          <w:highlight w:val="none"/>
        </w:rPr>
        <w:t xml:space="preserve">（二）服务方式： </w:t>
      </w:r>
      <w:r>
        <w:rPr>
          <w:rFonts w:hint="eastAsia" w:ascii="宋体" w:hAnsi="宋体"/>
          <w:color w:val="auto"/>
          <w:sz w:val="24"/>
          <w:szCs w:val="24"/>
          <w:highlight w:val="none"/>
          <w:u w:val="single"/>
        </w:rPr>
        <w:t xml:space="preserve">按照甲方要求                                            </w:t>
      </w:r>
    </w:p>
    <w:p w14:paraId="14E6899B">
      <w:pPr>
        <w:widowControl/>
        <w:adjustRightInd w:val="0"/>
        <w:snapToGrid w:val="0"/>
        <w:spacing w:line="480" w:lineRule="exact"/>
        <w:ind w:firstLine="475" w:firstLineChars="198"/>
        <w:jc w:val="left"/>
        <w:rPr>
          <w:rFonts w:ascii="宋体" w:hAnsi="宋体"/>
          <w:color w:val="auto"/>
          <w:sz w:val="24"/>
          <w:szCs w:val="24"/>
          <w:highlight w:val="none"/>
          <w:u w:val="single"/>
        </w:rPr>
      </w:pPr>
      <w:r>
        <w:rPr>
          <w:rFonts w:hint="eastAsia" w:ascii="宋体" w:hAnsi="宋体"/>
          <w:color w:val="auto"/>
          <w:sz w:val="24"/>
          <w:szCs w:val="24"/>
          <w:highlight w:val="none"/>
        </w:rPr>
        <w:t>（三）检测、监测标准：</w:t>
      </w:r>
      <w:r>
        <w:rPr>
          <w:rFonts w:hint="eastAsia" w:asciiTheme="minorEastAsia" w:hAnsiTheme="minorEastAsia"/>
          <w:color w:val="auto"/>
          <w:sz w:val="24"/>
          <w:szCs w:val="24"/>
          <w:highlight w:val="none"/>
          <w:u w:val="single"/>
        </w:rPr>
        <w:t>按国家和省、市检测规范和规章制度要求，达到合格标准。</w:t>
      </w:r>
      <w:r>
        <w:rPr>
          <w:rFonts w:hint="eastAsia" w:ascii="宋体" w:hAnsi="宋体"/>
          <w:color w:val="auto"/>
          <w:sz w:val="24"/>
          <w:szCs w:val="24"/>
          <w:highlight w:val="none"/>
          <w:u w:val="single"/>
        </w:rPr>
        <w:t xml:space="preserve">        </w:t>
      </w:r>
    </w:p>
    <w:p w14:paraId="4B71C598">
      <w:pPr>
        <w:widowControl/>
        <w:adjustRightInd w:val="0"/>
        <w:snapToGrid w:val="0"/>
        <w:spacing w:line="480" w:lineRule="exact"/>
        <w:ind w:firstLine="475" w:firstLineChars="198"/>
        <w:jc w:val="left"/>
        <w:rPr>
          <w:rFonts w:ascii="宋体" w:hAnsi="宋体"/>
          <w:color w:val="auto"/>
          <w:sz w:val="24"/>
          <w:szCs w:val="24"/>
          <w:highlight w:val="none"/>
        </w:rPr>
      </w:pPr>
      <w:r>
        <w:rPr>
          <w:rFonts w:hint="eastAsia" w:ascii="宋体" w:hAnsi="宋体"/>
          <w:color w:val="auto"/>
          <w:sz w:val="24"/>
          <w:szCs w:val="24"/>
          <w:highlight w:val="none"/>
        </w:rPr>
        <w:t>（四）服务要求：</w:t>
      </w:r>
    </w:p>
    <w:p w14:paraId="4364B815">
      <w:pPr>
        <w:widowControl/>
        <w:adjustRightInd w:val="0"/>
        <w:snapToGrid w:val="0"/>
        <w:spacing w:line="480" w:lineRule="exact"/>
        <w:ind w:firstLine="475" w:firstLineChars="198"/>
        <w:jc w:val="left"/>
        <w:rPr>
          <w:rFonts w:ascii="宋体" w:hAnsi="宋体"/>
          <w:color w:val="auto"/>
          <w:sz w:val="24"/>
          <w:szCs w:val="24"/>
          <w:highlight w:val="none"/>
          <w:u w:val="single"/>
        </w:rPr>
      </w:pPr>
      <w:r>
        <w:rPr>
          <w:rFonts w:hint="eastAsia" w:ascii="宋体" w:hAnsi="宋体"/>
          <w:color w:val="auto"/>
          <w:sz w:val="24"/>
          <w:szCs w:val="24"/>
          <w:highlight w:val="none"/>
          <w:u w:val="single"/>
        </w:rPr>
        <w:t>（1）乙方须同施工单位交底协调好，避免监测点受到破坏或堆放建材而妨碍对该点进行监测时，如有破坏甲方不负任何责任。乙方对监测报告及成果文件的准备性负责，由于乙方的疏漏、错误造成工程质量事故的，乙方除负补救措施外，还须赔偿由此造成的损失。</w:t>
      </w:r>
    </w:p>
    <w:p w14:paraId="1C3CEBB4">
      <w:pPr>
        <w:widowControl/>
        <w:adjustRightInd w:val="0"/>
        <w:snapToGrid w:val="0"/>
        <w:spacing w:line="480" w:lineRule="exact"/>
        <w:ind w:firstLine="475" w:firstLineChars="198"/>
        <w:jc w:val="left"/>
        <w:rPr>
          <w:rFonts w:ascii="宋体" w:hAnsi="宋体"/>
          <w:color w:val="auto"/>
          <w:sz w:val="24"/>
          <w:szCs w:val="24"/>
          <w:highlight w:val="none"/>
          <w:u w:val="single"/>
        </w:rPr>
      </w:pPr>
      <w:r>
        <w:rPr>
          <w:rFonts w:hint="eastAsia" w:ascii="宋体" w:hAnsi="宋体"/>
          <w:color w:val="auto"/>
          <w:sz w:val="24"/>
          <w:szCs w:val="24"/>
          <w:highlight w:val="none"/>
          <w:u w:val="single"/>
        </w:rPr>
        <w:t>（2）乙方服务周期必须满足实际施工要求，无论因任何原因导致上述约定日期延期的，乙方应继续按照本合同约定提供检测监测服务，该等风险已综合考虑到合同总价之中，乙方不得因此主张增加费用。</w:t>
      </w:r>
    </w:p>
    <w:p w14:paraId="0D2391EA">
      <w:pPr>
        <w:widowControl/>
        <w:adjustRightInd w:val="0"/>
        <w:snapToGrid w:val="0"/>
        <w:spacing w:line="480" w:lineRule="exact"/>
        <w:ind w:firstLine="475" w:firstLineChars="198"/>
        <w:jc w:val="left"/>
        <w:rPr>
          <w:rFonts w:ascii="宋体" w:hAnsi="宋体"/>
          <w:color w:val="auto"/>
          <w:sz w:val="24"/>
          <w:szCs w:val="24"/>
          <w:highlight w:val="none"/>
          <w:u w:val="single"/>
        </w:rPr>
      </w:pPr>
      <w:r>
        <w:rPr>
          <w:rFonts w:hint="eastAsia" w:ascii="宋体" w:hAnsi="宋体"/>
          <w:color w:val="auto"/>
          <w:sz w:val="24"/>
          <w:szCs w:val="24"/>
          <w:highlight w:val="none"/>
          <w:u w:val="single"/>
        </w:rPr>
        <w:t>（3）工作质量必须符合国家、省、市有关规范规程和规定的要求及设计要求，严格按照本合同约定的技术要求提供服务，保证合同项目检测监测工作及其成果资料的真实性、准确性、完整性、科学性和可靠性。做好检测原始记录，提供的成果资料应符合相关标准和项目状况。</w:t>
      </w:r>
    </w:p>
    <w:p w14:paraId="40ADD4FF">
      <w:pPr>
        <w:widowControl/>
        <w:adjustRightInd w:val="0"/>
        <w:snapToGrid w:val="0"/>
        <w:spacing w:line="480" w:lineRule="exact"/>
        <w:ind w:firstLine="475" w:firstLineChars="198"/>
        <w:jc w:val="left"/>
        <w:rPr>
          <w:rFonts w:ascii="宋体" w:hAnsi="宋体"/>
          <w:color w:val="auto"/>
          <w:sz w:val="24"/>
          <w:szCs w:val="24"/>
          <w:highlight w:val="none"/>
          <w:u w:val="single"/>
        </w:rPr>
      </w:pPr>
      <w:r>
        <w:rPr>
          <w:rFonts w:hint="eastAsia" w:ascii="宋体" w:hAnsi="宋体"/>
          <w:color w:val="auto"/>
          <w:sz w:val="24"/>
          <w:szCs w:val="24"/>
          <w:highlight w:val="none"/>
          <w:u w:val="single"/>
        </w:rPr>
        <w:t>（4）乙方在中标后14天，需正式提供检测、监测实施计划，按照项目单位工程、分部工程进行划分，并明确检测、监测内容，工作开展的现场前置条件。</w:t>
      </w:r>
    </w:p>
    <w:p w14:paraId="5BD9D61C">
      <w:pPr>
        <w:widowControl/>
        <w:adjustRightInd w:val="0"/>
        <w:snapToGrid w:val="0"/>
        <w:spacing w:line="480" w:lineRule="exact"/>
        <w:ind w:firstLine="475" w:firstLineChars="198"/>
        <w:jc w:val="left"/>
        <w:rPr>
          <w:rFonts w:ascii="宋体" w:hAnsi="宋体"/>
          <w:color w:val="auto"/>
          <w:sz w:val="24"/>
          <w:szCs w:val="24"/>
          <w:highlight w:val="none"/>
          <w:u w:val="single"/>
        </w:rPr>
      </w:pPr>
      <w:r>
        <w:rPr>
          <w:rFonts w:hint="eastAsia" w:ascii="宋体" w:hAnsi="宋体"/>
          <w:color w:val="auto"/>
          <w:sz w:val="24"/>
          <w:szCs w:val="24"/>
          <w:highlight w:val="none"/>
          <w:u w:val="single"/>
        </w:rPr>
        <w:t>（5）乙方在施工图纸经过审查7天内，依据总承包单位进度计划，提供各项检测、监测实施方案，28天内通过工程所在行政区域的相关建设行政主管部门和监督部门的审批。</w:t>
      </w:r>
    </w:p>
    <w:p w14:paraId="53F684A7">
      <w:pPr>
        <w:widowControl/>
        <w:adjustRightInd w:val="0"/>
        <w:snapToGrid w:val="0"/>
        <w:spacing w:line="480" w:lineRule="exact"/>
        <w:ind w:firstLine="475" w:firstLineChars="198"/>
        <w:jc w:val="left"/>
        <w:rPr>
          <w:rFonts w:ascii="宋体" w:hAnsi="宋体"/>
          <w:color w:val="auto"/>
          <w:sz w:val="24"/>
          <w:szCs w:val="24"/>
          <w:highlight w:val="none"/>
          <w:u w:val="single"/>
        </w:rPr>
      </w:pPr>
      <w:r>
        <w:rPr>
          <w:rFonts w:hint="eastAsia" w:ascii="宋体" w:hAnsi="宋体"/>
          <w:color w:val="auto"/>
          <w:sz w:val="24"/>
          <w:szCs w:val="24"/>
          <w:highlight w:val="none"/>
          <w:u w:val="single"/>
        </w:rPr>
        <w:t>备注：乙方具有相关资质或对于检测项目中的个别参数，属于检测、监测设备昂贵或使用率低等原因的，乙方需自行委托其他具备资质的单位完成该项目参数的检验检测试验及监测业务，保证完成整体项目所有检验检测试验及监测工作，由此产生之费用已包含在合同金额中，甲方不另行计量支付。</w:t>
      </w:r>
    </w:p>
    <w:p w14:paraId="4AD07392">
      <w:pPr>
        <w:widowControl/>
        <w:adjustRightInd w:val="0"/>
        <w:snapToGrid w:val="0"/>
        <w:spacing w:line="480" w:lineRule="exact"/>
        <w:ind w:firstLine="475" w:firstLineChars="198"/>
        <w:jc w:val="left"/>
        <w:rPr>
          <w:rFonts w:ascii="宋体" w:hAnsi="宋体" w:cs="宋体"/>
          <w:b/>
          <w:color w:val="auto"/>
          <w:sz w:val="24"/>
          <w:highlight w:val="none"/>
        </w:rPr>
      </w:pPr>
      <w:bookmarkStart w:id="2" w:name="_Toc496830639"/>
      <w:r>
        <w:rPr>
          <w:rFonts w:hint="eastAsia" w:ascii="宋体" w:hAnsi="宋体"/>
          <w:color w:val="auto"/>
          <w:sz w:val="24"/>
          <w:szCs w:val="24"/>
          <w:highlight w:val="none"/>
        </w:rPr>
        <w:t>（五）服务周期：</w:t>
      </w:r>
      <w:bookmarkEnd w:id="2"/>
      <w:r>
        <w:rPr>
          <w:rFonts w:hint="eastAsia" w:ascii="宋体" w:hAnsi="宋体"/>
          <w:color w:val="auto"/>
          <w:sz w:val="24"/>
          <w:szCs w:val="24"/>
          <w:highlight w:val="none"/>
          <w:u w:val="single"/>
        </w:rPr>
        <w:t>建设周期为</w:t>
      </w:r>
      <w:r>
        <w:rPr>
          <w:rFonts w:hint="eastAsia" w:ascii="宋体" w:hAnsi="宋体"/>
          <w:color w:val="auto"/>
          <w:sz w:val="24"/>
          <w:szCs w:val="24"/>
          <w:highlight w:val="none"/>
          <w:u w:val="single"/>
          <w:lang w:val="en-US" w:eastAsia="zh-CN"/>
        </w:rPr>
        <w:t>27</w:t>
      </w:r>
      <w:r>
        <w:rPr>
          <w:rFonts w:hint="eastAsia" w:ascii="宋体" w:hAnsi="宋体"/>
          <w:color w:val="auto"/>
          <w:sz w:val="24"/>
          <w:szCs w:val="24"/>
          <w:highlight w:val="none"/>
          <w:u w:val="single"/>
        </w:rPr>
        <w:t>0日历天</w:t>
      </w:r>
      <w:r>
        <w:rPr>
          <w:rFonts w:hint="eastAsia" w:ascii="宋体" w:hAnsi="宋体"/>
          <w:color w:val="auto"/>
          <w:sz w:val="24"/>
          <w:szCs w:val="24"/>
          <w:highlight w:val="none"/>
          <w:u w:val="single"/>
        </w:rPr>
        <w:t>。服务期限：自甲方书面通知进场至项目完成竣工验收备案为止，服务周期必须满足实际施工要求。</w:t>
      </w:r>
    </w:p>
    <w:p w14:paraId="345E0085">
      <w:pPr>
        <w:spacing w:line="360" w:lineRule="auto"/>
        <w:ind w:firstLine="480"/>
        <w:rPr>
          <w:rFonts w:ascii="宋体" w:hAnsi="宋体" w:cs="宋体"/>
          <w:b/>
          <w:color w:val="auto"/>
          <w:sz w:val="24"/>
          <w:highlight w:val="none"/>
        </w:rPr>
      </w:pPr>
      <w:r>
        <w:rPr>
          <w:rFonts w:hint="eastAsia" w:ascii="宋体" w:hAnsi="宋体" w:cs="宋体"/>
          <w:b/>
          <w:color w:val="auto"/>
          <w:sz w:val="24"/>
          <w:highlight w:val="none"/>
          <w:lang w:bidi="ar"/>
        </w:rPr>
        <w:t>四、提交报告要求：</w:t>
      </w:r>
    </w:p>
    <w:p w14:paraId="402E9755">
      <w:pPr>
        <w:spacing w:line="360" w:lineRule="auto"/>
        <w:ind w:firstLine="424" w:firstLineChars="177"/>
        <w:rPr>
          <w:color w:val="auto"/>
          <w:sz w:val="24"/>
          <w:highlight w:val="none"/>
        </w:rPr>
      </w:pPr>
      <w:r>
        <w:rPr>
          <w:rFonts w:ascii="Times New Roman" w:hAnsi="Times New Roman"/>
          <w:color w:val="auto"/>
          <w:sz w:val="24"/>
          <w:highlight w:val="none"/>
          <w:lang w:bidi="ar"/>
        </w:rPr>
        <w:t>1</w:t>
      </w:r>
      <w:r>
        <w:rPr>
          <w:rFonts w:hint="eastAsia" w:ascii="Times New Roman" w:hAnsi="Times New Roman" w:cs="宋体"/>
          <w:color w:val="auto"/>
          <w:sz w:val="24"/>
          <w:highlight w:val="none"/>
          <w:lang w:bidi="ar"/>
        </w:rPr>
        <w:t>、乙方在每次检测、监测工作完成后，应在检测、监测工作结束后五天内向甲方提供正式检测、监测报告。检测、监测报告应提交一式</w:t>
      </w:r>
      <w:r>
        <w:rPr>
          <w:rFonts w:ascii="Times New Roman" w:hAnsi="Times New Roman"/>
          <w:color w:val="auto"/>
          <w:sz w:val="24"/>
          <w:highlight w:val="none"/>
          <w:u w:val="single"/>
          <w:lang w:bidi="ar"/>
        </w:rPr>
        <w:t xml:space="preserve"> </w:t>
      </w:r>
      <w:r>
        <w:rPr>
          <w:rFonts w:hint="eastAsia" w:ascii="Times New Roman" w:hAnsi="Times New Roman"/>
          <w:color w:val="auto"/>
          <w:sz w:val="24"/>
          <w:highlight w:val="none"/>
          <w:u w:val="single"/>
          <w:lang w:bidi="ar"/>
        </w:rPr>
        <w:t>拾</w:t>
      </w:r>
      <w:r>
        <w:rPr>
          <w:rFonts w:ascii="Times New Roman" w:hAnsi="Times New Roman"/>
          <w:color w:val="auto"/>
          <w:sz w:val="24"/>
          <w:highlight w:val="none"/>
          <w:u w:val="single"/>
          <w:lang w:bidi="ar"/>
        </w:rPr>
        <w:t xml:space="preserve"> </w:t>
      </w:r>
      <w:r>
        <w:rPr>
          <w:rFonts w:hint="eastAsia" w:ascii="Times New Roman" w:hAnsi="Times New Roman" w:cs="宋体"/>
          <w:color w:val="auto"/>
          <w:sz w:val="24"/>
          <w:highlight w:val="none"/>
          <w:lang w:bidi="ar"/>
        </w:rPr>
        <w:t>份（如甲方有需要，增加报告份数，乙方无条件免费提供）。</w:t>
      </w:r>
    </w:p>
    <w:p w14:paraId="1C37E761">
      <w:pPr>
        <w:spacing w:line="360" w:lineRule="auto"/>
        <w:ind w:firstLine="424" w:firstLineChars="177"/>
        <w:rPr>
          <w:color w:val="auto"/>
          <w:sz w:val="24"/>
          <w:highlight w:val="none"/>
        </w:rPr>
      </w:pPr>
      <w:r>
        <w:rPr>
          <w:rFonts w:ascii="Times New Roman" w:hAnsi="Times New Roman"/>
          <w:color w:val="auto"/>
          <w:sz w:val="24"/>
          <w:highlight w:val="none"/>
          <w:lang w:bidi="ar"/>
        </w:rPr>
        <w:t>2</w:t>
      </w:r>
      <w:r>
        <w:rPr>
          <w:rFonts w:hint="eastAsia" w:ascii="Times New Roman" w:hAnsi="Times New Roman" w:cs="宋体"/>
          <w:color w:val="auto"/>
          <w:sz w:val="24"/>
          <w:highlight w:val="none"/>
          <w:lang w:bidi="ar"/>
        </w:rPr>
        <w:t>、成果报告需加盖检测、监测报告专用章和计量认证章（</w:t>
      </w:r>
      <w:r>
        <w:rPr>
          <w:rFonts w:ascii="Times New Roman" w:hAnsi="Times New Roman"/>
          <w:color w:val="auto"/>
          <w:sz w:val="24"/>
          <w:highlight w:val="none"/>
          <w:lang w:bidi="ar"/>
        </w:rPr>
        <w:t>CMA</w:t>
      </w:r>
      <w:r>
        <w:rPr>
          <w:rFonts w:hint="eastAsia" w:ascii="Times New Roman" w:hAnsi="Times New Roman" w:cs="宋体"/>
          <w:color w:val="auto"/>
          <w:sz w:val="24"/>
          <w:highlight w:val="none"/>
          <w:lang w:bidi="ar"/>
        </w:rPr>
        <w:t>章）。检测、监测报告签认人员的检测、监测资格证书必须在乙方处注册并且有效。</w:t>
      </w:r>
    </w:p>
    <w:p w14:paraId="39965C5A">
      <w:pPr>
        <w:spacing w:line="360" w:lineRule="auto"/>
        <w:ind w:firstLine="424" w:firstLineChars="177"/>
        <w:rPr>
          <w:color w:val="auto"/>
          <w:sz w:val="24"/>
          <w:highlight w:val="none"/>
        </w:rPr>
      </w:pPr>
      <w:r>
        <w:rPr>
          <w:rFonts w:ascii="Times New Roman" w:hAnsi="Times New Roman"/>
          <w:color w:val="auto"/>
          <w:sz w:val="24"/>
          <w:highlight w:val="none"/>
          <w:lang w:bidi="ar"/>
        </w:rPr>
        <w:t>3</w:t>
      </w:r>
      <w:r>
        <w:rPr>
          <w:rFonts w:hint="eastAsia" w:ascii="Times New Roman" w:hAnsi="Times New Roman" w:cs="宋体"/>
          <w:color w:val="auto"/>
          <w:sz w:val="24"/>
          <w:highlight w:val="none"/>
          <w:lang w:bidi="ar"/>
        </w:rPr>
        <w:t>、所有检测、监测报告必须符合国家和地方现行的规范、标准。</w:t>
      </w:r>
    </w:p>
    <w:p w14:paraId="043C0674">
      <w:pPr>
        <w:adjustRightInd w:val="0"/>
        <w:snapToGrid w:val="0"/>
        <w:spacing w:line="360" w:lineRule="auto"/>
        <w:ind w:firstLine="480" w:firstLineChars="200"/>
        <w:outlineLvl w:val="0"/>
        <w:rPr>
          <w:color w:val="auto"/>
          <w:sz w:val="24"/>
          <w:highlight w:val="none"/>
        </w:rPr>
      </w:pPr>
      <w:bookmarkStart w:id="3" w:name="_Toc496830640"/>
      <w:r>
        <w:rPr>
          <w:rFonts w:ascii="Times New Roman" w:hAnsi="Times New Roman"/>
          <w:color w:val="auto"/>
          <w:sz w:val="24"/>
          <w:highlight w:val="none"/>
          <w:lang w:bidi="ar"/>
        </w:rPr>
        <w:t>4</w:t>
      </w:r>
      <w:r>
        <w:rPr>
          <w:rFonts w:hint="eastAsia" w:ascii="Times New Roman" w:hAnsi="Times New Roman" w:cs="宋体"/>
          <w:color w:val="auto"/>
          <w:sz w:val="24"/>
          <w:highlight w:val="none"/>
          <w:lang w:bidi="ar"/>
        </w:rPr>
        <w:t>、相关行政主管部门对检测、监测结果提出异议时，乙方应无条件配合复检，由此产生的相关费用由责任方承担。</w:t>
      </w:r>
      <w:bookmarkEnd w:id="3"/>
    </w:p>
    <w:p w14:paraId="224020CF">
      <w:pPr>
        <w:adjustRightInd w:val="0"/>
        <w:snapToGrid w:val="0"/>
        <w:spacing w:line="360" w:lineRule="auto"/>
        <w:ind w:firstLine="480" w:firstLineChars="200"/>
        <w:outlineLvl w:val="0"/>
        <w:rPr>
          <w:color w:val="auto"/>
          <w:sz w:val="24"/>
          <w:highlight w:val="none"/>
        </w:rPr>
      </w:pPr>
    </w:p>
    <w:p w14:paraId="5128DED3">
      <w:pPr>
        <w:adjustRightInd w:val="0"/>
        <w:snapToGrid w:val="0"/>
        <w:spacing w:line="360" w:lineRule="auto"/>
        <w:ind w:firstLine="482" w:firstLineChars="200"/>
        <w:outlineLvl w:val="0"/>
        <w:rPr>
          <w:b/>
          <w:color w:val="auto"/>
          <w:sz w:val="24"/>
          <w:highlight w:val="none"/>
        </w:rPr>
      </w:pPr>
      <w:bookmarkStart w:id="4" w:name="_Toc370832545"/>
      <w:bookmarkStart w:id="5" w:name="_Toc496830641"/>
      <w:r>
        <w:rPr>
          <w:rFonts w:hint="eastAsia" w:ascii="宋体" w:hAnsi="宋体" w:cs="宋体"/>
          <w:b/>
          <w:color w:val="auto"/>
          <w:sz w:val="24"/>
          <w:highlight w:val="none"/>
          <w:lang w:bidi="ar"/>
        </w:rPr>
        <w:t>五、合同价：</w:t>
      </w:r>
      <w:bookmarkEnd w:id="4"/>
      <w:bookmarkEnd w:id="5"/>
      <w:r>
        <w:rPr>
          <w:rFonts w:ascii="Times New Roman" w:hAnsi="Times New Roman"/>
          <w:b/>
          <w:color w:val="auto"/>
          <w:sz w:val="24"/>
          <w:highlight w:val="none"/>
          <w:lang w:bidi="ar"/>
        </w:rPr>
        <w:t xml:space="preserve"> </w:t>
      </w:r>
    </w:p>
    <w:p w14:paraId="6812110D">
      <w:pPr>
        <w:adjustRightInd w:val="0"/>
        <w:snapToGrid w:val="0"/>
        <w:spacing w:line="360" w:lineRule="auto"/>
        <w:ind w:firstLine="248" w:firstLineChars="100"/>
        <w:rPr>
          <w:rFonts w:ascii="宋体" w:hAnsi="宋体" w:cs="宋体"/>
          <w:bCs/>
          <w:color w:val="auto"/>
          <w:spacing w:val="4"/>
          <w:sz w:val="24"/>
          <w:highlight w:val="none"/>
        </w:rPr>
      </w:pPr>
      <w:r>
        <w:rPr>
          <w:rFonts w:hint="eastAsia" w:ascii="宋体" w:hAnsi="宋体" w:cs="宋体"/>
          <w:bCs/>
          <w:color w:val="auto"/>
          <w:spacing w:val="4"/>
          <w:sz w:val="24"/>
          <w:highlight w:val="none"/>
          <w:lang w:bidi="ar"/>
        </w:rPr>
        <w:t>1、</w:t>
      </w:r>
      <w:r>
        <w:rPr>
          <w:rFonts w:hint="eastAsia" w:ascii="宋体" w:hAnsi="宋体" w:cs="仿宋"/>
          <w:color w:val="auto"/>
          <w:sz w:val="24"/>
          <w:szCs w:val="24"/>
          <w:highlight w:val="none"/>
        </w:rPr>
        <w:t>合同总价（含税）暂定金额为</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元（人民币大写：</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），其中检测费用</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元（人民币大写：</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），监测费用</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元（人民币大写：</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w:t>
      </w:r>
      <w:r>
        <w:rPr>
          <w:rFonts w:hint="eastAsia" w:ascii="宋体" w:hAnsi="宋体" w:cs="宋体"/>
          <w:bCs/>
          <w:color w:val="auto"/>
          <w:spacing w:val="4"/>
          <w:sz w:val="24"/>
          <w:highlight w:val="none"/>
          <w:lang w:bidi="ar"/>
        </w:rPr>
        <w:t>。投标报价下浮率：</w:t>
      </w:r>
      <w:r>
        <w:rPr>
          <w:rFonts w:hint="eastAsia" w:ascii="宋体" w:hAnsi="宋体" w:cs="宋体"/>
          <w:bCs/>
          <w:color w:val="auto"/>
          <w:spacing w:val="4"/>
          <w:sz w:val="24"/>
          <w:highlight w:val="none"/>
          <w:u w:val="single"/>
          <w:lang w:bidi="ar"/>
        </w:rPr>
        <w:t xml:space="preserve">        </w:t>
      </w:r>
      <w:r>
        <w:rPr>
          <w:rFonts w:hint="eastAsia" w:ascii="宋体" w:hAnsi="宋体" w:cs="宋体"/>
          <w:bCs/>
          <w:color w:val="auto"/>
          <w:spacing w:val="4"/>
          <w:sz w:val="24"/>
          <w:highlight w:val="none"/>
          <w:lang w:bidi="ar"/>
        </w:rPr>
        <w:t>%。</w:t>
      </w:r>
    </w:p>
    <w:p w14:paraId="1387FB75">
      <w:pPr>
        <w:adjustRightInd w:val="0"/>
        <w:snapToGrid w:val="0"/>
        <w:spacing w:line="360" w:lineRule="auto"/>
        <w:ind w:firstLine="496" w:firstLineChars="200"/>
        <w:rPr>
          <w:rFonts w:ascii="宋体" w:hAnsi="宋体" w:cs="宋体"/>
          <w:bCs/>
          <w:color w:val="auto"/>
          <w:spacing w:val="4"/>
          <w:sz w:val="24"/>
          <w:highlight w:val="none"/>
          <w:lang w:bidi="ar"/>
        </w:rPr>
      </w:pPr>
      <w:r>
        <w:rPr>
          <w:rFonts w:hint="eastAsia" w:ascii="宋体" w:hAnsi="宋体" w:cs="宋体"/>
          <w:bCs/>
          <w:color w:val="auto"/>
          <w:spacing w:val="4"/>
          <w:sz w:val="24"/>
          <w:highlight w:val="none"/>
          <w:lang w:bidi="ar"/>
        </w:rPr>
        <w:t>2、本合同</w:t>
      </w:r>
      <w:r>
        <w:rPr>
          <w:rFonts w:hint="eastAsia" w:ascii="宋体" w:hAnsi="宋体"/>
          <w:color w:val="auto"/>
          <w:sz w:val="24"/>
          <w:szCs w:val="24"/>
          <w:highlight w:val="none"/>
          <w:u w:val="single"/>
        </w:rPr>
        <w:t>工程量以实际发生（按业主、监理人、受托人确认）进行计算，结算时依据实际工程量</w:t>
      </w:r>
      <w:r>
        <w:rPr>
          <w:rFonts w:ascii="Arial" w:hAnsi="Arial" w:cs="Arial"/>
          <w:color w:val="auto"/>
          <w:sz w:val="24"/>
          <w:szCs w:val="24"/>
          <w:highlight w:val="none"/>
          <w:u w:val="single"/>
        </w:rPr>
        <w:t>×</w:t>
      </w:r>
      <w:r>
        <w:rPr>
          <w:rFonts w:hint="eastAsia" w:ascii="宋体" w:hAnsi="宋体"/>
          <w:color w:val="auto"/>
          <w:sz w:val="24"/>
          <w:szCs w:val="24"/>
          <w:highlight w:val="none"/>
          <w:u w:val="single"/>
        </w:rPr>
        <w:t>收费标准单价</w:t>
      </w:r>
      <w:r>
        <w:rPr>
          <w:rFonts w:ascii="Arial" w:hAnsi="Arial" w:cs="Arial"/>
          <w:color w:val="auto"/>
          <w:sz w:val="24"/>
          <w:szCs w:val="24"/>
          <w:highlight w:val="none"/>
          <w:u w:val="single"/>
        </w:rPr>
        <w:t>×</w:t>
      </w:r>
      <w:r>
        <w:rPr>
          <w:rFonts w:hint="eastAsia" w:ascii="Arial" w:hAnsi="Arial" w:cs="Arial"/>
          <w:color w:val="auto"/>
          <w:sz w:val="24"/>
          <w:szCs w:val="24"/>
          <w:highlight w:val="none"/>
          <w:u w:val="single"/>
        </w:rPr>
        <w:t>（1-投标下浮率）结算，</w:t>
      </w:r>
      <w:r>
        <w:rPr>
          <w:rFonts w:hint="eastAsia" w:ascii="宋体" w:hAnsi="宋体"/>
          <w:color w:val="auto"/>
          <w:sz w:val="24"/>
          <w:szCs w:val="24"/>
          <w:highlight w:val="none"/>
          <w:u w:val="single"/>
        </w:rPr>
        <w:t>但结算价超过经评审的概算中对应的检测、监测费的审定金额的，则按最终概算审定金额为最终结算价（如有审计、以审计结果为准）。</w:t>
      </w:r>
    </w:p>
    <w:p w14:paraId="12BA70BD">
      <w:pPr>
        <w:tabs>
          <w:tab w:val="left" w:pos="7513"/>
        </w:tabs>
        <w:spacing w:line="360" w:lineRule="auto"/>
        <w:ind w:firstLine="496" w:firstLineChars="200"/>
        <w:rPr>
          <w:rFonts w:ascii="宋体" w:hAnsi="宋体" w:cs="宋体"/>
          <w:bCs/>
          <w:color w:val="auto"/>
          <w:spacing w:val="4"/>
          <w:sz w:val="24"/>
          <w:highlight w:val="none"/>
          <w:lang w:bidi="ar"/>
        </w:rPr>
      </w:pPr>
      <w:r>
        <w:rPr>
          <w:rFonts w:hint="eastAsia" w:ascii="宋体" w:hAnsi="宋体" w:cs="宋体"/>
          <w:bCs/>
          <w:color w:val="auto"/>
          <w:spacing w:val="4"/>
          <w:sz w:val="24"/>
          <w:highlight w:val="none"/>
          <w:lang w:bidi="ar"/>
        </w:rPr>
        <w:t>最终结算价已包含了为完成本项目招标内容要求所产生的所有不可预见的费用,包括</w:t>
      </w:r>
      <w:r>
        <w:rPr>
          <w:rFonts w:ascii="宋体" w:hAnsi="宋体" w:cs="宋体"/>
          <w:bCs/>
          <w:color w:val="auto"/>
          <w:spacing w:val="4"/>
          <w:sz w:val="24"/>
          <w:highlight w:val="none"/>
          <w:lang w:bidi="ar"/>
        </w:rPr>
        <w:t>但不限于</w:t>
      </w:r>
      <w:r>
        <w:rPr>
          <w:rFonts w:hint="eastAsia" w:ascii="宋体" w:hAnsi="宋体" w:cs="宋体"/>
          <w:bCs/>
          <w:color w:val="auto"/>
          <w:spacing w:val="4"/>
          <w:sz w:val="24"/>
          <w:highlight w:val="none"/>
          <w:lang w:bidi="ar"/>
        </w:rPr>
        <w:t>包工、包料、包设备设施、包工期、包质量、包安全、包文明作业、包与建设项目相关单位的协调以及本项目可能产生的风险等所有费用。</w:t>
      </w:r>
    </w:p>
    <w:p w14:paraId="746348D5">
      <w:pPr>
        <w:snapToGrid w:val="0"/>
        <w:spacing w:line="360" w:lineRule="auto"/>
        <w:ind w:firstLine="496" w:firstLineChars="200"/>
        <w:rPr>
          <w:rFonts w:ascii="宋体" w:hAnsi="宋体" w:cs="宋体"/>
          <w:bCs/>
          <w:color w:val="auto"/>
          <w:spacing w:val="4"/>
          <w:sz w:val="24"/>
          <w:highlight w:val="none"/>
          <w:lang w:bidi="ar"/>
        </w:rPr>
      </w:pPr>
      <w:r>
        <w:rPr>
          <w:rFonts w:hint="eastAsia" w:ascii="宋体" w:hAnsi="宋体" w:cs="宋体"/>
          <w:bCs/>
          <w:color w:val="auto"/>
          <w:spacing w:val="4"/>
          <w:sz w:val="24"/>
          <w:highlight w:val="none"/>
          <w:lang w:bidi="ar"/>
        </w:rPr>
        <w:t>3、项目实际发生的工程量单价按不超过《广东省房屋建筑和市政工程质量安全检测收费指导价（第一批）》（粤建检协〔2015〕8号）、《广东省既有房屋建筑安全性鉴定收费指导价》的通知（粤建检协〔2015〕8号）、《工程勘察设计收费管理规定》计价格[2002]10号的收费依据，基础上再结合投标下浮率计算的单价确定，如上述相关收费标准没有的项目，按以下优先顺序参照《房屋建筑和市政基础设施工程设计收费导则》中所附的《工程勘察设计收费标准》（2002年修订本）、《番禺区住房和建设局关于调整番禺区建设工程质量检测单位库检测收费标准的通知》，上述计费文件均没有的单价，按由甲乙双方参照市场价格协商确定，最终以评审审定为准，结算时按中标人投标时的下浮率结合合同相关条款进行结算，结算价超过经财政评审的概算中对应的检测监测服务的审定金额的，则按概算评审审定金额为最终结算价（如有审计，以审计结果为准）。</w:t>
      </w:r>
    </w:p>
    <w:p w14:paraId="6FBB4A8D">
      <w:pPr>
        <w:snapToGrid w:val="0"/>
        <w:spacing w:line="360" w:lineRule="auto"/>
        <w:ind w:firstLine="496" w:firstLineChars="200"/>
        <w:rPr>
          <w:rFonts w:ascii="宋体" w:hAnsi="宋体" w:cs="宋体"/>
          <w:bCs/>
          <w:color w:val="auto"/>
          <w:spacing w:val="4"/>
          <w:sz w:val="24"/>
          <w:highlight w:val="none"/>
          <w:lang w:bidi="ar"/>
        </w:rPr>
      </w:pPr>
      <w:r>
        <w:rPr>
          <w:rFonts w:hint="eastAsia" w:ascii="宋体" w:hAnsi="宋体" w:cs="宋体"/>
          <w:bCs/>
          <w:color w:val="auto"/>
          <w:spacing w:val="4"/>
          <w:sz w:val="24"/>
          <w:highlight w:val="none"/>
          <w:lang w:bidi="ar"/>
        </w:rPr>
        <w:t>4、中标总价已包括但不限于人工费、材料费、设备使用费、设备进出场费、检测试验费、各项措施费（包括但不限于：安全文明施工、临水临电安装、临时道路铺设、机械设备进出场、工作面清理及整理、检测配载、桩头处理、试坑开挖、疏干排水、工作搭架、工作棚、锚桩及焊接等相关费用）、报告编写费、各项管理费、以及所有因工程质量检测应交纳的政府规费、利润、税金、风险费用等，不论实际费用有无发生，亦不论各项费用有无涨落，均不再调整。甲方现场不提供办公及住宿等条件，所有费用由乙方在投标报价中综合考虑。</w:t>
      </w:r>
    </w:p>
    <w:p w14:paraId="67F85E2A">
      <w:pPr>
        <w:snapToGrid w:val="0"/>
        <w:spacing w:line="360" w:lineRule="auto"/>
        <w:ind w:firstLine="496" w:firstLineChars="200"/>
        <w:rPr>
          <w:rFonts w:ascii="宋体" w:hAnsi="宋体" w:cs="宋体"/>
          <w:bCs/>
          <w:color w:val="auto"/>
          <w:spacing w:val="4"/>
          <w:sz w:val="24"/>
          <w:highlight w:val="none"/>
          <w:lang w:bidi="ar"/>
        </w:rPr>
      </w:pPr>
      <w:r>
        <w:rPr>
          <w:rFonts w:hint="eastAsia" w:ascii="宋体" w:hAnsi="宋体" w:cs="宋体"/>
          <w:bCs/>
          <w:color w:val="auto"/>
          <w:spacing w:val="4"/>
          <w:sz w:val="24"/>
          <w:highlight w:val="none"/>
          <w:lang w:bidi="ar"/>
        </w:rPr>
        <w:t>5、检测监测服务的工作量根据经甲方批准的检测方案，并结合工程量清单、现场实际情况由甲方、监理人、乙方三方进行签证确认，乙方自行增加的额外工作量将不被承认，最终以番禺区财政评审机构审定为准结算。</w:t>
      </w:r>
    </w:p>
    <w:p w14:paraId="2712AE11">
      <w:pPr>
        <w:adjustRightInd w:val="0"/>
        <w:snapToGrid w:val="0"/>
        <w:spacing w:line="360" w:lineRule="auto"/>
        <w:ind w:firstLine="248" w:firstLineChars="100"/>
        <w:rPr>
          <w:rFonts w:ascii="宋体" w:hAnsi="宋体" w:cs="宋体"/>
          <w:bCs/>
          <w:color w:val="auto"/>
          <w:spacing w:val="4"/>
          <w:sz w:val="24"/>
          <w:highlight w:val="none"/>
        </w:rPr>
      </w:pPr>
    </w:p>
    <w:p w14:paraId="0E28A0D2">
      <w:pPr>
        <w:adjustRightInd w:val="0"/>
        <w:snapToGrid w:val="0"/>
        <w:spacing w:line="360" w:lineRule="auto"/>
        <w:ind w:firstLine="482" w:firstLineChars="200"/>
        <w:outlineLvl w:val="0"/>
        <w:rPr>
          <w:b/>
          <w:color w:val="auto"/>
          <w:sz w:val="24"/>
          <w:highlight w:val="none"/>
        </w:rPr>
      </w:pPr>
      <w:bookmarkStart w:id="6" w:name="_Toc496830642"/>
      <w:bookmarkStart w:id="7" w:name="_Toc370832548"/>
      <w:r>
        <w:rPr>
          <w:rFonts w:hint="eastAsia" w:ascii="Times New Roman" w:hAnsi="Times New Roman" w:cs="宋体"/>
          <w:b/>
          <w:color w:val="auto"/>
          <w:sz w:val="24"/>
          <w:highlight w:val="none"/>
          <w:lang w:bidi="ar"/>
        </w:rPr>
        <w:t>六</w:t>
      </w:r>
      <w:r>
        <w:rPr>
          <w:rFonts w:hint="eastAsia" w:ascii="Times New Roman" w:hAnsi="Times New Roman" w:cs="宋体"/>
          <w:b/>
          <w:bCs/>
          <w:color w:val="auto"/>
          <w:sz w:val="24"/>
          <w:highlight w:val="none"/>
          <w:lang w:bidi="ar"/>
        </w:rPr>
        <w:t>、付款方式</w:t>
      </w:r>
      <w:bookmarkEnd w:id="6"/>
      <w:bookmarkEnd w:id="7"/>
    </w:p>
    <w:p w14:paraId="6FB6CA03">
      <w:pPr>
        <w:adjustRightInd w:val="0"/>
        <w:snapToGrid w:val="0"/>
        <w:spacing w:line="360" w:lineRule="auto"/>
        <w:ind w:firstLine="480" w:firstLineChars="200"/>
        <w:rPr>
          <w:color w:val="auto"/>
          <w:sz w:val="24"/>
          <w:highlight w:val="none"/>
        </w:rPr>
      </w:pPr>
      <w:r>
        <w:rPr>
          <w:rFonts w:ascii="Times New Roman" w:hAnsi="Times New Roman"/>
          <w:color w:val="auto"/>
          <w:sz w:val="24"/>
          <w:highlight w:val="none"/>
          <w:lang w:bidi="ar"/>
        </w:rPr>
        <w:t>1</w:t>
      </w:r>
      <w:r>
        <w:rPr>
          <w:rFonts w:hint="eastAsia" w:ascii="Times New Roman" w:hAnsi="Times New Roman" w:cs="宋体"/>
          <w:color w:val="auto"/>
          <w:sz w:val="24"/>
          <w:highlight w:val="none"/>
          <w:lang w:bidi="ar"/>
        </w:rPr>
        <w:t>、本合同检测部分不设预付款。</w:t>
      </w:r>
    </w:p>
    <w:p w14:paraId="4A4E4E87">
      <w:pPr>
        <w:adjustRightInd w:val="0"/>
        <w:snapToGrid w:val="0"/>
        <w:spacing w:line="360" w:lineRule="auto"/>
        <w:ind w:firstLine="480" w:firstLineChars="200"/>
        <w:rPr>
          <w:color w:val="auto"/>
          <w:sz w:val="24"/>
          <w:highlight w:val="none"/>
        </w:rPr>
      </w:pPr>
      <w:r>
        <w:rPr>
          <w:rFonts w:ascii="Times New Roman" w:hAnsi="Times New Roman"/>
          <w:color w:val="auto"/>
          <w:sz w:val="24"/>
          <w:highlight w:val="none"/>
          <w:lang w:bidi="ar"/>
        </w:rPr>
        <w:t>2</w:t>
      </w:r>
      <w:r>
        <w:rPr>
          <w:rFonts w:hint="eastAsia" w:ascii="Times New Roman" w:hAnsi="Times New Roman" w:cs="宋体"/>
          <w:color w:val="auto"/>
          <w:sz w:val="24"/>
          <w:highlight w:val="none"/>
          <w:lang w:bidi="ar"/>
        </w:rPr>
        <w:t>、乙方每季度最后一个月（3月、6月、9月、12月）申报按相应规定申请进度款。</w:t>
      </w:r>
    </w:p>
    <w:p w14:paraId="7243291E">
      <w:pPr>
        <w:adjustRightInd w:val="0"/>
        <w:snapToGrid w:val="0"/>
        <w:spacing w:line="360" w:lineRule="auto"/>
        <w:ind w:firstLine="480" w:firstLineChars="200"/>
        <w:rPr>
          <w:rFonts w:ascii="宋体" w:hAnsi="宋体" w:cs="宋体"/>
          <w:color w:val="auto"/>
          <w:sz w:val="24"/>
          <w:highlight w:val="none"/>
          <w:lang w:bidi="ar"/>
        </w:rPr>
      </w:pPr>
      <w:r>
        <w:rPr>
          <w:rFonts w:ascii="Times New Roman" w:hAnsi="Times New Roman"/>
          <w:color w:val="auto"/>
          <w:sz w:val="24"/>
          <w:highlight w:val="none"/>
          <w:lang w:bidi="ar"/>
        </w:rPr>
        <w:t>3</w:t>
      </w:r>
      <w:r>
        <w:rPr>
          <w:rFonts w:hint="eastAsia" w:ascii="Times New Roman" w:hAnsi="Times New Roman" w:cs="宋体"/>
          <w:color w:val="auto"/>
          <w:sz w:val="24"/>
          <w:highlight w:val="none"/>
          <w:lang w:bidi="ar"/>
        </w:rPr>
        <w:t>、检测部分：乙方完成单项检测内容并按本合同约定向甲方提交最终成果报告或甲方确认的检测数量清单，支付相应完成工作量的</w:t>
      </w:r>
      <w:r>
        <w:rPr>
          <w:rFonts w:hint="eastAsia" w:ascii="Times New Roman" w:hAnsi="Times New Roman"/>
          <w:color w:val="auto"/>
          <w:sz w:val="24"/>
          <w:highlight w:val="none"/>
          <w:lang w:bidi="ar"/>
        </w:rPr>
        <w:t>6</w:t>
      </w:r>
      <w:r>
        <w:rPr>
          <w:rFonts w:ascii="Times New Roman" w:hAnsi="Times New Roman"/>
          <w:color w:val="auto"/>
          <w:sz w:val="24"/>
          <w:highlight w:val="none"/>
          <w:lang w:bidi="ar"/>
        </w:rPr>
        <w:t>0%</w:t>
      </w:r>
      <w:r>
        <w:rPr>
          <w:rFonts w:hint="eastAsia" w:ascii="Times New Roman" w:hAnsi="Times New Roman" w:cs="宋体"/>
          <w:color w:val="auto"/>
          <w:sz w:val="24"/>
          <w:highlight w:val="none"/>
          <w:lang w:bidi="ar"/>
        </w:rPr>
        <w:t>，累计支付至合同暂定价（扣除暂列金，如有）的</w:t>
      </w:r>
      <w:r>
        <w:rPr>
          <w:rFonts w:hint="eastAsia" w:ascii="Times New Roman" w:hAnsi="Times New Roman"/>
          <w:color w:val="auto"/>
          <w:sz w:val="24"/>
          <w:highlight w:val="none"/>
          <w:lang w:bidi="ar"/>
        </w:rPr>
        <w:t>6</w:t>
      </w:r>
      <w:r>
        <w:rPr>
          <w:rFonts w:ascii="Times New Roman" w:hAnsi="Times New Roman"/>
          <w:color w:val="auto"/>
          <w:sz w:val="24"/>
          <w:highlight w:val="none"/>
          <w:lang w:bidi="ar"/>
        </w:rPr>
        <w:t>0%</w:t>
      </w:r>
      <w:r>
        <w:rPr>
          <w:rFonts w:hint="eastAsia" w:ascii="Times New Roman" w:hAnsi="Times New Roman" w:cs="宋体"/>
          <w:color w:val="auto"/>
          <w:sz w:val="24"/>
          <w:highlight w:val="none"/>
          <w:lang w:bidi="ar"/>
        </w:rPr>
        <w:t>则停止支付。乙方完成合同约定范围内全部检测工作，并按合同约定向甲方提交全部最终成果报告后，双方</w:t>
      </w:r>
      <w:r>
        <w:rPr>
          <w:rFonts w:ascii="Times New Roman" w:hAnsi="Times New Roman" w:cs="宋体"/>
          <w:color w:val="auto"/>
          <w:sz w:val="24"/>
          <w:highlight w:val="none"/>
          <w:lang w:bidi="ar"/>
        </w:rPr>
        <w:t>按实际</w:t>
      </w:r>
      <w:r>
        <w:rPr>
          <w:rFonts w:hint="eastAsia" w:ascii="Times New Roman" w:hAnsi="Times New Roman" w:cs="宋体"/>
          <w:color w:val="auto"/>
          <w:sz w:val="24"/>
          <w:highlight w:val="none"/>
          <w:lang w:bidi="ar"/>
        </w:rPr>
        <w:t>检测工作</w:t>
      </w:r>
      <w:r>
        <w:rPr>
          <w:rFonts w:hint="eastAsia" w:ascii="宋体" w:hAnsi="宋体" w:cs="宋体"/>
          <w:color w:val="auto"/>
          <w:sz w:val="24"/>
          <w:highlight w:val="none"/>
          <w:lang w:bidi="ar"/>
        </w:rPr>
        <w:t>量结算</w:t>
      </w:r>
      <w:r>
        <w:rPr>
          <w:rFonts w:ascii="宋体" w:hAnsi="宋体" w:cs="宋体"/>
          <w:color w:val="auto"/>
          <w:sz w:val="24"/>
          <w:highlight w:val="none"/>
          <w:lang w:bidi="ar"/>
        </w:rPr>
        <w:t>服务费</w:t>
      </w:r>
      <w:r>
        <w:rPr>
          <w:rFonts w:hint="eastAsia" w:ascii="宋体" w:hAnsi="宋体" w:cs="宋体"/>
          <w:color w:val="auto"/>
          <w:sz w:val="24"/>
          <w:highlight w:val="none"/>
          <w:lang w:bidi="ar"/>
        </w:rPr>
        <w:t>，</w:t>
      </w:r>
      <w:r>
        <w:rPr>
          <w:rFonts w:hint="eastAsia" w:ascii="Times New Roman" w:hAnsi="Times New Roman" w:cs="宋体"/>
          <w:color w:val="auto"/>
          <w:sz w:val="24"/>
          <w:highlight w:val="none"/>
          <w:lang w:bidi="ar"/>
        </w:rPr>
        <w:t>支付至合同结算价的</w:t>
      </w:r>
      <w:r>
        <w:rPr>
          <w:rFonts w:ascii="Times New Roman" w:hAnsi="Times New Roman"/>
          <w:color w:val="auto"/>
          <w:sz w:val="24"/>
          <w:highlight w:val="none"/>
          <w:lang w:bidi="ar"/>
        </w:rPr>
        <w:t>80%</w:t>
      </w:r>
      <w:r>
        <w:rPr>
          <w:rFonts w:hint="eastAsia" w:ascii="Times New Roman" w:hAnsi="Times New Roman" w:cs="宋体"/>
          <w:color w:val="auto"/>
          <w:sz w:val="24"/>
          <w:highlight w:val="none"/>
          <w:lang w:bidi="ar"/>
        </w:rPr>
        <w:t>。项目竣工验收并顺利取得行业主管部门的质量监督报告后15个工作日内支付合同剩余款项</w:t>
      </w:r>
      <w:r>
        <w:rPr>
          <w:rFonts w:hint="eastAsia" w:ascii="宋体" w:hAnsi="宋体" w:cs="宋体"/>
          <w:color w:val="auto"/>
          <w:sz w:val="24"/>
          <w:highlight w:val="none"/>
          <w:lang w:bidi="ar"/>
        </w:rPr>
        <w:t>。</w:t>
      </w:r>
    </w:p>
    <w:p w14:paraId="29C140C4">
      <w:pPr>
        <w:adjustRightInd w:val="0"/>
        <w:snapToGrid w:val="0"/>
        <w:spacing w:line="360" w:lineRule="auto"/>
        <w:ind w:firstLine="480" w:firstLineChars="200"/>
        <w:rPr>
          <w:rFonts w:ascii="宋体" w:hAnsi="宋体"/>
          <w:color w:val="auto"/>
          <w:sz w:val="24"/>
          <w:szCs w:val="24"/>
          <w:highlight w:val="none"/>
        </w:rPr>
      </w:pPr>
      <w:r>
        <w:rPr>
          <w:rFonts w:hint="eastAsia" w:ascii="宋体" w:hAnsi="宋体" w:cs="宋体"/>
          <w:color w:val="auto"/>
          <w:sz w:val="24"/>
          <w:highlight w:val="none"/>
          <w:lang w:bidi="ar"/>
        </w:rPr>
        <w:t>4、监测部</w:t>
      </w:r>
      <w:r>
        <w:rPr>
          <w:rFonts w:hint="eastAsia" w:ascii="Times New Roman" w:hAnsi="Times New Roman" w:cs="宋体"/>
          <w:color w:val="auto"/>
          <w:sz w:val="24"/>
          <w:highlight w:val="none"/>
          <w:lang w:bidi="ar"/>
        </w:rPr>
        <w:t>分：乙方已按要求完成监测服务任务并提交完整的支付申请资料，由甲方审核并送番禺区财政局审批同意后十五个工作日内，甲方向乙方支付监测部分合同价的50%。经甲方确认</w:t>
      </w:r>
      <w:r>
        <w:rPr>
          <w:rFonts w:hint="eastAsia" w:ascii="宋体" w:hAnsi="宋体"/>
          <w:color w:val="auto"/>
          <w:sz w:val="24"/>
          <w:szCs w:val="24"/>
          <w:highlight w:val="none"/>
        </w:rPr>
        <w:t>监测服务期结束且乙方向甲方提交正式监测汇总报告后办理结算，结算评审完成后，乙方提交完整的支付申请资料，由甲方审核并送番禺区财政局审批同意后十五个工作日内按结算评审价向乙方支付监测服务费结算价余款。</w:t>
      </w:r>
    </w:p>
    <w:p w14:paraId="6BDC9AFA">
      <w:pPr>
        <w:adjustRightInd w:val="0"/>
        <w:snapToGrid w:val="0"/>
        <w:spacing w:line="360" w:lineRule="auto"/>
        <w:ind w:firstLine="480" w:firstLineChars="200"/>
        <w:rPr>
          <w:rFonts w:ascii="Times New Roman" w:hAnsi="Times New Roman" w:cs="宋体"/>
          <w:color w:val="auto"/>
          <w:sz w:val="24"/>
          <w:highlight w:val="none"/>
          <w:lang w:bidi="ar"/>
        </w:rPr>
      </w:pPr>
      <w:r>
        <w:rPr>
          <w:rFonts w:hint="eastAsia" w:ascii="Times New Roman" w:hAnsi="Times New Roman" w:cs="宋体"/>
          <w:color w:val="auto"/>
          <w:sz w:val="24"/>
          <w:highlight w:val="none"/>
          <w:lang w:bidi="ar"/>
        </w:rPr>
        <w:t>6、如甲方发现乙方存在违约行为，可在发现当期的支付节点直接扣除乙方应支付的违约金或损失赔偿金。</w:t>
      </w:r>
    </w:p>
    <w:p w14:paraId="6B5FDCA6">
      <w:pPr>
        <w:adjustRightInd w:val="0"/>
        <w:snapToGrid w:val="0"/>
        <w:spacing w:line="360" w:lineRule="auto"/>
        <w:ind w:firstLine="480" w:firstLineChars="200"/>
        <w:rPr>
          <w:rFonts w:ascii="Times New Roman" w:hAnsi="Times New Roman" w:cs="宋体"/>
          <w:color w:val="auto"/>
          <w:sz w:val="24"/>
          <w:highlight w:val="none"/>
          <w:lang w:bidi="ar"/>
        </w:rPr>
      </w:pPr>
      <w:r>
        <w:rPr>
          <w:rFonts w:ascii="Times New Roman" w:hAnsi="Times New Roman"/>
          <w:color w:val="auto"/>
          <w:sz w:val="24"/>
          <w:highlight w:val="none"/>
          <w:lang w:bidi="ar"/>
        </w:rPr>
        <w:t>7</w:t>
      </w:r>
      <w:r>
        <w:rPr>
          <w:rFonts w:hint="eastAsia" w:ascii="Times New Roman" w:hAnsi="Times New Roman" w:cs="宋体"/>
          <w:color w:val="auto"/>
          <w:sz w:val="24"/>
          <w:highlight w:val="none"/>
          <w:lang w:bidi="ar"/>
        </w:rPr>
        <w:t>、乙方在每次收取款项前须向甲方提供与所收款项金额相等合法有效的增值税专用发票，否则甲方有权拒绝支付该期款项。</w:t>
      </w:r>
    </w:p>
    <w:p w14:paraId="68B8C3D6">
      <w:pPr>
        <w:adjustRightInd w:val="0"/>
        <w:snapToGrid w:val="0"/>
        <w:spacing w:line="360" w:lineRule="auto"/>
        <w:ind w:firstLine="480" w:firstLineChars="200"/>
        <w:rPr>
          <w:rFonts w:ascii="Times New Roman" w:hAnsi="Times New Roman" w:cs="宋体"/>
          <w:color w:val="auto"/>
          <w:sz w:val="24"/>
          <w:highlight w:val="none"/>
          <w:lang w:bidi="ar"/>
        </w:rPr>
      </w:pPr>
      <w:r>
        <w:rPr>
          <w:rFonts w:hint="eastAsia" w:ascii="Times New Roman" w:hAnsi="Times New Roman" w:cs="宋体"/>
          <w:color w:val="auto"/>
          <w:sz w:val="24"/>
          <w:highlight w:val="none"/>
          <w:lang w:bidi="ar"/>
        </w:rPr>
        <w:t>8、发票信息：申请服务费时，乙方需遵守番禺区财政集中支付的相关规定，向甲方开具增值税发票。增值税发票信息：</w:t>
      </w:r>
      <w:r>
        <w:rPr>
          <w:rFonts w:hint="eastAsia" w:ascii="Times New Roman" w:hAnsi="Times New Roman" w:cs="宋体"/>
          <w:color w:val="auto"/>
          <w:sz w:val="24"/>
          <w:highlight w:val="none"/>
          <w:lang w:bidi="ar"/>
        </w:rPr>
        <w:br w:type="textWrapping"/>
      </w:r>
      <w:r>
        <w:rPr>
          <w:rFonts w:hint="eastAsia" w:ascii="Times New Roman" w:hAnsi="Times New Roman" w:cs="宋体"/>
          <w:color w:val="auto"/>
          <w:sz w:val="24"/>
          <w:highlight w:val="none"/>
          <w:lang w:bidi="ar"/>
        </w:rPr>
        <w:t xml:space="preserve">    单位名称：广州市番禺区基本建设投资管理中心</w:t>
      </w:r>
      <w:r>
        <w:rPr>
          <w:rFonts w:hint="eastAsia" w:ascii="Times New Roman" w:hAnsi="Times New Roman" w:cs="宋体"/>
          <w:color w:val="auto"/>
          <w:sz w:val="24"/>
          <w:highlight w:val="none"/>
          <w:lang w:bidi="ar"/>
        </w:rPr>
        <w:br w:type="textWrapping"/>
      </w:r>
      <w:r>
        <w:rPr>
          <w:rFonts w:hint="eastAsia" w:ascii="Times New Roman" w:hAnsi="Times New Roman" w:cs="宋体"/>
          <w:color w:val="auto"/>
          <w:sz w:val="24"/>
          <w:highlight w:val="none"/>
          <w:lang w:bidi="ar"/>
        </w:rPr>
        <w:t xml:space="preserve">    统一社会信用代码：</w:t>
      </w:r>
    </w:p>
    <w:p w14:paraId="187FDA3D">
      <w:pPr>
        <w:adjustRightInd w:val="0"/>
        <w:snapToGrid w:val="0"/>
        <w:spacing w:line="360" w:lineRule="auto"/>
        <w:ind w:firstLine="480" w:firstLineChars="200"/>
        <w:rPr>
          <w:rFonts w:ascii="Times New Roman" w:hAnsi="Times New Roman" w:cs="宋体"/>
          <w:color w:val="auto"/>
          <w:sz w:val="24"/>
          <w:highlight w:val="none"/>
          <w:lang w:bidi="ar"/>
        </w:rPr>
      </w:pPr>
      <w:r>
        <w:rPr>
          <w:rFonts w:hint="eastAsia" w:ascii="Times New Roman" w:hAnsi="Times New Roman" w:cs="宋体"/>
          <w:color w:val="auto"/>
          <w:sz w:val="24"/>
          <w:highlight w:val="none"/>
          <w:lang w:bidi="ar"/>
        </w:rPr>
        <w:t>地址：广州市番禺区清河东路319号西副楼六楼607室</w:t>
      </w:r>
    </w:p>
    <w:p w14:paraId="0B0F6B86">
      <w:pPr>
        <w:adjustRightInd w:val="0"/>
        <w:snapToGrid w:val="0"/>
        <w:spacing w:line="360" w:lineRule="auto"/>
        <w:ind w:firstLine="480" w:firstLineChars="200"/>
        <w:rPr>
          <w:rFonts w:ascii="Times New Roman" w:hAnsi="Times New Roman" w:cs="宋体"/>
          <w:color w:val="auto"/>
          <w:sz w:val="24"/>
          <w:highlight w:val="none"/>
          <w:lang w:bidi="ar"/>
        </w:rPr>
      </w:pPr>
      <w:r>
        <w:rPr>
          <w:rFonts w:hint="eastAsia" w:ascii="Times New Roman" w:hAnsi="Times New Roman" w:cs="宋体"/>
          <w:color w:val="auto"/>
          <w:sz w:val="24"/>
          <w:highlight w:val="none"/>
          <w:lang w:bidi="ar"/>
        </w:rPr>
        <w:t>联系电话：020-84640312</w:t>
      </w:r>
    </w:p>
    <w:p w14:paraId="082E7E4A">
      <w:pPr>
        <w:pStyle w:val="4"/>
        <w:spacing w:line="500" w:lineRule="exact"/>
        <w:ind w:firstLine="643"/>
        <w:jc w:val="left"/>
        <w:rPr>
          <w:rFonts w:hAnsi="宋体" w:cs="仿宋"/>
          <w:color w:val="auto"/>
          <w:sz w:val="24"/>
          <w:szCs w:val="24"/>
          <w:highlight w:val="none"/>
        </w:rPr>
      </w:pPr>
      <w:r>
        <w:rPr>
          <w:rFonts w:hint="eastAsia" w:hAnsi="宋体" w:cs="仿宋"/>
          <w:color w:val="auto"/>
          <w:sz w:val="24"/>
          <w:szCs w:val="24"/>
          <w:highlight w:val="none"/>
        </w:rPr>
        <w:t>乙方银行账号信息：</w:t>
      </w:r>
    </w:p>
    <w:p w14:paraId="5C525673">
      <w:pPr>
        <w:spacing w:line="500" w:lineRule="exact"/>
        <w:ind w:firstLine="720" w:firstLineChars="300"/>
        <w:jc w:val="left"/>
        <w:rPr>
          <w:rFonts w:ascii="宋体" w:hAnsi="宋体"/>
          <w:color w:val="auto"/>
          <w:sz w:val="24"/>
          <w:szCs w:val="24"/>
          <w:highlight w:val="none"/>
        </w:rPr>
      </w:pPr>
      <w:r>
        <w:rPr>
          <w:rFonts w:hint="eastAsia" w:ascii="宋体" w:hAnsi="宋体"/>
          <w:color w:val="auto"/>
          <w:sz w:val="24"/>
          <w:szCs w:val="24"/>
          <w:highlight w:val="none"/>
        </w:rPr>
        <w:t>（1）</w:t>
      </w:r>
    </w:p>
    <w:p w14:paraId="4F90A809">
      <w:pPr>
        <w:spacing w:line="500" w:lineRule="exact"/>
        <w:ind w:firstLine="720" w:firstLineChars="300"/>
        <w:jc w:val="left"/>
        <w:rPr>
          <w:rFonts w:ascii="宋体" w:hAnsi="宋体"/>
          <w:color w:val="auto"/>
          <w:sz w:val="24"/>
          <w:szCs w:val="24"/>
          <w:highlight w:val="none"/>
        </w:rPr>
      </w:pPr>
      <w:r>
        <w:rPr>
          <w:rFonts w:hint="eastAsia" w:ascii="宋体" w:hAnsi="宋体"/>
          <w:color w:val="auto"/>
          <w:sz w:val="24"/>
          <w:szCs w:val="24"/>
          <w:highlight w:val="none"/>
        </w:rPr>
        <w:t>银行户名：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14:paraId="3A6CBAB9">
      <w:pPr>
        <w:spacing w:line="500" w:lineRule="exact"/>
        <w:ind w:firstLine="720" w:firstLineChars="300"/>
        <w:jc w:val="left"/>
        <w:rPr>
          <w:rFonts w:ascii="宋体" w:hAnsi="宋体"/>
          <w:color w:val="auto"/>
          <w:sz w:val="24"/>
          <w:szCs w:val="24"/>
          <w:highlight w:val="none"/>
        </w:rPr>
      </w:pPr>
      <w:r>
        <w:rPr>
          <w:rFonts w:hint="eastAsia" w:ascii="宋体" w:hAnsi="宋体"/>
          <w:color w:val="auto"/>
          <w:sz w:val="24"/>
          <w:szCs w:val="24"/>
          <w:highlight w:val="none"/>
        </w:rPr>
        <w:t>银行账号：</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14:paraId="30C4BF80">
      <w:pPr>
        <w:spacing w:line="500" w:lineRule="exact"/>
        <w:ind w:firstLine="720" w:firstLineChars="300"/>
        <w:jc w:val="left"/>
        <w:rPr>
          <w:rFonts w:ascii="宋体" w:hAnsi="宋体"/>
          <w:color w:val="auto"/>
          <w:sz w:val="24"/>
          <w:szCs w:val="24"/>
          <w:highlight w:val="none"/>
        </w:rPr>
      </w:pPr>
      <w:r>
        <w:rPr>
          <w:rFonts w:hint="eastAsia" w:ascii="宋体" w:hAnsi="宋体"/>
          <w:color w:val="auto"/>
          <w:sz w:val="24"/>
          <w:szCs w:val="24"/>
          <w:highlight w:val="none"/>
        </w:rPr>
        <w:t>开户银行：</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14:paraId="438AFD6C">
      <w:pPr>
        <w:spacing w:line="500" w:lineRule="exact"/>
        <w:ind w:firstLine="720" w:firstLineChars="300"/>
        <w:jc w:val="left"/>
        <w:rPr>
          <w:rFonts w:ascii="宋体" w:hAnsi="宋体"/>
          <w:color w:val="auto"/>
          <w:sz w:val="24"/>
          <w:szCs w:val="24"/>
          <w:highlight w:val="none"/>
        </w:rPr>
      </w:pPr>
      <w:r>
        <w:rPr>
          <w:rFonts w:hint="eastAsia" w:ascii="宋体" w:hAnsi="宋体"/>
          <w:color w:val="auto"/>
          <w:sz w:val="24"/>
          <w:szCs w:val="24"/>
          <w:highlight w:val="none"/>
        </w:rPr>
        <w:t>（2）(如有，适用于联合体)</w:t>
      </w:r>
    </w:p>
    <w:p w14:paraId="187D26CE">
      <w:pPr>
        <w:spacing w:line="500" w:lineRule="exact"/>
        <w:ind w:firstLine="720" w:firstLineChars="300"/>
        <w:jc w:val="left"/>
        <w:rPr>
          <w:rFonts w:ascii="宋体" w:hAnsi="宋体"/>
          <w:color w:val="auto"/>
          <w:sz w:val="24"/>
          <w:szCs w:val="24"/>
          <w:highlight w:val="none"/>
        </w:rPr>
      </w:pPr>
      <w:r>
        <w:rPr>
          <w:rFonts w:hint="eastAsia" w:ascii="宋体" w:hAnsi="宋体"/>
          <w:color w:val="auto"/>
          <w:sz w:val="24"/>
          <w:szCs w:val="24"/>
          <w:highlight w:val="none"/>
        </w:rPr>
        <w:t>银行户名：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14:paraId="72DD0CAC">
      <w:pPr>
        <w:spacing w:line="500" w:lineRule="exact"/>
        <w:ind w:firstLine="720" w:firstLineChars="300"/>
        <w:jc w:val="left"/>
        <w:rPr>
          <w:rFonts w:ascii="宋体" w:hAnsi="宋体"/>
          <w:color w:val="auto"/>
          <w:sz w:val="24"/>
          <w:szCs w:val="24"/>
          <w:highlight w:val="none"/>
        </w:rPr>
      </w:pPr>
      <w:r>
        <w:rPr>
          <w:rFonts w:hint="eastAsia" w:ascii="宋体" w:hAnsi="宋体"/>
          <w:color w:val="auto"/>
          <w:sz w:val="24"/>
          <w:szCs w:val="24"/>
          <w:highlight w:val="none"/>
        </w:rPr>
        <w:t>银行账号：</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14:paraId="71775A7E">
      <w:pPr>
        <w:spacing w:line="500" w:lineRule="exact"/>
        <w:ind w:firstLine="720" w:firstLineChars="300"/>
        <w:jc w:val="left"/>
        <w:rPr>
          <w:rFonts w:ascii="宋体" w:hAnsi="宋体"/>
          <w:color w:val="auto"/>
          <w:sz w:val="24"/>
          <w:szCs w:val="24"/>
          <w:highlight w:val="none"/>
        </w:rPr>
      </w:pPr>
      <w:r>
        <w:rPr>
          <w:rFonts w:hint="eastAsia" w:ascii="宋体" w:hAnsi="宋体"/>
          <w:color w:val="auto"/>
          <w:sz w:val="24"/>
          <w:szCs w:val="24"/>
          <w:highlight w:val="none"/>
        </w:rPr>
        <w:t>开户银行：</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14:paraId="30DE790A">
      <w:pPr>
        <w:spacing w:line="500" w:lineRule="exact"/>
        <w:ind w:firstLine="482" w:firstLineChars="200"/>
        <w:rPr>
          <w:rFonts w:ascii="宋体" w:hAnsi="宋体" w:cs="仿宋"/>
          <w:b/>
          <w:color w:val="auto"/>
          <w:sz w:val="24"/>
          <w:szCs w:val="24"/>
          <w:highlight w:val="none"/>
        </w:rPr>
      </w:pPr>
      <w:r>
        <w:rPr>
          <w:rFonts w:hint="eastAsia" w:ascii="宋体" w:hAnsi="宋体" w:cs="仿宋"/>
          <w:b/>
          <w:color w:val="auto"/>
          <w:sz w:val="24"/>
          <w:szCs w:val="24"/>
          <w:highlight w:val="none"/>
        </w:rPr>
        <w:t>本合同约定明示的付款时间不包含政府财政支付部门审批时间，乙方清楚本项目使用的是财政资金，并同意甲方向财政支付部门提出支付申请即视为已按时付款。</w:t>
      </w:r>
    </w:p>
    <w:p w14:paraId="08D56E73">
      <w:pPr>
        <w:pStyle w:val="2"/>
        <w:rPr>
          <w:color w:val="auto"/>
          <w:highlight w:val="none"/>
        </w:rPr>
      </w:pPr>
    </w:p>
    <w:p w14:paraId="23546593">
      <w:pPr>
        <w:adjustRightInd w:val="0"/>
        <w:snapToGrid w:val="0"/>
        <w:spacing w:line="360" w:lineRule="auto"/>
        <w:ind w:firstLine="482" w:firstLineChars="200"/>
        <w:outlineLvl w:val="0"/>
        <w:rPr>
          <w:color w:val="auto"/>
          <w:sz w:val="24"/>
          <w:highlight w:val="none"/>
        </w:rPr>
      </w:pPr>
      <w:bookmarkStart w:id="8" w:name="_Toc496830645"/>
      <w:bookmarkStart w:id="9" w:name="_Toc370832549"/>
      <w:r>
        <w:rPr>
          <w:rFonts w:hint="eastAsia" w:ascii="Times New Roman" w:hAnsi="Times New Roman" w:cs="宋体"/>
          <w:b/>
          <w:color w:val="auto"/>
          <w:sz w:val="24"/>
          <w:highlight w:val="none"/>
          <w:lang w:bidi="ar"/>
        </w:rPr>
        <w:t>七、甲方责任</w:t>
      </w:r>
      <w:bookmarkEnd w:id="8"/>
      <w:bookmarkEnd w:id="9"/>
    </w:p>
    <w:p w14:paraId="7D1096CE">
      <w:pPr>
        <w:adjustRightInd w:val="0"/>
        <w:snapToGrid w:val="0"/>
        <w:spacing w:line="360" w:lineRule="auto"/>
        <w:ind w:firstLine="480" w:firstLineChars="200"/>
        <w:rPr>
          <w:color w:val="auto"/>
          <w:sz w:val="24"/>
          <w:highlight w:val="none"/>
        </w:rPr>
      </w:pPr>
      <w:r>
        <w:rPr>
          <w:rFonts w:ascii="Times New Roman" w:hAnsi="Times New Roman"/>
          <w:color w:val="auto"/>
          <w:sz w:val="24"/>
          <w:highlight w:val="none"/>
          <w:lang w:bidi="ar"/>
        </w:rPr>
        <w:t>1</w:t>
      </w:r>
      <w:r>
        <w:rPr>
          <w:rFonts w:hint="eastAsia" w:ascii="Times New Roman" w:hAnsi="Times New Roman" w:cs="宋体"/>
          <w:color w:val="auto"/>
          <w:sz w:val="24"/>
          <w:highlight w:val="none"/>
          <w:lang w:bidi="ar"/>
        </w:rPr>
        <w:t>、向乙方提供开展本项目工作所必须的设计文件、工程资料、技术资料等。</w:t>
      </w:r>
    </w:p>
    <w:p w14:paraId="09AD43C8">
      <w:pPr>
        <w:adjustRightInd w:val="0"/>
        <w:snapToGrid w:val="0"/>
        <w:spacing w:line="360" w:lineRule="auto"/>
        <w:ind w:firstLine="480" w:firstLineChars="200"/>
        <w:rPr>
          <w:color w:val="auto"/>
          <w:sz w:val="24"/>
          <w:highlight w:val="none"/>
        </w:rPr>
      </w:pPr>
      <w:r>
        <w:rPr>
          <w:rFonts w:ascii="Times New Roman" w:hAnsi="Times New Roman"/>
          <w:color w:val="auto"/>
          <w:sz w:val="24"/>
          <w:highlight w:val="none"/>
          <w:lang w:bidi="ar"/>
        </w:rPr>
        <w:t>2</w:t>
      </w:r>
      <w:r>
        <w:rPr>
          <w:rFonts w:hint="eastAsia" w:ascii="Times New Roman" w:hAnsi="Times New Roman" w:cs="宋体"/>
          <w:color w:val="auto"/>
          <w:sz w:val="24"/>
          <w:highlight w:val="none"/>
          <w:lang w:bidi="ar"/>
        </w:rPr>
        <w:t>、甲方应在收到乙方书面提交并要求做出决定事宜的相关文件之日起</w:t>
      </w:r>
      <w:r>
        <w:rPr>
          <w:rFonts w:ascii="Times New Roman" w:hAnsi="Times New Roman"/>
          <w:color w:val="auto"/>
          <w:sz w:val="24"/>
          <w:highlight w:val="none"/>
          <w:lang w:bidi="ar"/>
        </w:rPr>
        <w:t>3</w:t>
      </w:r>
      <w:r>
        <w:rPr>
          <w:rFonts w:hint="eastAsia" w:ascii="Times New Roman" w:hAnsi="Times New Roman" w:cs="宋体"/>
          <w:color w:val="auto"/>
          <w:sz w:val="24"/>
          <w:highlight w:val="none"/>
          <w:lang w:bidi="ar"/>
        </w:rPr>
        <w:t>个工作日内做出书面答复。</w:t>
      </w:r>
    </w:p>
    <w:p w14:paraId="790C7138">
      <w:pPr>
        <w:adjustRightInd w:val="0"/>
        <w:snapToGrid w:val="0"/>
        <w:spacing w:line="360" w:lineRule="auto"/>
        <w:ind w:firstLine="480" w:firstLineChars="200"/>
        <w:rPr>
          <w:color w:val="auto"/>
          <w:sz w:val="24"/>
          <w:highlight w:val="none"/>
        </w:rPr>
      </w:pPr>
      <w:r>
        <w:rPr>
          <w:rFonts w:ascii="Times New Roman" w:hAnsi="Times New Roman"/>
          <w:color w:val="auto"/>
          <w:sz w:val="24"/>
          <w:highlight w:val="none"/>
          <w:lang w:bidi="ar"/>
        </w:rPr>
        <w:t>3</w:t>
      </w:r>
      <w:r>
        <w:rPr>
          <w:rFonts w:hint="eastAsia" w:ascii="Times New Roman" w:hAnsi="Times New Roman" w:cs="宋体"/>
          <w:color w:val="auto"/>
          <w:sz w:val="24"/>
          <w:highlight w:val="none"/>
          <w:lang w:bidi="ar"/>
        </w:rPr>
        <w:t>、甲方应协调乙方与现场各方关系，负责提供检测监测的场地；告知监理人、施工单位检测部位及</w:t>
      </w:r>
      <w:r>
        <w:rPr>
          <w:rFonts w:hint="eastAsia" w:ascii="宋体" w:hAnsi="宋体"/>
          <w:color w:val="auto"/>
          <w:sz w:val="24"/>
          <w:szCs w:val="24"/>
          <w:highlight w:val="none"/>
        </w:rPr>
        <w:t>基准点、观测点埋设</w:t>
      </w:r>
      <w:r>
        <w:rPr>
          <w:rFonts w:hint="eastAsia" w:ascii="Times New Roman" w:hAnsi="Times New Roman" w:cs="宋体"/>
          <w:color w:val="auto"/>
          <w:sz w:val="24"/>
          <w:highlight w:val="none"/>
          <w:lang w:bidi="ar"/>
        </w:rPr>
        <w:t>位置并做好前期准备工作。</w:t>
      </w:r>
    </w:p>
    <w:p w14:paraId="22A32B1F">
      <w:pPr>
        <w:adjustRightInd w:val="0"/>
        <w:snapToGrid w:val="0"/>
        <w:spacing w:line="360" w:lineRule="auto"/>
        <w:ind w:firstLine="480" w:firstLineChars="200"/>
        <w:rPr>
          <w:color w:val="auto"/>
          <w:sz w:val="24"/>
          <w:highlight w:val="none"/>
        </w:rPr>
      </w:pPr>
      <w:r>
        <w:rPr>
          <w:rFonts w:ascii="Times New Roman" w:hAnsi="Times New Roman"/>
          <w:color w:val="auto"/>
          <w:sz w:val="24"/>
          <w:highlight w:val="none"/>
          <w:lang w:bidi="ar"/>
        </w:rPr>
        <w:t>4</w:t>
      </w:r>
      <w:r>
        <w:rPr>
          <w:rFonts w:hint="eastAsia" w:ascii="Times New Roman" w:hAnsi="Times New Roman" w:cs="宋体"/>
          <w:color w:val="auto"/>
          <w:sz w:val="24"/>
          <w:highlight w:val="none"/>
          <w:lang w:bidi="ar"/>
        </w:rPr>
        <w:t>、选定检测部位、</w:t>
      </w:r>
      <w:r>
        <w:rPr>
          <w:rFonts w:hint="eastAsia" w:ascii="宋体" w:hAnsi="宋体"/>
          <w:color w:val="auto"/>
          <w:sz w:val="24"/>
          <w:szCs w:val="24"/>
          <w:highlight w:val="none"/>
        </w:rPr>
        <w:t>基准点、观测点埋设位置</w:t>
      </w:r>
      <w:r>
        <w:rPr>
          <w:rFonts w:hint="eastAsia" w:ascii="Times New Roman" w:hAnsi="Times New Roman" w:cs="宋体"/>
          <w:color w:val="auto"/>
          <w:sz w:val="24"/>
          <w:highlight w:val="none"/>
          <w:lang w:bidi="ar"/>
        </w:rPr>
        <w:t>。当已选定的桩</w:t>
      </w:r>
      <w:r>
        <w:rPr>
          <w:rFonts w:ascii="Times New Roman" w:hAnsi="Times New Roman"/>
          <w:color w:val="auto"/>
          <w:sz w:val="24"/>
          <w:highlight w:val="none"/>
          <w:lang w:bidi="ar"/>
        </w:rPr>
        <w:t>(</w:t>
      </w:r>
      <w:r>
        <w:rPr>
          <w:rFonts w:hint="eastAsia" w:ascii="Times New Roman" w:hAnsi="Times New Roman" w:cs="宋体"/>
          <w:color w:val="auto"/>
          <w:sz w:val="24"/>
          <w:highlight w:val="none"/>
          <w:lang w:bidi="ar"/>
        </w:rPr>
        <w:t>点</w:t>
      </w:r>
      <w:r>
        <w:rPr>
          <w:rFonts w:ascii="Times New Roman" w:hAnsi="Times New Roman"/>
          <w:color w:val="auto"/>
          <w:sz w:val="24"/>
          <w:highlight w:val="none"/>
          <w:lang w:bidi="ar"/>
        </w:rPr>
        <w:t>)</w:t>
      </w:r>
      <w:r>
        <w:rPr>
          <w:rFonts w:hint="eastAsia" w:ascii="Times New Roman" w:hAnsi="Times New Roman" w:cs="宋体"/>
          <w:color w:val="auto"/>
          <w:sz w:val="24"/>
          <w:highlight w:val="none"/>
          <w:lang w:bidi="ar"/>
        </w:rPr>
        <w:t>位无法满足现场检测条件要求时，甲方应负责重新选择桩</w:t>
      </w:r>
      <w:r>
        <w:rPr>
          <w:rFonts w:ascii="Times New Roman" w:hAnsi="Times New Roman"/>
          <w:color w:val="auto"/>
          <w:sz w:val="24"/>
          <w:highlight w:val="none"/>
          <w:lang w:bidi="ar"/>
        </w:rPr>
        <w:t>(</w:t>
      </w:r>
      <w:r>
        <w:rPr>
          <w:rFonts w:hint="eastAsia" w:ascii="Times New Roman" w:hAnsi="Times New Roman" w:cs="宋体"/>
          <w:color w:val="auto"/>
          <w:sz w:val="24"/>
          <w:highlight w:val="none"/>
          <w:lang w:bidi="ar"/>
        </w:rPr>
        <w:t>点</w:t>
      </w:r>
      <w:r>
        <w:rPr>
          <w:rFonts w:ascii="Times New Roman" w:hAnsi="Times New Roman"/>
          <w:color w:val="auto"/>
          <w:sz w:val="24"/>
          <w:highlight w:val="none"/>
          <w:lang w:bidi="ar"/>
        </w:rPr>
        <w:t>)</w:t>
      </w:r>
      <w:r>
        <w:rPr>
          <w:rFonts w:hint="eastAsia" w:ascii="Times New Roman" w:hAnsi="Times New Roman" w:cs="宋体"/>
          <w:color w:val="auto"/>
          <w:sz w:val="24"/>
          <w:highlight w:val="none"/>
          <w:lang w:bidi="ar"/>
        </w:rPr>
        <w:t>位。</w:t>
      </w:r>
    </w:p>
    <w:p w14:paraId="1C36D119">
      <w:pPr>
        <w:adjustRightInd w:val="0"/>
        <w:snapToGrid w:val="0"/>
        <w:spacing w:line="360" w:lineRule="auto"/>
        <w:ind w:firstLine="480" w:firstLineChars="200"/>
        <w:rPr>
          <w:color w:val="auto"/>
          <w:sz w:val="24"/>
          <w:highlight w:val="none"/>
        </w:rPr>
      </w:pPr>
      <w:r>
        <w:rPr>
          <w:rFonts w:ascii="Times New Roman" w:hAnsi="Times New Roman"/>
          <w:color w:val="auto"/>
          <w:sz w:val="24"/>
          <w:highlight w:val="none"/>
          <w:lang w:bidi="ar"/>
        </w:rPr>
        <w:t>5</w:t>
      </w:r>
      <w:r>
        <w:rPr>
          <w:rFonts w:hint="eastAsia" w:ascii="Times New Roman" w:hAnsi="Times New Roman" w:cs="宋体"/>
          <w:color w:val="auto"/>
          <w:sz w:val="24"/>
          <w:highlight w:val="none"/>
          <w:lang w:bidi="ar"/>
        </w:rPr>
        <w:t>、负责提供电源、水源接驳点各一个供乙方使用（水电使用费及其他相关费用由乙方承担）。</w:t>
      </w:r>
    </w:p>
    <w:p w14:paraId="4A6B879B">
      <w:pPr>
        <w:adjustRightInd w:val="0"/>
        <w:snapToGrid w:val="0"/>
        <w:spacing w:line="360" w:lineRule="auto"/>
        <w:ind w:firstLine="480" w:firstLineChars="200"/>
        <w:rPr>
          <w:bCs/>
          <w:color w:val="auto"/>
          <w:sz w:val="24"/>
          <w:highlight w:val="none"/>
        </w:rPr>
      </w:pPr>
      <w:r>
        <w:rPr>
          <w:rFonts w:ascii="Times New Roman" w:hAnsi="Times New Roman"/>
          <w:color w:val="auto"/>
          <w:sz w:val="24"/>
          <w:highlight w:val="none"/>
          <w:lang w:bidi="ar"/>
        </w:rPr>
        <w:t>6</w:t>
      </w:r>
      <w:r>
        <w:rPr>
          <w:rFonts w:hint="eastAsia" w:ascii="Times New Roman" w:hAnsi="Times New Roman" w:cs="宋体"/>
          <w:color w:val="auto"/>
          <w:sz w:val="24"/>
          <w:highlight w:val="none"/>
          <w:lang w:bidi="ar"/>
        </w:rPr>
        <w:t>、组织本项目检测检测方案的审批及成果文件的审查和验收。</w:t>
      </w:r>
    </w:p>
    <w:p w14:paraId="2EA23788">
      <w:pPr>
        <w:adjustRightInd w:val="0"/>
        <w:snapToGrid w:val="0"/>
        <w:spacing w:line="360" w:lineRule="auto"/>
        <w:ind w:firstLine="480" w:firstLineChars="200"/>
        <w:rPr>
          <w:color w:val="auto"/>
          <w:sz w:val="24"/>
          <w:highlight w:val="none"/>
        </w:rPr>
      </w:pPr>
      <w:r>
        <w:rPr>
          <w:rFonts w:ascii="Times New Roman" w:hAnsi="Times New Roman"/>
          <w:color w:val="auto"/>
          <w:sz w:val="24"/>
          <w:highlight w:val="none"/>
          <w:lang w:bidi="ar"/>
        </w:rPr>
        <w:t>7</w:t>
      </w:r>
      <w:r>
        <w:rPr>
          <w:rFonts w:hint="eastAsia" w:ascii="Times New Roman" w:hAnsi="Times New Roman" w:cs="宋体"/>
          <w:color w:val="auto"/>
          <w:sz w:val="24"/>
          <w:highlight w:val="none"/>
          <w:lang w:bidi="ar"/>
        </w:rPr>
        <w:t>、为保障检测监测工作的顺利进行提供必要的协助。</w:t>
      </w:r>
    </w:p>
    <w:p w14:paraId="400046AA">
      <w:pPr>
        <w:adjustRightInd w:val="0"/>
        <w:snapToGrid w:val="0"/>
        <w:spacing w:line="360" w:lineRule="auto"/>
        <w:ind w:firstLine="482" w:firstLineChars="200"/>
        <w:outlineLvl w:val="0"/>
        <w:rPr>
          <w:b/>
          <w:color w:val="auto"/>
          <w:sz w:val="24"/>
          <w:highlight w:val="none"/>
        </w:rPr>
      </w:pPr>
      <w:bookmarkStart w:id="10" w:name="_Toc370832550"/>
      <w:bookmarkStart w:id="11" w:name="_Toc496830646"/>
      <w:r>
        <w:rPr>
          <w:rFonts w:hint="eastAsia" w:ascii="Times New Roman" w:hAnsi="Times New Roman" w:cs="宋体"/>
          <w:b/>
          <w:color w:val="auto"/>
          <w:sz w:val="24"/>
          <w:highlight w:val="none"/>
          <w:lang w:bidi="ar"/>
        </w:rPr>
        <w:t>八、乙方责任</w:t>
      </w:r>
      <w:bookmarkEnd w:id="10"/>
      <w:bookmarkEnd w:id="11"/>
    </w:p>
    <w:p w14:paraId="5FBE8A03">
      <w:pPr>
        <w:spacing w:line="360" w:lineRule="auto"/>
        <w:ind w:firstLine="540"/>
        <w:rPr>
          <w:color w:val="auto"/>
          <w:sz w:val="24"/>
          <w:highlight w:val="none"/>
        </w:rPr>
      </w:pPr>
      <w:r>
        <w:rPr>
          <w:rFonts w:ascii="Times New Roman" w:hAnsi="Times New Roman"/>
          <w:color w:val="auto"/>
          <w:sz w:val="24"/>
          <w:highlight w:val="none"/>
          <w:lang w:bidi="ar"/>
        </w:rPr>
        <w:t>1</w:t>
      </w:r>
      <w:r>
        <w:rPr>
          <w:rFonts w:hint="eastAsia" w:ascii="Times New Roman" w:hAnsi="Times New Roman" w:cs="宋体"/>
          <w:color w:val="auto"/>
          <w:sz w:val="24"/>
          <w:highlight w:val="none"/>
          <w:lang w:bidi="ar"/>
        </w:rPr>
        <w:t>、乙方应在收到中标通知书之日起</w:t>
      </w:r>
      <w:r>
        <w:rPr>
          <w:rFonts w:ascii="Times New Roman" w:hAnsi="Times New Roman"/>
          <w:color w:val="auto"/>
          <w:sz w:val="24"/>
          <w:highlight w:val="none"/>
          <w:lang w:bidi="ar"/>
        </w:rPr>
        <w:t>5</w:t>
      </w:r>
      <w:r>
        <w:rPr>
          <w:rFonts w:hint="eastAsia" w:ascii="Times New Roman" w:hAnsi="Times New Roman" w:cs="宋体"/>
          <w:color w:val="auto"/>
          <w:sz w:val="24"/>
          <w:highlight w:val="none"/>
          <w:lang w:bidi="ar"/>
        </w:rPr>
        <w:t>日内向甲方提交本合同约定项目的检测监测实施方案，经并经甲方、设计、施工、监理和安全监督单位会审后，按审核确定的方案实施，并按照有关规定送质量监督部门备案，甲方以此具体考核乙方的检测监测工作。如甲方要求乙方对检测监测实施方案等进行合理修改调整，乙方必须在收到甲方修改调整意见之日起</w:t>
      </w:r>
      <w:r>
        <w:rPr>
          <w:rFonts w:ascii="Times New Roman" w:hAnsi="Times New Roman"/>
          <w:color w:val="auto"/>
          <w:sz w:val="24"/>
          <w:highlight w:val="none"/>
          <w:lang w:bidi="ar"/>
        </w:rPr>
        <w:t>3</w:t>
      </w:r>
      <w:r>
        <w:rPr>
          <w:rFonts w:hint="eastAsia" w:ascii="Times New Roman" w:hAnsi="Times New Roman" w:cs="宋体"/>
          <w:color w:val="auto"/>
          <w:sz w:val="24"/>
          <w:highlight w:val="none"/>
          <w:lang w:bidi="ar"/>
        </w:rPr>
        <w:t>日内，按甲方要求完成修改调整并报甲方审核。</w:t>
      </w:r>
    </w:p>
    <w:p w14:paraId="7A163950">
      <w:pPr>
        <w:spacing w:line="360" w:lineRule="auto"/>
        <w:ind w:firstLine="540"/>
        <w:rPr>
          <w:color w:val="auto"/>
          <w:sz w:val="24"/>
          <w:highlight w:val="none"/>
        </w:rPr>
      </w:pPr>
      <w:r>
        <w:rPr>
          <w:rFonts w:ascii="Times New Roman" w:hAnsi="Times New Roman"/>
          <w:color w:val="auto"/>
          <w:sz w:val="24"/>
          <w:highlight w:val="none"/>
          <w:lang w:bidi="ar"/>
        </w:rPr>
        <w:t>2</w:t>
      </w:r>
      <w:r>
        <w:rPr>
          <w:rFonts w:hint="eastAsia" w:ascii="Times New Roman" w:hAnsi="Times New Roman" w:cs="宋体"/>
          <w:color w:val="auto"/>
          <w:sz w:val="24"/>
          <w:highlight w:val="none"/>
          <w:lang w:bidi="ar"/>
        </w:rPr>
        <w:t>、乙方必须在甲方发出进场通知之日起</w:t>
      </w:r>
      <w:r>
        <w:rPr>
          <w:rFonts w:ascii="Times New Roman" w:hAnsi="Times New Roman"/>
          <w:color w:val="auto"/>
          <w:sz w:val="24"/>
          <w:highlight w:val="none"/>
          <w:lang w:bidi="ar"/>
        </w:rPr>
        <w:t>24</w:t>
      </w:r>
      <w:r>
        <w:rPr>
          <w:rFonts w:hint="eastAsia" w:ascii="Times New Roman" w:hAnsi="Times New Roman" w:cs="宋体"/>
          <w:color w:val="auto"/>
          <w:sz w:val="24"/>
          <w:highlight w:val="none"/>
          <w:lang w:bidi="ar"/>
        </w:rPr>
        <w:t>小时内，按甲方具体的要求进场，并立即开始履行本合同约定的义务。乙方必须按照其投标文件和检测监测实施方案的承诺，足额、按时派出工作人员和投入设备。当甲方的现场配合条件不能满足技术服务要求时，乙方可向甲方提出推迟进场申请，经甲方书面同意后方可推迟进场。</w:t>
      </w:r>
    </w:p>
    <w:p w14:paraId="15CB5647">
      <w:pPr>
        <w:spacing w:line="360" w:lineRule="auto"/>
        <w:ind w:firstLine="540"/>
        <w:rPr>
          <w:color w:val="auto"/>
          <w:sz w:val="24"/>
          <w:highlight w:val="none"/>
        </w:rPr>
      </w:pPr>
      <w:r>
        <w:rPr>
          <w:rFonts w:ascii="Times New Roman" w:hAnsi="Times New Roman"/>
          <w:color w:val="auto"/>
          <w:sz w:val="24"/>
          <w:highlight w:val="none"/>
          <w:lang w:bidi="ar"/>
        </w:rPr>
        <w:t>3</w:t>
      </w:r>
      <w:r>
        <w:rPr>
          <w:rFonts w:hint="eastAsia" w:ascii="Times New Roman" w:hAnsi="Times New Roman" w:cs="宋体"/>
          <w:color w:val="auto"/>
          <w:sz w:val="24"/>
          <w:highlight w:val="none"/>
          <w:lang w:bidi="ar"/>
        </w:rPr>
        <w:t>、乙方应自行完成本合同约定项目的检测监测技术服务工作，不得私自转包或分包。</w:t>
      </w:r>
      <w:r>
        <w:rPr>
          <w:rFonts w:hint="eastAsia" w:ascii="Times New Roman" w:hAnsi="宋体" w:cs="宋体"/>
          <w:color w:val="auto"/>
          <w:sz w:val="24"/>
          <w:highlight w:val="none"/>
          <w:lang w:bidi="ar"/>
        </w:rPr>
        <w:t>如因项目进度需要等原因，</w:t>
      </w:r>
      <w:r>
        <w:rPr>
          <w:rFonts w:hint="eastAsia" w:ascii="Times New Roman" w:hAnsi="Times New Roman" w:cs="宋体"/>
          <w:color w:val="auto"/>
          <w:sz w:val="24"/>
          <w:highlight w:val="none"/>
          <w:lang w:bidi="ar"/>
        </w:rPr>
        <w:t>乙方</w:t>
      </w:r>
      <w:r>
        <w:rPr>
          <w:rFonts w:hint="eastAsia" w:ascii="Times New Roman" w:hAnsi="宋体" w:cs="宋体"/>
          <w:color w:val="auto"/>
          <w:sz w:val="24"/>
          <w:highlight w:val="none"/>
          <w:lang w:bidi="ar"/>
        </w:rPr>
        <w:t>在报甲方同意的情况下可另行发包给具有相应资质其它检验机构进行检验。但分包项目的检测质量和检测工期由乙方负责。分包合同原则上由乙方与另一方签订。该部分检测及费用内容纳入乙方合同一并进行结算。</w:t>
      </w:r>
    </w:p>
    <w:p w14:paraId="69829B21">
      <w:pPr>
        <w:spacing w:line="360" w:lineRule="auto"/>
        <w:ind w:firstLine="540"/>
        <w:rPr>
          <w:color w:val="auto"/>
          <w:sz w:val="24"/>
          <w:highlight w:val="none"/>
        </w:rPr>
      </w:pPr>
      <w:r>
        <w:rPr>
          <w:rFonts w:ascii="Times New Roman" w:hAnsi="Times New Roman"/>
          <w:color w:val="auto"/>
          <w:sz w:val="24"/>
          <w:highlight w:val="none"/>
          <w:lang w:bidi="ar"/>
        </w:rPr>
        <w:t>4</w:t>
      </w:r>
      <w:r>
        <w:rPr>
          <w:rFonts w:hint="eastAsia" w:ascii="Times New Roman" w:hAnsi="Times New Roman" w:cs="宋体"/>
          <w:color w:val="auto"/>
          <w:sz w:val="24"/>
          <w:highlight w:val="none"/>
          <w:lang w:bidi="ar"/>
        </w:rPr>
        <w:t>、乙方应科学、严谨地工作，按时提交各阶段的检测监测报告并对报告中数据的真实性、可靠性负责。</w:t>
      </w:r>
    </w:p>
    <w:p w14:paraId="48BA9C0F">
      <w:pPr>
        <w:spacing w:line="360" w:lineRule="auto"/>
        <w:ind w:firstLine="540"/>
        <w:rPr>
          <w:color w:val="auto"/>
          <w:sz w:val="24"/>
          <w:highlight w:val="none"/>
        </w:rPr>
      </w:pPr>
      <w:r>
        <w:rPr>
          <w:rFonts w:ascii="Times New Roman" w:hAnsi="Times New Roman"/>
          <w:color w:val="auto"/>
          <w:sz w:val="24"/>
          <w:highlight w:val="none"/>
          <w:lang w:bidi="ar"/>
        </w:rPr>
        <w:t>5</w:t>
      </w:r>
      <w:r>
        <w:rPr>
          <w:rFonts w:hint="eastAsia" w:ascii="Times New Roman" w:hAnsi="Times New Roman" w:cs="宋体"/>
          <w:color w:val="auto"/>
          <w:sz w:val="24"/>
          <w:highlight w:val="none"/>
          <w:lang w:bidi="ar"/>
        </w:rPr>
        <w:t>、检测监测过程中，发现施工单位违反有关法律、法规、规范和工程建设强制性标准的行为，应及时向甲方报告。</w:t>
      </w:r>
    </w:p>
    <w:p w14:paraId="6D9CCC5F">
      <w:pPr>
        <w:spacing w:line="360" w:lineRule="auto"/>
        <w:ind w:firstLine="540"/>
        <w:rPr>
          <w:color w:val="auto"/>
          <w:sz w:val="24"/>
          <w:highlight w:val="none"/>
        </w:rPr>
      </w:pPr>
      <w:r>
        <w:rPr>
          <w:rFonts w:ascii="Times New Roman" w:hAnsi="Times New Roman"/>
          <w:color w:val="auto"/>
          <w:sz w:val="24"/>
          <w:highlight w:val="none"/>
          <w:lang w:bidi="ar"/>
        </w:rPr>
        <w:t>6</w:t>
      </w:r>
      <w:r>
        <w:rPr>
          <w:rFonts w:hint="eastAsia" w:ascii="Times New Roman" w:hAnsi="Times New Roman" w:cs="宋体"/>
          <w:color w:val="auto"/>
          <w:sz w:val="24"/>
          <w:highlight w:val="none"/>
          <w:lang w:bidi="ar"/>
        </w:rPr>
        <w:t>、乙方协调甲方、施工单位、监理单位以及设计单位的工作关系并组织本项目的检测监测工作，按照其投标文件和检测监测实施方案的承诺安排工作人员常驻现场，</w:t>
      </w:r>
      <w:r>
        <w:rPr>
          <w:rFonts w:ascii="Times New Roman" w:hAnsi="Times New Roman" w:cs="宋体"/>
          <w:color w:val="auto"/>
          <w:sz w:val="24"/>
          <w:highlight w:val="none"/>
          <w:lang w:bidi="ar"/>
        </w:rPr>
        <w:t>驻场人</w:t>
      </w:r>
      <w:r>
        <w:rPr>
          <w:rFonts w:hint="eastAsia" w:ascii="Times New Roman" w:hAnsi="Times New Roman" w:cs="宋体"/>
          <w:color w:val="auto"/>
          <w:sz w:val="24"/>
          <w:highlight w:val="none"/>
          <w:lang w:bidi="ar"/>
        </w:rPr>
        <w:t>数在</w:t>
      </w:r>
      <w:r>
        <w:rPr>
          <w:rFonts w:ascii="Times New Roman" w:hAnsi="Times New Roman" w:cs="宋体"/>
          <w:color w:val="auto"/>
          <w:sz w:val="24"/>
          <w:highlight w:val="none"/>
          <w:lang w:bidi="ar"/>
        </w:rPr>
        <w:t>不低于</w:t>
      </w:r>
      <w:r>
        <w:rPr>
          <w:rFonts w:hint="eastAsia" w:ascii="Times New Roman" w:hAnsi="Times New Roman" w:cs="宋体"/>
          <w:color w:val="auto"/>
          <w:sz w:val="24"/>
          <w:highlight w:val="none"/>
          <w:lang w:bidi="ar"/>
        </w:rPr>
        <w:t>投标文件和检测监测实施方案承诺的</w:t>
      </w:r>
      <w:r>
        <w:rPr>
          <w:rFonts w:ascii="Times New Roman" w:hAnsi="Times New Roman" w:cs="宋体"/>
          <w:color w:val="auto"/>
          <w:sz w:val="24"/>
          <w:highlight w:val="none"/>
          <w:lang w:bidi="ar"/>
        </w:rPr>
        <w:t>条件下</w:t>
      </w:r>
      <w:r>
        <w:rPr>
          <w:rFonts w:hint="eastAsia" w:ascii="Times New Roman" w:hAnsi="Times New Roman" w:cs="宋体"/>
          <w:color w:val="auto"/>
          <w:sz w:val="24"/>
          <w:highlight w:val="none"/>
          <w:lang w:bidi="ar"/>
        </w:rPr>
        <w:t>，</w:t>
      </w:r>
      <w:r>
        <w:rPr>
          <w:rFonts w:ascii="Times New Roman" w:hAnsi="Times New Roman" w:cs="宋体"/>
          <w:color w:val="auto"/>
          <w:sz w:val="24"/>
          <w:highlight w:val="none"/>
          <w:lang w:bidi="ar"/>
        </w:rPr>
        <w:t>报</w:t>
      </w:r>
      <w:r>
        <w:rPr>
          <w:rFonts w:hint="eastAsia" w:ascii="Times New Roman" w:hAnsi="Times New Roman" w:cs="宋体"/>
          <w:color w:val="auto"/>
          <w:sz w:val="24"/>
          <w:highlight w:val="none"/>
          <w:lang w:bidi="ar"/>
        </w:rPr>
        <w:t>甲方</w:t>
      </w:r>
      <w:r>
        <w:rPr>
          <w:rFonts w:ascii="Times New Roman" w:hAnsi="Times New Roman" w:cs="宋体"/>
          <w:color w:val="auto"/>
          <w:sz w:val="24"/>
          <w:highlight w:val="none"/>
          <w:lang w:bidi="ar"/>
        </w:rPr>
        <w:t>审批</w:t>
      </w:r>
      <w:r>
        <w:rPr>
          <w:rFonts w:hint="eastAsia" w:ascii="Times New Roman" w:hAnsi="Times New Roman" w:cs="宋体"/>
          <w:color w:val="auto"/>
          <w:sz w:val="24"/>
          <w:highlight w:val="none"/>
          <w:lang w:bidi="ar"/>
        </w:rPr>
        <w:t>同意</w:t>
      </w:r>
      <w:r>
        <w:rPr>
          <w:rFonts w:ascii="Times New Roman" w:hAnsi="Times New Roman" w:cs="宋体"/>
          <w:color w:val="auto"/>
          <w:sz w:val="24"/>
          <w:highlight w:val="none"/>
          <w:lang w:bidi="ar"/>
        </w:rPr>
        <w:t>确定</w:t>
      </w:r>
      <w:r>
        <w:rPr>
          <w:rFonts w:hint="eastAsia" w:ascii="Times New Roman" w:hAnsi="Times New Roman" w:cs="宋体"/>
          <w:color w:val="auto"/>
          <w:sz w:val="24"/>
          <w:highlight w:val="none"/>
          <w:lang w:bidi="ar"/>
        </w:rPr>
        <w:t>。</w:t>
      </w:r>
    </w:p>
    <w:p w14:paraId="1183881B">
      <w:pPr>
        <w:spacing w:line="360" w:lineRule="auto"/>
        <w:ind w:firstLine="540"/>
        <w:rPr>
          <w:color w:val="auto"/>
          <w:sz w:val="24"/>
          <w:highlight w:val="none"/>
        </w:rPr>
      </w:pPr>
      <w:r>
        <w:rPr>
          <w:rFonts w:ascii="Times New Roman" w:hAnsi="Times New Roman"/>
          <w:color w:val="auto"/>
          <w:sz w:val="24"/>
          <w:highlight w:val="none"/>
          <w:lang w:bidi="ar"/>
        </w:rPr>
        <w:t>7</w:t>
      </w:r>
      <w:r>
        <w:rPr>
          <w:rFonts w:hint="eastAsia" w:ascii="Times New Roman" w:hAnsi="Times New Roman" w:cs="宋体"/>
          <w:color w:val="auto"/>
          <w:sz w:val="24"/>
          <w:highlight w:val="none"/>
          <w:lang w:bidi="ar"/>
        </w:rPr>
        <w:t>、乙方应自行解决现场项目组的办公和生活用房、设施、配套水电，以及交通、通讯费等，由此发生的费用已包含在投标综合单价报价中。</w:t>
      </w:r>
    </w:p>
    <w:p w14:paraId="07E5A35D">
      <w:pPr>
        <w:spacing w:line="360" w:lineRule="auto"/>
        <w:ind w:firstLine="540"/>
        <w:rPr>
          <w:color w:val="auto"/>
          <w:sz w:val="24"/>
          <w:highlight w:val="none"/>
        </w:rPr>
      </w:pPr>
      <w:r>
        <w:rPr>
          <w:rFonts w:ascii="Times New Roman" w:hAnsi="Times New Roman"/>
          <w:color w:val="auto"/>
          <w:sz w:val="24"/>
          <w:highlight w:val="none"/>
          <w:lang w:bidi="ar"/>
        </w:rPr>
        <w:t>8</w:t>
      </w:r>
      <w:r>
        <w:rPr>
          <w:rFonts w:hint="eastAsia" w:ascii="Times New Roman" w:hAnsi="Times New Roman" w:cs="宋体"/>
          <w:color w:val="auto"/>
          <w:sz w:val="24"/>
          <w:highlight w:val="none"/>
          <w:lang w:bidi="ar"/>
        </w:rPr>
        <w:t>、乙方应当配合工程设计和施工的需要提供相应的检测监测服务，并应按甲方要求，采取有效措施及时提供中间资料，以满足施工进度的需要。</w:t>
      </w:r>
    </w:p>
    <w:p w14:paraId="4A82A05F">
      <w:pPr>
        <w:spacing w:line="360" w:lineRule="auto"/>
        <w:ind w:firstLine="540"/>
        <w:rPr>
          <w:color w:val="auto"/>
          <w:sz w:val="24"/>
          <w:highlight w:val="none"/>
        </w:rPr>
      </w:pPr>
      <w:r>
        <w:rPr>
          <w:rFonts w:ascii="Times New Roman" w:hAnsi="Times New Roman"/>
          <w:color w:val="auto"/>
          <w:sz w:val="24"/>
          <w:highlight w:val="none"/>
          <w:lang w:bidi="ar"/>
        </w:rPr>
        <w:t>9</w:t>
      </w:r>
      <w:r>
        <w:rPr>
          <w:rFonts w:hint="eastAsia" w:ascii="Times New Roman" w:hAnsi="Times New Roman" w:cs="宋体"/>
          <w:color w:val="auto"/>
          <w:sz w:val="24"/>
          <w:highlight w:val="none"/>
          <w:lang w:bidi="ar"/>
        </w:rPr>
        <w:t>、检测监测过程中，如因场地条件、设计方案的变更，需增减检测工程量或改变检测手段的，乙方均应及时向甲方报告，并在甲方书面批准后方可实施。</w:t>
      </w:r>
    </w:p>
    <w:p w14:paraId="752EA548">
      <w:pPr>
        <w:spacing w:line="360" w:lineRule="auto"/>
        <w:ind w:firstLine="540"/>
        <w:rPr>
          <w:color w:val="auto"/>
          <w:sz w:val="24"/>
          <w:highlight w:val="none"/>
        </w:rPr>
      </w:pPr>
      <w:r>
        <w:rPr>
          <w:rFonts w:ascii="Times New Roman" w:hAnsi="Times New Roman"/>
          <w:color w:val="auto"/>
          <w:sz w:val="24"/>
          <w:highlight w:val="none"/>
          <w:lang w:bidi="ar"/>
        </w:rPr>
        <w:t>10</w:t>
      </w:r>
      <w:r>
        <w:rPr>
          <w:rFonts w:hint="eastAsia" w:ascii="Times New Roman" w:hAnsi="Times New Roman" w:cs="宋体"/>
          <w:color w:val="auto"/>
          <w:sz w:val="24"/>
          <w:highlight w:val="none"/>
          <w:lang w:bidi="ar"/>
        </w:rPr>
        <w:t>、对于甲方书面提交并要求作出决定的事宜，乙方应在收到之日起</w:t>
      </w:r>
      <w:r>
        <w:rPr>
          <w:rFonts w:ascii="Times New Roman" w:hAnsi="Times New Roman"/>
          <w:color w:val="auto"/>
          <w:sz w:val="24"/>
          <w:highlight w:val="none"/>
          <w:lang w:bidi="ar"/>
        </w:rPr>
        <w:t>3</w:t>
      </w:r>
      <w:r>
        <w:rPr>
          <w:rFonts w:hint="eastAsia" w:ascii="Times New Roman" w:hAnsi="Times New Roman" w:cs="宋体"/>
          <w:color w:val="auto"/>
          <w:sz w:val="24"/>
          <w:highlight w:val="none"/>
          <w:lang w:bidi="ar"/>
        </w:rPr>
        <w:t>个工作日内作出书面答复；对影响施工现场进度的事项应在</w:t>
      </w:r>
      <w:r>
        <w:rPr>
          <w:rFonts w:ascii="Times New Roman" w:hAnsi="Times New Roman"/>
          <w:color w:val="auto"/>
          <w:sz w:val="24"/>
          <w:highlight w:val="none"/>
          <w:lang w:bidi="ar"/>
        </w:rPr>
        <w:t>24</w:t>
      </w:r>
      <w:r>
        <w:rPr>
          <w:rFonts w:hint="eastAsia" w:ascii="Times New Roman" w:hAnsi="Times New Roman" w:cs="宋体"/>
          <w:color w:val="auto"/>
          <w:sz w:val="24"/>
          <w:highlight w:val="none"/>
          <w:lang w:bidi="ar"/>
        </w:rPr>
        <w:t>小时内作出具有明确处理意见的书面答复。</w:t>
      </w:r>
    </w:p>
    <w:p w14:paraId="29559CE6">
      <w:pPr>
        <w:spacing w:line="360" w:lineRule="auto"/>
        <w:ind w:firstLine="540"/>
        <w:rPr>
          <w:color w:val="auto"/>
          <w:sz w:val="24"/>
          <w:highlight w:val="none"/>
        </w:rPr>
      </w:pPr>
      <w:r>
        <w:rPr>
          <w:rFonts w:ascii="Times New Roman" w:hAnsi="Times New Roman"/>
          <w:color w:val="auto"/>
          <w:sz w:val="24"/>
          <w:highlight w:val="none"/>
          <w:lang w:bidi="ar"/>
        </w:rPr>
        <w:t>11</w:t>
      </w:r>
      <w:r>
        <w:rPr>
          <w:rFonts w:hint="eastAsia" w:ascii="Times New Roman" w:hAnsi="Times New Roman" w:cs="宋体"/>
          <w:color w:val="auto"/>
          <w:sz w:val="24"/>
          <w:highlight w:val="none"/>
          <w:lang w:bidi="ar"/>
        </w:rPr>
        <w:t>、按时进行现场试验取样、提交检测监测报告，负责资料、报告的打印、复印、装订、装箱等工作。</w:t>
      </w:r>
    </w:p>
    <w:p w14:paraId="1FE2CDB5">
      <w:pPr>
        <w:spacing w:line="360" w:lineRule="auto"/>
        <w:ind w:firstLine="540"/>
        <w:rPr>
          <w:color w:val="auto"/>
          <w:sz w:val="24"/>
          <w:highlight w:val="none"/>
        </w:rPr>
      </w:pPr>
      <w:r>
        <w:rPr>
          <w:rFonts w:ascii="Times New Roman" w:hAnsi="Times New Roman"/>
          <w:color w:val="auto"/>
          <w:sz w:val="24"/>
          <w:highlight w:val="none"/>
          <w:lang w:bidi="ar"/>
        </w:rPr>
        <w:t>12</w:t>
      </w:r>
      <w:r>
        <w:rPr>
          <w:rFonts w:hint="eastAsia" w:ascii="Times New Roman" w:hAnsi="Times New Roman" w:cs="宋体"/>
          <w:color w:val="auto"/>
          <w:sz w:val="24"/>
          <w:highlight w:val="none"/>
          <w:lang w:bidi="ar"/>
        </w:rPr>
        <w:t>、向甲方提供非驻场式的技术咨询、支持服务，包括参加本项目相关会议、安排技术人员到现场解决相关问题。</w:t>
      </w:r>
    </w:p>
    <w:p w14:paraId="6F2A86BA">
      <w:pPr>
        <w:spacing w:line="360" w:lineRule="auto"/>
        <w:ind w:firstLine="540"/>
        <w:rPr>
          <w:color w:val="auto"/>
          <w:sz w:val="24"/>
          <w:highlight w:val="none"/>
        </w:rPr>
      </w:pPr>
      <w:r>
        <w:rPr>
          <w:rFonts w:ascii="Times New Roman" w:hAnsi="Times New Roman"/>
          <w:color w:val="auto"/>
          <w:sz w:val="24"/>
          <w:highlight w:val="none"/>
          <w:lang w:bidi="ar"/>
        </w:rPr>
        <w:t>13</w:t>
      </w:r>
      <w:r>
        <w:rPr>
          <w:rFonts w:hint="eastAsia" w:ascii="Times New Roman" w:hAnsi="Times New Roman" w:cs="宋体"/>
          <w:color w:val="auto"/>
          <w:sz w:val="24"/>
          <w:highlight w:val="none"/>
          <w:lang w:bidi="ar"/>
        </w:rPr>
        <w:t>、应随时接受甲方、监理单位及质量安全监督部门的监督，为确保检测监测结果的正确，任何人不得干预检测监测结果。</w:t>
      </w:r>
    </w:p>
    <w:p w14:paraId="08BB215A">
      <w:pPr>
        <w:spacing w:line="360" w:lineRule="auto"/>
        <w:ind w:firstLine="540"/>
        <w:rPr>
          <w:color w:val="auto"/>
          <w:sz w:val="24"/>
          <w:highlight w:val="none"/>
        </w:rPr>
      </w:pPr>
      <w:r>
        <w:rPr>
          <w:rFonts w:ascii="Times New Roman" w:hAnsi="Times New Roman"/>
          <w:color w:val="auto"/>
          <w:sz w:val="24"/>
          <w:highlight w:val="none"/>
          <w:lang w:bidi="ar"/>
        </w:rPr>
        <w:t>14</w:t>
      </w:r>
      <w:r>
        <w:rPr>
          <w:rFonts w:hint="eastAsia" w:ascii="Times New Roman" w:hAnsi="Times New Roman" w:cs="宋体"/>
          <w:color w:val="auto"/>
          <w:sz w:val="24"/>
          <w:highlight w:val="none"/>
          <w:lang w:bidi="ar"/>
        </w:rPr>
        <w:t>、乙方必须按照投标文件的承诺建立现场管理机构。保证检测人员具备检测资格，保证持有的检测资质满足行业</w:t>
      </w:r>
      <w:r>
        <w:rPr>
          <w:rFonts w:ascii="Times New Roman" w:hAnsi="Times New Roman" w:cs="宋体"/>
          <w:color w:val="auto"/>
          <w:sz w:val="24"/>
          <w:highlight w:val="none"/>
          <w:lang w:bidi="ar"/>
        </w:rPr>
        <w:t>主管部门的</w:t>
      </w:r>
      <w:r>
        <w:rPr>
          <w:rFonts w:hint="eastAsia" w:ascii="Times New Roman" w:hAnsi="Times New Roman" w:cs="宋体"/>
          <w:color w:val="auto"/>
          <w:sz w:val="24"/>
          <w:highlight w:val="none"/>
          <w:lang w:bidi="ar"/>
        </w:rPr>
        <w:t>管理要求。</w:t>
      </w:r>
    </w:p>
    <w:p w14:paraId="59572268">
      <w:pPr>
        <w:spacing w:line="360" w:lineRule="auto"/>
        <w:ind w:firstLine="540"/>
        <w:rPr>
          <w:color w:val="auto"/>
          <w:sz w:val="24"/>
          <w:highlight w:val="none"/>
        </w:rPr>
      </w:pPr>
      <w:r>
        <w:rPr>
          <w:rFonts w:ascii="Times New Roman" w:hAnsi="Times New Roman"/>
          <w:color w:val="auto"/>
          <w:sz w:val="24"/>
          <w:highlight w:val="none"/>
          <w:lang w:bidi="ar"/>
        </w:rPr>
        <w:t>15</w:t>
      </w:r>
      <w:r>
        <w:rPr>
          <w:rFonts w:hint="eastAsia" w:ascii="Times New Roman" w:hAnsi="Times New Roman" w:cs="宋体"/>
          <w:color w:val="auto"/>
          <w:sz w:val="24"/>
          <w:highlight w:val="none"/>
          <w:lang w:bidi="ar"/>
        </w:rPr>
        <w:t>、提供仪器设备，负责仪器设备安装及场内中转、进退场。保证计量器具在计量检定有效周期内。</w:t>
      </w:r>
    </w:p>
    <w:p w14:paraId="7BAE2A8F">
      <w:pPr>
        <w:spacing w:line="360" w:lineRule="auto"/>
        <w:ind w:firstLine="540"/>
        <w:rPr>
          <w:color w:val="auto"/>
          <w:sz w:val="24"/>
          <w:highlight w:val="none"/>
        </w:rPr>
      </w:pPr>
      <w:r>
        <w:rPr>
          <w:rFonts w:ascii="Times New Roman" w:hAnsi="Times New Roman"/>
          <w:color w:val="auto"/>
          <w:sz w:val="24"/>
          <w:highlight w:val="none"/>
          <w:lang w:bidi="ar"/>
        </w:rPr>
        <w:t>16</w:t>
      </w:r>
      <w:r>
        <w:rPr>
          <w:rFonts w:hint="eastAsia" w:ascii="Times New Roman" w:hAnsi="Times New Roman" w:cs="宋体"/>
          <w:color w:val="auto"/>
          <w:sz w:val="24"/>
          <w:highlight w:val="none"/>
          <w:lang w:bidi="ar"/>
        </w:rPr>
        <w:t>、保证检测监测工作的客观、独立、公正，不得与施工单位串通，将检测监测不合格的工程出具合格检测监测报告或修改检测监测结论，损害甲方的利益，否则应按照本合同条款第十条的有关约定承担违约责任。</w:t>
      </w:r>
    </w:p>
    <w:p w14:paraId="4277E4C7">
      <w:pPr>
        <w:spacing w:line="360" w:lineRule="auto"/>
        <w:ind w:firstLine="540"/>
        <w:rPr>
          <w:color w:val="auto"/>
          <w:sz w:val="24"/>
          <w:highlight w:val="none"/>
        </w:rPr>
      </w:pPr>
      <w:r>
        <w:rPr>
          <w:rFonts w:ascii="Times New Roman" w:hAnsi="Times New Roman"/>
          <w:color w:val="auto"/>
          <w:sz w:val="24"/>
          <w:highlight w:val="none"/>
          <w:lang w:bidi="ar"/>
        </w:rPr>
        <w:t>1</w:t>
      </w:r>
      <w:r>
        <w:rPr>
          <w:rFonts w:hint="eastAsia" w:ascii="Times New Roman" w:hAnsi="Times New Roman"/>
          <w:color w:val="auto"/>
          <w:sz w:val="24"/>
          <w:highlight w:val="none"/>
          <w:lang w:bidi="ar"/>
        </w:rPr>
        <w:t>7</w:t>
      </w:r>
      <w:r>
        <w:rPr>
          <w:rFonts w:hint="eastAsia" w:ascii="Times New Roman" w:hAnsi="Times New Roman" w:cs="宋体"/>
          <w:color w:val="auto"/>
          <w:sz w:val="24"/>
          <w:highlight w:val="none"/>
          <w:lang w:bidi="ar"/>
        </w:rPr>
        <w:t>、对检测监测过程中发现存在的质量问题，提出具体的处理意见和建议。</w:t>
      </w:r>
    </w:p>
    <w:p w14:paraId="05AE5033">
      <w:pPr>
        <w:spacing w:line="360" w:lineRule="auto"/>
        <w:ind w:firstLine="540"/>
        <w:rPr>
          <w:color w:val="auto"/>
          <w:sz w:val="24"/>
          <w:highlight w:val="none"/>
        </w:rPr>
      </w:pPr>
      <w:r>
        <w:rPr>
          <w:rFonts w:ascii="Times New Roman" w:hAnsi="Times New Roman"/>
          <w:color w:val="auto"/>
          <w:sz w:val="24"/>
          <w:highlight w:val="none"/>
          <w:lang w:bidi="ar"/>
        </w:rPr>
        <w:t>1</w:t>
      </w:r>
      <w:r>
        <w:rPr>
          <w:rFonts w:hint="eastAsia" w:ascii="Times New Roman" w:hAnsi="Times New Roman"/>
          <w:color w:val="auto"/>
          <w:sz w:val="24"/>
          <w:highlight w:val="none"/>
          <w:lang w:bidi="ar"/>
        </w:rPr>
        <w:t>8</w:t>
      </w:r>
      <w:r>
        <w:rPr>
          <w:rFonts w:hint="eastAsia" w:ascii="Times New Roman" w:hAnsi="Times New Roman" w:cs="宋体"/>
          <w:color w:val="auto"/>
          <w:sz w:val="24"/>
          <w:highlight w:val="none"/>
          <w:lang w:bidi="ar"/>
        </w:rPr>
        <w:t>、乙方按商定的时间进场。</w:t>
      </w:r>
    </w:p>
    <w:p w14:paraId="3CCDA908">
      <w:pPr>
        <w:spacing w:line="360" w:lineRule="auto"/>
        <w:ind w:firstLine="540"/>
        <w:rPr>
          <w:color w:val="auto"/>
          <w:sz w:val="24"/>
          <w:highlight w:val="none"/>
        </w:rPr>
      </w:pPr>
      <w:r>
        <w:rPr>
          <w:rFonts w:hint="eastAsia" w:ascii="Times New Roman" w:hAnsi="Times New Roman"/>
          <w:color w:val="auto"/>
          <w:sz w:val="24"/>
          <w:highlight w:val="none"/>
          <w:lang w:bidi="ar"/>
        </w:rPr>
        <w:t>19</w:t>
      </w:r>
      <w:r>
        <w:rPr>
          <w:rFonts w:hint="eastAsia" w:ascii="Times New Roman" w:hAnsi="Times New Roman" w:cs="宋体"/>
          <w:color w:val="auto"/>
          <w:sz w:val="24"/>
          <w:highlight w:val="none"/>
          <w:lang w:bidi="ar"/>
        </w:rPr>
        <w:t>、除用于申报工程建设奖项评审外，乙方不得向第三方扩散、转让甲方提交的图纸及该项目的检测成果等技术经济资料，如果发生上述情况，甲方有权向乙方索赔。</w:t>
      </w:r>
    </w:p>
    <w:p w14:paraId="7AB28734">
      <w:pPr>
        <w:spacing w:line="360" w:lineRule="auto"/>
        <w:ind w:firstLine="540"/>
        <w:rPr>
          <w:rFonts w:ascii="Times New Roman" w:hAnsi="Times New Roman" w:cs="宋体"/>
          <w:color w:val="auto"/>
          <w:sz w:val="24"/>
          <w:highlight w:val="none"/>
          <w:lang w:bidi="ar"/>
        </w:rPr>
      </w:pPr>
      <w:r>
        <w:rPr>
          <w:rFonts w:hint="eastAsia" w:ascii="Times New Roman" w:hAnsi="Times New Roman"/>
          <w:color w:val="auto"/>
          <w:sz w:val="24"/>
          <w:highlight w:val="none"/>
          <w:lang w:bidi="ar"/>
        </w:rPr>
        <w:t>20</w:t>
      </w:r>
      <w:r>
        <w:rPr>
          <w:rFonts w:hint="eastAsia" w:ascii="Times New Roman" w:hAnsi="Times New Roman" w:cs="宋体"/>
          <w:color w:val="auto"/>
          <w:sz w:val="24"/>
          <w:highlight w:val="none"/>
          <w:lang w:bidi="ar"/>
        </w:rPr>
        <w:t>、接受番禺区财政评审机构、广州市番禺区基本建设投资管理中心的审查和指导，广州市番禺区基本建设投资管理中心有权向乙方提出具体工作要求，并要求乙方做出解释、说明。</w:t>
      </w:r>
    </w:p>
    <w:p w14:paraId="3DB87737">
      <w:pPr>
        <w:spacing w:line="360" w:lineRule="auto"/>
        <w:ind w:firstLine="540"/>
        <w:rPr>
          <w:color w:val="auto"/>
          <w:sz w:val="24"/>
          <w:highlight w:val="none"/>
        </w:rPr>
      </w:pPr>
      <w:r>
        <w:rPr>
          <w:rFonts w:hint="eastAsia" w:ascii="Times New Roman" w:hAnsi="Times New Roman" w:cs="宋体"/>
          <w:color w:val="auto"/>
          <w:sz w:val="24"/>
          <w:highlight w:val="none"/>
          <w:lang w:bidi="ar"/>
        </w:rPr>
        <w:t>21、无条件向甲方提供检测监测报告进行验收或资料档案归档。</w:t>
      </w:r>
    </w:p>
    <w:p w14:paraId="1B16A965">
      <w:pPr>
        <w:adjustRightInd w:val="0"/>
        <w:snapToGrid w:val="0"/>
        <w:spacing w:line="360" w:lineRule="auto"/>
        <w:ind w:firstLine="482" w:firstLineChars="200"/>
        <w:outlineLvl w:val="0"/>
        <w:rPr>
          <w:b/>
          <w:color w:val="auto"/>
          <w:sz w:val="24"/>
          <w:highlight w:val="none"/>
        </w:rPr>
      </w:pPr>
      <w:bookmarkStart w:id="12" w:name="_Toc496830647"/>
      <w:bookmarkStart w:id="13" w:name="_Toc370832551"/>
      <w:r>
        <w:rPr>
          <w:rFonts w:hint="eastAsia" w:ascii="Times New Roman" w:hAnsi="Times New Roman" w:cs="宋体"/>
          <w:b/>
          <w:color w:val="auto"/>
          <w:sz w:val="24"/>
          <w:highlight w:val="none"/>
          <w:lang w:bidi="ar"/>
        </w:rPr>
        <w:t>九、违约条款</w:t>
      </w:r>
      <w:bookmarkEnd w:id="12"/>
      <w:bookmarkEnd w:id="13"/>
    </w:p>
    <w:p w14:paraId="528429D6">
      <w:pPr>
        <w:spacing w:line="360" w:lineRule="auto"/>
        <w:ind w:firstLine="573"/>
        <w:rPr>
          <w:rFonts w:ascii="宋体" w:hAnsi="Courier New" w:cs="宋体"/>
          <w:color w:val="auto"/>
          <w:sz w:val="24"/>
          <w:highlight w:val="none"/>
        </w:rPr>
      </w:pPr>
      <w:r>
        <w:rPr>
          <w:rFonts w:hint="eastAsia" w:ascii="宋体" w:hAnsi="Courier New" w:cs="宋体"/>
          <w:color w:val="auto"/>
          <w:sz w:val="24"/>
          <w:highlight w:val="none"/>
          <w:lang w:bidi="ar"/>
        </w:rPr>
        <w:t>1.甲方违反合同约定逾期办理申报支付本合同约定费用，应从逾期之日后的第二十天起计向乙方支付逾付款项的同期银行活期存款利息。</w:t>
      </w:r>
    </w:p>
    <w:p w14:paraId="3FFECF1A">
      <w:pPr>
        <w:spacing w:line="360" w:lineRule="auto"/>
        <w:ind w:firstLine="573"/>
        <w:rPr>
          <w:rFonts w:ascii="宋体" w:hAnsi="Courier New" w:cs="宋体"/>
          <w:color w:val="auto"/>
          <w:sz w:val="24"/>
          <w:highlight w:val="none"/>
        </w:rPr>
      </w:pPr>
      <w:r>
        <w:rPr>
          <w:rFonts w:hint="eastAsia" w:ascii="宋体" w:hAnsi="Courier New" w:cs="宋体"/>
          <w:color w:val="auto"/>
          <w:sz w:val="24"/>
          <w:highlight w:val="none"/>
          <w:lang w:bidi="ar"/>
        </w:rPr>
        <w:t>2.甲方和</w:t>
      </w:r>
      <w:r>
        <w:rPr>
          <w:rFonts w:ascii="宋体" w:hAnsi="Courier New" w:cs="宋体"/>
          <w:color w:val="auto"/>
          <w:sz w:val="24"/>
          <w:highlight w:val="none"/>
          <w:lang w:bidi="ar"/>
        </w:rPr>
        <w:t>监理人</w:t>
      </w:r>
      <w:r>
        <w:rPr>
          <w:rFonts w:hint="eastAsia" w:ascii="宋体" w:hAnsi="Courier New" w:cs="宋体"/>
          <w:color w:val="auto"/>
          <w:sz w:val="24"/>
          <w:highlight w:val="none"/>
          <w:lang w:bidi="ar"/>
        </w:rPr>
        <w:t>须按</w:t>
      </w:r>
      <w:r>
        <w:rPr>
          <w:rFonts w:ascii="宋体" w:hAnsi="Courier New" w:cs="宋体"/>
          <w:color w:val="auto"/>
          <w:sz w:val="24"/>
          <w:highlight w:val="none"/>
          <w:lang w:bidi="ar"/>
        </w:rPr>
        <w:t>合同条款</w:t>
      </w:r>
      <w:r>
        <w:rPr>
          <w:rFonts w:hint="eastAsia" w:ascii="宋体" w:hAnsi="Courier New" w:cs="宋体"/>
          <w:color w:val="auto"/>
          <w:sz w:val="24"/>
          <w:highlight w:val="none"/>
          <w:lang w:bidi="ar"/>
        </w:rPr>
        <w:t>在约定的期限内对乙方已经完成的工作量进行确认，若超过约定期限五个工作日仍不回复或者确认的，乙方</w:t>
      </w:r>
      <w:r>
        <w:rPr>
          <w:rFonts w:ascii="宋体" w:hAnsi="Courier New" w:cs="宋体"/>
          <w:color w:val="auto"/>
          <w:sz w:val="24"/>
          <w:highlight w:val="none"/>
          <w:lang w:bidi="ar"/>
        </w:rPr>
        <w:t>有权</w:t>
      </w:r>
      <w:r>
        <w:rPr>
          <w:rFonts w:hint="eastAsia" w:ascii="宋体" w:hAnsi="Courier New" w:cs="宋体"/>
          <w:color w:val="auto"/>
          <w:sz w:val="24"/>
          <w:highlight w:val="none"/>
          <w:lang w:bidi="ar"/>
        </w:rPr>
        <w:t>书面</w:t>
      </w:r>
      <w:r>
        <w:rPr>
          <w:rFonts w:ascii="宋体" w:hAnsi="Courier New" w:cs="宋体"/>
          <w:color w:val="auto"/>
          <w:sz w:val="24"/>
          <w:highlight w:val="none"/>
          <w:lang w:bidi="ar"/>
        </w:rPr>
        <w:t>通知</w:t>
      </w:r>
      <w:r>
        <w:rPr>
          <w:rFonts w:hint="eastAsia" w:ascii="宋体" w:hAnsi="Courier New" w:cs="宋体"/>
          <w:color w:val="auto"/>
          <w:sz w:val="24"/>
          <w:highlight w:val="none"/>
          <w:lang w:bidi="ar"/>
        </w:rPr>
        <w:t>甲方追认</w:t>
      </w:r>
      <w:r>
        <w:rPr>
          <w:rFonts w:ascii="宋体" w:hAnsi="Courier New" w:cs="宋体"/>
          <w:color w:val="auto"/>
          <w:sz w:val="24"/>
          <w:highlight w:val="none"/>
          <w:lang w:bidi="ar"/>
        </w:rPr>
        <w:t>相关</w:t>
      </w:r>
      <w:r>
        <w:rPr>
          <w:rFonts w:hint="eastAsia" w:ascii="宋体" w:hAnsi="Courier New" w:cs="宋体"/>
          <w:color w:val="auto"/>
          <w:sz w:val="24"/>
          <w:highlight w:val="none"/>
          <w:lang w:bidi="ar"/>
        </w:rPr>
        <w:t>已完成</w:t>
      </w:r>
      <w:r>
        <w:rPr>
          <w:rFonts w:ascii="宋体" w:hAnsi="Courier New" w:cs="宋体"/>
          <w:color w:val="auto"/>
          <w:sz w:val="24"/>
          <w:highlight w:val="none"/>
          <w:lang w:bidi="ar"/>
        </w:rPr>
        <w:t>工作量，</w:t>
      </w:r>
      <w:r>
        <w:rPr>
          <w:rFonts w:hint="eastAsia" w:ascii="宋体" w:hAnsi="Courier New" w:cs="宋体"/>
          <w:color w:val="auto"/>
          <w:sz w:val="24"/>
          <w:highlight w:val="none"/>
          <w:lang w:bidi="ar"/>
        </w:rPr>
        <w:t>乙方将相关情况书面通知甲方并征得甲方同意后，可据此结算。</w:t>
      </w:r>
    </w:p>
    <w:p w14:paraId="4D67CD21">
      <w:pPr>
        <w:spacing w:line="360" w:lineRule="auto"/>
        <w:ind w:firstLine="573"/>
        <w:rPr>
          <w:rFonts w:ascii="宋体" w:hAnsi="Courier New" w:cs="宋体"/>
          <w:color w:val="auto"/>
          <w:sz w:val="24"/>
          <w:highlight w:val="none"/>
        </w:rPr>
      </w:pPr>
      <w:r>
        <w:rPr>
          <w:rFonts w:hint="eastAsia" w:ascii="宋体" w:hAnsi="Courier New" w:cs="宋体"/>
          <w:color w:val="auto"/>
          <w:sz w:val="24"/>
          <w:highlight w:val="none"/>
          <w:lang w:bidi="ar"/>
        </w:rPr>
        <w:t>3.乙方应严格按照设计要求及现场监理人员要求，及时到场进行工作。若乙方在合同签订后，经甲方催促不按时进场开展工作或进场后三次未能及时提交满足合同约定标准的检测监测报告，甲方有权解除合同，乙方应全额返还受影响段甲方已付款项并赔偿甲方相关损失。</w:t>
      </w:r>
    </w:p>
    <w:p w14:paraId="5588E6C7">
      <w:pPr>
        <w:spacing w:line="360" w:lineRule="auto"/>
        <w:ind w:firstLine="573"/>
        <w:rPr>
          <w:rFonts w:ascii="宋体" w:hAnsi="Courier New" w:cs="宋体"/>
          <w:color w:val="auto"/>
          <w:sz w:val="24"/>
          <w:highlight w:val="none"/>
        </w:rPr>
      </w:pPr>
      <w:r>
        <w:rPr>
          <w:rFonts w:hint="eastAsia" w:ascii="宋体" w:hAnsi="Courier New" w:cs="宋体"/>
          <w:color w:val="auto"/>
          <w:sz w:val="24"/>
          <w:highlight w:val="none"/>
          <w:lang w:bidi="ar"/>
        </w:rPr>
        <w:t>4.如乙方提交的检测监测报告不能满足工程建设需要的，乙方应自负费用继续完善，直到满足甲方需要时为止。</w:t>
      </w:r>
    </w:p>
    <w:p w14:paraId="474D47EA">
      <w:pPr>
        <w:spacing w:line="360" w:lineRule="auto"/>
        <w:ind w:firstLine="573"/>
        <w:rPr>
          <w:rFonts w:ascii="宋体" w:hAnsi="Courier New" w:cs="宋体"/>
          <w:color w:val="auto"/>
          <w:sz w:val="24"/>
          <w:highlight w:val="none"/>
        </w:rPr>
      </w:pPr>
      <w:r>
        <w:rPr>
          <w:rFonts w:hint="eastAsia" w:ascii="宋体" w:hAnsi="Courier New" w:cs="宋体"/>
          <w:color w:val="auto"/>
          <w:sz w:val="24"/>
          <w:highlight w:val="none"/>
          <w:lang w:bidi="ar"/>
        </w:rPr>
        <w:t>5、乙方未按规定时间提交检测监测报告书，每超过一日，扣减合同暂定价的1‰。</w:t>
      </w:r>
    </w:p>
    <w:p w14:paraId="2FADFC00">
      <w:pPr>
        <w:spacing w:line="360" w:lineRule="auto"/>
        <w:ind w:firstLine="573"/>
        <w:rPr>
          <w:rFonts w:ascii="宋体" w:hAnsi="Courier New" w:cs="宋体"/>
          <w:color w:val="auto"/>
          <w:sz w:val="24"/>
          <w:highlight w:val="none"/>
        </w:rPr>
      </w:pPr>
      <w:r>
        <w:rPr>
          <w:rFonts w:hint="eastAsia" w:ascii="宋体" w:hAnsi="Courier New" w:cs="宋体"/>
          <w:color w:val="auto"/>
          <w:sz w:val="24"/>
          <w:highlight w:val="none"/>
          <w:lang w:bidi="ar"/>
        </w:rPr>
        <w:t>6、乙方不得以支付延迟或尚未结算等借口拖延报告提交，影响甲方工作。否则，乙方违约，甲方按500元/天扣罚乙方。</w:t>
      </w:r>
    </w:p>
    <w:p w14:paraId="4D2B1D37">
      <w:pPr>
        <w:spacing w:line="360" w:lineRule="auto"/>
        <w:ind w:firstLine="573"/>
        <w:rPr>
          <w:rFonts w:ascii="宋体" w:hAnsi="Courier New" w:cs="宋体"/>
          <w:color w:val="auto"/>
          <w:sz w:val="24"/>
          <w:highlight w:val="none"/>
        </w:rPr>
      </w:pPr>
      <w:r>
        <w:rPr>
          <w:rFonts w:hint="eastAsia" w:ascii="宋体" w:hAnsi="Courier New" w:cs="宋体"/>
          <w:color w:val="auto"/>
          <w:sz w:val="24"/>
          <w:highlight w:val="none"/>
          <w:lang w:bidi="ar"/>
        </w:rPr>
        <w:t>7、因乙方检测监测工作不及时或其提供的检测资料不准确造成损失的，乙方应承担相应责任，赔偿由此给甲方造成的损失，赔偿金不超过本合同的总价。</w:t>
      </w:r>
    </w:p>
    <w:p w14:paraId="44CA7986">
      <w:pPr>
        <w:spacing w:line="360" w:lineRule="auto"/>
        <w:ind w:firstLine="573"/>
        <w:rPr>
          <w:rFonts w:ascii="宋体" w:hAnsi="Courier New" w:cs="宋体"/>
          <w:color w:val="auto"/>
          <w:sz w:val="24"/>
          <w:highlight w:val="none"/>
        </w:rPr>
      </w:pPr>
      <w:r>
        <w:rPr>
          <w:rFonts w:hint="eastAsia" w:ascii="宋体" w:hAnsi="Courier New" w:cs="宋体"/>
          <w:color w:val="auto"/>
          <w:sz w:val="24"/>
          <w:highlight w:val="none"/>
          <w:lang w:bidi="ar"/>
        </w:rPr>
        <w:t>7、任何一方向对方提出经济赔偿要求的，都应在赔偿事件发生后三十天内以书面形式提出。</w:t>
      </w:r>
    </w:p>
    <w:p w14:paraId="11600547">
      <w:pPr>
        <w:spacing w:line="360" w:lineRule="auto"/>
        <w:ind w:firstLine="573"/>
        <w:rPr>
          <w:rFonts w:ascii="宋体" w:hAnsi="Courier New" w:cs="宋体"/>
          <w:color w:val="auto"/>
          <w:sz w:val="24"/>
          <w:highlight w:val="none"/>
        </w:rPr>
      </w:pPr>
      <w:r>
        <w:rPr>
          <w:rFonts w:hint="eastAsia" w:ascii="宋体" w:hAnsi="宋体" w:cs="宋体"/>
          <w:color w:val="auto"/>
          <w:sz w:val="24"/>
          <w:highlight w:val="none"/>
          <w:lang w:bidi="ar"/>
        </w:rPr>
        <w:t>8、本合同若部分解除或全部解除后，乙方已经完成的且经甲方认可接收的检测成果在双方进行结算后，成果全部归甲方所有。</w:t>
      </w:r>
    </w:p>
    <w:p w14:paraId="33891603">
      <w:pPr>
        <w:adjustRightInd w:val="0"/>
        <w:snapToGrid w:val="0"/>
        <w:spacing w:line="360" w:lineRule="auto"/>
        <w:ind w:firstLine="482" w:firstLineChars="200"/>
        <w:outlineLvl w:val="0"/>
        <w:rPr>
          <w:b/>
          <w:color w:val="auto"/>
          <w:sz w:val="24"/>
          <w:highlight w:val="none"/>
        </w:rPr>
      </w:pPr>
      <w:bookmarkStart w:id="14" w:name="_Toc370832552"/>
      <w:bookmarkStart w:id="15" w:name="_Toc496830648"/>
      <w:r>
        <w:rPr>
          <w:rFonts w:hint="eastAsia" w:ascii="Times New Roman" w:hAnsi="Times New Roman" w:cs="宋体"/>
          <w:b/>
          <w:color w:val="auto"/>
          <w:sz w:val="24"/>
          <w:highlight w:val="none"/>
          <w:lang w:bidi="ar"/>
        </w:rPr>
        <w:t>十、争议解决方式</w:t>
      </w:r>
      <w:bookmarkEnd w:id="14"/>
      <w:bookmarkEnd w:id="15"/>
    </w:p>
    <w:p w14:paraId="73DD0775">
      <w:pPr>
        <w:spacing w:line="360" w:lineRule="auto"/>
        <w:ind w:firstLine="480" w:firstLineChars="200"/>
        <w:rPr>
          <w:rFonts w:ascii="宋体" w:hAnsi="Courier New" w:cs="宋体"/>
          <w:color w:val="auto"/>
          <w:sz w:val="24"/>
          <w:highlight w:val="none"/>
        </w:rPr>
      </w:pPr>
      <w:r>
        <w:rPr>
          <w:rFonts w:hint="eastAsia" w:ascii="宋体" w:hAnsi="Courier New" w:cs="宋体"/>
          <w:color w:val="auto"/>
          <w:sz w:val="24"/>
          <w:highlight w:val="none"/>
          <w:lang w:bidi="ar"/>
        </w:rPr>
        <w:t>本合同发生纠纷后，经协商或调解不成时，甲乙双方可向检测工程所在地的人民法院提起诉讼。</w:t>
      </w:r>
    </w:p>
    <w:p w14:paraId="2101B75E">
      <w:pPr>
        <w:spacing w:line="360" w:lineRule="auto"/>
        <w:ind w:firstLine="482" w:firstLineChars="200"/>
        <w:rPr>
          <w:rFonts w:ascii="宋体" w:hAnsi="宋体" w:cs="宋体"/>
          <w:color w:val="auto"/>
          <w:kern w:val="0"/>
          <w:szCs w:val="21"/>
          <w:highlight w:val="none"/>
        </w:rPr>
      </w:pPr>
      <w:r>
        <w:rPr>
          <w:rFonts w:hint="eastAsia" w:ascii="Times New Roman" w:hAnsi="Times New Roman" w:cs="宋体"/>
          <w:b/>
          <w:color w:val="auto"/>
          <w:sz w:val="24"/>
          <w:highlight w:val="none"/>
          <w:lang w:bidi="ar"/>
        </w:rPr>
        <w:t>十一、履约担保</w:t>
      </w:r>
    </w:p>
    <w:p w14:paraId="0D49A2F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乙方在收到中标通知书后的十五天内，并在与甲方签署合同前，乙方向甲方提交（供）合同价款 10 %的履约担保。履约担保可采用现金或支票或汇票等有效方式提交，若乙方以银行转账或银行保函方式提供的，可按以下方式提交：</w:t>
      </w:r>
    </w:p>
    <w:p w14:paraId="26670E8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方式一：从乙方开户银行帐户中转帐或汇款到甲方以下三个银行帐户﹙收款单位：广州市番禺区基本建设投资管理中心，银行帐号一：3602070119200076312，开户银行：工商银行广州番禺平康支行；银行帐号二：44001531416059000078，开户银行：中国建设银行番禺东区支行；银行帐号三：391160100100059844，开户银行：兴业银行番禺支行﹚中的任一个帐户内。</w:t>
      </w:r>
    </w:p>
    <w:p w14:paraId="222B62F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方式二：乙方按本合同附件中的格式3向甲方提供保证额为中标价款的10%的履约保证金银行保函，该银行保函应由在中国注册的银行开具。</w:t>
      </w:r>
    </w:p>
    <w:p w14:paraId="5CD3516D">
      <w:pPr>
        <w:spacing w:line="360" w:lineRule="auto"/>
        <w:ind w:firstLine="480" w:firstLineChars="200"/>
        <w:rPr>
          <w:rFonts w:ascii="宋体" w:hAnsi="Courier New" w:cs="宋体"/>
          <w:b/>
          <w:color w:val="auto"/>
          <w:sz w:val="24"/>
          <w:highlight w:val="none"/>
          <w:lang w:bidi="ar"/>
        </w:rPr>
      </w:pPr>
      <w:r>
        <w:rPr>
          <w:rFonts w:hint="eastAsia" w:ascii="宋体" w:hAnsi="宋体" w:cs="宋体"/>
          <w:color w:val="auto"/>
          <w:kern w:val="0"/>
          <w:sz w:val="24"/>
          <w:highlight w:val="none"/>
        </w:rPr>
        <w:t>履约担保的有效期，是从合同开工日期起至合同工程竣工验收合格后28天止。履约保函到期后，如果合同约定的工作内容未完成，必须无条件延期。若确因估计不足导致合同期内保函时效期过期，乙方须重新提交新的履约保函，否则甲方有权拒付应付的合同款或有权在应付的合同款中直接扣除等额的款项作为履约保证金。甲方在履约担保有效期满后将履约保函（履约保证金无息、履约保函）退还给乙方。</w:t>
      </w:r>
    </w:p>
    <w:p w14:paraId="1EE386B3">
      <w:pPr>
        <w:spacing w:line="360" w:lineRule="auto"/>
        <w:ind w:firstLine="482" w:firstLineChars="200"/>
        <w:rPr>
          <w:rFonts w:ascii="宋体" w:hAnsi="Courier New" w:cs="宋体"/>
          <w:b/>
          <w:color w:val="auto"/>
          <w:sz w:val="24"/>
          <w:highlight w:val="none"/>
        </w:rPr>
      </w:pPr>
      <w:r>
        <w:rPr>
          <w:rFonts w:hint="eastAsia" w:ascii="宋体" w:hAnsi="Courier New" w:cs="宋体"/>
          <w:b/>
          <w:color w:val="auto"/>
          <w:sz w:val="24"/>
          <w:highlight w:val="none"/>
          <w:lang w:bidi="ar"/>
        </w:rPr>
        <w:t>十二、其它</w:t>
      </w:r>
    </w:p>
    <w:p w14:paraId="5BB45915">
      <w:pPr>
        <w:spacing w:line="360" w:lineRule="auto"/>
        <w:ind w:firstLine="480" w:firstLineChars="200"/>
        <w:rPr>
          <w:rFonts w:ascii="宋体" w:hAnsi="Courier New" w:cs="宋体"/>
          <w:color w:val="auto"/>
          <w:sz w:val="24"/>
          <w:highlight w:val="none"/>
        </w:rPr>
      </w:pPr>
      <w:r>
        <w:rPr>
          <w:rFonts w:hint="eastAsia" w:ascii="宋体" w:hAnsi="Courier New" w:cs="宋体"/>
          <w:color w:val="auto"/>
          <w:sz w:val="24"/>
          <w:highlight w:val="none"/>
          <w:lang w:bidi="ar"/>
        </w:rPr>
        <w:t>本合同自双方签字盖章后生效。本合同一式   份，</w:t>
      </w:r>
      <w:r>
        <w:rPr>
          <w:rFonts w:hint="eastAsia" w:ascii="宋体" w:hAnsi="宋体" w:cs="宋体"/>
          <w:color w:val="auto"/>
          <w:sz w:val="24"/>
          <w:highlight w:val="none"/>
          <w:lang w:bidi="ar"/>
        </w:rPr>
        <w:t>正本一式两份，</w:t>
      </w:r>
      <w:r>
        <w:rPr>
          <w:rFonts w:hint="eastAsia" w:ascii="宋体" w:hAnsi="Courier New" w:cs="宋体"/>
          <w:color w:val="auto"/>
          <w:sz w:val="24"/>
          <w:highlight w:val="none"/>
          <w:lang w:bidi="ar"/>
        </w:rPr>
        <w:t>双方</w:t>
      </w:r>
      <w:r>
        <w:rPr>
          <w:rFonts w:hint="eastAsia" w:ascii="宋体" w:hAnsi="宋体" w:cs="宋体"/>
          <w:color w:val="auto"/>
          <w:sz w:val="24"/>
          <w:highlight w:val="none"/>
          <w:lang w:bidi="ar"/>
        </w:rPr>
        <w:t>各执一份，副本一式  份，甲方  份，乙方 份，</w:t>
      </w:r>
      <w:r>
        <w:rPr>
          <w:rFonts w:hint="eastAsia" w:ascii="宋体" w:hAnsi="Courier New" w:cs="宋体"/>
          <w:color w:val="auto"/>
          <w:sz w:val="24"/>
          <w:highlight w:val="none"/>
          <w:lang w:bidi="ar"/>
        </w:rPr>
        <w:t>具有同等法律效力。</w:t>
      </w:r>
    </w:p>
    <w:p w14:paraId="5D3FD4E9">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bidi="ar"/>
        </w:rPr>
        <w:t>（以下无正文）</w:t>
      </w:r>
    </w:p>
    <w:p w14:paraId="3502FACB">
      <w:pPr>
        <w:adjustRightInd w:val="0"/>
        <w:snapToGrid w:val="0"/>
        <w:spacing w:line="360" w:lineRule="auto"/>
        <w:rPr>
          <w:rFonts w:ascii="宋体" w:hAnsi="宋体" w:cs="宋体"/>
          <w:b/>
          <w:color w:val="auto"/>
          <w:sz w:val="24"/>
          <w:highlight w:val="none"/>
        </w:rPr>
      </w:pPr>
    </w:p>
    <w:p w14:paraId="2EFBF253">
      <w:pPr>
        <w:adjustRightInd w:val="0"/>
        <w:snapToGrid w:val="0"/>
        <w:spacing w:line="360" w:lineRule="auto"/>
        <w:rPr>
          <w:rFonts w:ascii="宋体" w:hAnsi="宋体" w:cs="宋体"/>
          <w:b/>
          <w:color w:val="auto"/>
          <w:sz w:val="24"/>
          <w:highlight w:val="none"/>
        </w:rPr>
      </w:pPr>
    </w:p>
    <w:p w14:paraId="572D6A10">
      <w:pPr>
        <w:adjustRightInd w:val="0"/>
        <w:snapToGrid w:val="0"/>
        <w:spacing w:line="360" w:lineRule="auto"/>
        <w:rPr>
          <w:rFonts w:ascii="宋体" w:hAnsi="宋体" w:cs="宋体"/>
          <w:color w:val="auto"/>
          <w:sz w:val="24"/>
          <w:highlight w:val="none"/>
        </w:rPr>
      </w:pPr>
      <w:r>
        <w:rPr>
          <w:rFonts w:ascii="宋体" w:hAnsi="宋体" w:cs="宋体"/>
          <w:color w:val="auto"/>
          <w:sz w:val="24"/>
          <w:highlight w:val="none"/>
          <w:lang w:bidi="ar"/>
        </w:rPr>
        <w:br w:type="page"/>
      </w:r>
      <w:r>
        <w:rPr>
          <w:rFonts w:hint="eastAsia" w:ascii="宋体" w:hAnsi="宋体" w:cs="宋体"/>
          <w:color w:val="auto"/>
          <w:sz w:val="24"/>
          <w:highlight w:val="none"/>
          <w:lang w:bidi="ar"/>
        </w:rPr>
        <w:t>甲方（盖章）：                       乙方（盖章）：</w:t>
      </w:r>
    </w:p>
    <w:p w14:paraId="7EB9511A">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bidi="ar"/>
        </w:rPr>
        <w:t>法定代表人（签字）：                 法定代表人（签字）：</w:t>
      </w:r>
    </w:p>
    <w:p w14:paraId="17B5F42E">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bidi="ar"/>
        </w:rPr>
        <w:t>经办人：                            经办人：</w:t>
      </w:r>
    </w:p>
    <w:p w14:paraId="5D4B9A51">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bidi="ar"/>
        </w:rPr>
        <w:t>甲方地址：                          乙方地址：</w:t>
      </w:r>
    </w:p>
    <w:p w14:paraId="201D11EA">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bidi="ar"/>
        </w:rPr>
        <w:t>邮政编码：                          邮政编码：</w:t>
      </w:r>
    </w:p>
    <w:p w14:paraId="48F8A862">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bidi="ar"/>
        </w:rPr>
        <w:t>电话：                              电话：</w:t>
      </w:r>
    </w:p>
    <w:p w14:paraId="01E8E0DB">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bidi="ar"/>
        </w:rPr>
        <w:t>传真：                              传真：</w:t>
      </w:r>
    </w:p>
    <w:p w14:paraId="304D4BAB">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bidi="ar"/>
        </w:rPr>
        <w:t>开户银行：                          开户银行：</w:t>
      </w:r>
    </w:p>
    <w:p w14:paraId="000884D7">
      <w:pPr>
        <w:adjustRightInd w:val="0"/>
        <w:snapToGrid w:val="0"/>
        <w:spacing w:line="360" w:lineRule="auto"/>
        <w:jc w:val="left"/>
        <w:rPr>
          <w:rFonts w:ascii="宋体" w:hAnsi="宋体"/>
          <w:b/>
          <w:color w:val="auto"/>
          <w:sz w:val="36"/>
          <w:szCs w:val="36"/>
          <w:highlight w:val="none"/>
        </w:rPr>
      </w:pPr>
      <w:r>
        <w:rPr>
          <w:rFonts w:hint="eastAsia" w:ascii="宋体" w:hAnsi="宋体" w:cs="宋体"/>
          <w:color w:val="auto"/>
          <w:sz w:val="24"/>
          <w:highlight w:val="none"/>
          <w:lang w:bidi="ar"/>
        </w:rPr>
        <w:t>银行帐户：                          银行帐户：</w:t>
      </w:r>
      <w:r>
        <w:rPr>
          <w:rFonts w:hint="eastAsia" w:ascii="宋体" w:hAnsi="宋体"/>
          <w:color w:val="auto"/>
          <w:sz w:val="24"/>
          <w:highlight w:val="none"/>
          <w:lang w:bidi="ar"/>
        </w:rPr>
        <w:br w:type="page"/>
      </w:r>
      <w:r>
        <w:rPr>
          <w:rFonts w:hint="eastAsia" w:ascii="宋体" w:hAnsi="宋体" w:cs="宋体"/>
          <w:b/>
          <w:color w:val="auto"/>
          <w:szCs w:val="21"/>
          <w:highlight w:val="none"/>
        </w:rPr>
        <w:t>附件一</w:t>
      </w:r>
    </w:p>
    <w:p w14:paraId="36C0A11B">
      <w:pPr>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廉政协议书</w:t>
      </w:r>
    </w:p>
    <w:p w14:paraId="493997B0">
      <w:pPr>
        <w:jc w:val="center"/>
        <w:rPr>
          <w:rFonts w:ascii="仿宋" w:hAnsi="仿宋" w:eastAsia="仿宋" w:cs="仿宋"/>
          <w:b/>
          <w:bCs/>
          <w:color w:val="auto"/>
          <w:sz w:val="44"/>
          <w:szCs w:val="44"/>
          <w:highlight w:val="none"/>
        </w:rPr>
      </w:pPr>
    </w:p>
    <w:p w14:paraId="30A4BADA">
      <w:pPr>
        <w:spacing w:line="360" w:lineRule="auto"/>
        <w:rPr>
          <w:rFonts w:ascii="宋体" w:hAnsi="宋体" w:cs="宋体"/>
          <w:color w:val="auto"/>
          <w:szCs w:val="21"/>
          <w:highlight w:val="none"/>
        </w:rPr>
      </w:pPr>
      <w:r>
        <w:rPr>
          <w:rFonts w:hint="eastAsia" w:ascii="宋体" w:hAnsi="宋体" w:cs="宋体"/>
          <w:color w:val="auto"/>
          <w:szCs w:val="21"/>
          <w:highlight w:val="none"/>
        </w:rPr>
        <w:t>甲方：</w:t>
      </w:r>
      <w:r>
        <w:rPr>
          <w:rFonts w:hint="eastAsia" w:ascii="宋体" w:hAnsi="宋体" w:cs="宋体"/>
          <w:color w:val="auto"/>
          <w:szCs w:val="21"/>
          <w:highlight w:val="none"/>
          <w:u w:val="single"/>
        </w:rPr>
        <w:t>广州市番禺区基本建设投资管理中心</w:t>
      </w:r>
      <w:r>
        <w:rPr>
          <w:rFonts w:hint="eastAsia" w:ascii="宋体" w:hAnsi="宋体" w:cs="宋体"/>
          <w:color w:val="auto"/>
          <w:szCs w:val="21"/>
          <w:highlight w:val="none"/>
        </w:rPr>
        <w:t xml:space="preserve">                            </w:t>
      </w:r>
    </w:p>
    <w:p w14:paraId="0ACC4C79">
      <w:pPr>
        <w:spacing w:line="360" w:lineRule="auto"/>
        <w:rPr>
          <w:rFonts w:ascii="宋体" w:hAnsi="宋体" w:cs="宋体"/>
          <w:color w:val="auto"/>
          <w:szCs w:val="21"/>
          <w:highlight w:val="none"/>
        </w:rPr>
      </w:pPr>
      <w:r>
        <w:rPr>
          <w:rFonts w:hint="eastAsia" w:ascii="宋体" w:hAnsi="宋体" w:cs="宋体"/>
          <w:color w:val="auto"/>
          <w:szCs w:val="21"/>
          <w:highlight w:val="none"/>
        </w:rPr>
        <w:t>乙方：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6A19EDE6">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xx工程检测监测项目</w:t>
      </w:r>
      <w:r>
        <w:rPr>
          <w:rFonts w:hint="eastAsia" w:ascii="宋体" w:hAnsi="宋体" w:cs="宋体"/>
          <w:color w:val="auto"/>
          <w:szCs w:val="21"/>
          <w:highlight w:val="none"/>
        </w:rPr>
        <w:t xml:space="preserve">                        </w:t>
      </w:r>
    </w:p>
    <w:p w14:paraId="58F7C144">
      <w:pPr>
        <w:spacing w:line="360" w:lineRule="auto"/>
        <w:rPr>
          <w:rFonts w:ascii="宋体" w:hAnsi="宋体" w:cs="宋体"/>
          <w:color w:val="auto"/>
          <w:szCs w:val="21"/>
          <w:highlight w:val="none"/>
        </w:rPr>
      </w:pPr>
      <w:r>
        <w:rPr>
          <w:rFonts w:hint="eastAsia" w:ascii="宋体" w:hAnsi="宋体" w:cs="宋体"/>
          <w:color w:val="auto"/>
          <w:szCs w:val="21"/>
          <w:highlight w:val="none"/>
        </w:rPr>
        <w:t>合同价款：</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A75C08A">
      <w:pPr>
        <w:spacing w:line="360" w:lineRule="auto"/>
        <w:rPr>
          <w:rFonts w:ascii="宋体" w:hAnsi="宋体" w:cs="宋体"/>
          <w:color w:val="auto"/>
          <w:szCs w:val="21"/>
          <w:highlight w:val="none"/>
        </w:rPr>
      </w:pPr>
      <w:r>
        <w:rPr>
          <w:rFonts w:hint="eastAsia" w:ascii="宋体" w:hAnsi="宋体" w:cs="宋体"/>
          <w:color w:val="auto"/>
          <w:szCs w:val="21"/>
          <w:highlight w:val="none"/>
        </w:rPr>
        <w:t>签订日期：</w:t>
      </w:r>
    </w:p>
    <w:p w14:paraId="3DEB622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为贯彻落实勤政奉公、廉政自律工作精神，切实防范和杜绝业务工作中的各种腐败现象，根据上级部门的有关精神，凡业务标的在30万元（含30万元）以上的项目（包括但不仅限于工程发包、对外招租、合作、产权转让、承包、托管等）在签订有关合同时必须签订本协议书，以期共同遵守和自觉接受监督。</w:t>
      </w:r>
    </w:p>
    <w:p w14:paraId="41B9FD73">
      <w:pPr>
        <w:numPr>
          <w:ilvl w:val="0"/>
          <w:numId w:val="1"/>
        </w:numPr>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rPr>
        <w:t>在业务往来中，甲方及其相关工作人员承诺做到：</w:t>
      </w:r>
    </w:p>
    <w:p w14:paraId="47BA3104">
      <w:pPr>
        <w:spacing w:line="360" w:lineRule="auto"/>
        <w:ind w:left="29" w:leftChars="14" w:firstLine="420" w:firstLineChars="200"/>
        <w:rPr>
          <w:rFonts w:ascii="宋体" w:hAnsi="宋体" w:cs="宋体"/>
          <w:color w:val="auto"/>
          <w:szCs w:val="21"/>
          <w:highlight w:val="none"/>
        </w:rPr>
      </w:pPr>
      <w:r>
        <w:rPr>
          <w:rFonts w:hint="eastAsia" w:ascii="宋体" w:hAnsi="宋体" w:cs="宋体"/>
          <w:color w:val="auto"/>
          <w:szCs w:val="21"/>
          <w:highlight w:val="none"/>
        </w:rPr>
        <w:t>（一）自觉遵守国家法律、法规和党纪、政纪，积极主动协助乙方开展业务并给予有效支持；</w:t>
      </w:r>
    </w:p>
    <w:p w14:paraId="1ECFFA13">
      <w:pPr>
        <w:spacing w:line="360" w:lineRule="auto"/>
        <w:ind w:left="29" w:leftChars="14" w:firstLine="420" w:firstLineChars="200"/>
        <w:rPr>
          <w:rFonts w:ascii="宋体" w:hAnsi="宋体" w:cs="宋体"/>
          <w:color w:val="auto"/>
          <w:szCs w:val="21"/>
          <w:highlight w:val="none"/>
        </w:rPr>
      </w:pPr>
      <w:r>
        <w:rPr>
          <w:rFonts w:hint="eastAsia" w:ascii="宋体" w:hAnsi="宋体" w:cs="宋体"/>
          <w:color w:val="auto"/>
          <w:szCs w:val="21"/>
          <w:highlight w:val="none"/>
        </w:rPr>
        <w:t>（二）不接受乙方赠送的礼金、有价证券、贵重礼品等钱财，不参与由乙方安排的高档消费娱乐、旅游等活动；</w:t>
      </w:r>
    </w:p>
    <w:p w14:paraId="167880B3">
      <w:pPr>
        <w:spacing w:line="360" w:lineRule="auto"/>
        <w:ind w:left="29" w:leftChars="14" w:firstLine="420" w:firstLineChars="200"/>
        <w:rPr>
          <w:rFonts w:ascii="宋体" w:hAnsi="宋体" w:cs="宋体"/>
          <w:color w:val="auto"/>
          <w:szCs w:val="21"/>
          <w:highlight w:val="none"/>
        </w:rPr>
      </w:pPr>
      <w:r>
        <w:rPr>
          <w:rFonts w:hint="eastAsia" w:ascii="宋体" w:hAnsi="宋体" w:cs="宋体"/>
          <w:color w:val="auto"/>
          <w:szCs w:val="21"/>
          <w:highlight w:val="none"/>
        </w:rPr>
        <w:t>（三）不索要和接受乙方的财、物等，坚决抵制拒绝任何方式的贿赂，并对行贿人进行严肃批评；</w:t>
      </w:r>
    </w:p>
    <w:p w14:paraId="09E872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（四）不利用职权向乙方介绍或指定业务承接单位和个人，不因个人原因而故意刁难乙方；</w:t>
      </w:r>
    </w:p>
    <w:p w14:paraId="6020953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（五）不利用职权为自已、家属和亲友向乙方推销或指定使用材料、设备等产品；</w:t>
      </w:r>
    </w:p>
    <w:p w14:paraId="3ADFB9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（六）不到乙方单位报销应由自已单位或个人支付的项费用开支发票；</w:t>
      </w:r>
    </w:p>
    <w:p w14:paraId="29C3C1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（七）如发现本单位或本单位有关工作人员有违法、违纪行为，要及时主动向相关部门报告和举报。</w:t>
      </w:r>
    </w:p>
    <w:p w14:paraId="0126AB2B">
      <w:pPr>
        <w:numPr>
          <w:ilvl w:val="0"/>
          <w:numId w:val="1"/>
        </w:numPr>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rPr>
        <w:t>在业务往来中，乙方及其工作人员承诺做到：</w:t>
      </w:r>
    </w:p>
    <w:p w14:paraId="175A46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（一）自觉遵守国家的法律、法规和党纪、政纪，积极主动地配合甲方开展业务；</w:t>
      </w:r>
    </w:p>
    <w:p w14:paraId="027432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（二）不以任何理由、任何形式向甲方赠送礼品、礼金的有价证券等，不得为甲方安排高档消费品娱乐、旅游等活动；</w:t>
      </w:r>
    </w:p>
    <w:p w14:paraId="3B0596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（三）不向甲方人员行贿，坚决抵制任何索要钱财的行为；</w:t>
      </w:r>
    </w:p>
    <w:p w14:paraId="227CBF0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（四）合同履行期间或履行完毕后，如发现本单位或本单位有关人员存在违法、违纪行为应及时向相关部门反映和举报。</w:t>
      </w:r>
    </w:p>
    <w:p w14:paraId="491707C0">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三、为保证上述条款的实施，甲方的上级纪律主管部门相关部门有权对履行协议的情况进行监督。</w:t>
      </w:r>
    </w:p>
    <w:p w14:paraId="6AAF780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（一）严格依据国家法律、法规及党和政府的政策、制度、规定和党纪、政纪条规，对甲、乙双方遵纪守法情况进行监督检查，促进廉政建设与业务建设同步发展；</w:t>
      </w:r>
    </w:p>
    <w:p w14:paraId="516027B8">
      <w:pPr>
        <w:spacing w:line="360" w:lineRule="auto"/>
        <w:ind w:left="1" w:firstLine="417" w:firstLineChars="199"/>
        <w:rPr>
          <w:rFonts w:ascii="宋体" w:hAnsi="宋体" w:cs="宋体"/>
          <w:color w:val="auto"/>
          <w:szCs w:val="21"/>
          <w:highlight w:val="none"/>
        </w:rPr>
      </w:pPr>
      <w:r>
        <w:rPr>
          <w:rFonts w:hint="eastAsia" w:ascii="宋体" w:hAnsi="宋体" w:cs="宋体"/>
          <w:color w:val="auto"/>
          <w:szCs w:val="21"/>
          <w:highlight w:val="none"/>
        </w:rPr>
        <w:t>（二）协助和指导甲、乙双方抓好廉政建设的制度、规定、法制教育，对甲、乙双方管理人员有针对性地进行廉政教育；</w:t>
      </w:r>
    </w:p>
    <w:p w14:paraId="2980382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（三）适时对甲、乙双方的廉政自律情况进行监督检查。</w:t>
      </w:r>
    </w:p>
    <w:p w14:paraId="0773786A">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
          <w:color w:val="auto"/>
          <w:szCs w:val="21"/>
          <w:highlight w:val="none"/>
        </w:rPr>
        <w:t xml:space="preserve">  </w:t>
      </w:r>
      <w:r>
        <w:rPr>
          <w:rFonts w:hint="eastAsia" w:ascii="宋体" w:hAnsi="宋体" w:cs="宋体"/>
          <w:color w:val="auto"/>
          <w:szCs w:val="21"/>
          <w:highlight w:val="none"/>
        </w:rPr>
        <w:t>四、违约处理</w:t>
      </w:r>
    </w:p>
    <w:p w14:paraId="37D77CF0">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甲、乙双方工作人员如有违反本协议的，相关部门应及时给予批评教育并按公司相关制度处理。构成违纪的，甲方人员由甲方依照有关规定给予党纪、政纪处分，乙方工作人员报乙方进行处理。触犯法律的，一律移送司法机关处理。</w:t>
      </w:r>
    </w:p>
    <w:p w14:paraId="033528D3">
      <w:pPr>
        <w:spacing w:line="360" w:lineRule="auto"/>
        <w:ind w:firstLine="630"/>
        <w:rPr>
          <w:rFonts w:ascii="宋体" w:hAnsi="宋体" w:cs="宋体"/>
          <w:color w:val="auto"/>
          <w:szCs w:val="21"/>
          <w:highlight w:val="none"/>
        </w:rPr>
      </w:pPr>
      <w:r>
        <w:rPr>
          <w:rFonts w:hint="eastAsia" w:ascii="宋体" w:hAnsi="宋体" w:cs="宋体"/>
          <w:color w:val="auto"/>
          <w:szCs w:val="21"/>
          <w:highlight w:val="none"/>
        </w:rPr>
        <w:t>五、甲、乙双方自有关合同签订和业务往来期间，相关部门公司纪委要适时召集双方负责人对业务廉政、廉洁监督廉政检查情况进行通报，研究和制定有关廉政规定的要求。</w:t>
      </w:r>
    </w:p>
    <w:p w14:paraId="29804B42">
      <w:pPr>
        <w:spacing w:line="360" w:lineRule="auto"/>
        <w:ind w:firstLine="630"/>
        <w:rPr>
          <w:rFonts w:ascii="宋体" w:hAnsi="宋体" w:cs="宋体"/>
          <w:color w:val="auto"/>
          <w:szCs w:val="21"/>
          <w:highlight w:val="none"/>
        </w:rPr>
      </w:pPr>
      <w:r>
        <w:rPr>
          <w:rFonts w:hint="eastAsia" w:ascii="宋体" w:hAnsi="宋体" w:cs="宋体"/>
          <w:color w:val="auto"/>
          <w:szCs w:val="21"/>
          <w:highlight w:val="none"/>
        </w:rPr>
        <w:t>六、本协议未尽事项，经甲、乙双方共同协商并征得相关部门同意，可签订补充条款。</w:t>
      </w:r>
    </w:p>
    <w:p w14:paraId="6B52B7D3">
      <w:pPr>
        <w:spacing w:line="360" w:lineRule="auto"/>
        <w:ind w:firstLine="630"/>
        <w:rPr>
          <w:rFonts w:ascii="宋体" w:hAnsi="宋体" w:cs="宋体"/>
          <w:color w:val="auto"/>
          <w:szCs w:val="21"/>
          <w:highlight w:val="none"/>
        </w:rPr>
      </w:pPr>
      <w:r>
        <w:rPr>
          <w:rFonts w:hint="eastAsia" w:ascii="宋体" w:hAnsi="宋体" w:cs="宋体"/>
          <w:color w:val="auto"/>
          <w:szCs w:val="21"/>
          <w:highlight w:val="none"/>
        </w:rPr>
        <w:t>七、本协议一式  份，甲、乙双方各执   份，。</w:t>
      </w:r>
    </w:p>
    <w:p w14:paraId="78B455EC">
      <w:pPr>
        <w:spacing w:line="360" w:lineRule="auto"/>
        <w:rPr>
          <w:rFonts w:ascii="宋体" w:hAnsi="宋体" w:cs="宋体"/>
          <w:color w:val="auto"/>
          <w:szCs w:val="21"/>
          <w:highlight w:val="none"/>
        </w:rPr>
      </w:pPr>
    </w:p>
    <w:p w14:paraId="34A444F8">
      <w:pPr>
        <w:spacing w:line="360" w:lineRule="auto"/>
        <w:ind w:firstLine="630"/>
        <w:rPr>
          <w:rFonts w:ascii="宋体" w:hAnsi="宋体" w:cs="宋体"/>
          <w:color w:val="auto"/>
          <w:szCs w:val="21"/>
          <w:highlight w:val="none"/>
        </w:rPr>
      </w:pPr>
    </w:p>
    <w:p w14:paraId="47AD42B5">
      <w:pPr>
        <w:spacing w:line="360" w:lineRule="auto"/>
        <w:rPr>
          <w:rFonts w:ascii="宋体" w:hAnsi="宋体" w:cs="宋体"/>
          <w:color w:val="auto"/>
          <w:szCs w:val="21"/>
          <w:highlight w:val="none"/>
        </w:rPr>
      </w:pPr>
      <w:r>
        <w:rPr>
          <w:rFonts w:hint="eastAsia" w:ascii="宋体" w:hAnsi="宋体" w:cs="宋体"/>
          <w:color w:val="auto"/>
          <w:szCs w:val="21"/>
          <w:highlight w:val="none"/>
        </w:rPr>
        <w:t>甲方：                          代表人签名（盖章）</w:t>
      </w:r>
    </w:p>
    <w:p w14:paraId="4D5A9CCF">
      <w:pPr>
        <w:spacing w:line="360" w:lineRule="auto"/>
        <w:rPr>
          <w:rFonts w:ascii="宋体" w:hAnsi="宋体" w:cs="宋体"/>
          <w:color w:val="auto"/>
          <w:szCs w:val="21"/>
          <w:highlight w:val="none"/>
        </w:rPr>
      </w:pPr>
      <w:r>
        <w:rPr>
          <w:rFonts w:hint="eastAsia" w:ascii="宋体" w:hAnsi="宋体" w:cs="宋体"/>
          <w:color w:val="auto"/>
          <w:szCs w:val="21"/>
          <w:highlight w:val="none"/>
        </w:rPr>
        <w:t>广州市番禺区基本建设投资管理中心</w:t>
      </w:r>
    </w:p>
    <w:p w14:paraId="25683EB1">
      <w:pPr>
        <w:spacing w:line="360" w:lineRule="auto"/>
        <w:rPr>
          <w:rFonts w:ascii="宋体" w:hAnsi="宋体" w:cs="宋体"/>
          <w:color w:val="auto"/>
          <w:szCs w:val="21"/>
          <w:highlight w:val="none"/>
        </w:rPr>
      </w:pPr>
    </w:p>
    <w:p w14:paraId="4B37727C">
      <w:pPr>
        <w:spacing w:line="360" w:lineRule="auto"/>
        <w:rPr>
          <w:rFonts w:ascii="宋体" w:hAnsi="宋体" w:cs="宋体"/>
          <w:color w:val="auto"/>
          <w:szCs w:val="21"/>
          <w:highlight w:val="none"/>
        </w:rPr>
      </w:pPr>
      <w:r>
        <w:rPr>
          <w:rFonts w:hint="eastAsia" w:ascii="宋体" w:hAnsi="宋体" w:cs="宋体"/>
          <w:color w:val="auto"/>
          <w:szCs w:val="21"/>
          <w:highlight w:val="none"/>
        </w:rPr>
        <w:t>乙方：                          代表人签名（盖章）</w:t>
      </w:r>
    </w:p>
    <w:p w14:paraId="202110F6">
      <w:pPr>
        <w:spacing w:line="360" w:lineRule="auto"/>
        <w:rPr>
          <w:rFonts w:ascii="宋体" w:hAnsi="宋体" w:cs="宋体"/>
          <w:color w:val="auto"/>
          <w:szCs w:val="21"/>
          <w:highlight w:val="none"/>
        </w:rPr>
      </w:pPr>
    </w:p>
    <w:p w14:paraId="7830CFAA">
      <w:pPr>
        <w:adjustRightInd w:val="0"/>
        <w:snapToGrid w:val="0"/>
        <w:spacing w:line="360" w:lineRule="auto"/>
        <w:rPr>
          <w:rFonts w:ascii="宋体" w:hAnsi="宋体" w:cs="宋体"/>
          <w:color w:val="auto"/>
          <w:szCs w:val="21"/>
          <w:highlight w:val="none"/>
        </w:rPr>
      </w:pPr>
    </w:p>
    <w:p w14:paraId="0E0A350B">
      <w:pPr>
        <w:pStyle w:val="2"/>
        <w:rPr>
          <w:rFonts w:ascii="宋体" w:hAnsi="宋体" w:cs="宋体"/>
          <w:color w:val="auto"/>
          <w:szCs w:val="21"/>
          <w:highlight w:val="none"/>
        </w:rPr>
      </w:pPr>
    </w:p>
    <w:p w14:paraId="64046710">
      <w:pPr>
        <w:pStyle w:val="2"/>
        <w:rPr>
          <w:rFonts w:ascii="宋体" w:hAnsi="宋体" w:cs="宋体"/>
          <w:color w:val="auto"/>
          <w:szCs w:val="21"/>
          <w:highlight w:val="none"/>
        </w:rPr>
      </w:pPr>
    </w:p>
    <w:p w14:paraId="6D87CA8F">
      <w:pPr>
        <w:pStyle w:val="2"/>
        <w:rPr>
          <w:rFonts w:ascii="宋体" w:hAnsi="宋体" w:cs="宋体"/>
          <w:color w:val="auto"/>
          <w:szCs w:val="21"/>
          <w:highlight w:val="none"/>
        </w:rPr>
      </w:pPr>
    </w:p>
    <w:p w14:paraId="402789D1">
      <w:pPr>
        <w:pStyle w:val="2"/>
        <w:rPr>
          <w:rFonts w:ascii="宋体" w:hAnsi="宋体" w:cs="宋体"/>
          <w:color w:val="auto"/>
          <w:szCs w:val="21"/>
          <w:highlight w:val="none"/>
        </w:rPr>
      </w:pPr>
    </w:p>
    <w:p w14:paraId="0D052772">
      <w:pPr>
        <w:pStyle w:val="2"/>
        <w:rPr>
          <w:rFonts w:ascii="宋体" w:hAnsi="宋体" w:cs="宋体"/>
          <w:color w:val="auto"/>
          <w:szCs w:val="21"/>
          <w:highlight w:val="none"/>
        </w:rPr>
      </w:pPr>
    </w:p>
    <w:p w14:paraId="22481328">
      <w:pPr>
        <w:pStyle w:val="2"/>
        <w:rPr>
          <w:rFonts w:ascii="宋体" w:hAnsi="宋体" w:cs="宋体"/>
          <w:color w:val="auto"/>
          <w:szCs w:val="21"/>
          <w:highlight w:val="none"/>
        </w:rPr>
      </w:pPr>
    </w:p>
    <w:p w14:paraId="145FA2AF">
      <w:pPr>
        <w:pStyle w:val="2"/>
        <w:rPr>
          <w:rFonts w:ascii="宋体" w:hAnsi="宋体" w:cs="宋体"/>
          <w:color w:val="auto"/>
          <w:szCs w:val="21"/>
          <w:highlight w:val="none"/>
        </w:rPr>
      </w:pPr>
    </w:p>
    <w:p w14:paraId="5BE98C7A">
      <w:pPr>
        <w:pStyle w:val="2"/>
        <w:rPr>
          <w:rFonts w:ascii="宋体" w:hAnsi="宋体" w:cs="宋体"/>
          <w:color w:val="auto"/>
          <w:szCs w:val="21"/>
          <w:highlight w:val="none"/>
        </w:rPr>
      </w:pPr>
    </w:p>
    <w:p w14:paraId="36AFDD8B">
      <w:pPr>
        <w:pStyle w:val="2"/>
        <w:rPr>
          <w:rFonts w:ascii="宋体" w:hAnsi="宋体" w:cs="宋体"/>
          <w:color w:val="auto"/>
          <w:szCs w:val="21"/>
          <w:highlight w:val="none"/>
        </w:rPr>
      </w:pPr>
    </w:p>
    <w:p w14:paraId="611A97F7">
      <w:pPr>
        <w:pStyle w:val="2"/>
        <w:rPr>
          <w:rFonts w:ascii="宋体" w:hAnsi="宋体" w:cs="宋体"/>
          <w:color w:val="auto"/>
          <w:szCs w:val="21"/>
          <w:highlight w:val="none"/>
        </w:rPr>
      </w:pPr>
    </w:p>
    <w:p w14:paraId="6A3E5F85">
      <w:pPr>
        <w:pStyle w:val="2"/>
        <w:rPr>
          <w:rFonts w:ascii="宋体" w:hAnsi="宋体" w:cs="宋体"/>
          <w:color w:val="auto"/>
          <w:szCs w:val="21"/>
          <w:highlight w:val="none"/>
        </w:rPr>
      </w:pPr>
    </w:p>
    <w:p w14:paraId="178B44CA">
      <w:pPr>
        <w:pStyle w:val="2"/>
        <w:rPr>
          <w:rFonts w:ascii="宋体" w:hAnsi="宋体" w:cs="宋体"/>
          <w:color w:val="auto"/>
          <w:szCs w:val="21"/>
          <w:highlight w:val="none"/>
        </w:rPr>
      </w:pPr>
    </w:p>
    <w:p w14:paraId="17E4B367">
      <w:pPr>
        <w:pStyle w:val="2"/>
        <w:rPr>
          <w:rFonts w:ascii="宋体" w:hAnsi="宋体" w:cs="宋体"/>
          <w:color w:val="auto"/>
          <w:szCs w:val="21"/>
          <w:highlight w:val="none"/>
        </w:rPr>
      </w:pPr>
    </w:p>
    <w:p w14:paraId="0556B37F">
      <w:pPr>
        <w:pStyle w:val="2"/>
        <w:rPr>
          <w:rFonts w:ascii="宋体" w:hAnsi="宋体" w:cs="宋体"/>
          <w:color w:val="auto"/>
          <w:szCs w:val="21"/>
          <w:highlight w:val="none"/>
        </w:rPr>
      </w:pPr>
    </w:p>
    <w:p w14:paraId="2361F198">
      <w:pPr>
        <w:pStyle w:val="2"/>
        <w:rPr>
          <w:rFonts w:ascii="宋体" w:hAnsi="宋体" w:cs="宋体"/>
          <w:color w:val="auto"/>
          <w:szCs w:val="21"/>
          <w:highlight w:val="none"/>
        </w:rPr>
      </w:pPr>
    </w:p>
    <w:p w14:paraId="72767C0E">
      <w:pPr>
        <w:pStyle w:val="2"/>
        <w:rPr>
          <w:rFonts w:ascii="宋体" w:hAnsi="宋体" w:cs="宋体"/>
          <w:color w:val="auto"/>
          <w:szCs w:val="21"/>
          <w:highlight w:val="none"/>
        </w:rPr>
      </w:pPr>
    </w:p>
    <w:p w14:paraId="6D16DE82">
      <w:pPr>
        <w:pStyle w:val="2"/>
        <w:rPr>
          <w:rFonts w:ascii="宋体" w:hAnsi="宋体" w:cs="宋体"/>
          <w:color w:val="auto"/>
          <w:szCs w:val="21"/>
          <w:highlight w:val="none"/>
        </w:rPr>
      </w:pPr>
    </w:p>
    <w:p w14:paraId="4BE163D6">
      <w:pPr>
        <w:pStyle w:val="2"/>
        <w:rPr>
          <w:rFonts w:ascii="宋体" w:hAnsi="宋体" w:cs="宋体"/>
          <w:color w:val="auto"/>
          <w:szCs w:val="21"/>
          <w:highlight w:val="none"/>
        </w:rPr>
      </w:pPr>
    </w:p>
    <w:p w14:paraId="73D43ABD">
      <w:pPr>
        <w:pStyle w:val="2"/>
        <w:rPr>
          <w:rFonts w:ascii="宋体" w:hAnsi="宋体" w:cs="宋体"/>
          <w:color w:val="auto"/>
          <w:szCs w:val="21"/>
          <w:highlight w:val="none"/>
        </w:rPr>
      </w:pPr>
    </w:p>
    <w:p w14:paraId="228C5DC8">
      <w:pPr>
        <w:pStyle w:val="2"/>
        <w:rPr>
          <w:rFonts w:ascii="宋体" w:hAnsi="宋体" w:cs="宋体"/>
          <w:color w:val="auto"/>
          <w:szCs w:val="21"/>
          <w:highlight w:val="none"/>
        </w:rPr>
      </w:pPr>
    </w:p>
    <w:p w14:paraId="3B3CE47C">
      <w:pPr>
        <w:pStyle w:val="2"/>
        <w:rPr>
          <w:rFonts w:ascii="宋体" w:hAnsi="宋体" w:cs="宋体"/>
          <w:color w:val="auto"/>
          <w:szCs w:val="21"/>
          <w:highlight w:val="none"/>
        </w:rPr>
      </w:pPr>
    </w:p>
    <w:p w14:paraId="090C3749">
      <w:pPr>
        <w:pStyle w:val="2"/>
        <w:rPr>
          <w:rFonts w:ascii="宋体" w:hAnsi="宋体" w:cs="宋体"/>
          <w:color w:val="auto"/>
          <w:szCs w:val="21"/>
          <w:highlight w:val="none"/>
        </w:rPr>
      </w:pPr>
    </w:p>
    <w:p w14:paraId="7B1F3727">
      <w:pPr>
        <w:pStyle w:val="2"/>
        <w:rPr>
          <w:rFonts w:ascii="宋体" w:hAnsi="宋体" w:cs="宋体"/>
          <w:color w:val="auto"/>
          <w:szCs w:val="21"/>
          <w:highlight w:val="none"/>
        </w:rPr>
      </w:pPr>
    </w:p>
    <w:p w14:paraId="1CE0F033">
      <w:pPr>
        <w:pStyle w:val="2"/>
        <w:rPr>
          <w:rFonts w:ascii="宋体" w:hAnsi="宋体" w:cs="宋体"/>
          <w:color w:val="auto"/>
          <w:szCs w:val="21"/>
          <w:highlight w:val="none"/>
        </w:rPr>
      </w:pPr>
    </w:p>
    <w:p w14:paraId="5307EC3E">
      <w:pPr>
        <w:pStyle w:val="2"/>
        <w:rPr>
          <w:rFonts w:ascii="宋体" w:hAnsi="宋体" w:cs="宋体"/>
          <w:color w:val="auto"/>
          <w:szCs w:val="21"/>
          <w:highlight w:val="none"/>
        </w:rPr>
      </w:pPr>
    </w:p>
    <w:p w14:paraId="151E4149">
      <w:pPr>
        <w:pStyle w:val="2"/>
        <w:rPr>
          <w:rFonts w:ascii="宋体" w:hAnsi="宋体" w:cs="宋体"/>
          <w:color w:val="auto"/>
          <w:szCs w:val="21"/>
          <w:highlight w:val="none"/>
        </w:rPr>
      </w:pPr>
    </w:p>
    <w:p w14:paraId="7E7831A9">
      <w:pPr>
        <w:adjustRightInd w:val="0"/>
        <w:snapToGrid w:val="0"/>
        <w:spacing w:line="360" w:lineRule="auto"/>
        <w:rPr>
          <w:rFonts w:ascii="宋体" w:hAnsi="宋体" w:cs="宋体"/>
          <w:color w:val="auto"/>
          <w:szCs w:val="21"/>
          <w:highlight w:val="none"/>
        </w:rPr>
      </w:pPr>
    </w:p>
    <w:p w14:paraId="0E5BCA68">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附件二： </w:t>
      </w:r>
    </w:p>
    <w:p w14:paraId="0FB656C0">
      <w:pPr>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保 密 协 议</w:t>
      </w:r>
    </w:p>
    <w:p w14:paraId="18B91574">
      <w:pPr>
        <w:adjustRightInd w:val="0"/>
        <w:snapToGrid w:val="0"/>
        <w:spacing w:line="360" w:lineRule="auto"/>
        <w:ind w:firstLine="422" w:firstLineChars="200"/>
        <w:rPr>
          <w:rFonts w:ascii="宋体" w:hAnsi="宋体" w:cs="宋体"/>
          <w:b/>
          <w:color w:val="auto"/>
          <w:szCs w:val="21"/>
          <w:highlight w:val="none"/>
        </w:rPr>
      </w:pPr>
    </w:p>
    <w:p w14:paraId="5C93F145">
      <w:pPr>
        <w:adjustRightInd w:val="0"/>
        <w:snapToGrid w:val="0"/>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甲方：</w:t>
      </w:r>
      <w:r>
        <w:rPr>
          <w:rFonts w:hint="eastAsia" w:ascii="宋体" w:cs="宋体"/>
          <w:b/>
          <w:color w:val="auto"/>
          <w:szCs w:val="21"/>
          <w:highlight w:val="none"/>
          <w:u w:val="single"/>
        </w:rPr>
        <w:t>广州市番禺区基本建设投资管理中心</w:t>
      </w:r>
      <w:r>
        <w:rPr>
          <w:rFonts w:hint="eastAsia" w:ascii="宋体" w:hAnsi="宋体" w:cs="宋体"/>
          <w:b/>
          <w:color w:val="auto"/>
          <w:szCs w:val="21"/>
          <w:highlight w:val="none"/>
          <w:u w:val="single"/>
        </w:rPr>
        <w:t xml:space="preserve"> </w:t>
      </w:r>
    </w:p>
    <w:p w14:paraId="16026F19">
      <w:pP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乙方：</w:t>
      </w:r>
      <w:r>
        <w:rPr>
          <w:rFonts w:hint="eastAsia" w:ascii="宋体" w:cs="宋体"/>
          <w:b/>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olor w:val="auto"/>
          <w:szCs w:val="21"/>
          <w:highlight w:val="none"/>
        </w:rPr>
        <w:t xml:space="preserve">                          </w:t>
      </w:r>
    </w:p>
    <w:p w14:paraId="51AFB78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鉴于乙方在xx工程检测监测项目（以下简称本项目）过程中，已经或将要接触或获得涉及甲方的保密资料及将在该项目实施过程中形成的资料，经甲、乙双方友好协商，甲方愿意向乙方披露相关保密资料，乙方承诺按照本协议的约定对甲方的保密资料予以保密。</w:t>
      </w:r>
    </w:p>
    <w:p w14:paraId="0BDD2E4C">
      <w:pPr>
        <w:adjustRightInd w:val="0"/>
        <w:snapToGrid w:val="0"/>
        <w:spacing w:line="360" w:lineRule="auto"/>
        <w:outlineLvl w:val="0"/>
        <w:rPr>
          <w:rFonts w:ascii="宋体" w:hAnsi="宋体" w:cs="宋体"/>
          <w:color w:val="auto"/>
          <w:szCs w:val="21"/>
          <w:highlight w:val="none"/>
        </w:rPr>
      </w:pPr>
      <w:r>
        <w:rPr>
          <w:rFonts w:hint="eastAsia" w:ascii="宋体" w:hAnsi="宋体" w:cs="宋体"/>
          <w:color w:val="auto"/>
          <w:szCs w:val="21"/>
          <w:highlight w:val="none"/>
        </w:rPr>
        <w:t>一、“保密资料”包括：</w:t>
      </w:r>
    </w:p>
    <w:p w14:paraId="5960186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（一）甲方向乙方披露或将要披露的与本项目相关的所有商业秘密、技术秘密以及其他甲方尚未公开的资料。</w:t>
      </w:r>
    </w:p>
    <w:p w14:paraId="71F3F34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（二）乙方在项目中形成的任何分析、编辑、研究、咨询成果或其他文件资料。</w:t>
      </w:r>
    </w:p>
    <w:p w14:paraId="2BC1C51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以上资料包括书面的、口头的、图形的、电磁的或其它任何形式的资料，包括但不限于数据、模型、样品、草案、技术、方法、仪器设备和其它资料。</w:t>
      </w:r>
    </w:p>
    <w:p w14:paraId="10FB08B0">
      <w:pPr>
        <w:adjustRightInd w:val="0"/>
        <w:snapToGrid w:val="0"/>
        <w:spacing w:line="360" w:lineRule="auto"/>
        <w:outlineLvl w:val="0"/>
        <w:rPr>
          <w:rFonts w:ascii="宋体" w:hAnsi="宋体" w:cs="宋体"/>
          <w:color w:val="auto"/>
          <w:szCs w:val="21"/>
          <w:highlight w:val="none"/>
        </w:rPr>
      </w:pPr>
      <w:r>
        <w:rPr>
          <w:rFonts w:hint="eastAsia" w:ascii="宋体" w:hAnsi="宋体" w:cs="宋体"/>
          <w:color w:val="auto"/>
          <w:szCs w:val="21"/>
          <w:highlight w:val="none"/>
        </w:rPr>
        <w:t>二、xx工程检测监测项目项目定义：</w:t>
      </w:r>
    </w:p>
    <w:p w14:paraId="640711F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专指甲乙双方与</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年</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月</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日</w:t>
      </w:r>
      <w:r>
        <w:rPr>
          <w:rFonts w:hint="eastAsia" w:ascii="宋体" w:hAnsi="宋体" w:cs="宋体"/>
          <w:color w:val="auto"/>
          <w:szCs w:val="21"/>
          <w:highlight w:val="none"/>
        </w:rPr>
        <w:t>签订的xx工程检测监测项目项目合同。</w:t>
      </w:r>
    </w:p>
    <w:p w14:paraId="045DFC99">
      <w:pPr>
        <w:adjustRightInd w:val="0"/>
        <w:snapToGrid w:val="0"/>
        <w:spacing w:line="360" w:lineRule="auto"/>
        <w:outlineLvl w:val="0"/>
        <w:rPr>
          <w:rFonts w:ascii="宋体" w:hAnsi="宋体" w:cs="宋体"/>
          <w:color w:val="auto"/>
          <w:szCs w:val="21"/>
          <w:highlight w:val="none"/>
        </w:rPr>
      </w:pPr>
      <w:r>
        <w:rPr>
          <w:rFonts w:hint="eastAsia" w:ascii="宋体" w:hAnsi="宋体" w:cs="宋体"/>
          <w:color w:val="auto"/>
          <w:szCs w:val="21"/>
          <w:highlight w:val="none"/>
        </w:rPr>
        <w:t>三、保密义务：</w:t>
      </w:r>
    </w:p>
    <w:p w14:paraId="45DDFD8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保证遵守国家法律和国家有关部门制定的保密法规，严格控制甲方所披露的保密资料，保护的程度不能低于乙方保护自己的保密资料。无论如何，乙方对该保密资料的保护程度不能低于一个管理良好的技术企业保护自己的保密资料的保护程度；</w:t>
      </w:r>
    </w:p>
    <w:p w14:paraId="6BA3C16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2.乙方保证采取所有必要的方法对甲方提供的保密资料进行保密，包括但不限于执行和坚持适当的作业程序来避免非授权透露、使用或复制保密资料；</w:t>
      </w:r>
    </w:p>
    <w:p w14:paraId="3FA2504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3.乙方保证在任何情况下，除依照法律强制性的要求外，不向任何第三方透露或披露甲方的保密资料以及本协议的存在或本协议的任何内容；</w:t>
      </w:r>
    </w:p>
    <w:p w14:paraId="4CA9714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 如果乙方基于法律、法规、判决、裁定（包括按照传票、法院或政府处理程序）的要求而必需披露相关的保密资料，乙方应当事先尽快通知甲方，同时，乙方应当尽最大的努力帮助甲方有效地防止或限制该保密资料的传播。</w:t>
      </w:r>
    </w:p>
    <w:p w14:paraId="4F04FE7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 乙方不得有损害甲方利益的其他泄密和使用行为。</w:t>
      </w:r>
    </w:p>
    <w:p w14:paraId="31DFA347">
      <w:pPr>
        <w:adjustRightInd w:val="0"/>
        <w:snapToGrid w:val="0"/>
        <w:spacing w:line="360" w:lineRule="auto"/>
        <w:outlineLvl w:val="0"/>
        <w:rPr>
          <w:rFonts w:ascii="宋体" w:hAnsi="宋体" w:cs="宋体"/>
          <w:color w:val="auto"/>
          <w:szCs w:val="21"/>
          <w:highlight w:val="none"/>
        </w:rPr>
      </w:pPr>
      <w:r>
        <w:rPr>
          <w:rFonts w:hint="eastAsia" w:ascii="宋体" w:hAnsi="宋体" w:cs="宋体"/>
          <w:color w:val="auto"/>
          <w:szCs w:val="21"/>
          <w:highlight w:val="none"/>
        </w:rPr>
        <w:t>四、保密资料的使用方式和不使用义务：</w:t>
      </w:r>
    </w:p>
    <w:p w14:paraId="6AFA0E1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1.乙方只能为完成本项目而使用保密资料；</w:t>
      </w:r>
    </w:p>
    <w:p w14:paraId="2103540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2.除乙方为完成本项目需要时而将保密资料披露给必需直接参与本项工作、必需知晓保密资料的职员之外，乙方不能将保密资料透露给其它任何人；</w:t>
      </w:r>
    </w:p>
    <w:p w14:paraId="1A5FB14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3.乙方不能将此保密资料的全部或部分进行复制或仿造；</w:t>
      </w:r>
    </w:p>
    <w:p w14:paraId="176D7DD2">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4.乙方应当告知并以适当方式要求其参与本项工作之雇员遵守本协议规定，若参与本项工作之雇员（包括已离职员工）违反本协议规定，乙方应承担连带责任。</w:t>
      </w:r>
    </w:p>
    <w:p w14:paraId="69B56D94">
      <w:pPr>
        <w:adjustRightInd w:val="0"/>
        <w:snapToGrid w:val="0"/>
        <w:spacing w:line="360" w:lineRule="auto"/>
        <w:outlineLvl w:val="0"/>
        <w:rPr>
          <w:rFonts w:ascii="宋体" w:hAnsi="宋体" w:cs="宋体"/>
          <w:color w:val="auto"/>
          <w:szCs w:val="21"/>
          <w:highlight w:val="none"/>
        </w:rPr>
      </w:pPr>
      <w:r>
        <w:rPr>
          <w:rFonts w:hint="eastAsia" w:ascii="宋体" w:hAnsi="宋体" w:cs="宋体"/>
          <w:color w:val="auto"/>
          <w:szCs w:val="21"/>
          <w:highlight w:val="none"/>
        </w:rPr>
        <w:t>五、保密资料的交回：</w:t>
      </w:r>
    </w:p>
    <w:p w14:paraId="37BB8D2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1.当甲方以书面形式要求乙方交回保密资料时，乙方应当立即交回所有书面的或其他有形的保密资料以及所有描述和概括该保密资料的文件；</w:t>
      </w:r>
    </w:p>
    <w:p w14:paraId="1635FED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2.没有甲方的书面许可，乙方不得丢弃和处理任何书面的或其他有形的保密资料。</w:t>
      </w:r>
    </w:p>
    <w:p w14:paraId="229F16B6">
      <w:pPr>
        <w:adjustRightInd w:val="0"/>
        <w:snapToGrid w:val="0"/>
        <w:spacing w:line="360" w:lineRule="auto"/>
        <w:outlineLvl w:val="0"/>
        <w:rPr>
          <w:rFonts w:ascii="宋体" w:hAnsi="宋体" w:cs="宋体"/>
          <w:color w:val="auto"/>
          <w:szCs w:val="21"/>
          <w:highlight w:val="none"/>
        </w:rPr>
      </w:pPr>
      <w:r>
        <w:rPr>
          <w:rFonts w:hint="eastAsia" w:ascii="宋体" w:hAnsi="宋体" w:cs="宋体"/>
          <w:color w:val="auto"/>
          <w:szCs w:val="21"/>
          <w:highlight w:val="none"/>
        </w:rPr>
        <w:t>六、知识产权：</w:t>
      </w:r>
    </w:p>
    <w:p w14:paraId="233A7D0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除非甲方明确地授权，乙方不能认为甲方授予其包含该保密资料的任何专利权、专利申请权、商标权、著作权、商业秘密或其它的知识产权。</w:t>
      </w:r>
    </w:p>
    <w:p w14:paraId="750911B9">
      <w:pPr>
        <w:adjustRightInd w:val="0"/>
        <w:snapToGrid w:val="0"/>
        <w:spacing w:line="360" w:lineRule="auto"/>
        <w:outlineLvl w:val="0"/>
        <w:rPr>
          <w:rFonts w:ascii="宋体" w:hAnsi="宋体" w:cs="宋体"/>
          <w:color w:val="auto"/>
          <w:szCs w:val="21"/>
          <w:highlight w:val="none"/>
        </w:rPr>
      </w:pPr>
      <w:r>
        <w:rPr>
          <w:rFonts w:hint="eastAsia" w:ascii="宋体" w:hAnsi="宋体" w:cs="宋体"/>
          <w:color w:val="auto"/>
          <w:szCs w:val="21"/>
          <w:highlight w:val="none"/>
        </w:rPr>
        <w:t>七、违约救济：如果发生乙方违约，双方同意依如下条款处理：</w:t>
      </w:r>
    </w:p>
    <w:p w14:paraId="6BA1EE9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1.乙方应当尽最大的努力帮助甲方有效地防止或限制该保密资料的传播或按照甲方的指示采取有效的方法对该保密资料进行保密，所需费用由乙方承担；</w:t>
      </w:r>
    </w:p>
    <w:p w14:paraId="2084973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2.乙方应当赔偿甲方的所有损失，包括但不限于法院诉讼的费用、合理的律师酬金和费用、所有损失或损害等等。</w:t>
      </w:r>
    </w:p>
    <w:p w14:paraId="21C17F3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同时，乙方按项目合同费用总金额的15%向甲方支付违约金。</w:t>
      </w:r>
    </w:p>
    <w:p w14:paraId="0D6744DC">
      <w:pPr>
        <w:adjustRightInd w:val="0"/>
        <w:snapToGrid w:val="0"/>
        <w:spacing w:line="360" w:lineRule="auto"/>
        <w:outlineLvl w:val="0"/>
        <w:rPr>
          <w:rFonts w:ascii="宋体" w:hAnsi="宋体" w:cs="宋体"/>
          <w:color w:val="auto"/>
          <w:szCs w:val="21"/>
          <w:highlight w:val="none"/>
        </w:rPr>
      </w:pPr>
      <w:r>
        <w:rPr>
          <w:rFonts w:hint="eastAsia" w:ascii="宋体" w:hAnsi="宋体" w:cs="宋体"/>
          <w:color w:val="auto"/>
          <w:szCs w:val="21"/>
          <w:highlight w:val="none"/>
        </w:rPr>
        <w:t>八、适用法律：</w:t>
      </w:r>
    </w:p>
    <w:p w14:paraId="176FD94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本协议适用中华人民共和国法律，并在所有方面依其进行解释。</w:t>
      </w:r>
    </w:p>
    <w:p w14:paraId="5A4E6212">
      <w:pPr>
        <w:adjustRightInd w:val="0"/>
        <w:snapToGrid w:val="0"/>
        <w:spacing w:line="360" w:lineRule="auto"/>
        <w:outlineLvl w:val="0"/>
        <w:rPr>
          <w:rFonts w:ascii="宋体" w:hAnsi="宋体" w:cs="宋体"/>
          <w:color w:val="auto"/>
          <w:szCs w:val="21"/>
          <w:highlight w:val="none"/>
        </w:rPr>
      </w:pPr>
      <w:r>
        <w:rPr>
          <w:rFonts w:hint="eastAsia" w:ascii="宋体" w:hAnsi="宋体" w:cs="宋体"/>
          <w:color w:val="auto"/>
          <w:szCs w:val="21"/>
          <w:highlight w:val="none"/>
        </w:rPr>
        <w:t>九、争议和裁决</w:t>
      </w:r>
    </w:p>
    <w:p w14:paraId="58A26C06">
      <w:pPr>
        <w:autoSpaceDE w:val="0"/>
        <w:autoSpaceDN w:val="0"/>
        <w:adjustRightInd w:val="0"/>
        <w:spacing w:line="360" w:lineRule="auto"/>
        <w:ind w:firstLine="540"/>
        <w:rPr>
          <w:rFonts w:ascii="宋体" w:hAnsi="宋体" w:cs="宋体"/>
          <w:color w:val="auto"/>
          <w:szCs w:val="21"/>
          <w:highlight w:val="none"/>
        </w:rPr>
      </w:pPr>
      <w:r>
        <w:rPr>
          <w:rFonts w:hint="eastAsia" w:ascii="宋体" w:hAnsi="宋体" w:cs="宋体"/>
          <w:color w:val="auto"/>
          <w:szCs w:val="21"/>
          <w:highlight w:val="none"/>
        </w:rPr>
        <w:t>双方约定，凡因执行本合同所发生的与本合同有关的一切争议，当和解或调解不成时，选择下列第</w:t>
      </w:r>
      <w:r>
        <w:rPr>
          <w:rFonts w:hint="eastAsia" w:ascii="宋体" w:hAnsi="宋体" w:cs="宋体"/>
          <w:color w:val="auto"/>
          <w:szCs w:val="21"/>
          <w:highlight w:val="none"/>
          <w:u w:val="single"/>
        </w:rPr>
        <w:t>（2）</w:t>
      </w:r>
      <w:r>
        <w:rPr>
          <w:rFonts w:hint="eastAsia" w:ascii="宋体" w:hAnsi="宋体" w:cs="宋体"/>
          <w:color w:val="auto"/>
          <w:szCs w:val="21"/>
          <w:highlight w:val="none"/>
        </w:rPr>
        <w:t>种方式解决：</w:t>
      </w:r>
    </w:p>
    <w:p w14:paraId="7C1333F0">
      <w:pPr>
        <w:autoSpaceDE w:val="0"/>
        <w:autoSpaceDN w:val="0"/>
        <w:adjustRightInd w:val="0"/>
        <w:spacing w:line="360" w:lineRule="auto"/>
        <w:ind w:firstLine="540"/>
        <w:rPr>
          <w:rFonts w:ascii="宋体" w:hAnsi="宋体" w:cs="宋体"/>
          <w:color w:val="auto"/>
          <w:szCs w:val="21"/>
          <w:highlight w:val="none"/>
        </w:rPr>
      </w:pPr>
      <w:r>
        <w:rPr>
          <w:rFonts w:hint="eastAsia" w:ascii="宋体" w:hAnsi="宋体" w:cs="宋体"/>
          <w:color w:val="auto"/>
          <w:szCs w:val="21"/>
          <w:highlight w:val="none"/>
        </w:rPr>
        <w:t xml:space="preserve">（1）将争议提交 </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u w:val="single"/>
        </w:rPr>
        <w:t xml:space="preserve"> 广州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仲裁委员会仲裁；</w:t>
      </w:r>
    </w:p>
    <w:p w14:paraId="4B758FB7">
      <w:pPr>
        <w:autoSpaceDE w:val="0"/>
        <w:autoSpaceDN w:val="0"/>
        <w:adjustRightInd w:val="0"/>
        <w:spacing w:line="360" w:lineRule="auto"/>
        <w:ind w:firstLine="540"/>
        <w:rPr>
          <w:rFonts w:ascii="宋体" w:hAnsi="宋体" w:cs="宋体"/>
          <w:color w:val="auto"/>
          <w:szCs w:val="21"/>
          <w:highlight w:val="none"/>
          <w:u w:val="single"/>
        </w:rPr>
      </w:pPr>
      <w:r>
        <w:rPr>
          <w:rFonts w:hint="eastAsia" w:ascii="宋体" w:hAnsi="宋体" w:cs="宋体"/>
          <w:color w:val="auto"/>
          <w:szCs w:val="21"/>
          <w:highlight w:val="none"/>
        </w:rPr>
        <w:t>（2）依法向当地</w:t>
      </w:r>
      <w:r>
        <w:rPr>
          <w:rFonts w:hint="eastAsia" w:ascii="宋体" w:hAnsi="宋体" w:cs="宋体"/>
          <w:color w:val="auto"/>
          <w:szCs w:val="21"/>
          <w:highlight w:val="none"/>
          <w:u w:val="single"/>
        </w:rPr>
        <w:t xml:space="preserve">  </w:t>
      </w:r>
      <w:r>
        <w:rPr>
          <w:rFonts w:hint="eastAsia"/>
          <w:b/>
          <w:color w:val="auto"/>
          <w:highlight w:val="none"/>
          <w:u w:val="single"/>
        </w:rPr>
        <w:t>甲方所在地有管辖权的</w:t>
      </w:r>
      <w:r>
        <w:rPr>
          <w:rFonts w:hint="eastAsia" w:ascii="宋体" w:hAnsi="宋体" w:cs="宋体"/>
          <w:b/>
          <w:color w:val="auto"/>
          <w:szCs w:val="21"/>
          <w:highlight w:val="none"/>
          <w:u w:val="single"/>
        </w:rPr>
        <w:t xml:space="preserve">法院   </w:t>
      </w:r>
      <w:r>
        <w:rPr>
          <w:rFonts w:hint="eastAsia" w:ascii="宋体" w:hAnsi="宋体" w:cs="宋体"/>
          <w:color w:val="auto"/>
          <w:szCs w:val="21"/>
          <w:highlight w:val="none"/>
        </w:rPr>
        <w:t>提起诉讼。</w:t>
      </w:r>
    </w:p>
    <w:p w14:paraId="77CA290B">
      <w:pPr>
        <w:adjustRightInd w:val="0"/>
        <w:snapToGrid w:val="0"/>
        <w:spacing w:line="360" w:lineRule="auto"/>
        <w:outlineLvl w:val="0"/>
        <w:rPr>
          <w:rFonts w:ascii="宋体" w:hAnsi="宋体" w:cs="宋体"/>
          <w:color w:val="auto"/>
          <w:szCs w:val="21"/>
          <w:highlight w:val="none"/>
        </w:rPr>
      </w:pPr>
      <w:r>
        <w:rPr>
          <w:rFonts w:hint="eastAsia" w:ascii="宋体" w:hAnsi="宋体" w:cs="宋体"/>
          <w:color w:val="auto"/>
          <w:szCs w:val="21"/>
          <w:highlight w:val="none"/>
        </w:rPr>
        <w:t>十、协议的生效：</w:t>
      </w:r>
    </w:p>
    <w:p w14:paraId="52EACAFA">
      <w:pPr>
        <w:adjustRightInd w:val="0"/>
        <w:snapToGrid w:val="0"/>
        <w:spacing w:line="360" w:lineRule="auto"/>
        <w:ind w:firstLine="420" w:firstLineChars="200"/>
        <w:rPr>
          <w:rFonts w:ascii="宋体" w:hAnsi="宋体" w:cs="宋体"/>
          <w:color w:val="auto"/>
          <w:szCs w:val="21"/>
          <w:highlight w:val="none"/>
        </w:rPr>
      </w:pPr>
      <w:r>
        <w:rPr>
          <w:rFonts w:hint="eastAsia" w:hAnsi="宋体" w:cs="宋体"/>
          <w:color w:val="auto"/>
          <w:szCs w:val="21"/>
          <w:highlight w:val="none"/>
          <w:lang w:val="zh-CN"/>
        </w:rPr>
        <w:t>本协议一式</w:t>
      </w:r>
      <w:r>
        <w:rPr>
          <w:rFonts w:hint="eastAsia" w:hAnsi="宋体" w:cs="宋体"/>
          <w:color w:val="auto"/>
          <w:szCs w:val="21"/>
          <w:highlight w:val="none"/>
          <w:u w:val="single"/>
        </w:rPr>
        <w:t xml:space="preserve"> </w:t>
      </w:r>
      <w:r>
        <w:rPr>
          <w:rFonts w:hint="eastAsia" w:hAnsi="宋体" w:cs="宋体"/>
          <w:color w:val="auto"/>
          <w:szCs w:val="21"/>
          <w:highlight w:val="none"/>
          <w:u w:val="single"/>
          <w:lang w:val="zh-CN"/>
        </w:rPr>
        <w:t xml:space="preserve">  </w:t>
      </w:r>
      <w:r>
        <w:rPr>
          <w:rFonts w:hint="eastAsia" w:hAnsi="宋体" w:cs="宋体"/>
          <w:color w:val="auto"/>
          <w:szCs w:val="21"/>
          <w:highlight w:val="none"/>
          <w:u w:val="single"/>
        </w:rPr>
        <w:t xml:space="preserve"> </w:t>
      </w:r>
      <w:r>
        <w:rPr>
          <w:rFonts w:hint="eastAsia" w:hAnsi="宋体" w:cs="宋体"/>
          <w:color w:val="auto"/>
          <w:szCs w:val="21"/>
          <w:highlight w:val="none"/>
          <w:lang w:val="zh-CN"/>
        </w:rPr>
        <w:t>份，其中甲方、乙方各</w:t>
      </w:r>
      <w:r>
        <w:rPr>
          <w:rFonts w:hint="eastAsia" w:hAnsi="宋体" w:cs="宋体"/>
          <w:color w:val="auto"/>
          <w:szCs w:val="21"/>
          <w:highlight w:val="none"/>
          <w:u w:val="single"/>
        </w:rPr>
        <w:t xml:space="preserve">    </w:t>
      </w:r>
      <w:r>
        <w:rPr>
          <w:rFonts w:hint="eastAsia" w:hAnsi="宋体" w:cs="宋体"/>
          <w:color w:val="auto"/>
          <w:szCs w:val="21"/>
          <w:highlight w:val="none"/>
          <w:lang w:val="zh-CN"/>
        </w:rPr>
        <w:t>份。</w:t>
      </w:r>
      <w:r>
        <w:rPr>
          <w:rFonts w:hint="eastAsia" w:ascii="宋体" w:hAnsi="宋体" w:cs="宋体"/>
          <w:color w:val="auto"/>
          <w:szCs w:val="21"/>
          <w:highlight w:val="none"/>
        </w:rPr>
        <w:t>正副本具同等法律效力。</w:t>
      </w:r>
    </w:p>
    <w:p w14:paraId="0DE05FA9">
      <w:pPr>
        <w:pStyle w:val="2"/>
        <w:rPr>
          <w:rFonts w:ascii="宋体" w:hAnsi="宋体" w:cs="宋体"/>
          <w:color w:val="auto"/>
          <w:szCs w:val="21"/>
          <w:highlight w:val="none"/>
        </w:rPr>
      </w:pPr>
    </w:p>
    <w:p w14:paraId="0833B71E">
      <w:pPr>
        <w:pStyle w:val="2"/>
        <w:rPr>
          <w:rFonts w:ascii="宋体" w:hAnsi="宋体" w:cs="宋体"/>
          <w:color w:val="auto"/>
          <w:szCs w:val="21"/>
          <w:highlight w:val="none"/>
        </w:rPr>
      </w:pPr>
    </w:p>
    <w:p w14:paraId="7320B765">
      <w:pPr>
        <w:pStyle w:val="2"/>
        <w:rPr>
          <w:rFonts w:ascii="宋体" w:hAnsi="宋体" w:cs="宋体"/>
          <w:color w:val="auto"/>
          <w:szCs w:val="21"/>
          <w:highlight w:val="none"/>
        </w:rPr>
      </w:pPr>
    </w:p>
    <w:p w14:paraId="4672037E">
      <w:pPr>
        <w:pStyle w:val="2"/>
        <w:rPr>
          <w:rFonts w:ascii="宋体" w:hAnsi="宋体" w:cs="宋体"/>
          <w:color w:val="auto"/>
          <w:szCs w:val="21"/>
          <w:highlight w:val="none"/>
        </w:rPr>
      </w:pPr>
    </w:p>
    <w:p w14:paraId="5DC1BCB2">
      <w:pPr>
        <w:pStyle w:val="2"/>
        <w:rPr>
          <w:rFonts w:ascii="宋体" w:hAnsi="宋体" w:cs="宋体"/>
          <w:color w:val="auto"/>
          <w:szCs w:val="21"/>
          <w:highlight w:val="none"/>
        </w:rPr>
      </w:pPr>
    </w:p>
    <w:p w14:paraId="6BC20015">
      <w:pPr>
        <w:pStyle w:val="2"/>
        <w:rPr>
          <w:rFonts w:ascii="宋体" w:hAnsi="宋体" w:cs="宋体"/>
          <w:color w:val="auto"/>
          <w:szCs w:val="21"/>
          <w:highlight w:val="none"/>
        </w:rPr>
      </w:pPr>
    </w:p>
    <w:p w14:paraId="62C3446B">
      <w:pPr>
        <w:pStyle w:val="2"/>
        <w:rPr>
          <w:rFonts w:ascii="宋体" w:hAnsi="宋体" w:cs="宋体"/>
          <w:color w:val="auto"/>
          <w:szCs w:val="21"/>
          <w:highlight w:val="none"/>
        </w:rPr>
      </w:pPr>
    </w:p>
    <w:p w14:paraId="2692307D">
      <w:pPr>
        <w:pStyle w:val="2"/>
        <w:rPr>
          <w:rFonts w:ascii="宋体" w:hAnsi="宋体" w:cs="宋体"/>
          <w:color w:val="auto"/>
          <w:szCs w:val="21"/>
          <w:highlight w:val="none"/>
        </w:rPr>
      </w:pPr>
    </w:p>
    <w:p w14:paraId="2B416EAC">
      <w:pPr>
        <w:pStyle w:val="2"/>
        <w:rPr>
          <w:rFonts w:ascii="宋体" w:hAnsi="宋体" w:cs="宋体"/>
          <w:color w:val="auto"/>
          <w:szCs w:val="21"/>
          <w:highlight w:val="none"/>
        </w:rPr>
      </w:pPr>
    </w:p>
    <w:p w14:paraId="659B8935">
      <w:pPr>
        <w:pStyle w:val="2"/>
        <w:rPr>
          <w:rFonts w:ascii="宋体" w:hAnsi="宋体" w:cs="宋体"/>
          <w:color w:val="auto"/>
          <w:szCs w:val="21"/>
          <w:highlight w:val="none"/>
        </w:rPr>
      </w:pPr>
    </w:p>
    <w:p w14:paraId="4363776B">
      <w:pPr>
        <w:pStyle w:val="2"/>
        <w:rPr>
          <w:rFonts w:ascii="宋体" w:hAnsi="宋体" w:cs="宋体"/>
          <w:color w:val="auto"/>
          <w:szCs w:val="21"/>
          <w:highlight w:val="none"/>
        </w:rPr>
      </w:pPr>
    </w:p>
    <w:p w14:paraId="3A32938C">
      <w:pPr>
        <w:pStyle w:val="2"/>
        <w:rPr>
          <w:rFonts w:ascii="宋体" w:hAnsi="宋体" w:cs="宋体"/>
          <w:color w:val="auto"/>
          <w:szCs w:val="21"/>
          <w:highlight w:val="none"/>
        </w:rPr>
      </w:pPr>
    </w:p>
    <w:p w14:paraId="34327298">
      <w:pPr>
        <w:pStyle w:val="2"/>
        <w:rPr>
          <w:rFonts w:ascii="宋体" w:hAnsi="宋体" w:cs="宋体"/>
          <w:color w:val="auto"/>
          <w:szCs w:val="21"/>
          <w:highlight w:val="none"/>
        </w:rPr>
      </w:pPr>
    </w:p>
    <w:p w14:paraId="3EFF62FC">
      <w:pPr>
        <w:pStyle w:val="2"/>
        <w:rPr>
          <w:rFonts w:ascii="宋体" w:hAnsi="宋体" w:cs="宋体"/>
          <w:color w:val="auto"/>
          <w:szCs w:val="21"/>
          <w:highlight w:val="none"/>
        </w:rPr>
      </w:pPr>
    </w:p>
    <w:p w14:paraId="56D0EED5">
      <w:pPr>
        <w:pStyle w:val="2"/>
        <w:rPr>
          <w:rFonts w:ascii="宋体" w:hAnsi="宋体" w:cs="宋体"/>
          <w:color w:val="auto"/>
          <w:szCs w:val="21"/>
          <w:highlight w:val="none"/>
        </w:rPr>
      </w:pPr>
    </w:p>
    <w:p w14:paraId="12B49245">
      <w:pPr>
        <w:adjustRightInd w:val="0"/>
        <w:snapToGrid w:val="0"/>
        <w:spacing w:line="360" w:lineRule="auto"/>
        <w:ind w:left="-178" w:leftChars="-85" w:right="-178" w:rightChars="-85" w:firstLine="420" w:firstLineChars="200"/>
        <w:rPr>
          <w:rFonts w:ascii="宋体" w:hAnsi="宋体" w:cs="宋体"/>
          <w:color w:val="auto"/>
          <w:szCs w:val="21"/>
          <w:highlight w:val="none"/>
        </w:rPr>
      </w:pPr>
      <w:r>
        <w:rPr>
          <w:rFonts w:hint="eastAsia" w:ascii="宋体" w:hAnsi="宋体" w:cs="宋体"/>
          <w:color w:val="auto"/>
          <w:szCs w:val="21"/>
          <w:highlight w:val="none"/>
        </w:rPr>
        <w:t>甲方（甲方盖章）：                      乙方（乙方盖章）：</w:t>
      </w:r>
    </w:p>
    <w:p w14:paraId="7DA55C3E">
      <w:pPr>
        <w:tabs>
          <w:tab w:val="left" w:pos="426"/>
        </w:tabs>
        <w:adjustRightInd w:val="0"/>
        <w:snapToGrid w:val="0"/>
        <w:spacing w:line="360" w:lineRule="auto"/>
        <w:ind w:left="-178" w:leftChars="-85" w:right="-178" w:rightChars="-85" w:firstLine="422" w:firstLineChars="200"/>
        <w:rPr>
          <w:rFonts w:ascii="宋体" w:hAnsi="宋体" w:cs="宋体"/>
          <w:color w:val="auto"/>
          <w:szCs w:val="21"/>
          <w:highlight w:val="none"/>
        </w:rPr>
      </w:pPr>
      <w:r>
        <w:rPr>
          <w:rFonts w:hint="eastAsia" w:ascii="宋体" w:cs="宋体"/>
          <w:b/>
          <w:color w:val="auto"/>
          <w:szCs w:val="21"/>
          <w:highlight w:val="none"/>
          <w:u w:val="single"/>
        </w:rPr>
        <w:t>广州市番禺区基本建设投资管理中心</w:t>
      </w:r>
      <w:r>
        <w:rPr>
          <w:rFonts w:hint="eastAsia" w:ascii="宋体" w:hAnsi="宋体" w:cs="宋体"/>
          <w:color w:val="auto"/>
          <w:szCs w:val="21"/>
          <w:highlight w:val="none"/>
        </w:rPr>
        <w:t xml:space="preserve">      </w:t>
      </w:r>
      <w:r>
        <w:rPr>
          <w:rFonts w:hint="eastAsia" w:ascii="宋体" w:hAnsi="宋体" w:cs="宋体"/>
          <w:b/>
          <w:color w:val="auto"/>
          <w:szCs w:val="21"/>
          <w:highlight w:val="none"/>
        </w:rPr>
        <w:t xml:space="preserve">               </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 xml:space="preserve"> </w:t>
      </w:r>
      <w:r>
        <w:rPr>
          <w:rFonts w:hint="eastAsia" w:ascii="宋体" w:hAnsi="宋体" w:cs="宋体"/>
          <w:color w:val="auto"/>
          <w:szCs w:val="21"/>
          <w:highlight w:val="none"/>
        </w:rPr>
        <w:t xml:space="preserve">                                    </w:t>
      </w:r>
    </w:p>
    <w:p w14:paraId="3B7A1210">
      <w:pPr>
        <w:adjustRightInd w:val="0"/>
        <w:snapToGrid w:val="0"/>
        <w:spacing w:before="120" w:beforeLines="50" w:after="120" w:afterLines="50" w:line="360" w:lineRule="auto"/>
        <w:ind w:left="-178" w:leftChars="-85" w:right="-178" w:rightChars="-85" w:firstLine="420" w:firstLineChars="200"/>
        <w:rPr>
          <w:rFonts w:ascii="宋体" w:hAnsi="宋体" w:cs="宋体"/>
          <w:color w:val="auto"/>
          <w:szCs w:val="21"/>
          <w:highlight w:val="none"/>
        </w:rPr>
      </w:pPr>
      <w:r>
        <w:rPr>
          <w:rFonts w:hint="eastAsia" w:ascii="宋体" w:hAnsi="宋体" w:cs="宋体"/>
          <w:color w:val="auto"/>
          <w:szCs w:val="21"/>
          <w:highlight w:val="none"/>
        </w:rPr>
        <w:t>法定代表人：                              法定代表人：</w:t>
      </w:r>
    </w:p>
    <w:p w14:paraId="642971CA">
      <w:pPr>
        <w:adjustRightInd w:val="0"/>
        <w:snapToGrid w:val="0"/>
        <w:spacing w:before="120" w:beforeLines="50" w:after="120" w:afterLines="50" w:line="360" w:lineRule="auto"/>
        <w:ind w:left="-178" w:leftChars="-85" w:right="-178" w:rightChars="-85" w:firstLine="420" w:firstLineChars="200"/>
        <w:rPr>
          <w:rFonts w:ascii="宋体" w:hAnsi="宋体" w:cs="宋体"/>
          <w:color w:val="auto"/>
          <w:szCs w:val="21"/>
          <w:highlight w:val="none"/>
        </w:rPr>
      </w:pPr>
      <w:r>
        <w:rPr>
          <w:rFonts w:hint="eastAsia" w:ascii="宋体" w:hAnsi="宋体" w:cs="宋体"/>
          <w:color w:val="auto"/>
          <w:szCs w:val="21"/>
          <w:highlight w:val="none"/>
        </w:rPr>
        <w:t>或签约代表人：                            或签约代表人：</w:t>
      </w:r>
    </w:p>
    <w:p w14:paraId="5E0E225E">
      <w:pPr>
        <w:adjustRightInd w:val="0"/>
        <w:snapToGrid w:val="0"/>
        <w:spacing w:line="360" w:lineRule="auto"/>
        <w:ind w:left="-178" w:leftChars="-85" w:right="-178" w:rightChars="-85"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地址：                                    地址：   </w:t>
      </w:r>
    </w:p>
    <w:p w14:paraId="5ED776C9">
      <w:pPr>
        <w:shd w:val="clear" w:color="auto" w:fill="FFFFFF"/>
        <w:adjustRightIn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签订日期：202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   月    日               签订日期：202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 年   月    日</w:t>
      </w:r>
    </w:p>
    <w:p w14:paraId="792BDE63">
      <w:pPr>
        <w:spacing w:line="360" w:lineRule="auto"/>
        <w:rPr>
          <w:rFonts w:ascii="仿宋_GB2312" w:cs="仿宋_GB2312"/>
          <w:color w:val="auto"/>
          <w:sz w:val="24"/>
          <w:highlight w:val="none"/>
        </w:rPr>
      </w:pPr>
      <w:r>
        <w:rPr>
          <w:rFonts w:hint="eastAsia" w:ascii="宋体" w:hAnsi="宋体" w:cs="宋体"/>
          <w:color w:val="auto"/>
          <w:szCs w:val="21"/>
          <w:highlight w:val="none"/>
          <w:lang w:val="zh-CN"/>
        </w:rPr>
        <w:t>签订地点： 广州市番禺区</w:t>
      </w:r>
    </w:p>
    <w:p w14:paraId="3418DABE">
      <w:pPr>
        <w:spacing w:line="360" w:lineRule="auto"/>
        <w:rPr>
          <w:rFonts w:ascii="仿宋_GB2312" w:cs="仿宋_GB2312"/>
          <w:color w:val="auto"/>
          <w:sz w:val="24"/>
          <w:highlight w:val="none"/>
        </w:rPr>
      </w:pPr>
    </w:p>
    <w:p w14:paraId="0FF909F2">
      <w:pPr>
        <w:spacing w:line="360" w:lineRule="auto"/>
        <w:rPr>
          <w:rFonts w:ascii="仿宋_GB2312" w:cs="仿宋_GB2312"/>
          <w:color w:val="auto"/>
          <w:sz w:val="24"/>
          <w:highlight w:val="none"/>
        </w:rPr>
      </w:pPr>
    </w:p>
    <w:p w14:paraId="1073BB25">
      <w:pPr>
        <w:spacing w:line="360" w:lineRule="auto"/>
        <w:rPr>
          <w:rFonts w:ascii="仿宋_GB2312" w:cs="仿宋_GB2312"/>
          <w:color w:val="auto"/>
          <w:sz w:val="24"/>
          <w:highlight w:val="none"/>
        </w:rPr>
      </w:pPr>
    </w:p>
    <w:p w14:paraId="14045027">
      <w:pPr>
        <w:spacing w:line="360" w:lineRule="auto"/>
        <w:rPr>
          <w:rFonts w:ascii="仿宋_GB2312" w:cs="仿宋_GB2312"/>
          <w:color w:val="auto"/>
          <w:sz w:val="24"/>
          <w:highlight w:val="none"/>
        </w:rPr>
      </w:pPr>
    </w:p>
    <w:p w14:paraId="5E01421F">
      <w:pPr>
        <w:pStyle w:val="3"/>
        <w:spacing w:before="0" w:line="500" w:lineRule="exact"/>
        <w:rPr>
          <w:rFonts w:ascii="宋体" w:hAnsi="宋体" w:eastAsia="宋体" w:cs="宋体"/>
          <w:bCs w:val="0"/>
          <w:color w:val="auto"/>
          <w:kern w:val="2"/>
          <w:sz w:val="21"/>
          <w:szCs w:val="21"/>
          <w:highlight w:val="none"/>
        </w:rPr>
      </w:pPr>
      <w:r>
        <w:rPr>
          <w:rFonts w:hint="eastAsia" w:ascii="仿宋_GB2312" w:cs="仿宋_GB2312"/>
          <w:color w:val="auto"/>
          <w:highlight w:val="none"/>
        </w:rPr>
        <w:br w:type="page"/>
      </w:r>
      <w:r>
        <w:rPr>
          <w:rFonts w:hint="eastAsia" w:ascii="仿宋_GB2312" w:cs="仿宋_GB2312"/>
          <w:color w:val="auto"/>
          <w:highlight w:val="none"/>
        </w:rPr>
        <w:t>附件三</w:t>
      </w:r>
      <w:r>
        <w:rPr>
          <w:rFonts w:hint="eastAsia" w:ascii="宋体" w:hAnsi="宋体" w:eastAsia="宋体" w:cs="宋体"/>
          <w:bCs w:val="0"/>
          <w:color w:val="auto"/>
          <w:kern w:val="2"/>
          <w:sz w:val="21"/>
          <w:szCs w:val="21"/>
          <w:highlight w:val="none"/>
        </w:rPr>
        <w:t>履约保函格式</w:t>
      </w:r>
    </w:p>
    <w:p w14:paraId="1F036554">
      <w:pPr>
        <w:jc w:val="center"/>
        <w:rPr>
          <w:b/>
          <w:color w:val="auto"/>
          <w:sz w:val="24"/>
          <w:highlight w:val="none"/>
        </w:rPr>
      </w:pPr>
    </w:p>
    <w:p w14:paraId="245BC69D">
      <w:pPr>
        <w:jc w:val="center"/>
        <w:rPr>
          <w:b/>
          <w:color w:val="auto"/>
          <w:sz w:val="24"/>
          <w:highlight w:val="none"/>
        </w:rPr>
      </w:pPr>
      <w:r>
        <w:rPr>
          <w:rFonts w:hint="eastAsia"/>
          <w:b/>
          <w:color w:val="auto"/>
          <w:sz w:val="24"/>
          <w:highlight w:val="none"/>
        </w:rPr>
        <w:t>履约保证金银行保函（格式）</w:t>
      </w:r>
    </w:p>
    <w:p w14:paraId="36924127">
      <w:pPr>
        <w:jc w:val="center"/>
        <w:rPr>
          <w:b/>
          <w:color w:val="auto"/>
          <w:sz w:val="24"/>
          <w:highlight w:val="none"/>
        </w:rPr>
      </w:pPr>
    </w:p>
    <w:p w14:paraId="5D63A306">
      <w:pPr>
        <w:rPr>
          <w:color w:val="auto"/>
          <w:sz w:val="24"/>
          <w:highlight w:val="none"/>
        </w:rPr>
      </w:pPr>
      <w:r>
        <w:rPr>
          <w:rFonts w:hint="eastAsia"/>
          <w:color w:val="auto"/>
          <w:sz w:val="24"/>
          <w:highlight w:val="none"/>
        </w:rPr>
        <w:t>致：广州市番禺区基本建设投资管理中心[甲方]</w:t>
      </w:r>
    </w:p>
    <w:p w14:paraId="47A4DBC7">
      <w:pPr>
        <w:rPr>
          <w:color w:val="auto"/>
          <w:sz w:val="24"/>
          <w:highlight w:val="none"/>
        </w:rPr>
      </w:pPr>
    </w:p>
    <w:p w14:paraId="289EDC66">
      <w:pPr>
        <w:ind w:firstLine="480" w:firstLineChars="200"/>
        <w:rPr>
          <w:color w:val="auto"/>
          <w:sz w:val="24"/>
          <w:highlight w:val="none"/>
        </w:rPr>
      </w:pPr>
      <w:r>
        <w:rPr>
          <w:rFonts w:hint="eastAsia"/>
          <w:color w:val="auto"/>
          <w:sz w:val="24"/>
          <w:highlight w:val="none"/>
        </w:rPr>
        <w:t>鉴于</w:t>
      </w:r>
      <w:r>
        <w:rPr>
          <w:rFonts w:hint="eastAsia"/>
          <w:color w:val="auto"/>
          <w:sz w:val="24"/>
          <w:highlight w:val="none"/>
          <w:u w:val="single"/>
        </w:rPr>
        <w:t xml:space="preserve">             </w:t>
      </w:r>
      <w:r>
        <w:rPr>
          <w:rFonts w:hint="eastAsia"/>
          <w:color w:val="auto"/>
          <w:sz w:val="24"/>
          <w:highlight w:val="none"/>
        </w:rPr>
        <w:t>[乙方名称]（以下简称“乙方”）已中标，已（拟）与</w:t>
      </w:r>
      <w:r>
        <w:rPr>
          <w:rFonts w:hint="eastAsia"/>
          <w:color w:val="auto"/>
          <w:sz w:val="24"/>
          <w:highlight w:val="none"/>
          <w:u w:val="single"/>
        </w:rPr>
        <w:t>广州市番禺区基本建设投资管理中心</w:t>
      </w:r>
      <w:r>
        <w:rPr>
          <w:rFonts w:hint="eastAsia"/>
          <w:color w:val="auto"/>
          <w:sz w:val="24"/>
          <w:highlight w:val="none"/>
        </w:rPr>
        <w:t>[甲方名称]（以下简称“甲方”）就</w:t>
      </w:r>
      <w:r>
        <w:rPr>
          <w:rFonts w:hint="eastAsia"/>
          <w:color w:val="auto"/>
          <w:sz w:val="24"/>
          <w:highlight w:val="none"/>
          <w:u w:val="single"/>
        </w:rPr>
        <w:t xml:space="preserve">                       </w:t>
      </w:r>
      <w:r>
        <w:rPr>
          <w:rFonts w:hint="eastAsia"/>
          <w:color w:val="auto"/>
          <w:sz w:val="24"/>
          <w:highlight w:val="none"/>
        </w:rPr>
        <w:t>[项目名称]签订</w:t>
      </w:r>
      <w:r>
        <w:rPr>
          <w:rFonts w:hint="eastAsia"/>
          <w:color w:val="auto"/>
          <w:sz w:val="24"/>
          <w:highlight w:val="none"/>
          <w:u w:val="single"/>
        </w:rPr>
        <w:t xml:space="preserve">                       </w:t>
      </w:r>
      <w:r>
        <w:rPr>
          <w:rFonts w:hint="eastAsia"/>
          <w:color w:val="auto"/>
          <w:sz w:val="24"/>
          <w:highlight w:val="none"/>
        </w:rPr>
        <w:t>（下称“合同”）。</w:t>
      </w:r>
    </w:p>
    <w:p w14:paraId="21614B77">
      <w:pPr>
        <w:ind w:firstLine="480" w:firstLineChars="200"/>
        <w:rPr>
          <w:color w:val="auto"/>
          <w:sz w:val="24"/>
          <w:highlight w:val="none"/>
        </w:rPr>
      </w:pPr>
      <w:r>
        <w:rPr>
          <w:rFonts w:hint="eastAsia"/>
          <w:color w:val="auto"/>
          <w:sz w:val="24"/>
          <w:highlight w:val="none"/>
        </w:rPr>
        <w:t>鉴于你方（甲方）在招标文件及合同中均要求乙方通过经认可的银行向你方提交合同规定金额的保证金，作为乙方履行合同责任的担保，且本银行同意为乙方出具本银行保函。</w:t>
      </w:r>
    </w:p>
    <w:p w14:paraId="4687FCC2">
      <w:pPr>
        <w:ind w:firstLine="480" w:firstLineChars="200"/>
        <w:rPr>
          <w:color w:val="auto"/>
          <w:sz w:val="24"/>
          <w:highlight w:val="none"/>
        </w:rPr>
      </w:pPr>
      <w:r>
        <w:rPr>
          <w:rFonts w:hint="eastAsia"/>
          <w:color w:val="auto"/>
          <w:sz w:val="24"/>
          <w:highlight w:val="none"/>
        </w:rPr>
        <w:t>本银行作为担保人在此代表乙方向你方确认承担支付人民币</w:t>
      </w:r>
      <w:r>
        <w:rPr>
          <w:rFonts w:hint="eastAsia"/>
          <w:color w:val="auto"/>
          <w:sz w:val="24"/>
          <w:highlight w:val="none"/>
          <w:u w:val="single"/>
        </w:rPr>
        <w:t xml:space="preserve">    </w:t>
      </w:r>
      <w:r>
        <w:rPr>
          <w:rFonts w:hint="eastAsia"/>
          <w:color w:val="auto"/>
          <w:sz w:val="24"/>
          <w:highlight w:val="none"/>
        </w:rPr>
        <w:t>元（大写:</w:t>
      </w:r>
      <w:r>
        <w:rPr>
          <w:rFonts w:hint="eastAsia"/>
          <w:color w:val="auto"/>
          <w:sz w:val="24"/>
          <w:highlight w:val="none"/>
          <w:u w:val="single"/>
        </w:rPr>
        <w:t xml:space="preserve">                    </w:t>
      </w:r>
      <w:r>
        <w:rPr>
          <w:rFonts w:hint="eastAsia"/>
          <w:color w:val="auto"/>
          <w:sz w:val="24"/>
          <w:highlight w:val="none"/>
        </w:rPr>
        <w:t>）的担保责任，在你方第一次书面索赔通知书提出要求得到上述金额内的任何付款时，本行在五个工作日内支付，不挑剔、不争辩、也不要求你方出具证明或说明背景或理由。你方可以要求一次性支付，也可以分多次要求支付，但总额不得超过人民币</w:t>
      </w:r>
      <w:r>
        <w:rPr>
          <w:rFonts w:hint="eastAsia"/>
          <w:color w:val="auto"/>
          <w:sz w:val="24"/>
          <w:highlight w:val="none"/>
          <w:u w:val="single"/>
        </w:rPr>
        <w:t xml:space="preserve">          </w:t>
      </w:r>
      <w:r>
        <w:rPr>
          <w:rFonts w:hint="eastAsia"/>
          <w:color w:val="auto"/>
          <w:sz w:val="24"/>
          <w:highlight w:val="none"/>
        </w:rPr>
        <w:t>元（大写:</w:t>
      </w:r>
      <w:r>
        <w:rPr>
          <w:rFonts w:hint="eastAsia"/>
          <w:color w:val="auto"/>
          <w:sz w:val="24"/>
          <w:highlight w:val="none"/>
          <w:u w:val="single"/>
        </w:rPr>
        <w:t xml:space="preserve">                  </w:t>
      </w:r>
      <w:r>
        <w:rPr>
          <w:rFonts w:hint="eastAsia"/>
          <w:color w:val="auto"/>
          <w:sz w:val="24"/>
          <w:highlight w:val="none"/>
        </w:rPr>
        <w:t>）。</w:t>
      </w:r>
    </w:p>
    <w:p w14:paraId="5CE93811">
      <w:pPr>
        <w:ind w:firstLine="480" w:firstLineChars="200"/>
        <w:rPr>
          <w:color w:val="auto"/>
          <w:sz w:val="24"/>
          <w:highlight w:val="none"/>
        </w:rPr>
      </w:pPr>
      <w:r>
        <w:rPr>
          <w:rFonts w:hint="eastAsia"/>
          <w:color w:val="auto"/>
          <w:sz w:val="24"/>
          <w:highlight w:val="none"/>
        </w:rPr>
        <w:t>本银行放弃你方应先向乙方要求赔偿上述金额然后再向本银行提出要求的权利。</w:t>
      </w:r>
    </w:p>
    <w:p w14:paraId="23B63D6E">
      <w:pPr>
        <w:ind w:firstLine="480" w:firstLineChars="200"/>
        <w:rPr>
          <w:color w:val="auto"/>
          <w:sz w:val="24"/>
          <w:highlight w:val="none"/>
        </w:rPr>
      </w:pPr>
      <w:r>
        <w:rPr>
          <w:rFonts w:hint="eastAsia"/>
          <w:color w:val="auto"/>
          <w:sz w:val="24"/>
          <w:highlight w:val="none"/>
        </w:rPr>
        <w:t>本银行还同意：在你方（甲方）和乙方之间的合同条款、合同项下的工程或合同文件发生变化、补充或修改后，本银行承担本保函的责任也不改变；上述变化、补充或修改也无须通知本银行。</w:t>
      </w:r>
    </w:p>
    <w:p w14:paraId="5A50A9D3">
      <w:pPr>
        <w:ind w:firstLine="480" w:firstLineChars="200"/>
        <w:rPr>
          <w:color w:val="auto"/>
          <w:sz w:val="24"/>
          <w:highlight w:val="none"/>
        </w:rPr>
      </w:pPr>
      <w:r>
        <w:rPr>
          <w:rFonts w:hint="eastAsia"/>
          <w:color w:val="auto"/>
          <w:sz w:val="24"/>
          <w:highlight w:val="none"/>
        </w:rPr>
        <w:t>本保函的有效期自</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日起至</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日（工程完工后一年）内保持有效，并在本保函有效期内不可撤销。</w:t>
      </w:r>
    </w:p>
    <w:p w14:paraId="48698774">
      <w:pPr>
        <w:ind w:firstLine="480" w:firstLineChars="200"/>
        <w:rPr>
          <w:color w:val="auto"/>
          <w:sz w:val="24"/>
          <w:highlight w:val="none"/>
        </w:rPr>
      </w:pPr>
      <w:r>
        <w:rPr>
          <w:rFonts w:hint="eastAsia"/>
          <w:color w:val="auto"/>
          <w:sz w:val="24"/>
          <w:highlight w:val="none"/>
        </w:rPr>
        <w:t>未经本银行书面同意，本保函不得转让。</w:t>
      </w:r>
    </w:p>
    <w:p w14:paraId="5008B85A">
      <w:pPr>
        <w:ind w:firstLine="480" w:firstLineChars="200"/>
        <w:rPr>
          <w:color w:val="auto"/>
          <w:sz w:val="24"/>
          <w:highlight w:val="none"/>
        </w:rPr>
      </w:pPr>
    </w:p>
    <w:p w14:paraId="74063D7A">
      <w:pPr>
        <w:ind w:firstLine="480" w:firstLineChars="200"/>
        <w:rPr>
          <w:color w:val="auto"/>
          <w:sz w:val="24"/>
          <w:highlight w:val="none"/>
        </w:rPr>
      </w:pPr>
    </w:p>
    <w:p w14:paraId="52225001">
      <w:pPr>
        <w:ind w:firstLine="480" w:firstLineChars="200"/>
        <w:rPr>
          <w:color w:val="auto"/>
          <w:sz w:val="24"/>
          <w:highlight w:val="none"/>
        </w:rPr>
      </w:pPr>
      <w:r>
        <w:rPr>
          <w:rFonts w:hint="eastAsia"/>
          <w:color w:val="auto"/>
          <w:sz w:val="24"/>
          <w:highlight w:val="none"/>
        </w:rPr>
        <w:t>担保人：</w:t>
      </w:r>
      <w:r>
        <w:rPr>
          <w:rFonts w:hint="eastAsia"/>
          <w:color w:val="auto"/>
          <w:sz w:val="24"/>
          <w:highlight w:val="none"/>
          <w:u w:val="single"/>
        </w:rPr>
        <w:t xml:space="preserve">                                        （盖章）</w:t>
      </w:r>
    </w:p>
    <w:p w14:paraId="03176E41">
      <w:pPr>
        <w:ind w:firstLine="480" w:firstLineChars="200"/>
        <w:rPr>
          <w:color w:val="auto"/>
          <w:sz w:val="24"/>
          <w:highlight w:val="none"/>
        </w:rPr>
      </w:pPr>
      <w:r>
        <w:rPr>
          <w:rFonts w:hint="eastAsia"/>
          <w:color w:val="auto"/>
          <w:sz w:val="24"/>
          <w:highlight w:val="none"/>
        </w:rPr>
        <w:t>法定代表人或委托代理人：</w:t>
      </w:r>
      <w:r>
        <w:rPr>
          <w:rFonts w:hint="eastAsia"/>
          <w:color w:val="auto"/>
          <w:sz w:val="24"/>
          <w:highlight w:val="none"/>
          <w:u w:val="single"/>
        </w:rPr>
        <w:t xml:space="preserve">                  （签字或盖章）</w:t>
      </w:r>
    </w:p>
    <w:p w14:paraId="48EE4396">
      <w:pPr>
        <w:ind w:firstLine="480" w:firstLineChars="200"/>
        <w:rPr>
          <w:color w:val="auto"/>
          <w:sz w:val="24"/>
          <w:highlight w:val="none"/>
        </w:rPr>
      </w:pPr>
      <w:r>
        <w:rPr>
          <w:rFonts w:hint="eastAsia"/>
          <w:color w:val="auto"/>
          <w:sz w:val="24"/>
          <w:highlight w:val="none"/>
        </w:rPr>
        <w:t>地址：</w:t>
      </w:r>
    </w:p>
    <w:p w14:paraId="2105810C">
      <w:pPr>
        <w:ind w:firstLine="480" w:firstLineChars="200"/>
        <w:rPr>
          <w:color w:val="auto"/>
          <w:sz w:val="24"/>
          <w:highlight w:val="none"/>
        </w:rPr>
      </w:pPr>
      <w:r>
        <w:rPr>
          <w:rFonts w:hint="eastAsia"/>
          <w:color w:val="auto"/>
          <w:sz w:val="24"/>
          <w:highlight w:val="none"/>
        </w:rPr>
        <w:t>银行名称：</w:t>
      </w:r>
    </w:p>
    <w:p w14:paraId="0555ADF3">
      <w:pPr>
        <w:ind w:firstLine="480" w:firstLineChars="200"/>
        <w:rPr>
          <w:color w:val="auto"/>
          <w:sz w:val="24"/>
          <w:highlight w:val="none"/>
        </w:rPr>
      </w:pPr>
      <w:r>
        <w:rPr>
          <w:rFonts w:hint="eastAsia"/>
          <w:color w:val="auto"/>
          <w:sz w:val="24"/>
          <w:highlight w:val="none"/>
        </w:rPr>
        <w:t>日期：</w:t>
      </w:r>
      <w:r>
        <w:rPr>
          <w:rFonts w:hint="eastAsia"/>
          <w:color w:val="auto"/>
          <w:sz w:val="24"/>
          <w:highlight w:val="none"/>
          <w:u w:val="single"/>
        </w:rPr>
        <w:t xml:space="preserve">          年     月      日</w:t>
      </w:r>
    </w:p>
    <w:p w14:paraId="48504FE0">
      <w:pPr>
        <w:ind w:firstLine="480" w:firstLineChars="200"/>
        <w:rPr>
          <w:color w:val="auto"/>
          <w:sz w:val="24"/>
          <w:highlight w:val="none"/>
          <w:u w:val="single"/>
        </w:rPr>
      </w:pPr>
      <w:r>
        <w:rPr>
          <w:rFonts w:hint="eastAsia"/>
          <w:color w:val="auto"/>
          <w:sz w:val="24"/>
          <w:highlight w:val="none"/>
        </w:rPr>
        <w:t>经办网点：</w:t>
      </w:r>
      <w:r>
        <w:rPr>
          <w:rFonts w:hint="eastAsia"/>
          <w:color w:val="auto"/>
          <w:sz w:val="24"/>
          <w:highlight w:val="none"/>
          <w:u w:val="single"/>
        </w:rPr>
        <w:t xml:space="preserve">                              </w:t>
      </w:r>
      <w:r>
        <w:rPr>
          <w:rFonts w:hint="eastAsia"/>
          <w:color w:val="auto"/>
          <w:sz w:val="24"/>
          <w:highlight w:val="none"/>
        </w:rPr>
        <w:t>经办人：</w:t>
      </w:r>
      <w:r>
        <w:rPr>
          <w:rFonts w:hint="eastAsia"/>
          <w:color w:val="auto"/>
          <w:sz w:val="24"/>
          <w:highlight w:val="none"/>
          <w:u w:val="single"/>
        </w:rPr>
        <w:t xml:space="preserve">                         </w:t>
      </w:r>
    </w:p>
    <w:p w14:paraId="7C684E7B">
      <w:pPr>
        <w:ind w:firstLine="480" w:firstLineChars="200"/>
        <w:rPr>
          <w:color w:val="auto"/>
          <w:sz w:val="24"/>
          <w:highlight w:val="none"/>
          <w:u w:val="single"/>
        </w:rPr>
      </w:pPr>
      <w:r>
        <w:rPr>
          <w:rFonts w:hint="eastAsia"/>
          <w:color w:val="auto"/>
          <w:sz w:val="24"/>
          <w:highlight w:val="none"/>
        </w:rPr>
        <w:t>联系电话（手机及固话）：</w:t>
      </w:r>
      <w:r>
        <w:rPr>
          <w:rFonts w:hint="eastAsia"/>
          <w:color w:val="auto"/>
          <w:sz w:val="24"/>
          <w:highlight w:val="none"/>
          <w:u w:val="single"/>
        </w:rPr>
        <w:t xml:space="preserve">                       </w:t>
      </w:r>
    </w:p>
    <w:p w14:paraId="1CF8851F">
      <w:pPr>
        <w:spacing w:line="360" w:lineRule="auto"/>
        <w:rPr>
          <w:rFonts w:ascii="仿宋_GB2312" w:cs="仿宋_GB2312"/>
          <w:color w:val="auto"/>
          <w:sz w:val="24"/>
          <w:highlight w:val="none"/>
        </w:rPr>
      </w:pPr>
    </w:p>
    <w:p w14:paraId="22A957EB">
      <w:pPr>
        <w:widowControl/>
        <w:autoSpaceDE w:val="0"/>
        <w:autoSpaceDN w:val="0"/>
        <w:adjustRightInd w:val="0"/>
        <w:spacing w:line="360" w:lineRule="auto"/>
        <w:rPr>
          <w:rFonts w:ascii="宋体" w:hAnsi="宋体" w:cs="宋体"/>
          <w:color w:val="auto"/>
          <w:spacing w:val="-1"/>
          <w:sz w:val="24"/>
          <w:highlight w:val="none"/>
          <w:lang w:bidi="ar"/>
        </w:rPr>
      </w:pPr>
      <w:r>
        <w:rPr>
          <w:rFonts w:hint="eastAsia" w:ascii="宋体" w:hAnsi="宋体" w:cs="宋体"/>
          <w:color w:val="auto"/>
          <w:spacing w:val="-1"/>
          <w:sz w:val="24"/>
          <w:highlight w:val="none"/>
          <w:lang w:bidi="ar"/>
        </w:rPr>
        <w:br w:type="page"/>
      </w:r>
      <w:r>
        <w:rPr>
          <w:rFonts w:hint="eastAsia" w:ascii="宋体" w:hAnsi="宋体" w:cs="宋体"/>
          <w:color w:val="auto"/>
          <w:spacing w:val="-1"/>
          <w:sz w:val="24"/>
          <w:highlight w:val="none"/>
          <w:lang w:bidi="ar"/>
        </w:rPr>
        <w:t>附件四：中标通知书</w:t>
      </w:r>
    </w:p>
    <w:p w14:paraId="447CF210">
      <w:pPr>
        <w:widowControl/>
        <w:autoSpaceDE w:val="0"/>
        <w:autoSpaceDN w:val="0"/>
        <w:adjustRightInd w:val="0"/>
        <w:spacing w:line="360" w:lineRule="auto"/>
        <w:rPr>
          <w:rFonts w:ascii="宋体" w:hAnsi="宋体" w:cs="宋体"/>
          <w:color w:val="auto"/>
          <w:spacing w:val="-1"/>
          <w:sz w:val="24"/>
          <w:highlight w:val="none"/>
          <w:lang w:bidi="ar"/>
        </w:rPr>
      </w:pPr>
      <w:bookmarkStart w:id="16" w:name="_Toc169192092"/>
      <w:r>
        <w:rPr>
          <w:rFonts w:hint="eastAsia" w:ascii="宋体" w:hAnsi="宋体" w:cs="宋体"/>
          <w:color w:val="auto"/>
          <w:spacing w:val="-1"/>
          <w:sz w:val="24"/>
          <w:highlight w:val="none"/>
          <w:lang w:bidi="ar"/>
        </w:rPr>
        <w:t>附件五：拟投入本项目的人员名单</w:t>
      </w:r>
      <w:bookmarkEnd w:id="16"/>
    </w:p>
    <w:p w14:paraId="40C781EF">
      <w:pPr>
        <w:widowControl/>
        <w:autoSpaceDE w:val="0"/>
        <w:autoSpaceDN w:val="0"/>
        <w:adjustRightInd w:val="0"/>
        <w:spacing w:line="360" w:lineRule="auto"/>
        <w:rPr>
          <w:rFonts w:ascii="宋体" w:hAnsi="宋体" w:cs="宋体"/>
          <w:color w:val="auto"/>
          <w:spacing w:val="-1"/>
          <w:sz w:val="24"/>
          <w:highlight w:val="none"/>
          <w:lang w:bidi="ar"/>
        </w:rPr>
      </w:pPr>
      <w:r>
        <w:rPr>
          <w:rFonts w:hint="eastAsia" w:ascii="宋体" w:hAnsi="宋体" w:cs="宋体"/>
          <w:color w:val="auto"/>
          <w:spacing w:val="-1"/>
          <w:sz w:val="24"/>
          <w:highlight w:val="none"/>
          <w:lang w:bidi="ar"/>
        </w:rPr>
        <w:t>附件六：检测和监测工程量汇总表</w:t>
      </w:r>
    </w:p>
    <w:p w14:paraId="123CF74E">
      <w:pPr>
        <w:widowControl/>
        <w:autoSpaceDE w:val="0"/>
        <w:autoSpaceDN w:val="0"/>
        <w:adjustRightInd w:val="0"/>
        <w:spacing w:line="360" w:lineRule="auto"/>
        <w:rPr>
          <w:rFonts w:ascii="宋体" w:hAnsi="宋体" w:cs="宋体"/>
          <w:color w:val="auto"/>
          <w:spacing w:val="-1"/>
          <w:sz w:val="24"/>
          <w:highlight w:val="none"/>
          <w:lang w:bidi="ar"/>
        </w:rPr>
      </w:pPr>
      <w:r>
        <w:rPr>
          <w:rFonts w:hint="eastAsia" w:ascii="宋体" w:hAnsi="宋体" w:cs="宋体"/>
          <w:color w:val="auto"/>
          <w:spacing w:val="-1"/>
          <w:sz w:val="24"/>
          <w:highlight w:val="none"/>
          <w:lang w:bidi="ar"/>
        </w:rPr>
        <w:t>附件七：联合体协议书（如有）</w:t>
      </w:r>
    </w:p>
    <w:p w14:paraId="62D810F9">
      <w:pPr>
        <w:widowControl/>
        <w:autoSpaceDE w:val="0"/>
        <w:autoSpaceDN w:val="0"/>
        <w:adjustRightInd w:val="0"/>
        <w:spacing w:line="360" w:lineRule="auto"/>
        <w:rPr>
          <w:rFonts w:ascii="宋体" w:hAnsi="宋体" w:cs="宋体"/>
          <w:color w:val="auto"/>
          <w:spacing w:val="-1"/>
          <w:sz w:val="24"/>
          <w:highlight w:val="none"/>
          <w:lang w:bidi="ar"/>
        </w:rPr>
      </w:pPr>
    </w:p>
    <w:p w14:paraId="51506D0B">
      <w:pPr>
        <w:pStyle w:val="3"/>
        <w:spacing w:before="0" w:line="500" w:lineRule="exact"/>
        <w:rPr>
          <w:color w:val="auto"/>
          <w:highlight w:val="none"/>
        </w:rPr>
      </w:pPr>
    </w:p>
    <w:p w14:paraId="37C45748">
      <w:pPr>
        <w:rPr>
          <w:color w:val="auto"/>
          <w:highlight w:val="none"/>
        </w:rPr>
      </w:pPr>
    </w:p>
    <w:bookmarkEnd w:id="17"/>
    <w:sectPr>
      <w:footerReference r:id="rId3" w:type="default"/>
      <w:pgSz w:w="11907" w:h="16840"/>
      <w:pgMar w:top="1474" w:right="907" w:bottom="1588" w:left="1134"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98921">
    <w:pPr>
      <w:pStyle w:val="6"/>
      <w:jc w:val="center"/>
      <w:rPr>
        <w:rFonts w:cs="Times New Roman"/>
      </w:rPr>
    </w:pPr>
    <w:r>
      <w:rPr>
        <w:rStyle w:val="10"/>
        <w:rFonts w:cs="Times New Roman"/>
        <w:sz w:val="21"/>
        <w:szCs w:val="22"/>
      </w:rPr>
      <w:fldChar w:fldCharType="begin"/>
    </w:r>
    <w:r>
      <w:rPr>
        <w:rStyle w:val="10"/>
        <w:rFonts w:cs="Times New Roman"/>
        <w:sz w:val="21"/>
        <w:szCs w:val="22"/>
      </w:rPr>
      <w:instrText xml:space="preserve">PAGE   \* MERGEFORMAT</w:instrText>
    </w:r>
    <w:r>
      <w:rPr>
        <w:rStyle w:val="10"/>
        <w:rFonts w:cs="Times New Roman"/>
        <w:sz w:val="21"/>
        <w:szCs w:val="22"/>
      </w:rPr>
      <w:fldChar w:fldCharType="separate"/>
    </w:r>
    <w:r>
      <w:rPr>
        <w:rStyle w:val="10"/>
        <w:rFonts w:cs="Times New Roman"/>
        <w:sz w:val="21"/>
        <w:szCs w:val="22"/>
        <w:lang w:val="zh-CN"/>
      </w:rPr>
      <w:t>1</w:t>
    </w:r>
    <w:r>
      <w:rPr>
        <w:rStyle w:val="10"/>
        <w:rFonts w:cs="Times New Roman"/>
        <w:sz w:val="21"/>
        <w:szCs w:val="22"/>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611CEF"/>
    <w:multiLevelType w:val="multilevel"/>
    <w:tmpl w:val="4A611CEF"/>
    <w:lvl w:ilvl="0" w:tentative="0">
      <w:start w:val="1"/>
      <w:numFmt w:val="japaneseCounting"/>
      <w:lvlText w:val="%1、"/>
      <w:lvlJc w:val="left"/>
      <w:pPr>
        <w:tabs>
          <w:tab w:val="left" w:pos="1360"/>
        </w:tabs>
        <w:ind w:left="1360" w:hanging="720"/>
      </w:pPr>
      <w:rPr>
        <w:rFonts w:hint="eastAsia"/>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MzA2ZDAzMjI2Mzg3ZDdjN2IzMmRjNmU0OWIyNGIifQ=="/>
  </w:docVars>
  <w:rsids>
    <w:rsidRoot w:val="6C312A1C"/>
    <w:rsid w:val="001F0F2C"/>
    <w:rsid w:val="00204462"/>
    <w:rsid w:val="003A1178"/>
    <w:rsid w:val="004D429C"/>
    <w:rsid w:val="004E67BD"/>
    <w:rsid w:val="005C01ED"/>
    <w:rsid w:val="006349B9"/>
    <w:rsid w:val="00903C48"/>
    <w:rsid w:val="00920849"/>
    <w:rsid w:val="009548FA"/>
    <w:rsid w:val="00AF4E82"/>
    <w:rsid w:val="00BF26F3"/>
    <w:rsid w:val="00C86242"/>
    <w:rsid w:val="06E777C5"/>
    <w:rsid w:val="0765792F"/>
    <w:rsid w:val="16CD1E27"/>
    <w:rsid w:val="16EE36AF"/>
    <w:rsid w:val="1B115C68"/>
    <w:rsid w:val="37260FD5"/>
    <w:rsid w:val="3FFD6C8D"/>
    <w:rsid w:val="5553274C"/>
    <w:rsid w:val="56E05B0B"/>
    <w:rsid w:val="5DAF5613"/>
    <w:rsid w:val="63E40780"/>
    <w:rsid w:val="6C312A1C"/>
    <w:rsid w:val="734761B2"/>
    <w:rsid w:val="74B01A31"/>
    <w:rsid w:val="7E7A243E"/>
    <w:rsid w:val="7F4B5929"/>
    <w:rsid w:val="7F637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next w:val="1"/>
    <w:qFormat/>
    <w:uiPriority w:val="0"/>
    <w:pPr>
      <w:keepNext/>
      <w:keepLines/>
      <w:spacing w:before="260" w:line="640" w:lineRule="exact"/>
      <w:ind w:firstLine="482" w:firstLineChars="200"/>
      <w:outlineLvl w:val="2"/>
    </w:pPr>
    <w:rPr>
      <w:rFonts w:ascii="仿宋" w:hAnsi="仿宋" w:eastAsia="仿宋" w:cs="仿宋"/>
      <w:b/>
      <w:bCs/>
      <w:sz w:val="24"/>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4">
    <w:name w:val="Body Text Indent"/>
    <w:qFormat/>
    <w:uiPriority w:val="0"/>
    <w:pPr>
      <w:ind w:firstLine="630"/>
      <w:jc w:val="center"/>
    </w:pPr>
    <w:rPr>
      <w:rFonts w:ascii="宋体" w:hAnsi="Times New Roman" w:eastAsia="宋体" w:cs="宋体"/>
      <w:kern w:val="2"/>
      <w:sz w:val="32"/>
      <w:szCs w:val="32"/>
      <w:lang w:val="en-US" w:eastAsia="zh-CN" w:bidi="ar-SA"/>
    </w:rPr>
  </w:style>
  <w:style w:type="paragraph" w:styleId="5">
    <w:name w:val="Balloon Text"/>
    <w:basedOn w:val="1"/>
    <w:link w:val="12"/>
    <w:qFormat/>
    <w:uiPriority w:val="0"/>
    <w:rPr>
      <w:sz w:val="18"/>
      <w:szCs w:val="18"/>
    </w:rPr>
  </w:style>
  <w:style w:type="paragraph" w:styleId="6">
    <w:name w:val="footer"/>
    <w:qFormat/>
    <w:uiPriority w:val="99"/>
    <w:pPr>
      <w:tabs>
        <w:tab w:val="center" w:pos="4153"/>
        <w:tab w:val="right" w:pos="8306"/>
      </w:tabs>
      <w:snapToGrid w:val="0"/>
    </w:pPr>
    <w:rPr>
      <w:rFonts w:ascii="Calibri" w:hAnsi="Calibri" w:eastAsia="宋体" w:cs="Calibri"/>
      <w:kern w:val="2"/>
      <w:sz w:val="18"/>
      <w:szCs w:val="18"/>
      <w:lang w:val="en-US" w:eastAsia="zh-CN" w:bidi="ar-SA"/>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qFormat/>
    <w:uiPriority w:val="0"/>
  </w:style>
  <w:style w:type="character" w:customStyle="1" w:styleId="11">
    <w:name w:val="页眉 Char"/>
    <w:basedOn w:val="9"/>
    <w:link w:val="7"/>
    <w:qFormat/>
    <w:uiPriority w:val="0"/>
    <w:rPr>
      <w:rFonts w:ascii="Calibri" w:hAnsi="Calibri" w:eastAsia="宋体" w:cs="Times New Roman"/>
      <w:kern w:val="2"/>
      <w:sz w:val="18"/>
      <w:szCs w:val="18"/>
    </w:rPr>
  </w:style>
  <w:style w:type="character" w:customStyle="1" w:styleId="12">
    <w:name w:val="批注框文本 Char"/>
    <w:basedOn w:val="9"/>
    <w:link w:val="5"/>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10797</Words>
  <Characters>10966</Characters>
  <Lines>91</Lines>
  <Paragraphs>25</Paragraphs>
  <TotalTime>0</TotalTime>
  <ScaleCrop>false</ScaleCrop>
  <LinksUpToDate>false</LinksUpToDate>
  <CharactersWithSpaces>12473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2025-02-05T06:51:00Z</dcterms:created>
  <dc:creator>Administrator</dc:creator>
  <cp:lastModifiedBy>.啦啦.</cp:lastModifiedBy>
  <cp:lastPrinted>2025-01-14T07:01:00Z</cp:lastPrinted>
  <dcterms:modified xsi:type="dcterms:W3CDTF">2025-03-11T02:12:31Z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DA0CBF3DC76D4B5B878657809AC324D8_11</vt:lpwstr>
  </property>
  <property fmtid="{D5CDD505-2E9C-101B-9397-08002B2CF9AE}" pid="4" name="KSOTemplateDocerSaveRecord">
    <vt:lpwstr>eyJoZGlkIjoiYTMyMmViMDVkODY5YzU5Y2E4YmI2NTQwNDBmNDQ1OTEiLCJ1c2VySWQiOiI0NjIzOTYxNzYifQ==</vt:lpwstr>
  </property>
</Properties>
</file>