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EB9614">
      <w:pPr>
        <w:pStyle w:val="11"/>
        <w:snapToGrid w:val="0"/>
        <w:spacing w:line="360" w:lineRule="auto"/>
        <w:ind w:right="25" w:rightChars="12"/>
        <w:jc w:val="center"/>
        <w:rPr>
          <w:rFonts w:hint="eastAsia" w:cs="宋体"/>
          <w:b/>
          <w:color w:val="auto"/>
          <w:sz w:val="32"/>
          <w:szCs w:val="32"/>
          <w:highlight w:val="none"/>
          <w:u w:val="none"/>
          <w:lang w:eastAsia="zh-CN"/>
        </w:rPr>
      </w:pPr>
      <w:r>
        <w:rPr>
          <w:rFonts w:hint="eastAsia" w:cs="宋体"/>
          <w:b/>
          <w:color w:val="auto"/>
          <w:sz w:val="32"/>
          <w:szCs w:val="32"/>
          <w:highlight w:val="none"/>
          <w:u w:val="none"/>
          <w:lang w:eastAsia="zh-CN"/>
        </w:rPr>
        <w:t>智达新能源产业化生产基地一期10kV外缆工程施工</w:t>
      </w:r>
    </w:p>
    <w:p w14:paraId="5F407E3C">
      <w:pPr>
        <w:pStyle w:val="11"/>
        <w:snapToGrid w:val="0"/>
        <w:spacing w:line="360" w:lineRule="auto"/>
        <w:ind w:right="25" w:rightChars="12"/>
        <w:jc w:val="center"/>
        <w:rPr>
          <w:rFonts w:cs="宋体"/>
          <w:b/>
          <w:color w:val="auto"/>
          <w:sz w:val="32"/>
          <w:szCs w:val="32"/>
          <w:highlight w:val="none"/>
          <w:u w:val="none"/>
        </w:rPr>
      </w:pPr>
      <w:r>
        <w:rPr>
          <w:rFonts w:hint="eastAsia" w:cs="宋体"/>
          <w:b/>
          <w:color w:val="auto"/>
          <w:sz w:val="32"/>
          <w:szCs w:val="32"/>
          <w:highlight w:val="none"/>
          <w:u w:val="none"/>
        </w:rPr>
        <w:t>招标公告</w:t>
      </w:r>
    </w:p>
    <w:p w14:paraId="7DFEFFF4">
      <w:pPr>
        <w:pStyle w:val="11"/>
        <w:snapToGrid w:val="0"/>
        <w:spacing w:line="360" w:lineRule="auto"/>
        <w:ind w:right="25" w:rightChars="12"/>
        <w:jc w:val="center"/>
        <w:rPr>
          <w:rFonts w:cs="宋体"/>
          <w:b/>
          <w:color w:val="auto"/>
          <w:sz w:val="32"/>
          <w:szCs w:val="32"/>
          <w:highlight w:val="none"/>
          <w:u w:val="none"/>
        </w:rPr>
      </w:pPr>
    </w:p>
    <w:p w14:paraId="0F1F893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根据</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广州开发区发展和改革局 广州市黄埔区发展和改革局关于智达新能源产业化生产基地一期10kV外缆工程可行性研究报告的复函</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穗开发改投批〔2025〕11号</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rPr>
        <w:t>批准，并且图纸和技术资料满足施工需要，</w:t>
      </w:r>
      <w:r>
        <w:rPr>
          <w:rFonts w:hint="eastAsia" w:ascii="宋体" w:hAnsi="宋体" w:cs="宋体"/>
          <w:color w:val="auto"/>
          <w:spacing w:val="-2"/>
          <w:sz w:val="24"/>
          <w:szCs w:val="24"/>
          <w:highlight w:val="none"/>
          <w:u w:val="single"/>
        </w:rPr>
        <w:t>广州开发区财政投资建设项目管理中心</w:t>
      </w:r>
      <w:r>
        <w:rPr>
          <w:rFonts w:hint="eastAsia" w:ascii="宋体" w:hAnsi="宋体" w:cs="宋体"/>
          <w:color w:val="auto"/>
          <w:sz w:val="24"/>
          <w:szCs w:val="24"/>
          <w:highlight w:val="none"/>
        </w:rPr>
        <w:t>现对</w:t>
      </w:r>
      <w:r>
        <w:rPr>
          <w:rFonts w:hint="eastAsia" w:ascii="宋体" w:hAnsi="宋体" w:cs="宋体"/>
          <w:color w:val="auto"/>
          <w:sz w:val="24"/>
          <w:szCs w:val="24"/>
          <w:highlight w:val="none"/>
          <w:u w:val="single"/>
          <w:lang w:eastAsia="zh-CN"/>
        </w:rPr>
        <w:t>智达新能源产业化生产基地一期10kV外缆工程施工</w:t>
      </w:r>
      <w:r>
        <w:rPr>
          <w:rFonts w:hint="eastAsia" w:ascii="宋体" w:hAnsi="宋体" w:cs="宋体"/>
          <w:color w:val="auto"/>
          <w:sz w:val="24"/>
          <w:szCs w:val="24"/>
          <w:highlight w:val="none"/>
        </w:rPr>
        <w:t>进行公开招标，选定承包人。</w:t>
      </w:r>
    </w:p>
    <w:p w14:paraId="0F2DECE4">
      <w:pPr>
        <w:tabs>
          <w:tab w:val="center" w:pos="4415"/>
        </w:tabs>
        <w:snapToGrid w:val="0"/>
        <w:spacing w:line="360" w:lineRule="auto"/>
        <w:ind w:left="2099" w:leftChars="228" w:hanging="1620" w:hangingChars="675"/>
        <w:rPr>
          <w:rFonts w:ascii="宋体" w:hAnsi="宋体" w:cs="宋体"/>
          <w:color w:val="auto"/>
          <w:sz w:val="24"/>
          <w:szCs w:val="24"/>
          <w:highlight w:val="none"/>
          <w:u w:val="single"/>
        </w:rPr>
      </w:pPr>
      <w:r>
        <w:rPr>
          <w:rFonts w:hint="eastAsia" w:ascii="宋体" w:hAnsi="宋体" w:cs="宋体"/>
          <w:color w:val="auto"/>
          <w:sz w:val="24"/>
          <w:szCs w:val="24"/>
          <w:highlight w:val="none"/>
        </w:rPr>
        <w:t>一、工程名称：</w:t>
      </w:r>
      <w:r>
        <w:rPr>
          <w:rFonts w:hint="eastAsia" w:ascii="宋体" w:hAnsi="宋体" w:cs="宋体"/>
          <w:color w:val="auto"/>
          <w:sz w:val="24"/>
          <w:szCs w:val="24"/>
          <w:highlight w:val="none"/>
          <w:u w:val="single"/>
          <w:lang w:eastAsia="zh-CN"/>
        </w:rPr>
        <w:t>智达新能源产业化生产基地一期10kV外缆工程施工</w:t>
      </w:r>
    </w:p>
    <w:p w14:paraId="5FDEC47E">
      <w:pPr>
        <w:tabs>
          <w:tab w:val="center" w:pos="4415"/>
        </w:tabs>
        <w:snapToGrid w:val="0"/>
        <w:spacing w:line="360" w:lineRule="auto"/>
        <w:ind w:firstLine="1017" w:firstLineChars="424"/>
        <w:rPr>
          <w:rFonts w:ascii="宋体" w:hAnsi="宋体" w:cs="宋体"/>
          <w:color w:val="auto"/>
          <w:sz w:val="24"/>
          <w:szCs w:val="24"/>
          <w:highlight w:val="none"/>
          <w:u w:val="single"/>
        </w:rPr>
      </w:pPr>
      <w:r>
        <w:rPr>
          <w:rFonts w:hint="eastAsia" w:ascii="宋体" w:hAnsi="宋体" w:cs="宋体"/>
          <w:color w:val="auto"/>
          <w:sz w:val="24"/>
          <w:szCs w:val="24"/>
          <w:highlight w:val="none"/>
        </w:rPr>
        <w:t>项目代码：</w:t>
      </w:r>
      <w:r>
        <w:rPr>
          <w:rFonts w:hint="eastAsia" w:ascii="宋体" w:hAnsi="宋体" w:cs="宋体"/>
          <w:color w:val="auto"/>
          <w:sz w:val="24"/>
          <w:szCs w:val="24"/>
          <w:highlight w:val="none"/>
          <w:u w:val="single"/>
        </w:rPr>
        <w:t>2412-440116-04-01-275273</w:t>
      </w:r>
    </w:p>
    <w:p w14:paraId="48906132">
      <w:pPr>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二、招标单位：</w:t>
      </w:r>
      <w:r>
        <w:rPr>
          <w:rFonts w:hint="eastAsia" w:ascii="宋体" w:hAnsi="宋体" w:cs="宋体"/>
          <w:color w:val="auto"/>
          <w:spacing w:val="-2"/>
          <w:sz w:val="24"/>
          <w:szCs w:val="24"/>
          <w:highlight w:val="none"/>
          <w:u w:val="single"/>
        </w:rPr>
        <w:t>广州开发区财政投资建设项目管理中心</w:t>
      </w:r>
    </w:p>
    <w:p w14:paraId="5CCB4045">
      <w:pPr>
        <w:snapToGrid w:val="0"/>
        <w:spacing w:line="360" w:lineRule="auto"/>
        <w:ind w:firstLine="537" w:firstLineChars="224"/>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联系人：</w:t>
      </w:r>
      <w:r>
        <w:rPr>
          <w:rFonts w:hint="eastAsia" w:ascii="宋体" w:hAnsi="宋体" w:cs="宋体"/>
          <w:color w:val="auto"/>
          <w:kern w:val="0"/>
          <w:sz w:val="24"/>
          <w:szCs w:val="24"/>
          <w:highlight w:val="none"/>
          <w:u w:val="single"/>
          <w:lang w:val="en-US" w:eastAsia="zh-CN"/>
        </w:rPr>
        <w:t>张</w:t>
      </w:r>
      <w:r>
        <w:rPr>
          <w:rFonts w:hint="eastAsia" w:ascii="宋体" w:hAnsi="宋体" w:cs="宋体"/>
          <w:color w:val="auto"/>
          <w:kern w:val="0"/>
          <w:sz w:val="24"/>
          <w:szCs w:val="24"/>
          <w:highlight w:val="none"/>
          <w:u w:val="single"/>
        </w:rPr>
        <w:t>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rPr>
        <w:t>020-</w:t>
      </w:r>
      <w:r>
        <w:rPr>
          <w:rFonts w:hint="eastAsia" w:ascii="宋体" w:hAnsi="宋体" w:cs="宋体"/>
          <w:color w:val="auto"/>
          <w:sz w:val="24"/>
          <w:szCs w:val="24"/>
          <w:highlight w:val="none"/>
          <w:u w:val="single"/>
          <w:lang w:val="en-US" w:eastAsia="zh-CN"/>
        </w:rPr>
        <w:t>28068874</w:t>
      </w:r>
    </w:p>
    <w:p w14:paraId="1554D9D9">
      <w:pPr>
        <w:snapToGrid w:val="0"/>
        <w:spacing w:line="360" w:lineRule="auto"/>
        <w:ind w:firstLine="1015" w:firstLineChars="423"/>
        <w:rPr>
          <w:rFonts w:ascii="宋体" w:hAnsi="宋体" w:cs="宋体"/>
          <w:color w:val="auto"/>
          <w:sz w:val="24"/>
          <w:szCs w:val="24"/>
          <w:highlight w:val="none"/>
        </w:rPr>
      </w:pPr>
      <w:r>
        <w:rPr>
          <w:rFonts w:hint="eastAsia" w:ascii="宋体" w:hAnsi="宋体" w:cs="宋体"/>
          <w:color w:val="auto"/>
          <w:sz w:val="24"/>
          <w:szCs w:val="24"/>
          <w:highlight w:val="none"/>
        </w:rPr>
        <w:t>地址：</w:t>
      </w:r>
      <w:r>
        <w:rPr>
          <w:rFonts w:hint="eastAsia" w:ascii="宋体" w:hAnsi="宋体" w:cs="宋体"/>
          <w:bCs/>
          <w:color w:val="auto"/>
          <w:sz w:val="24"/>
          <w:szCs w:val="24"/>
          <w:highlight w:val="none"/>
          <w:u w:val="single"/>
        </w:rPr>
        <w:t>广州市科学城创意大厦B2主楼三楼</w:t>
      </w:r>
    </w:p>
    <w:p w14:paraId="51C97EA2">
      <w:pPr>
        <w:snapToGrid w:val="0"/>
        <w:spacing w:line="360" w:lineRule="auto"/>
        <w:ind w:left="420" w:leftChars="200" w:firstLine="537" w:firstLineChars="224"/>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招标代理机构：</w:t>
      </w:r>
      <w:r>
        <w:rPr>
          <w:rFonts w:hint="eastAsia" w:ascii="宋体" w:hAnsi="宋体" w:cs="宋体"/>
          <w:color w:val="auto"/>
          <w:sz w:val="24"/>
          <w:szCs w:val="24"/>
          <w:highlight w:val="none"/>
          <w:u w:val="single"/>
          <w:lang w:eastAsia="zh-CN"/>
        </w:rPr>
        <w:t>广东省建筑工程监理有限公司</w:t>
      </w:r>
    </w:p>
    <w:p w14:paraId="7014FB7F">
      <w:pPr>
        <w:snapToGrid w:val="0"/>
        <w:spacing w:line="360" w:lineRule="auto"/>
        <w:ind w:firstLine="537" w:firstLineChars="224"/>
        <w:rPr>
          <w:rFonts w:hint="default" w:ascii="宋体" w:hAnsi="宋体" w:eastAsia="宋体" w:cs="宋体"/>
          <w:color w:val="auto"/>
          <w:sz w:val="24"/>
          <w:szCs w:val="24"/>
          <w:highlight w:val="none"/>
          <w:u w:val="single"/>
          <w:lang w:val="en-US" w:eastAsia="zh-CN"/>
        </w:rPr>
      </w:pPr>
      <w:r>
        <w:rPr>
          <w:rFonts w:hint="eastAsia" w:ascii="宋体" w:hAnsi="宋体" w:cs="宋体"/>
          <w:color w:val="auto"/>
          <w:sz w:val="24"/>
          <w:szCs w:val="24"/>
          <w:highlight w:val="none"/>
        </w:rPr>
        <w:t xml:space="preserve">    联系人：</w:t>
      </w:r>
      <w:r>
        <w:rPr>
          <w:rFonts w:hint="eastAsia" w:ascii="宋体" w:hAnsi="宋体" w:cs="宋体"/>
          <w:color w:val="auto"/>
          <w:sz w:val="24"/>
          <w:szCs w:val="24"/>
          <w:highlight w:val="none"/>
          <w:u w:val="single"/>
          <w:lang w:val="en-US" w:eastAsia="zh-CN"/>
        </w:rPr>
        <w:t>汤工</w:t>
      </w:r>
      <w:r>
        <w:rPr>
          <w:rFonts w:hint="eastAsia" w:ascii="宋体" w:hAnsi="宋体" w:cs="宋体"/>
          <w:color w:val="auto"/>
          <w:sz w:val="24"/>
          <w:szCs w:val="24"/>
          <w:highlight w:val="none"/>
        </w:rPr>
        <w:t xml:space="preserve">     联系电话：</w:t>
      </w:r>
      <w:r>
        <w:rPr>
          <w:rFonts w:hint="eastAsia" w:ascii="宋体" w:hAnsi="宋体" w:cs="宋体"/>
          <w:color w:val="auto"/>
          <w:sz w:val="24"/>
          <w:szCs w:val="24"/>
          <w:highlight w:val="none"/>
          <w:u w:val="single"/>
          <w:lang w:val="en-US" w:eastAsia="zh-CN"/>
        </w:rPr>
        <w:t>15813374437</w:t>
      </w:r>
    </w:p>
    <w:p w14:paraId="3CE58629">
      <w:pPr>
        <w:snapToGrid w:val="0"/>
        <w:spacing w:line="360" w:lineRule="auto"/>
        <w:ind w:firstLine="1015" w:firstLineChars="423"/>
        <w:rPr>
          <w:rFonts w:hint="eastAsia" w:ascii="宋体" w:hAnsi="宋体" w:eastAsia="宋体" w:cs="宋体"/>
          <w:color w:val="auto"/>
          <w:sz w:val="24"/>
          <w:szCs w:val="24"/>
          <w:highlight w:val="none"/>
          <w:u w:val="single"/>
          <w:lang w:eastAsia="zh-CN"/>
        </w:rPr>
      </w:pPr>
      <w:r>
        <w:rPr>
          <w:rFonts w:hint="eastAsia" w:ascii="宋体" w:hAnsi="宋体" w:cs="宋体"/>
          <w:color w:val="auto"/>
          <w:sz w:val="24"/>
          <w:szCs w:val="24"/>
          <w:highlight w:val="none"/>
        </w:rPr>
        <w:t>地址：</w:t>
      </w:r>
      <w:r>
        <w:rPr>
          <w:rFonts w:hint="eastAsia" w:ascii="宋体" w:hAnsi="宋体"/>
          <w:bCs/>
          <w:color w:val="auto"/>
          <w:sz w:val="24"/>
          <w:szCs w:val="24"/>
          <w:highlight w:val="none"/>
          <w:u w:val="single"/>
          <w:lang w:eastAsia="zh-CN"/>
        </w:rPr>
        <w:t>广州市流花路85号</w:t>
      </w:r>
    </w:p>
    <w:p w14:paraId="4D75E6D0">
      <w:pPr>
        <w:snapToGrid w:val="0"/>
        <w:spacing w:line="360" w:lineRule="auto"/>
        <w:ind w:firstLine="537" w:firstLineChars="224"/>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招标监督机构：</w:t>
      </w:r>
      <w:r>
        <w:rPr>
          <w:rFonts w:hint="eastAsia" w:ascii="宋体" w:hAnsi="宋体" w:cs="宋体"/>
          <w:color w:val="auto"/>
          <w:sz w:val="24"/>
          <w:szCs w:val="24"/>
          <w:highlight w:val="none"/>
          <w:u w:val="single"/>
        </w:rPr>
        <w:t>广州开发区建设工程招投标管理办公室（广州市黄埔区建设工程招投标管理办公室）</w:t>
      </w:r>
    </w:p>
    <w:p w14:paraId="172963F0">
      <w:pPr>
        <w:wordWrap w:val="0"/>
        <w:topLinePunct/>
        <w:snapToGrid w:val="0"/>
        <w:spacing w:line="360" w:lineRule="auto"/>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监督电话：</w:t>
      </w:r>
      <w:r>
        <w:rPr>
          <w:rFonts w:hint="eastAsia" w:ascii="宋体" w:hAnsi="宋体" w:cs="宋体"/>
          <w:color w:val="auto"/>
          <w:sz w:val="24"/>
          <w:highlight w:val="none"/>
          <w:u w:val="single"/>
        </w:rPr>
        <w:t>020-82112206、82116676</w:t>
      </w:r>
    </w:p>
    <w:p w14:paraId="3C027D11">
      <w:pPr>
        <w:wordWrap w:val="0"/>
        <w:topLinePunct/>
        <w:snapToGrid w:val="0"/>
        <w:spacing w:line="360" w:lineRule="auto"/>
        <w:ind w:firstLine="960" w:firstLineChars="400"/>
        <w:rPr>
          <w:rFonts w:ascii="宋体" w:hAnsi="宋体" w:cs="宋体"/>
          <w:color w:val="auto"/>
          <w:sz w:val="24"/>
          <w:szCs w:val="24"/>
          <w:highlight w:val="none"/>
          <w:u w:val="single"/>
        </w:rPr>
      </w:pPr>
      <w:r>
        <w:rPr>
          <w:rFonts w:hint="eastAsia" w:ascii="宋体" w:hAnsi="宋体" w:cs="宋体"/>
          <w:color w:val="auto"/>
          <w:sz w:val="24"/>
          <w:szCs w:val="24"/>
          <w:highlight w:val="none"/>
        </w:rPr>
        <w:t>地址：</w:t>
      </w:r>
      <w:r>
        <w:rPr>
          <w:rFonts w:hint="eastAsia" w:ascii="宋体" w:hAnsi="宋体" w:cs="宋体"/>
          <w:color w:val="auto"/>
          <w:sz w:val="24"/>
          <w:szCs w:val="24"/>
          <w:highlight w:val="none"/>
          <w:u w:val="single"/>
        </w:rPr>
        <w:t>广州黄埔区科学城水西路30号汇丽写字楼4楼</w:t>
      </w:r>
    </w:p>
    <w:p w14:paraId="0D193BCA">
      <w:pPr>
        <w:keepNext w:val="0"/>
        <w:keepLines w:val="0"/>
        <w:pageBreakBefore w:val="0"/>
        <w:widowControl w:val="0"/>
        <w:kinsoku/>
        <w:wordWrap/>
        <w:overflowPunct/>
        <w:topLinePunct w:val="0"/>
        <w:bidi w:val="0"/>
        <w:adjustRightInd/>
        <w:snapToGrid w:val="0"/>
        <w:spacing w:line="360" w:lineRule="auto"/>
        <w:ind w:firstLine="480" w:firstLineChars="200"/>
        <w:textAlignment w:val="auto"/>
        <w:rPr>
          <w:rFonts w:ascii="宋体" w:hAnsi="宋体" w:cs="宋体"/>
          <w:color w:val="auto"/>
          <w:sz w:val="24"/>
          <w:szCs w:val="24"/>
          <w:highlight w:val="none"/>
          <w:u w:val="single"/>
        </w:rPr>
      </w:pPr>
      <w:r>
        <w:rPr>
          <w:rFonts w:hint="eastAsia" w:ascii="宋体" w:hAnsi="宋体" w:cs="宋体"/>
          <w:color w:val="auto"/>
          <w:sz w:val="24"/>
          <w:szCs w:val="24"/>
          <w:highlight w:val="none"/>
        </w:rPr>
        <w:t>三、建设地点：</w:t>
      </w:r>
      <w:r>
        <w:rPr>
          <w:rFonts w:hint="eastAsia" w:ascii="宋体" w:hAnsi="宋体" w:cs="宋体"/>
          <w:color w:val="auto"/>
          <w:sz w:val="24"/>
          <w:szCs w:val="24"/>
          <w:highlight w:val="none"/>
          <w:u w:val="single"/>
        </w:rPr>
        <w:t>广州市黄埔区</w:t>
      </w:r>
    </w:p>
    <w:p w14:paraId="51343046">
      <w:pPr>
        <w:keepNext w:val="0"/>
        <w:keepLines w:val="0"/>
        <w:pageBreakBefore w:val="0"/>
        <w:widowControl w:val="0"/>
        <w:kinsoku/>
        <w:wordWrap/>
        <w:overflowPunct/>
        <w:topLinePunct w:val="0"/>
        <w:autoSpaceDE w:val="0"/>
        <w:autoSpaceDN w:val="0"/>
        <w:bidi w:val="0"/>
        <w:adjustRightInd/>
        <w:spacing w:line="360" w:lineRule="auto"/>
        <w:ind w:firstLine="480" w:firstLineChars="200"/>
        <w:textAlignment w:val="auto"/>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四、项目概况：</w:t>
      </w:r>
      <w:bookmarkStart w:id="0" w:name="OLE_LINK1"/>
      <w:r>
        <w:rPr>
          <w:rFonts w:hint="eastAsia" w:ascii="宋体" w:hAnsi="宋体" w:cs="宋体"/>
          <w:color w:val="auto"/>
          <w:sz w:val="24"/>
          <w:szCs w:val="24"/>
          <w:highlight w:val="none"/>
          <w:u w:val="single"/>
        </w:rPr>
        <w:t>本项目由镇龙变电站F8、镇龙变电站F30分别新敷10kV单回外线电缆至智达新能源#2开关房，电缆长度共10.18千米；新埋设电力排管长度约736米；新建智达新能源#2开关房内10kV电气设备及电气设施。项目总投资</w:t>
      </w:r>
      <w:r>
        <w:rPr>
          <w:rFonts w:hint="eastAsia" w:ascii="宋体" w:hAnsi="宋体" w:cs="宋体"/>
          <w:color w:val="auto"/>
          <w:sz w:val="24"/>
          <w:szCs w:val="24"/>
          <w:highlight w:val="none"/>
          <w:u w:val="single"/>
          <w:lang w:val="en-US" w:eastAsia="zh-CN"/>
        </w:rPr>
        <w:t>约1366</w:t>
      </w:r>
      <w:r>
        <w:rPr>
          <w:rFonts w:hint="eastAsia" w:ascii="宋体" w:hAnsi="宋体" w:cs="宋体"/>
          <w:color w:val="auto"/>
          <w:sz w:val="24"/>
          <w:szCs w:val="24"/>
          <w:highlight w:val="none"/>
          <w:u w:val="single"/>
        </w:rPr>
        <w:t>万元，其中：工程费用</w:t>
      </w:r>
      <w:r>
        <w:rPr>
          <w:rFonts w:hint="eastAsia" w:ascii="宋体" w:hAnsi="宋体" w:cs="宋体"/>
          <w:color w:val="auto"/>
          <w:sz w:val="24"/>
          <w:szCs w:val="24"/>
          <w:highlight w:val="none"/>
          <w:u w:val="single"/>
          <w:lang w:val="en-US" w:eastAsia="zh-CN"/>
        </w:rPr>
        <w:t>约1169</w:t>
      </w:r>
      <w:r>
        <w:rPr>
          <w:rFonts w:hint="eastAsia" w:ascii="宋体" w:hAnsi="宋体" w:cs="宋体"/>
          <w:color w:val="auto"/>
          <w:sz w:val="24"/>
          <w:szCs w:val="24"/>
          <w:highlight w:val="none"/>
          <w:u w:val="single"/>
        </w:rPr>
        <w:t>万元。</w:t>
      </w:r>
      <w:bookmarkEnd w:id="0"/>
    </w:p>
    <w:p w14:paraId="10ED0C65">
      <w:pPr>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五、标段划分及各标段招标内容、规模和最高投标限价：</w:t>
      </w:r>
    </w:p>
    <w:p w14:paraId="20BEC977">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1、本工程划分为</w:t>
      </w:r>
      <w:r>
        <w:rPr>
          <w:rFonts w:hint="eastAsia" w:ascii="宋体" w:hAnsi="宋体" w:cs="宋体"/>
          <w:color w:val="auto"/>
          <w:sz w:val="24"/>
          <w:szCs w:val="24"/>
          <w:highlight w:val="none"/>
          <w:u w:val="single"/>
        </w:rPr>
        <w:t>1</w:t>
      </w:r>
      <w:r>
        <w:rPr>
          <w:rFonts w:hint="eastAsia" w:ascii="宋体" w:hAnsi="宋体" w:cs="宋体"/>
          <w:color w:val="auto"/>
          <w:sz w:val="24"/>
          <w:szCs w:val="24"/>
          <w:highlight w:val="none"/>
        </w:rPr>
        <w:t>个标段。</w:t>
      </w:r>
    </w:p>
    <w:p w14:paraId="3186C79B">
      <w:pPr>
        <w:autoSpaceDN w:val="0"/>
        <w:snapToGrid w:val="0"/>
        <w:spacing w:line="360" w:lineRule="auto"/>
        <w:ind w:firstLine="480" w:firstLineChars="200"/>
        <w:rPr>
          <w:rFonts w:ascii="宋体" w:hAnsi="宋体" w:cs="宋体"/>
          <w:color w:val="auto"/>
          <w:sz w:val="24"/>
          <w:szCs w:val="24"/>
          <w:highlight w:val="none"/>
          <w:u w:val="single"/>
        </w:rPr>
      </w:pPr>
      <w:r>
        <w:rPr>
          <w:rFonts w:hint="eastAsia" w:ascii="宋体" w:hAnsi="宋体" w:cs="宋体"/>
          <w:color w:val="auto"/>
          <w:sz w:val="24"/>
          <w:szCs w:val="24"/>
          <w:highlight w:val="none"/>
        </w:rPr>
        <w:t>2、招标内容及规模：</w:t>
      </w:r>
      <w:r>
        <w:rPr>
          <w:rFonts w:hint="eastAsia" w:ascii="宋体" w:hAnsi="宋体" w:cs="宋体"/>
          <w:color w:val="auto"/>
          <w:sz w:val="24"/>
          <w:szCs w:val="24"/>
          <w:highlight w:val="none"/>
          <w:u w:val="single"/>
        </w:rPr>
        <w:t>本项目由镇龙变电站F8、镇龙变电站F30分别新敷10kV单回外线电缆至智达新能源#2开关房，电缆长度共10.18千米；新埋设电力排管长度约736米；新建智达新能源#2开关房内10kV电气设备及电气设施。具体以工程量清单及图纸为准。</w:t>
      </w:r>
      <w:bookmarkStart w:id="1" w:name="_GoBack"/>
    </w:p>
    <w:p w14:paraId="515F0887">
      <w:pPr>
        <w:snapToGrid w:val="0"/>
        <w:spacing w:line="360" w:lineRule="auto"/>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3、最高投标限价：</w:t>
      </w:r>
      <w:r>
        <w:rPr>
          <w:rFonts w:hint="eastAsia" w:ascii="宋体" w:hAnsi="宋体" w:cs="宋体"/>
          <w:color w:val="auto"/>
          <w:sz w:val="24"/>
          <w:szCs w:val="24"/>
          <w:highlight w:val="none"/>
          <w:u w:val="single"/>
          <w:lang w:val="en-US" w:eastAsia="zh-CN"/>
        </w:rPr>
        <w:t>11734625.35</w:t>
      </w:r>
      <w:r>
        <w:rPr>
          <w:rFonts w:hint="eastAsia" w:ascii="宋体" w:hAnsi="宋体" w:cs="宋体"/>
          <w:color w:val="auto"/>
          <w:sz w:val="24"/>
          <w:szCs w:val="24"/>
          <w:highlight w:val="none"/>
          <w:u w:val="single"/>
        </w:rPr>
        <w:t>元。本</w:t>
      </w:r>
      <w:bookmarkEnd w:id="1"/>
      <w:r>
        <w:rPr>
          <w:rFonts w:hint="eastAsia" w:ascii="宋体" w:hAnsi="宋体" w:cs="宋体"/>
          <w:color w:val="auto"/>
          <w:sz w:val="24"/>
          <w:szCs w:val="24"/>
          <w:highlight w:val="none"/>
          <w:u w:val="single"/>
        </w:rPr>
        <w:t>工程根据国家和省有关计价规范设置最高投标限价。详见招标人最终发出的《最高投标限价公布函》，投标价超过最高投标限价的投标文件将被拒绝。</w:t>
      </w:r>
    </w:p>
    <w:p w14:paraId="399766B4">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六、资金来源：</w:t>
      </w:r>
      <w:r>
        <w:rPr>
          <w:rFonts w:hint="eastAsia" w:ascii="宋体" w:hAnsi="宋体" w:cs="宋体"/>
          <w:color w:val="auto"/>
          <w:sz w:val="24"/>
          <w:szCs w:val="24"/>
          <w:highlight w:val="none"/>
          <w:u w:val="single"/>
        </w:rPr>
        <w:t>区财政资金</w:t>
      </w:r>
      <w:r>
        <w:rPr>
          <w:rFonts w:hint="eastAsia" w:ascii="宋体" w:hAnsi="宋体" w:cs="宋体"/>
          <w:color w:val="auto"/>
          <w:sz w:val="24"/>
          <w:szCs w:val="24"/>
          <w:highlight w:val="none"/>
        </w:rPr>
        <w:t>。</w:t>
      </w:r>
    </w:p>
    <w:p w14:paraId="41B76BB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注：政府投资项目一律不得以建筑业企业带资承包的方式进行建设。</w:t>
      </w:r>
    </w:p>
    <w:p w14:paraId="4C5D0B8C">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kern w:val="0"/>
          <w:sz w:val="24"/>
          <w:szCs w:val="24"/>
          <w:highlight w:val="none"/>
        </w:rPr>
        <w:t>七、</w:t>
      </w:r>
      <w:r>
        <w:rPr>
          <w:rFonts w:hint="eastAsia" w:ascii="宋体" w:hAnsi="宋体" w:cs="宋体"/>
          <w:color w:val="auto"/>
          <w:sz w:val="24"/>
          <w:szCs w:val="24"/>
          <w:highlight w:val="none"/>
        </w:rPr>
        <w:t>公告发布日期、递交投标文件时间与开标时间：</w:t>
      </w:r>
    </w:p>
    <w:p w14:paraId="642A4B41">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1、公告发布日期（含本日）：</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分至</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4918D5BE">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凡有意参加投标者，请登录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交易平台网站下载电子招标文件。</w:t>
      </w:r>
    </w:p>
    <w:p w14:paraId="50F5388E">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注：发布招标公告的时间为招标公告发出之日起至投标截止时间止。</w:t>
      </w:r>
    </w:p>
    <w:p w14:paraId="73C345A0">
      <w:pPr>
        <w:widowControl/>
        <w:snapToGrid w:val="0"/>
        <w:spacing w:line="360" w:lineRule="auto"/>
        <w:ind w:left="809" w:leftChars="214" w:hanging="360" w:hangingChars="150"/>
        <w:jc w:val="left"/>
        <w:rPr>
          <w:rFonts w:ascii="宋体" w:hAnsi="宋体" w:cs="宋体"/>
          <w:color w:val="auto"/>
          <w:sz w:val="24"/>
          <w:szCs w:val="24"/>
          <w:highlight w:val="none"/>
        </w:rPr>
      </w:pPr>
      <w:r>
        <w:rPr>
          <w:rFonts w:hint="eastAsia" w:ascii="宋体" w:hAnsi="宋体" w:cs="宋体"/>
          <w:color w:val="auto"/>
          <w:sz w:val="24"/>
          <w:szCs w:val="24"/>
          <w:highlight w:val="none"/>
        </w:rPr>
        <w:t>2、递交投标文件起始时间：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20475D4F">
      <w:pPr>
        <w:widowControl/>
        <w:snapToGrid w:val="0"/>
        <w:spacing w:line="360" w:lineRule="auto"/>
        <w:ind w:left="762" w:leftChars="363" w:firstLine="74" w:firstLineChars="31"/>
        <w:jc w:val="left"/>
        <w:rPr>
          <w:rFonts w:ascii="宋体" w:hAnsi="宋体" w:cs="宋体"/>
          <w:color w:val="auto"/>
          <w:sz w:val="24"/>
          <w:szCs w:val="24"/>
          <w:highlight w:val="none"/>
        </w:rPr>
      </w:pPr>
      <w:r>
        <w:rPr>
          <w:rFonts w:hint="eastAsia" w:ascii="宋体" w:hAnsi="宋体" w:cs="宋体"/>
          <w:color w:val="auto"/>
          <w:sz w:val="24"/>
          <w:szCs w:val="24"/>
          <w:highlight w:val="none"/>
        </w:rPr>
        <w:t>截止时间：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654EEA46">
      <w:pPr>
        <w:widowControl/>
        <w:snapToGrid w:val="0"/>
        <w:spacing w:line="360" w:lineRule="auto"/>
        <w:ind w:firstLine="480"/>
        <w:jc w:val="left"/>
        <w:rPr>
          <w:rFonts w:ascii="宋体" w:hAnsi="宋体" w:cs="宋体"/>
          <w:color w:val="auto"/>
          <w:sz w:val="24"/>
          <w:szCs w:val="24"/>
          <w:highlight w:val="none"/>
          <w:u w:val="single"/>
        </w:rPr>
      </w:pPr>
      <w:r>
        <w:rPr>
          <w:rFonts w:hint="eastAsia" w:ascii="宋体" w:hAnsi="宋体" w:cs="宋体"/>
          <w:color w:val="auto"/>
          <w:sz w:val="24"/>
          <w:szCs w:val="24"/>
          <w:highlight w:val="none"/>
        </w:rPr>
        <w:t>3、开标开始时间：</w:t>
      </w:r>
      <w:r>
        <w:rPr>
          <w:rFonts w:hint="eastAsia" w:ascii="宋体" w:hAnsi="宋体" w:cs="宋体"/>
          <w:color w:val="auto"/>
          <w:sz w:val="24"/>
          <w:szCs w:val="24"/>
          <w:highlight w:val="none"/>
          <w:u w:val="single"/>
        </w:rPr>
        <w:t>202</w:t>
      </w:r>
      <w:r>
        <w:rPr>
          <w:rFonts w:hint="eastAsia" w:ascii="宋体" w:hAnsi="宋体" w:cs="宋体"/>
          <w:color w:val="auto"/>
          <w:sz w:val="24"/>
          <w:szCs w:val="24"/>
          <w:highlight w:val="none"/>
          <w:u w:val="singl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分。</w:t>
      </w:r>
    </w:p>
    <w:p w14:paraId="5EA66E28">
      <w:pPr>
        <w:widowControl/>
        <w:snapToGrid w:val="0"/>
        <w:spacing w:line="360" w:lineRule="auto"/>
        <w:ind w:firstLine="480"/>
        <w:jc w:val="left"/>
        <w:rPr>
          <w:rFonts w:ascii="宋体" w:hAnsi="宋体" w:cs="宋体"/>
          <w:color w:val="auto"/>
          <w:sz w:val="24"/>
          <w:szCs w:val="24"/>
          <w:highlight w:val="none"/>
        </w:rPr>
      </w:pPr>
      <w:r>
        <w:rPr>
          <w:rFonts w:hint="eastAsia" w:ascii="宋体" w:hAnsi="宋体" w:cs="宋体"/>
          <w:color w:val="auto"/>
          <w:sz w:val="24"/>
          <w:szCs w:val="24"/>
          <w:highlight w:val="none"/>
        </w:rPr>
        <w:t>4、递交投标文件截止时间与开标时间是否有变化，请密切留意招标答疑中的相关信息。递交投标文件截止时间后，开标时间因故推迟的，相关评标信息仍以原递交投标文件截止时间的信息为准。</w:t>
      </w:r>
    </w:p>
    <w:p w14:paraId="359B6BB3">
      <w:pPr>
        <w:widowControl/>
        <w:snapToGrid w:val="0"/>
        <w:spacing w:line="360" w:lineRule="auto"/>
        <w:ind w:firstLine="417" w:firstLineChars="174"/>
        <w:jc w:val="left"/>
        <w:rPr>
          <w:rFonts w:ascii="宋体" w:hAnsi="宋体" w:cs="宋体"/>
          <w:color w:val="auto"/>
          <w:sz w:val="24"/>
          <w:szCs w:val="24"/>
          <w:highlight w:val="none"/>
        </w:rPr>
      </w:pPr>
      <w:r>
        <w:rPr>
          <w:rFonts w:hint="eastAsia" w:ascii="宋体" w:hAnsi="宋体" w:cs="宋体"/>
          <w:color w:val="auto"/>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57C27C60">
      <w:pPr>
        <w:widowControl/>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5、投标人通过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交易平台递交电子投标文件。投标人应在递交投标文件截止时间前，登录</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交易平台网站办理网上投标登记手续。按照交易平台关于全流程电子化项目的相关指南进行操作。详见：</w:t>
      </w:r>
      <w:r>
        <w:rPr>
          <w:rFonts w:hint="eastAsia" w:ascii="宋体" w:hAnsi="宋体" w:cs="宋体"/>
          <w:color w:val="auto"/>
          <w:sz w:val="24"/>
          <w:szCs w:val="24"/>
          <w:highlight w:val="none"/>
          <w:u w:val="single"/>
        </w:rPr>
        <w:t>广州交易集团有限公司（广州公共资源交易中心）最新指引</w:t>
      </w:r>
      <w:r>
        <w:rPr>
          <w:rFonts w:hint="eastAsia" w:ascii="宋体" w:hAnsi="宋体" w:cs="宋体"/>
          <w:color w:val="auto"/>
          <w:sz w:val="24"/>
          <w:szCs w:val="24"/>
          <w:highlight w:val="none"/>
        </w:rPr>
        <w:t xml:space="preserve">。 </w:t>
      </w:r>
    </w:p>
    <w:p w14:paraId="6515A0E4">
      <w:pPr>
        <w:snapToGrid w:val="0"/>
        <w:spacing w:line="360" w:lineRule="auto"/>
        <w:ind w:firstLine="537" w:firstLineChars="224"/>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6、投标担保：</w:t>
      </w:r>
      <w:r>
        <w:rPr>
          <w:rFonts w:hint="eastAsia" w:ascii="宋体" w:hAnsi="宋体" w:cs="宋体"/>
          <w:color w:val="auto"/>
          <w:sz w:val="24"/>
          <w:szCs w:val="24"/>
          <w:highlight w:val="none"/>
          <w:u w:val="single"/>
        </w:rPr>
        <w:t>本项目不收投标保证金。</w:t>
      </w:r>
    </w:p>
    <w:p w14:paraId="6DBD5921">
      <w:pPr>
        <w:snapToGrid w:val="0"/>
        <w:spacing w:line="360" w:lineRule="auto"/>
        <w:ind w:firstLine="537" w:firstLineChars="224"/>
        <w:rPr>
          <w:rFonts w:ascii="宋体" w:hAnsi="宋体" w:cs="宋体"/>
          <w:sz w:val="24"/>
          <w:szCs w:val="24"/>
          <w:highlight w:val="none"/>
        </w:rPr>
      </w:pPr>
      <w:r>
        <w:rPr>
          <w:rFonts w:hint="eastAsia" w:ascii="宋体" w:hAnsi="宋体" w:cs="宋体"/>
          <w:sz w:val="24"/>
          <w:szCs w:val="24"/>
          <w:highlight w:val="none"/>
          <w:u w:val="single"/>
          <w:lang w:val="en-US" w:eastAsia="zh-CN"/>
        </w:rPr>
        <w:t>7</w:t>
      </w:r>
      <w:r>
        <w:rPr>
          <w:rFonts w:hint="eastAsia" w:ascii="宋体" w:hAnsi="宋体" w:cs="宋体"/>
          <w:sz w:val="24"/>
          <w:szCs w:val="24"/>
          <w:highlight w:val="none"/>
          <w:u w:val="single"/>
        </w:rPr>
        <w:t>、在投标登记时，投标人应按要求在交易系统中填写《施工项目管理团队人员信息表》（详见招标文件），表中的项目管理团队人员信息作为投标文件的一部分，将由交易系统提取后供各相关单位在中标人履约时进行比对、查核。</w:t>
      </w:r>
    </w:p>
    <w:p w14:paraId="052E7B84">
      <w:pPr>
        <w:widowControl/>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八、招标文件获取方式：</w:t>
      </w:r>
    </w:p>
    <w:p w14:paraId="503A3016">
      <w:pPr>
        <w:widowControl/>
        <w:snapToGrid w:val="0"/>
        <w:spacing w:line="360" w:lineRule="auto"/>
        <w:ind w:firstLine="480" w:firstLineChars="200"/>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本项目招标文件随招标公告一并在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交易平台网站发布。招标文件</w:t>
      </w:r>
      <w:r>
        <w:rPr>
          <w:rFonts w:hint="eastAsia" w:ascii="宋体" w:hAnsi="宋体" w:cs="宋体"/>
          <w:color w:val="auto"/>
          <w:kern w:val="0"/>
          <w:sz w:val="24"/>
          <w:szCs w:val="24"/>
          <w:highlight w:val="none"/>
        </w:rPr>
        <w:t>一经在</w:t>
      </w:r>
      <w:r>
        <w:rPr>
          <w:rFonts w:hint="eastAsia" w:ascii="宋体" w:hAnsi="宋体" w:cs="宋体"/>
          <w:color w:val="auto"/>
          <w:sz w:val="24"/>
          <w:szCs w:val="24"/>
          <w:highlight w:val="none"/>
          <w:u w:val="single"/>
        </w:rPr>
        <w:t xml:space="preserve">广州交易集团有限公司（广州公共资源交易中心） </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发布，视为发售给投标人，招标文件由投标人自行在</w:t>
      </w:r>
      <w:r>
        <w:rPr>
          <w:rFonts w:hint="eastAsia" w:ascii="宋体" w:hAnsi="宋体" w:cs="宋体"/>
          <w:color w:val="auto"/>
          <w:sz w:val="24"/>
          <w:szCs w:val="24"/>
          <w:highlight w:val="none"/>
          <w:u w:val="single"/>
        </w:rPr>
        <w:t xml:space="preserve">广州交易集团有限公司（广州公共资源交易中心） </w:t>
      </w:r>
      <w:r>
        <w:rPr>
          <w:rFonts w:hint="eastAsia" w:ascii="宋体" w:hAnsi="宋体" w:cs="宋体"/>
          <w:color w:val="auto"/>
          <w:sz w:val="24"/>
          <w:szCs w:val="24"/>
          <w:highlight w:val="none"/>
        </w:rPr>
        <w:t>交易平台</w:t>
      </w:r>
      <w:r>
        <w:rPr>
          <w:rFonts w:hint="eastAsia" w:ascii="宋体" w:hAnsi="宋体" w:cs="宋体"/>
          <w:color w:val="auto"/>
          <w:kern w:val="0"/>
          <w:sz w:val="24"/>
          <w:szCs w:val="24"/>
          <w:highlight w:val="none"/>
        </w:rPr>
        <w:t>网站下载。</w:t>
      </w:r>
    </w:p>
    <w:p w14:paraId="4F5E3D28">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九、投标人合格条件：</w:t>
      </w:r>
    </w:p>
    <w:p w14:paraId="101F961F">
      <w:pPr>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1、投标人参加投标的意思表达清楚，投标人代表被授权有效。</w:t>
      </w:r>
    </w:p>
    <w:p w14:paraId="4C0BFE83">
      <w:pPr>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2、投标人均具有独立法人资格，按国家法律经营。</w:t>
      </w:r>
    </w:p>
    <w:p w14:paraId="68310FF6">
      <w:pPr>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3、投标人均持有建设行政主管部门颁发的</w:t>
      </w:r>
      <w:r>
        <w:rPr>
          <w:rFonts w:hint="eastAsia" w:ascii="宋体" w:hAnsi="宋体" w:cs="宋体"/>
          <w:color w:val="auto"/>
          <w:sz w:val="24"/>
          <w:szCs w:val="24"/>
          <w:highlight w:val="none"/>
          <w:u w:val="single"/>
        </w:rPr>
        <w:t>有效期内的</w:t>
      </w:r>
      <w:r>
        <w:rPr>
          <w:rFonts w:hint="eastAsia" w:ascii="宋体" w:hAnsi="宋体" w:cs="宋体"/>
          <w:color w:val="auto"/>
          <w:sz w:val="24"/>
          <w:szCs w:val="24"/>
          <w:highlight w:val="none"/>
        </w:rPr>
        <w:t>企业资质证书及安全生产许可证。</w:t>
      </w:r>
    </w:p>
    <w:p w14:paraId="6DEB2736">
      <w:pPr>
        <w:keepNext w:val="0"/>
        <w:keepLines w:val="0"/>
        <w:pageBreakBefore w:val="0"/>
        <w:widowControl w:val="0"/>
        <w:wordWrap/>
        <w:topLinePunct w:val="0"/>
        <w:autoSpaceDE/>
        <w:autoSpaceDN/>
        <w:bidi w:val="0"/>
        <w:adjustRightInd/>
        <w:snapToGrid w:val="0"/>
        <w:spacing w:line="360" w:lineRule="auto"/>
        <w:ind w:right="0" w:firstLine="537" w:firstLineChars="224"/>
        <w:textAlignment w:val="auto"/>
        <w:rPr>
          <w:rFonts w:ascii="宋体" w:hAnsi="宋体" w:cs="宋体"/>
          <w:i/>
          <w:color w:val="auto"/>
          <w:sz w:val="24"/>
          <w:szCs w:val="24"/>
          <w:highlight w:val="none"/>
        </w:rPr>
      </w:pPr>
      <w:r>
        <w:rPr>
          <w:rFonts w:hint="eastAsia" w:ascii="宋体" w:hAnsi="宋体" w:cs="宋体"/>
          <w:color w:val="auto"/>
          <w:sz w:val="24"/>
          <w:szCs w:val="24"/>
          <w:highlight w:val="none"/>
        </w:rPr>
        <w:t>4、投标人应</w:t>
      </w:r>
      <w:r>
        <w:rPr>
          <w:rFonts w:hint="eastAsia" w:ascii="宋体" w:hAnsi="宋体" w:eastAsia="宋体" w:cs="宋体"/>
          <w:color w:val="auto"/>
          <w:sz w:val="24"/>
          <w:szCs w:val="24"/>
          <w:highlight w:val="none"/>
          <w:u w:val="single"/>
        </w:rPr>
        <w:t>同时</w:t>
      </w:r>
      <w:r>
        <w:rPr>
          <w:rFonts w:hint="eastAsia" w:ascii="宋体" w:hAnsi="宋体" w:eastAsia="宋体" w:cs="宋体"/>
          <w:color w:val="auto"/>
          <w:sz w:val="24"/>
          <w:szCs w:val="24"/>
          <w:highlight w:val="none"/>
        </w:rPr>
        <w:t>具备以下</w:t>
      </w:r>
      <w:r>
        <w:rPr>
          <w:rFonts w:hint="eastAsia" w:ascii="宋体" w:hAnsi="宋体" w:eastAsia="宋体" w:cs="宋体"/>
          <w:color w:val="auto"/>
          <w:sz w:val="24"/>
          <w:szCs w:val="24"/>
          <w:highlight w:val="none"/>
          <w:u w:val="single"/>
        </w:rPr>
        <w:t>①和②</w:t>
      </w:r>
      <w:r>
        <w:rPr>
          <w:rFonts w:hint="eastAsia" w:ascii="宋体" w:hAnsi="宋体" w:eastAsia="宋体" w:cs="宋体"/>
          <w:color w:val="auto"/>
          <w:sz w:val="24"/>
          <w:szCs w:val="24"/>
          <w:highlight w:val="none"/>
        </w:rPr>
        <w:t>资质</w:t>
      </w:r>
      <w:r>
        <w:rPr>
          <w:rFonts w:hint="eastAsia" w:ascii="宋体" w:hAnsi="宋体" w:cs="宋体"/>
          <w:color w:val="auto"/>
          <w:sz w:val="24"/>
          <w:szCs w:val="24"/>
          <w:highlight w:val="none"/>
        </w:rPr>
        <w:t>：</w:t>
      </w:r>
    </w:p>
    <w:p w14:paraId="4DEBC67A">
      <w:pPr>
        <w:pStyle w:val="5"/>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pacing w:after="0" w:line="360" w:lineRule="auto"/>
        <w:ind w:left="0" w:right="0" w:firstLine="476" w:firstLineChars="200"/>
        <w:textAlignment w:val="auto"/>
        <w:rPr>
          <w:rFonts w:hint="eastAsia"/>
          <w:color w:val="auto"/>
          <w:spacing w:val="-1"/>
          <w:sz w:val="24"/>
          <w:highlight w:val="none"/>
        </w:rPr>
      </w:pPr>
      <w:r>
        <w:rPr>
          <w:rFonts w:hint="eastAsia"/>
          <w:color w:val="auto"/>
          <w:spacing w:val="-1"/>
          <w:sz w:val="24"/>
          <w:highlight w:val="none"/>
        </w:rPr>
        <w:t>①投标人具有承接本工程所需的电力工程施工总承包三级（或以上）资质，或输变电工程专业承包三级（或以上）资质，或建筑机电安装工程专业承包</w:t>
      </w:r>
      <w:r>
        <w:rPr>
          <w:rFonts w:hint="eastAsia"/>
          <w:color w:val="auto"/>
          <w:spacing w:val="-1"/>
          <w:sz w:val="24"/>
          <w:highlight w:val="none"/>
          <w:lang w:val="en-US" w:eastAsia="zh-CN"/>
        </w:rPr>
        <w:t>贰</w:t>
      </w:r>
      <w:r>
        <w:rPr>
          <w:rFonts w:hint="eastAsia"/>
          <w:color w:val="auto"/>
          <w:spacing w:val="-1"/>
          <w:sz w:val="24"/>
          <w:highlight w:val="none"/>
        </w:rPr>
        <w:t>级（或以上）资质；</w:t>
      </w:r>
    </w:p>
    <w:p w14:paraId="1594C66D">
      <w:pPr>
        <w:pStyle w:val="5"/>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pacing w:after="0" w:line="360" w:lineRule="auto"/>
        <w:ind w:left="0" w:right="0" w:firstLine="476" w:firstLineChars="200"/>
        <w:textAlignment w:val="auto"/>
        <w:rPr>
          <w:rFonts w:hint="eastAsia"/>
          <w:color w:val="auto"/>
          <w:spacing w:val="-1"/>
          <w:sz w:val="24"/>
          <w:highlight w:val="none"/>
        </w:rPr>
      </w:pPr>
      <w:r>
        <w:rPr>
          <w:rFonts w:hint="eastAsia"/>
          <w:color w:val="auto"/>
          <w:spacing w:val="-1"/>
          <w:sz w:val="24"/>
          <w:highlight w:val="none"/>
        </w:rPr>
        <w:t>②具备《承装(修、试)电力设施许可证》承装类</w:t>
      </w:r>
      <w:r>
        <w:rPr>
          <w:rFonts w:hint="eastAsia"/>
          <w:color w:val="auto"/>
          <w:spacing w:val="-1"/>
          <w:sz w:val="24"/>
          <w:highlight w:val="none"/>
          <w:lang w:val="en-US" w:eastAsia="zh-CN"/>
        </w:rPr>
        <w:t>五</w:t>
      </w:r>
      <w:r>
        <w:rPr>
          <w:rFonts w:hint="eastAsia"/>
          <w:color w:val="auto"/>
          <w:spacing w:val="-1"/>
          <w:sz w:val="24"/>
          <w:highlight w:val="none"/>
        </w:rPr>
        <w:t>级（或以上）资格。</w:t>
      </w:r>
    </w:p>
    <w:p w14:paraId="06E642BA">
      <w:pPr>
        <w:pStyle w:val="5"/>
        <w:keepNext w:val="0"/>
        <w:keepLines w:val="0"/>
        <w:pageBreakBefore w:val="0"/>
        <w:widowControl w:val="0"/>
        <w:tabs>
          <w:tab w:val="left" w:pos="7867"/>
          <w:tab w:val="left" w:pos="9071"/>
          <w:tab w:val="left" w:pos="9313"/>
        </w:tabs>
        <w:kinsoku w:val="0"/>
        <w:wordWrap/>
        <w:overflowPunct w:val="0"/>
        <w:topLinePunct w:val="0"/>
        <w:autoSpaceDE/>
        <w:autoSpaceDN/>
        <w:bidi w:val="0"/>
        <w:adjustRightInd/>
        <w:snapToGrid w:val="0"/>
        <w:spacing w:after="0" w:line="360" w:lineRule="auto"/>
        <w:ind w:right="0" w:firstLine="476" w:firstLineChars="200"/>
        <w:textAlignment w:val="auto"/>
        <w:rPr>
          <w:rFonts w:ascii="宋体" w:hAnsi="宋体" w:cs="宋体"/>
          <w:color w:val="auto"/>
          <w:sz w:val="24"/>
          <w:szCs w:val="24"/>
          <w:highlight w:val="none"/>
        </w:rPr>
      </w:pPr>
      <w:r>
        <w:rPr>
          <w:rFonts w:hint="eastAsia"/>
          <w:color w:val="auto"/>
          <w:spacing w:val="-1"/>
          <w:sz w:val="24"/>
          <w:highlight w:val="none"/>
        </w:rPr>
        <w:t>投标人拟担任本工程项目负责人的人员为：</w:t>
      </w:r>
      <w:r>
        <w:rPr>
          <w:rFonts w:hint="eastAsia"/>
          <w:color w:val="auto"/>
          <w:spacing w:val="-1"/>
          <w:sz w:val="24"/>
          <w:highlight w:val="none"/>
          <w:u w:val="single"/>
        </w:rPr>
        <w:t>机电工程</w:t>
      </w:r>
      <w:r>
        <w:rPr>
          <w:rFonts w:hint="eastAsia"/>
          <w:color w:val="auto"/>
          <w:spacing w:val="-1"/>
          <w:sz w:val="24"/>
          <w:highlight w:val="none"/>
        </w:rPr>
        <w:t>专业</w:t>
      </w:r>
      <w:r>
        <w:rPr>
          <w:rFonts w:hint="eastAsia"/>
          <w:color w:val="auto"/>
          <w:spacing w:val="-1"/>
          <w:sz w:val="24"/>
          <w:highlight w:val="none"/>
          <w:lang w:val="en-US" w:eastAsia="zh-CN"/>
        </w:rPr>
        <w:t>二</w:t>
      </w:r>
      <w:r>
        <w:rPr>
          <w:rFonts w:hint="eastAsia"/>
          <w:color w:val="auto"/>
          <w:spacing w:val="-1"/>
          <w:sz w:val="24"/>
          <w:highlight w:val="none"/>
        </w:rPr>
        <w:t>级</w:t>
      </w:r>
      <w:r>
        <w:rPr>
          <w:rFonts w:hint="eastAsia"/>
          <w:color w:val="auto"/>
          <w:spacing w:val="-1"/>
          <w:sz w:val="24"/>
          <w:highlight w:val="none"/>
          <w:lang w:val="en-US" w:eastAsia="zh-CN"/>
        </w:rPr>
        <w:t>或以上</w:t>
      </w:r>
      <w:r>
        <w:rPr>
          <w:rFonts w:hint="eastAsia"/>
          <w:color w:val="auto"/>
          <w:spacing w:val="-1"/>
          <w:sz w:val="24"/>
          <w:highlight w:val="none"/>
        </w:rPr>
        <w:t>注册建造师</w:t>
      </w:r>
    </w:p>
    <w:p w14:paraId="2E49C00C">
      <w:pPr>
        <w:snapToGrid w:val="0"/>
        <w:spacing w:line="360" w:lineRule="auto"/>
        <w:ind w:firstLine="537" w:firstLineChars="224"/>
        <w:rPr>
          <w:rFonts w:ascii="宋体" w:hAnsi="宋体"/>
          <w:color w:val="auto"/>
          <w:sz w:val="24"/>
          <w:highlight w:val="none"/>
        </w:rPr>
      </w:pPr>
      <w:r>
        <w:rPr>
          <w:rFonts w:hint="eastAsia" w:ascii="宋体" w:hAnsi="宋体"/>
          <w:color w:val="auto"/>
          <w:sz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建设工程企业资质延续有关事项的通知》（粤建许函〔2023〕820号）</w:t>
      </w:r>
      <w:r>
        <w:rPr>
          <w:rFonts w:hint="eastAsia" w:ascii="宋体" w:hAnsi="宋体"/>
          <w:color w:val="auto"/>
          <w:sz w:val="24"/>
          <w:szCs w:val="24"/>
          <w:highlight w:val="none"/>
        </w:rPr>
        <w:t>、《广东省住房和城乡建设厅关于做好有关建设工程企业资质证书换领工作的通知》（粤建许函〔2024〕124号）</w:t>
      </w:r>
      <w:r>
        <w:rPr>
          <w:rFonts w:hint="eastAsia" w:ascii="宋体" w:hAnsi="宋体"/>
          <w:color w:val="auto"/>
          <w:sz w:val="24"/>
          <w:highlight w:val="none"/>
        </w:rPr>
        <w:t>等相关规定。根据上述文件的要求，投标人需办理企业资质有效期延续的，应当按照相关规定及时办理。</w:t>
      </w:r>
    </w:p>
    <w:p w14:paraId="5085FC08">
      <w:pPr>
        <w:snapToGrid w:val="0"/>
        <w:spacing w:line="360" w:lineRule="auto"/>
        <w:ind w:firstLine="517" w:firstLineChars="224"/>
        <w:rPr>
          <w:rFonts w:ascii="宋体" w:hAnsi="宋体"/>
          <w:color w:val="auto"/>
          <w:sz w:val="24"/>
          <w:highlight w:val="none"/>
          <w:u w:val="single"/>
        </w:rPr>
      </w:pPr>
      <w:r>
        <w:rPr>
          <w:rFonts w:hint="eastAsia" w:ascii="宋体" w:hAnsi="宋体"/>
          <w:b/>
          <w:bCs/>
          <w:color w:val="auto"/>
          <w:spacing w:val="-5"/>
          <w:sz w:val="24"/>
          <w:szCs w:val="24"/>
          <w:highlight w:val="none"/>
          <w:u w:val="single"/>
        </w:rPr>
        <w:t>相关注意事项如下</w:t>
      </w:r>
      <w:r>
        <w:rPr>
          <w:rFonts w:hint="eastAsia" w:ascii="宋体" w:hAnsi="宋体"/>
          <w:color w:val="auto"/>
          <w:spacing w:val="-5"/>
          <w:sz w:val="24"/>
          <w:szCs w:val="24"/>
          <w:highlight w:val="none"/>
          <w:u w:val="single"/>
        </w:rPr>
        <w:t>：</w:t>
      </w:r>
      <w:r>
        <w:rPr>
          <w:rFonts w:hint="eastAsia" w:ascii="宋体" w:hAnsi="宋体"/>
          <w:color w:val="auto"/>
          <w:sz w:val="24"/>
          <w:highlight w:val="none"/>
          <w:u w:val="single"/>
        </w:rPr>
        <w:t>（一）投标人按照上述规定办理了资质延期或换领新证，在投标截止前已取得新证的，投标人须在投标文件中提供经核准延期后的新资质证书。</w:t>
      </w:r>
    </w:p>
    <w:p w14:paraId="0205C02D">
      <w:pPr>
        <w:snapToGrid w:val="0"/>
        <w:spacing w:line="360" w:lineRule="auto"/>
        <w:ind w:firstLine="537" w:firstLineChars="224"/>
        <w:rPr>
          <w:rFonts w:ascii="宋体" w:hAnsi="宋体"/>
          <w:color w:val="auto"/>
          <w:sz w:val="24"/>
          <w:highlight w:val="none"/>
          <w:u w:val="single"/>
        </w:rPr>
      </w:pPr>
      <w:r>
        <w:rPr>
          <w:rFonts w:hint="eastAsia" w:ascii="宋体" w:hAnsi="宋体"/>
          <w:color w:val="auto"/>
          <w:sz w:val="24"/>
          <w:highlight w:val="none"/>
          <w:u w:val="single"/>
        </w:rPr>
        <w:t>（二）投标人按照上述规定办理了资质延期或换领新证，在投标截止前未取得新证的，以中华人民共和国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w:t>
      </w:r>
    </w:p>
    <w:p w14:paraId="2188696D">
      <w:pPr>
        <w:snapToGrid w:val="0"/>
        <w:spacing w:line="360" w:lineRule="auto"/>
        <w:ind w:firstLine="537" w:firstLineChars="224"/>
        <w:rPr>
          <w:rFonts w:ascii="宋体" w:hAnsi="宋体"/>
          <w:color w:val="auto"/>
          <w:sz w:val="24"/>
          <w:highlight w:val="none"/>
          <w:u w:val="single"/>
        </w:rPr>
      </w:pPr>
      <w:r>
        <w:rPr>
          <w:rFonts w:hint="eastAsia" w:ascii="宋体" w:hAnsi="宋体"/>
          <w:color w:val="auto"/>
          <w:sz w:val="24"/>
          <w:highlight w:val="none"/>
          <w:u w:val="single"/>
        </w:rPr>
        <w:t>（三）投标人未提供有效期内的资质证书或未按第（二）款要求提供相关证明资料的，评标委员会将书面发出澄清通知，要求其提供申请资质延续的相关证明资料（如三库一平台提交申请截图或申请回执等）或核准延期后的新资质证书或其他相关证明资料。如未能按本款要求提供相关证明资料的投标人，视为资质已失效，不通过资格审查。</w:t>
      </w:r>
    </w:p>
    <w:p w14:paraId="1CF1FB18">
      <w:pPr>
        <w:snapToGrid w:val="0"/>
        <w:spacing w:line="360" w:lineRule="auto"/>
        <w:ind w:firstLine="537" w:firstLineChars="224"/>
        <w:rPr>
          <w:color w:val="auto"/>
          <w:sz w:val="24"/>
          <w:highlight w:val="none"/>
          <w:u w:val="single"/>
        </w:rPr>
      </w:pPr>
      <w:r>
        <w:rPr>
          <w:rFonts w:hint="eastAsia" w:ascii="宋体" w:hAnsi="宋体"/>
          <w:color w:val="auto"/>
          <w:sz w:val="24"/>
          <w:highlight w:val="none"/>
          <w:u w:val="single"/>
        </w:rPr>
        <w:t>（四）根据资质证书批准延续后企业方能承接相关资质范围内的工程的原则，在发放中标通知书前，中标人尚未取得资质有效期延续核准的，招标人将核查其企业资质有效期延续情况，或按照《中华人民共和国招标投标法实施条例》第五十六条规定的程序对中标人进行履约能力审查，中标人可依法答辩。</w:t>
      </w:r>
    </w:p>
    <w:p w14:paraId="7890EAA3">
      <w:pPr>
        <w:snapToGrid w:val="0"/>
        <w:spacing w:line="360" w:lineRule="auto"/>
        <w:ind w:firstLine="537" w:firstLineChars="224"/>
        <w:rPr>
          <w:color w:val="auto"/>
          <w:sz w:val="24"/>
          <w:highlight w:val="none"/>
          <w:u w:val="single"/>
        </w:rPr>
      </w:pPr>
      <w:r>
        <w:rPr>
          <w:rFonts w:hint="eastAsia"/>
          <w:color w:val="auto"/>
          <w:sz w:val="24"/>
          <w:highlight w:val="none"/>
          <w:u w:val="single"/>
        </w:rPr>
        <w:t>②根据</w:t>
      </w:r>
      <w:r>
        <w:rPr>
          <w:rFonts w:hint="eastAsia" w:ascii="宋体" w:hAnsi="宋体"/>
          <w:color w:val="auto"/>
          <w:sz w:val="24"/>
          <w:highlight w:val="none"/>
          <w:u w:val="single"/>
        </w:rPr>
        <w:t>《住房和城乡建设部办公厅关于全面实行一级建造师电子注册证书的通知》（建办市〔2021〕40号），自2022年1月1日起，一级建造</w:t>
      </w:r>
      <w:r>
        <w:rPr>
          <w:rFonts w:hint="eastAsia"/>
          <w:color w:val="auto"/>
          <w:sz w:val="24"/>
          <w:highlight w:val="none"/>
          <w:u w:val="singl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F4AAE33">
      <w:pPr>
        <w:snapToGrid w:val="0"/>
        <w:spacing w:line="360" w:lineRule="auto"/>
        <w:ind w:firstLine="537" w:firstLineChars="224"/>
        <w:rPr>
          <w:color w:val="auto"/>
          <w:sz w:val="24"/>
          <w:highlight w:val="none"/>
          <w:u w:val="single"/>
        </w:rPr>
      </w:pPr>
      <w:r>
        <w:rPr>
          <w:rFonts w:hint="eastAsia"/>
          <w:color w:val="auto"/>
          <w:sz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D1D2666">
      <w:pPr>
        <w:pStyle w:val="5"/>
        <w:kinsoku w:val="0"/>
        <w:overflowPunct w:val="0"/>
        <w:snapToGrid w:val="0"/>
        <w:spacing w:after="0" w:line="360" w:lineRule="auto"/>
        <w:ind w:right="-212" w:rightChars="-101" w:firstLine="400" w:firstLineChars="174"/>
        <w:rPr>
          <w:rFonts w:ascii="宋体" w:hAnsi="宋体"/>
          <w:color w:val="auto"/>
          <w:spacing w:val="-5"/>
          <w:sz w:val="24"/>
          <w:szCs w:val="24"/>
          <w:highlight w:val="none"/>
          <w:u w:val="single"/>
        </w:rPr>
      </w:pPr>
      <w:r>
        <w:rPr>
          <w:rFonts w:hint="eastAsia" w:ascii="宋体" w:hAnsi="宋体"/>
          <w:color w:val="auto"/>
          <w:spacing w:val="-5"/>
          <w:sz w:val="24"/>
          <w:szCs w:val="24"/>
          <w:highlight w:val="none"/>
          <w:u w:val="singl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22D42206">
      <w:pPr>
        <w:numPr>
          <w:ilvl w:val="0"/>
          <w:numId w:val="1"/>
        </w:numPr>
        <w:snapToGrid w:val="0"/>
        <w:spacing w:line="360" w:lineRule="auto"/>
        <w:ind w:firstLine="480" w:firstLineChars="200"/>
        <w:rPr>
          <w:rFonts w:ascii="宋体" w:hAnsi="宋体" w:cs="宋体"/>
          <w:color w:val="auto"/>
          <w:sz w:val="24"/>
          <w:szCs w:val="24"/>
          <w:highlight w:val="none"/>
        </w:rPr>
      </w:pPr>
      <w:r>
        <w:rPr>
          <w:rFonts w:hint="eastAsia" w:ascii="宋体" w:hAnsi="宋体"/>
          <w:color w:val="auto"/>
          <w:sz w:val="24"/>
          <w:szCs w:val="24"/>
          <w:highlight w:val="none"/>
        </w:rPr>
        <w:t>项目负责人持有</w:t>
      </w:r>
      <w:r>
        <w:rPr>
          <w:rFonts w:hint="eastAsia" w:ascii="宋体" w:hAnsi="宋体"/>
          <w:color w:val="auto"/>
          <w:sz w:val="24"/>
          <w:szCs w:val="24"/>
          <w:highlight w:val="none"/>
          <w:u w:val="single"/>
        </w:rPr>
        <w:t>有效期内的</w:t>
      </w:r>
      <w:r>
        <w:rPr>
          <w:rFonts w:hint="eastAsia" w:ascii="宋体" w:hAnsi="宋体"/>
          <w:color w:val="auto"/>
          <w:sz w:val="24"/>
          <w:szCs w:val="24"/>
          <w:highlight w:val="none"/>
        </w:rPr>
        <w:t>安全生产考核合格证（B类）或建筑施工企业项目负责人安全生产考核合格证书。</w:t>
      </w:r>
    </w:p>
    <w:p w14:paraId="5EA4B848">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注：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p>
    <w:p w14:paraId="699A7618">
      <w:pPr>
        <w:pStyle w:val="19"/>
        <w:snapToGrid w:val="0"/>
        <w:ind w:firstLine="480" w:firstLineChars="20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6、投标人拟担任本工程技术负责人的资格要求为：</w:t>
      </w:r>
      <w:r>
        <w:rPr>
          <w:rFonts w:hint="eastAsia" w:ascii="宋体" w:hAnsi="宋体" w:eastAsia="宋体" w:cs="宋体"/>
          <w:color w:val="auto"/>
          <w:sz w:val="24"/>
          <w:szCs w:val="24"/>
          <w:highlight w:val="none"/>
          <w:u w:val="single"/>
          <w:lang w:val="en-US" w:eastAsia="zh-CN"/>
        </w:rPr>
        <w:t>机电类或电气类</w:t>
      </w:r>
      <w:r>
        <w:rPr>
          <w:rFonts w:hint="eastAsia" w:ascii="宋体" w:hAnsi="宋体" w:eastAsia="宋体" w:cs="宋体"/>
          <w:color w:val="auto"/>
          <w:sz w:val="24"/>
          <w:szCs w:val="24"/>
          <w:highlight w:val="none"/>
          <w:u w:val="single"/>
        </w:rPr>
        <w:t>相关专业中级工程师或以上技术职称。</w:t>
      </w:r>
    </w:p>
    <w:p w14:paraId="6BB285E1">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7、</w:t>
      </w:r>
      <w:r>
        <w:rPr>
          <w:rFonts w:hint="eastAsia" w:ascii="宋体" w:hAnsi="宋体"/>
          <w:color w:val="auto"/>
          <w:sz w:val="24"/>
          <w:szCs w:val="24"/>
          <w:highlight w:val="none"/>
        </w:rPr>
        <w:t>专职安全员须具有</w:t>
      </w:r>
      <w:r>
        <w:rPr>
          <w:rFonts w:hint="eastAsia" w:ascii="宋体" w:hAnsi="宋体"/>
          <w:color w:val="auto"/>
          <w:sz w:val="24"/>
          <w:szCs w:val="24"/>
          <w:highlight w:val="none"/>
          <w:u w:val="single"/>
        </w:rPr>
        <w:t>有效期内的</w:t>
      </w:r>
      <w:r>
        <w:rPr>
          <w:rFonts w:hint="eastAsia" w:ascii="宋体" w:hAnsi="宋体"/>
          <w:color w:val="auto"/>
          <w:sz w:val="24"/>
          <w:szCs w:val="24"/>
          <w:highlight w:val="none"/>
        </w:rPr>
        <w:t>安全生产考核合格证（C类）或建筑施工企业专职安全生产管理人员安全生产考核合格证书（C3）</w:t>
      </w:r>
      <w:r>
        <w:rPr>
          <w:rFonts w:hint="eastAsia" w:ascii="宋体" w:hAnsi="宋体" w:cs="宋体"/>
          <w:color w:val="auto"/>
          <w:kern w:val="0"/>
          <w:sz w:val="24"/>
          <w:szCs w:val="24"/>
          <w:highlight w:val="none"/>
        </w:rPr>
        <w:t>。</w:t>
      </w:r>
    </w:p>
    <w:p w14:paraId="39C025AF">
      <w:pPr>
        <w:snapToGrid w:val="0"/>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color w:val="auto"/>
          <w:kern w:val="0"/>
          <w:sz w:val="24"/>
          <w:szCs w:val="24"/>
          <w:highlight w:val="none"/>
        </w:rPr>
        <w:t>。</w:t>
      </w:r>
    </w:p>
    <w:p w14:paraId="26425A62">
      <w:pPr>
        <w:snapToGrid w:val="0"/>
        <w:spacing w:line="360" w:lineRule="auto"/>
        <w:ind w:firstLine="537" w:firstLineChars="224"/>
        <w:rPr>
          <w:rFonts w:ascii="宋体" w:hAnsi="宋体" w:cs="宋体"/>
          <w:strike/>
          <w:color w:val="auto"/>
          <w:sz w:val="24"/>
          <w:szCs w:val="24"/>
          <w:highlight w:val="none"/>
        </w:rPr>
      </w:pPr>
      <w:r>
        <w:rPr>
          <w:rFonts w:hint="eastAsia" w:ascii="宋体" w:hAnsi="宋体" w:cs="宋体"/>
          <w:color w:val="auto"/>
          <w:kern w:val="0"/>
          <w:sz w:val="24"/>
          <w:szCs w:val="24"/>
          <w:highlight w:val="none"/>
        </w:rPr>
        <w:t>8</w:t>
      </w:r>
      <w:r>
        <w:rPr>
          <w:rFonts w:hint="eastAsia" w:ascii="宋体" w:hAnsi="宋体" w:cs="宋体"/>
          <w:color w:val="auto"/>
          <w:sz w:val="24"/>
          <w:szCs w:val="24"/>
          <w:highlight w:val="none"/>
        </w:rPr>
        <w:t xml:space="preserve">、投标人已按照附件一的内容签署盖章的投标人声明。 </w:t>
      </w:r>
    </w:p>
    <w:p w14:paraId="09A620E2">
      <w:pPr>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9、关于联合体投标：</w:t>
      </w:r>
      <w:r>
        <w:rPr>
          <w:rFonts w:hint="eastAsia" w:ascii="宋体" w:hAnsi="宋体" w:cs="宋体"/>
          <w:color w:val="auto"/>
          <w:sz w:val="24"/>
          <w:szCs w:val="24"/>
          <w:highlight w:val="none"/>
          <w:u w:val="single"/>
        </w:rPr>
        <w:t>本项目</w:t>
      </w:r>
      <w:r>
        <w:rPr>
          <w:rFonts w:hint="eastAsia" w:ascii="宋体" w:hAnsi="宋体" w:cs="宋体"/>
          <w:b/>
          <w:bCs/>
          <w:color w:val="auto"/>
          <w:sz w:val="24"/>
          <w:szCs w:val="24"/>
          <w:highlight w:val="none"/>
          <w:u w:val="single"/>
        </w:rPr>
        <w:t>不接受</w:t>
      </w:r>
      <w:r>
        <w:rPr>
          <w:rFonts w:hint="eastAsia" w:ascii="宋体" w:hAnsi="宋体" w:cs="宋体"/>
          <w:color w:val="auto"/>
          <w:sz w:val="24"/>
          <w:szCs w:val="24"/>
          <w:highlight w:val="none"/>
          <w:u w:val="single"/>
        </w:rPr>
        <w:t>联合体投标</w:t>
      </w:r>
      <w:r>
        <w:rPr>
          <w:rFonts w:hint="eastAsia" w:ascii="宋体" w:hAnsi="宋体" w:cs="宋体"/>
          <w:color w:val="auto"/>
          <w:sz w:val="24"/>
          <w:szCs w:val="24"/>
          <w:highlight w:val="none"/>
        </w:rPr>
        <w:t>。</w:t>
      </w:r>
    </w:p>
    <w:p w14:paraId="4052719E">
      <w:pPr>
        <w:snapToGrid w:val="0"/>
        <w:spacing w:line="360" w:lineRule="auto"/>
        <w:ind w:firstLine="537" w:firstLineChars="224"/>
        <w:rPr>
          <w:rFonts w:hint="eastAsia" w:ascii="宋体" w:hAnsi="宋体"/>
          <w:color w:val="auto"/>
          <w:sz w:val="24"/>
          <w:highlight w:val="none"/>
          <w:u w:val="single"/>
        </w:rPr>
      </w:pPr>
      <w:r>
        <w:rPr>
          <w:rFonts w:hint="eastAsia" w:ascii="宋体" w:hAnsi="宋体" w:cs="宋体"/>
          <w:color w:val="auto"/>
          <w:sz w:val="24"/>
          <w:szCs w:val="24"/>
          <w:highlight w:val="none"/>
        </w:rPr>
        <w:t>10、</w:t>
      </w:r>
      <w:r>
        <w:rPr>
          <w:rFonts w:hint="eastAsia" w:ascii="宋体" w:hAnsi="宋体"/>
          <w:color w:val="auto"/>
          <w:sz w:val="24"/>
          <w:highlight w:val="none"/>
          <w:u w:val="single"/>
        </w:rPr>
        <w:t>资格审查前，投标人须在广州市住建行业信用管理平台建立企业信用档案及拟担任本工程项目负责人、专职安全员须是本企业信用档案中的在册人员。企业信用档案取自递交资格预审申请文件截止时间投标人在信用管理平台的信息，投标人无需提交相关资料，若招标人延长递交投标文件截止时间的，信用档案信息的评审时点也相应延长。（信用档案办理详见《广州市住建行业信用管理平台施工企业信息录入指引》</w:t>
      </w:r>
    </w:p>
    <w:p w14:paraId="433C7FFA">
      <w:pPr>
        <w:snapToGrid w:val="0"/>
        <w:spacing w:line="360" w:lineRule="auto"/>
        <w:ind w:firstLine="537" w:firstLineChars="224"/>
        <w:rPr>
          <w:rFonts w:ascii="宋体" w:hAnsi="宋体" w:cs="宋体"/>
          <w:color w:val="auto"/>
          <w:sz w:val="24"/>
          <w:szCs w:val="24"/>
          <w:highlight w:val="none"/>
        </w:rPr>
      </w:pPr>
      <w:r>
        <w:rPr>
          <w:rFonts w:hint="eastAsia" w:ascii="宋体" w:hAnsi="宋体"/>
          <w:color w:val="auto"/>
          <w:sz w:val="24"/>
          <w:highlight w:val="none"/>
          <w:u w:val="single"/>
        </w:rPr>
        <w:t>http://zfcj.gz.gov.cn/zwgk/zsdwxxgkzl/gzsjzyglfwzx/bszy/content/post_8484886.html</w:t>
      </w:r>
      <w:r>
        <w:rPr>
          <w:rFonts w:hint="eastAsia" w:ascii="宋体" w:hAnsi="宋体" w:cs="宋体"/>
          <w:color w:val="auto"/>
          <w:sz w:val="24"/>
          <w:szCs w:val="24"/>
          <w:highlight w:val="none"/>
        </w:rPr>
        <w:t>。</w:t>
      </w:r>
    </w:p>
    <w:p w14:paraId="1D0AF8BE">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人未出现以下情形：与其他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color w:val="auto"/>
          <w:sz w:val="24"/>
          <w:szCs w:val="24"/>
          <w:highlight w:val="none"/>
          <w:u w:val="single"/>
        </w:rPr>
        <w:t>均按不符合投标人合格条件处理</w:t>
      </w:r>
      <w:r>
        <w:rPr>
          <w:rFonts w:hint="eastAsia" w:ascii="宋体" w:hAnsi="宋体" w:cs="宋体"/>
          <w:color w:val="auto"/>
          <w:sz w:val="24"/>
          <w:szCs w:val="24"/>
          <w:highlight w:val="none"/>
        </w:rPr>
        <w:t>。</w:t>
      </w:r>
    </w:p>
    <w:p w14:paraId="197EF0F8">
      <w:pPr>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w:t>
      </w:r>
      <w:r>
        <w:rPr>
          <w:rFonts w:hint="eastAsia" w:ascii="宋体" w:hAnsi="宋体"/>
          <w:color w:val="auto"/>
          <w:sz w:val="24"/>
          <w:highlight w:val="none"/>
        </w:rPr>
        <w:t>投标人</w:t>
      </w:r>
      <w:r>
        <w:rPr>
          <w:rFonts w:hint="eastAsia" w:ascii="宋体" w:hAnsi="宋体" w:cs="宋体"/>
          <w:color w:val="auto"/>
          <w:sz w:val="24"/>
          <w:szCs w:val="24"/>
          <w:highlight w:val="none"/>
        </w:rPr>
        <w:t>未被列入拖欠农民工工资失信联合惩戒对象名单。</w:t>
      </w:r>
      <w:r>
        <w:rPr>
          <w:rFonts w:hint="eastAsia" w:ascii="宋体" w:hAnsi="宋体" w:cs="宋体"/>
          <w:color w:val="auto"/>
          <w:sz w:val="24"/>
          <w:szCs w:val="24"/>
          <w:highlight w:val="none"/>
          <w:u w:val="single"/>
        </w:rPr>
        <w:t>注：投标人无需提供资料，资格审查时，按广州交易集团有限公司（广州公共资源交易中心）交易系统比对的结果进行评审</w:t>
      </w:r>
      <w:r>
        <w:rPr>
          <w:rFonts w:hint="eastAsia" w:ascii="宋体" w:hAnsi="宋体" w:cs="宋体"/>
          <w:color w:val="auto"/>
          <w:sz w:val="24"/>
          <w:szCs w:val="24"/>
          <w:highlight w:val="none"/>
        </w:rPr>
        <w:t>。</w:t>
      </w:r>
    </w:p>
    <w:p w14:paraId="7596460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注：</w:t>
      </w:r>
      <w:r>
        <w:rPr>
          <w:rFonts w:hint="eastAsia" w:ascii="宋体" w:hAnsi="宋体"/>
          <w:color w:val="auto"/>
          <w:sz w:val="24"/>
          <w:highlight w:val="none"/>
        </w:rPr>
        <w:t>未在招标公告第九条单列的资审合格条件</w:t>
      </w:r>
      <w:r>
        <w:rPr>
          <w:rFonts w:hint="eastAsia" w:ascii="宋体" w:hAnsi="宋体"/>
          <w:color w:val="auto"/>
          <w:sz w:val="24"/>
          <w:highlight w:val="none"/>
          <w:u w:val="single"/>
        </w:rPr>
        <w:t>（投标人合格条件）</w:t>
      </w:r>
      <w:r>
        <w:rPr>
          <w:rFonts w:hint="eastAsia" w:ascii="宋体" w:hAnsi="宋体"/>
          <w:color w:val="auto"/>
          <w:sz w:val="24"/>
          <w:highlight w:val="none"/>
        </w:rPr>
        <w:t>，不作为资审不合格的依据</w:t>
      </w:r>
      <w:r>
        <w:rPr>
          <w:rFonts w:hint="eastAsia" w:ascii="宋体" w:hAnsi="宋体" w:cs="宋体"/>
          <w:color w:val="auto"/>
          <w:sz w:val="24"/>
          <w:szCs w:val="24"/>
          <w:highlight w:val="none"/>
        </w:rPr>
        <w:t>。</w:t>
      </w:r>
    </w:p>
    <w:p w14:paraId="5B407C32">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十、资格审查方式：</w:t>
      </w:r>
    </w:p>
    <w:p w14:paraId="26347501">
      <w:pPr>
        <w:widowControl/>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本工程采用资格后审方式，由评标委员会负责资格审查</w:t>
      </w:r>
      <w:r>
        <w:rPr>
          <w:rFonts w:hint="eastAsia" w:ascii="宋体" w:hAnsi="宋体" w:cs="宋体"/>
          <w:color w:val="auto"/>
          <w:sz w:val="24"/>
          <w:szCs w:val="24"/>
          <w:highlight w:val="none"/>
          <w:u w:val="single"/>
        </w:rPr>
        <w:t>及评标工作</w:t>
      </w:r>
      <w:r>
        <w:rPr>
          <w:rFonts w:hint="eastAsia" w:ascii="宋体" w:hAnsi="宋体" w:cs="宋体"/>
          <w:color w:val="auto"/>
          <w:sz w:val="24"/>
          <w:szCs w:val="24"/>
          <w:highlight w:val="none"/>
        </w:rPr>
        <w:t>。</w:t>
      </w:r>
    </w:p>
    <w:p w14:paraId="702C287F">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 xml:space="preserve">    十一、资格审查结果将在</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交易平台和广东省招标投标监管网公示，</w:t>
      </w:r>
      <w:r>
        <w:rPr>
          <w:rFonts w:hint="eastAsia" w:ascii="宋体" w:hAnsi="宋体" w:cs="宋体"/>
          <w:bCs/>
          <w:color w:val="auto"/>
          <w:sz w:val="24"/>
          <w:szCs w:val="24"/>
          <w:highlight w:val="none"/>
        </w:rPr>
        <w:t>公示时间不得少于3日。</w:t>
      </w:r>
    </w:p>
    <w:p w14:paraId="2F49D999">
      <w:pPr>
        <w:snapToGrid w:val="0"/>
        <w:spacing w:line="360" w:lineRule="auto"/>
        <w:ind w:firstLine="480"/>
        <w:rPr>
          <w:rFonts w:ascii="宋体" w:hAnsi="宋体" w:cs="宋体"/>
          <w:color w:val="auto"/>
          <w:sz w:val="24"/>
          <w:szCs w:val="24"/>
          <w:highlight w:val="none"/>
          <w:u w:val="single"/>
        </w:rPr>
      </w:pPr>
      <w:r>
        <w:rPr>
          <w:rFonts w:hint="eastAsia" w:ascii="宋体" w:hAnsi="宋体" w:cs="宋体"/>
          <w:color w:val="auto"/>
          <w:sz w:val="24"/>
          <w:szCs w:val="24"/>
          <w:highlight w:val="none"/>
        </w:rPr>
        <w:t>十二、</w:t>
      </w:r>
      <w:r>
        <w:rPr>
          <w:rFonts w:hint="eastAsia" w:ascii="宋体" w:hAnsi="宋体"/>
          <w:color w:val="auto"/>
          <w:sz w:val="24"/>
          <w:highlight w:val="none"/>
        </w:rPr>
        <w:t>满足资格审查合格条件的投标人不足 3 名或通过有效性审查的投标人不足3名时为招标失败。招标人分析招标失败原因，修正招标方案，重新组织招标</w:t>
      </w:r>
      <w:r>
        <w:rPr>
          <w:rFonts w:hint="eastAsia" w:ascii="宋体" w:hAnsi="宋体" w:cs="宋体"/>
          <w:color w:val="auto"/>
          <w:sz w:val="24"/>
          <w:szCs w:val="24"/>
          <w:highlight w:val="none"/>
        </w:rPr>
        <w:t>。</w:t>
      </w:r>
    </w:p>
    <w:p w14:paraId="6F7132A5">
      <w:pPr>
        <w:snapToGrid w:val="0"/>
        <w:spacing w:line="360"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十三、</w:t>
      </w:r>
      <w:r>
        <w:rPr>
          <w:rFonts w:hint="eastAsia" w:ascii="宋体" w:hAnsi="宋体"/>
          <w:color w:val="auto"/>
          <w:sz w:val="24"/>
          <w:highlight w:val="none"/>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r>
        <w:rPr>
          <w:rFonts w:hint="eastAsia" w:ascii="宋体" w:hAnsi="宋体" w:cs="宋体"/>
          <w:color w:val="auto"/>
          <w:sz w:val="24"/>
          <w:szCs w:val="24"/>
          <w:highlight w:val="none"/>
        </w:rPr>
        <w:t>。</w:t>
      </w:r>
    </w:p>
    <w:p w14:paraId="552588CA">
      <w:pPr>
        <w:snapToGrid w:val="0"/>
        <w:spacing w:line="360" w:lineRule="auto"/>
        <w:ind w:firstLine="480" w:firstLineChars="200"/>
        <w:rPr>
          <w:rFonts w:ascii="宋体" w:hAnsi="宋体" w:cs="宋体"/>
          <w:strike/>
          <w:color w:val="auto"/>
          <w:sz w:val="24"/>
          <w:szCs w:val="24"/>
          <w:highlight w:val="none"/>
        </w:rPr>
      </w:pPr>
      <w:r>
        <w:rPr>
          <w:rFonts w:hint="eastAsia" w:ascii="宋体" w:hAnsi="宋体" w:cs="宋体"/>
          <w:color w:val="auto"/>
          <w:sz w:val="24"/>
          <w:szCs w:val="24"/>
          <w:highlight w:val="none"/>
        </w:rPr>
        <w:t>十四、</w:t>
      </w:r>
      <w:r>
        <w:rPr>
          <w:rFonts w:hint="eastAsia" w:ascii="宋体" w:hAnsi="宋体" w:cs="宋体"/>
          <w:color w:val="auto"/>
          <w:sz w:val="24"/>
          <w:szCs w:val="24"/>
          <w:highlight w:val="none"/>
          <w:u w:val="single"/>
        </w:rPr>
        <w:t>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1D8158C8">
      <w:pPr>
        <w:snapToGrid w:val="0"/>
        <w:spacing w:line="360" w:lineRule="auto"/>
        <w:ind w:left="19" w:leftChars="9" w:firstLine="458" w:firstLineChars="191"/>
        <w:rPr>
          <w:rFonts w:hint="eastAsia" w:ascii="宋体" w:hAnsi="宋体"/>
          <w:color w:val="000000"/>
          <w:sz w:val="24"/>
          <w:szCs w:val="24"/>
        </w:rPr>
      </w:pPr>
      <w:r>
        <w:rPr>
          <w:rFonts w:hint="eastAsia" w:ascii="宋体" w:hAnsi="宋体"/>
          <w:color w:val="000000"/>
          <w:sz w:val="24"/>
          <w:szCs w:val="24"/>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19EC9FB0">
      <w:pPr>
        <w:snapToGrid w:val="0"/>
        <w:spacing w:line="360" w:lineRule="auto"/>
        <w:ind w:left="19" w:leftChars="9" w:firstLine="458" w:firstLineChars="191"/>
        <w:rPr>
          <w:rFonts w:ascii="宋体" w:hAnsi="宋体" w:cs="宋体"/>
          <w:color w:val="auto"/>
          <w:sz w:val="24"/>
          <w:szCs w:val="24"/>
          <w:highlight w:val="none"/>
        </w:rPr>
      </w:pPr>
      <w:r>
        <w:rPr>
          <w:rFonts w:hint="eastAsia" w:ascii="宋体" w:hAnsi="宋体" w:cs="宋体"/>
          <w:color w:val="auto"/>
          <w:sz w:val="24"/>
          <w:szCs w:val="24"/>
          <w:highlight w:val="none"/>
        </w:rPr>
        <w:t>十五、</w:t>
      </w:r>
      <w:r>
        <w:rPr>
          <w:rFonts w:hint="eastAsia" w:ascii="宋体" w:hAnsi="宋体"/>
          <w:color w:val="auto"/>
          <w:sz w:val="24"/>
          <w:highlight w:val="none"/>
        </w:rPr>
        <w:t>潜在投标人或利害关系人对本招标公告及招标文件有异议的，应当在投标截止时间10日前向招标人书面提出</w:t>
      </w:r>
      <w:r>
        <w:rPr>
          <w:rFonts w:hint="eastAsia" w:ascii="宋体" w:hAnsi="宋体" w:cs="宋体"/>
          <w:color w:val="auto"/>
          <w:sz w:val="24"/>
          <w:szCs w:val="24"/>
          <w:highlight w:val="none"/>
        </w:rPr>
        <w:t>。</w:t>
      </w:r>
    </w:p>
    <w:p w14:paraId="17F9F2C4">
      <w:pPr>
        <w:snapToGrid w:val="0"/>
        <w:spacing w:line="360" w:lineRule="auto"/>
        <w:ind w:left="719" w:leftChars="228" w:hanging="240" w:hangingChars="100"/>
        <w:rPr>
          <w:rFonts w:ascii="宋体" w:hAnsi="宋体" w:cs="宋体"/>
          <w:color w:val="auto"/>
          <w:sz w:val="24"/>
          <w:szCs w:val="24"/>
          <w:highlight w:val="none"/>
          <w:u w:val="single"/>
        </w:rPr>
      </w:pPr>
      <w:r>
        <w:rPr>
          <w:rFonts w:hint="eastAsia" w:ascii="宋体" w:hAnsi="宋体" w:cs="宋体"/>
          <w:color w:val="auto"/>
          <w:sz w:val="24"/>
          <w:szCs w:val="24"/>
          <w:highlight w:val="none"/>
        </w:rPr>
        <w:t>异议受理部门：</w:t>
      </w:r>
      <w:r>
        <w:rPr>
          <w:rFonts w:hint="eastAsia" w:ascii="宋体" w:hAnsi="宋体" w:cs="宋体"/>
          <w:bCs/>
          <w:color w:val="auto"/>
          <w:sz w:val="24"/>
          <w:szCs w:val="24"/>
          <w:highlight w:val="none"/>
          <w:u w:val="single"/>
        </w:rPr>
        <w:t>广州开发区财政投资建设项目管理中心</w:t>
      </w:r>
    </w:p>
    <w:p w14:paraId="660E62D1">
      <w:pPr>
        <w:snapToGrid w:val="0"/>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异议受理电话：</w:t>
      </w:r>
      <w:r>
        <w:rPr>
          <w:rFonts w:hint="eastAsia" w:ascii="宋体" w:hAnsi="宋体" w:cs="宋体"/>
          <w:color w:val="auto"/>
          <w:sz w:val="24"/>
          <w:szCs w:val="24"/>
          <w:highlight w:val="none"/>
          <w:u w:val="single"/>
        </w:rPr>
        <w:t>020-</w:t>
      </w:r>
      <w:r>
        <w:rPr>
          <w:rFonts w:hint="eastAsia" w:ascii="宋体" w:hAnsi="宋体" w:cs="宋体"/>
          <w:color w:val="auto"/>
          <w:sz w:val="24"/>
          <w:szCs w:val="24"/>
          <w:highlight w:val="none"/>
          <w:u w:val="single"/>
          <w:lang w:val="en-US" w:eastAsia="zh-CN"/>
        </w:rPr>
        <w:t>28068874</w:t>
      </w:r>
      <w:r>
        <w:rPr>
          <w:rFonts w:hint="eastAsia" w:ascii="宋体" w:hAnsi="宋体" w:cs="宋体"/>
          <w:color w:val="auto"/>
          <w:sz w:val="24"/>
          <w:szCs w:val="24"/>
          <w:highlight w:val="none"/>
          <w:u w:val="none"/>
          <w:lang w:val="en-US" w:eastAsia="zh-CN"/>
        </w:rPr>
        <w:t xml:space="preserve">   </w:t>
      </w:r>
      <w:r>
        <w:rPr>
          <w:rFonts w:hint="eastAsia" w:ascii="宋体" w:hAnsi="宋体" w:cs="宋体"/>
          <w:color w:val="auto"/>
          <w:sz w:val="24"/>
          <w:szCs w:val="24"/>
          <w:highlight w:val="none"/>
        </w:rPr>
        <w:t>联系人：</w:t>
      </w:r>
      <w:r>
        <w:rPr>
          <w:rFonts w:hint="eastAsia" w:ascii="宋体" w:hAnsi="宋体" w:cs="宋体"/>
          <w:color w:val="auto"/>
          <w:sz w:val="24"/>
          <w:szCs w:val="24"/>
          <w:highlight w:val="none"/>
          <w:u w:val="single"/>
          <w:lang w:val="en-US" w:eastAsia="zh-CN"/>
        </w:rPr>
        <w:t>张</w:t>
      </w:r>
      <w:r>
        <w:rPr>
          <w:rFonts w:hint="eastAsia" w:ascii="宋体" w:hAnsi="宋体" w:cs="宋体"/>
          <w:color w:val="auto"/>
          <w:sz w:val="24"/>
          <w:szCs w:val="24"/>
          <w:highlight w:val="none"/>
          <w:u w:val="single"/>
        </w:rPr>
        <w:t>工</w:t>
      </w:r>
    </w:p>
    <w:p w14:paraId="74117BB0">
      <w:pPr>
        <w:snapToGrid w:val="0"/>
        <w:spacing w:line="360" w:lineRule="auto"/>
        <w:ind w:firstLine="480" w:firstLineChars="200"/>
        <w:rPr>
          <w:rFonts w:ascii="宋体" w:hAnsi="宋体" w:cs="宋体"/>
          <w:bCs/>
          <w:color w:val="auto"/>
          <w:sz w:val="24"/>
          <w:szCs w:val="24"/>
          <w:highlight w:val="none"/>
          <w:u w:val="single"/>
        </w:rPr>
      </w:pPr>
      <w:r>
        <w:rPr>
          <w:rFonts w:hint="eastAsia" w:ascii="宋体" w:hAnsi="宋体" w:cs="宋体"/>
          <w:bCs/>
          <w:color w:val="auto"/>
          <w:sz w:val="24"/>
          <w:szCs w:val="24"/>
          <w:highlight w:val="none"/>
        </w:rPr>
        <w:t>地址：</w:t>
      </w:r>
      <w:r>
        <w:rPr>
          <w:rFonts w:hint="eastAsia" w:ascii="宋体" w:hAnsi="宋体"/>
          <w:color w:val="auto"/>
          <w:sz w:val="24"/>
          <w:highlight w:val="none"/>
          <w:u w:val="single"/>
        </w:rPr>
        <w:t>广州科学城揽月路80号创意大厦B2主楼三楼</w:t>
      </w:r>
    </w:p>
    <w:p w14:paraId="30804ED7">
      <w:pPr>
        <w:snapToGrid w:val="0"/>
        <w:spacing w:line="360" w:lineRule="auto"/>
        <w:ind w:firstLine="48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rPr>
        <w:t>注：潜在投标人或利害关系人可以通过线下或线上的形式提出异议。线上提出异议的，应通过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交易平台提交，招标人也应通过</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交易平台答复线上提出的异议。具体按照</w:t>
      </w:r>
      <w:r>
        <w:rPr>
          <w:rFonts w:hint="eastAsia" w:ascii="宋体" w:hAnsi="宋体" w:cs="宋体"/>
          <w:color w:val="auto"/>
          <w:sz w:val="24"/>
          <w:szCs w:val="24"/>
          <w:highlight w:val="none"/>
          <w:u w:val="single"/>
        </w:rPr>
        <w:t>广州交易集团有限公司（广州公共资源交易中心）</w:t>
      </w:r>
      <w:r>
        <w:rPr>
          <w:rFonts w:hint="eastAsia" w:ascii="宋体" w:hAnsi="宋体" w:cs="宋体"/>
          <w:color w:val="auto"/>
          <w:sz w:val="24"/>
          <w:szCs w:val="24"/>
          <w:highlight w:val="none"/>
        </w:rPr>
        <w:t>交易平台相关指南进行操作。作出答复前，应当暂停招标投标活动。</w:t>
      </w:r>
    </w:p>
    <w:p w14:paraId="1CCED52A">
      <w:pPr>
        <w:snapToGrid w:val="0"/>
        <w:spacing w:line="360" w:lineRule="auto"/>
        <w:ind w:left="19" w:leftChars="9" w:firstLine="516" w:firstLineChars="215"/>
        <w:rPr>
          <w:rFonts w:ascii="宋体" w:hAnsi="宋体" w:cs="宋体"/>
          <w:color w:val="auto"/>
          <w:sz w:val="24"/>
          <w:szCs w:val="24"/>
          <w:highlight w:val="none"/>
        </w:rPr>
      </w:pPr>
      <w:r>
        <w:rPr>
          <w:rFonts w:hint="eastAsia" w:ascii="宋体" w:hAnsi="宋体" w:cs="宋体"/>
          <w:color w:val="auto"/>
          <w:sz w:val="24"/>
          <w:szCs w:val="24"/>
          <w:highlight w:val="none"/>
        </w:rPr>
        <w:t>十六、</w:t>
      </w:r>
      <w:r>
        <w:rPr>
          <w:rFonts w:hint="eastAsia" w:ascii="宋体" w:hAnsi="宋体"/>
          <w:color w:val="auto"/>
          <w:sz w:val="24"/>
          <w:highlight w:val="none"/>
        </w:rPr>
        <w:t>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广东省招标投标监管网发布</w:t>
      </w:r>
      <w:r>
        <w:rPr>
          <w:rFonts w:hint="eastAsia" w:ascii="宋体" w:hAnsi="宋体" w:cs="宋体"/>
          <w:color w:val="auto"/>
          <w:sz w:val="24"/>
          <w:szCs w:val="24"/>
          <w:highlight w:val="none"/>
        </w:rPr>
        <w:t>。</w:t>
      </w:r>
    </w:p>
    <w:p w14:paraId="44B22365">
      <w:pPr>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十七、</w:t>
      </w:r>
      <w:r>
        <w:rPr>
          <w:rFonts w:hint="eastAsia" w:ascii="宋体" w:hAnsi="宋体"/>
          <w:color w:val="auto"/>
          <w:sz w:val="24"/>
          <w:highlight w:val="none"/>
        </w:rPr>
        <w:t>本招标公告及招标文件使用GZZB2018-3招标文件范本。本公告与范本内容不同之处均以下划线标明，所有标明下划线部分属于本公告的组成部分，同其他部分具有同样的效力</w:t>
      </w:r>
      <w:r>
        <w:rPr>
          <w:rFonts w:hint="eastAsia" w:ascii="宋体" w:hAnsi="宋体" w:cs="宋体"/>
          <w:color w:val="auto"/>
          <w:sz w:val="24"/>
          <w:szCs w:val="24"/>
          <w:highlight w:val="none"/>
        </w:rPr>
        <w:t>。</w:t>
      </w:r>
    </w:p>
    <w:p w14:paraId="69E6ED1C">
      <w:pPr>
        <w:snapToGrid w:val="0"/>
        <w:spacing w:line="360" w:lineRule="auto"/>
        <w:ind w:firstLine="537" w:firstLineChars="224"/>
        <w:rPr>
          <w:rFonts w:ascii="宋体" w:hAnsi="宋体" w:cs="宋体"/>
          <w:color w:val="auto"/>
          <w:sz w:val="24"/>
          <w:szCs w:val="24"/>
          <w:highlight w:val="none"/>
        </w:rPr>
      </w:pPr>
      <w:r>
        <w:rPr>
          <w:rFonts w:hint="eastAsia" w:ascii="宋体" w:hAnsi="宋体" w:cs="宋体"/>
          <w:color w:val="auto"/>
          <w:sz w:val="24"/>
          <w:szCs w:val="24"/>
          <w:highlight w:val="none"/>
        </w:rPr>
        <w:t>十八、</w:t>
      </w:r>
      <w:r>
        <w:rPr>
          <w:rFonts w:hint="eastAsia" w:ascii="宋体" w:hAnsi="宋体"/>
          <w:color w:val="auto"/>
          <w:sz w:val="24"/>
          <w:highlight w:val="none"/>
        </w:rPr>
        <w:t>招标公告网上发布时，同时发布招标文件、施工图纸、最高投标限价。本工程根据国家和省有关计价规范设置最高投标限价。招标公告发布之日起计算编制投标文件时间，编制投标文件的时间不得少于20天。招标人应综合考虑节假日因素，合理确定投标人编制投标文件所需要的时间，如遇春节、五一、十一等长假，建议招标人结合项目特点和实际需要适当延长备标期。如招标人需发布补充公告的，以最后发布的补充公告的时间起计算编制投标文件时间，并需在招标答疑中明确说明</w:t>
      </w:r>
      <w:r>
        <w:rPr>
          <w:rFonts w:hint="eastAsia" w:ascii="宋体" w:hAnsi="宋体" w:cs="宋体"/>
          <w:color w:val="auto"/>
          <w:sz w:val="24"/>
          <w:szCs w:val="24"/>
          <w:highlight w:val="none"/>
          <w:u w:val="single"/>
        </w:rPr>
        <w:t>。</w:t>
      </w:r>
    </w:p>
    <w:p w14:paraId="5CAA267A">
      <w:pPr>
        <w:snapToGrid w:val="0"/>
        <w:spacing w:line="360" w:lineRule="auto"/>
        <w:ind w:firstLine="482" w:firstLineChars="200"/>
        <w:contextualSpacing/>
        <w:rPr>
          <w:rFonts w:ascii="宋体" w:hAnsi="宋体" w:cs="宋体"/>
          <w:color w:val="auto"/>
          <w:sz w:val="24"/>
          <w:szCs w:val="24"/>
          <w:highlight w:val="none"/>
        </w:rPr>
      </w:pPr>
      <w:r>
        <w:rPr>
          <w:rFonts w:hint="eastAsia" w:ascii="宋体" w:hAnsi="宋体" w:cs="宋体"/>
          <w:b/>
          <w:bCs/>
          <w:color w:val="auto"/>
          <w:sz w:val="24"/>
          <w:szCs w:val="24"/>
          <w:highlight w:val="none"/>
        </w:rPr>
        <w:t>特别提示：</w:t>
      </w:r>
      <w:r>
        <w:rPr>
          <w:rFonts w:hint="eastAsia" w:ascii="宋体"/>
          <w:color w:val="auto"/>
          <w:sz w:val="24"/>
          <w:highlight w:val="none"/>
        </w:rPr>
        <w:t>投标人在本项目招标人的工程项目中存在下列行为的，将被拒绝一定时期内参</w:t>
      </w:r>
      <w:r>
        <w:rPr>
          <w:rFonts w:hint="eastAsia" w:ascii="宋体" w:hAnsi="宋体" w:cs="宋体"/>
          <w:color w:val="auto"/>
          <w:sz w:val="24"/>
          <w:szCs w:val="24"/>
          <w:highlight w:val="none"/>
        </w:rPr>
        <w:t>与招标人后续工程投标。（注：拒绝投标时限由招标人视严重程度确定，最低三个月起，自招标人发出通知之日起计）：</w:t>
      </w:r>
    </w:p>
    <w:p w14:paraId="3D1F1DA3">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1.将中标工程转包或者违法分包的；</w:t>
      </w:r>
    </w:p>
    <w:p w14:paraId="4BD8B17B">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2.在中标工程中不执行质量、安全生产相关规定的，造成质量或安全事故的；</w:t>
      </w:r>
    </w:p>
    <w:p w14:paraId="594FC8D5">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3.出让投标资格的；</w:t>
      </w:r>
    </w:p>
    <w:p w14:paraId="55E0ACFB">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4.存在围标或串标情形的;</w:t>
      </w:r>
    </w:p>
    <w:p w14:paraId="65B1E7EF">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5.在投标文件中提供虚假材料的；</w:t>
      </w:r>
    </w:p>
    <w:p w14:paraId="2EE43C14">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6. 存在少放、不放业绩、奖项等客观评审资料，减少自身竞争力情形的；</w:t>
      </w:r>
    </w:p>
    <w:p w14:paraId="0CF05F5B">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7.存在行贿情形的;</w:t>
      </w:r>
    </w:p>
    <w:p w14:paraId="60B12E90">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8.拖欠农民工工资的；</w:t>
      </w:r>
    </w:p>
    <w:p w14:paraId="63450967">
      <w:pPr>
        <w:snapToGrid w:val="0"/>
        <w:spacing w:line="360" w:lineRule="auto"/>
        <w:ind w:firstLine="480" w:firstLineChars="200"/>
        <w:contextualSpacing/>
        <w:rPr>
          <w:rFonts w:hint="eastAsia" w:ascii="宋体" w:hAnsi="宋体" w:cs="宋体"/>
          <w:color w:val="auto"/>
          <w:sz w:val="24"/>
          <w:szCs w:val="24"/>
          <w:highlight w:val="none"/>
        </w:rPr>
      </w:pPr>
      <w:r>
        <w:rPr>
          <w:rFonts w:hint="eastAsia" w:ascii="宋体" w:hAnsi="宋体" w:cs="宋体"/>
          <w:color w:val="auto"/>
          <w:sz w:val="24"/>
          <w:szCs w:val="24"/>
          <w:highlight w:val="none"/>
        </w:rPr>
        <w:t>9.未按照国家、省、市有关建筑施工实名制管理和工人工资支付分账管理的规定执行，被行政监管部门处罚的；</w:t>
      </w:r>
    </w:p>
    <w:p w14:paraId="7DBF6DDE">
      <w:pPr>
        <w:snapToGrid w:val="0"/>
        <w:spacing w:line="360" w:lineRule="auto"/>
        <w:ind w:firstLine="480" w:firstLineChars="200"/>
        <w:contextualSpacing/>
        <w:rPr>
          <w:rFonts w:ascii="宋体" w:hAnsi="宋体" w:cs="宋体"/>
          <w:color w:val="auto"/>
          <w:sz w:val="24"/>
          <w:szCs w:val="24"/>
          <w:highlight w:val="none"/>
        </w:rPr>
      </w:pPr>
      <w:r>
        <w:rPr>
          <w:rFonts w:hint="eastAsia" w:ascii="宋体" w:hAnsi="宋体" w:cs="宋体"/>
          <w:color w:val="auto"/>
          <w:sz w:val="24"/>
          <w:szCs w:val="24"/>
          <w:highlight w:val="none"/>
        </w:rPr>
        <w:t>10.中标人在项目实施过程中选取的专业分包单位或劳务企业或劳务班组长与投标时不一致的；</w:t>
      </w:r>
    </w:p>
    <w:p w14:paraId="4A1D80DF">
      <w:pPr>
        <w:snapToGrid w:val="0"/>
        <w:spacing w:line="360" w:lineRule="auto"/>
        <w:ind w:firstLine="480" w:firstLineChars="200"/>
        <w:contextualSpacing/>
        <w:rPr>
          <w:rFonts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11</w:t>
      </w:r>
      <w:r>
        <w:rPr>
          <w:rFonts w:hint="eastAsia" w:ascii="宋体" w:hAnsi="宋体" w:cs="宋体"/>
          <w:color w:val="auto"/>
          <w:sz w:val="24"/>
          <w:szCs w:val="24"/>
          <w:highlight w:val="none"/>
          <w:u w:val="single"/>
        </w:rPr>
        <w:t>.中标人未按规定购买安全生产责任保险的。</w:t>
      </w:r>
    </w:p>
    <w:p w14:paraId="11088269">
      <w:pPr>
        <w:keepNext w:val="0"/>
        <w:keepLines w:val="0"/>
        <w:pageBreakBefore w:val="0"/>
        <w:autoSpaceDE/>
        <w:bidi w:val="0"/>
        <w:adjustRightInd/>
        <w:snapToGrid w:val="0"/>
        <w:spacing w:line="360" w:lineRule="auto"/>
        <w:ind w:left="0" w:leftChars="0" w:firstLine="3578" w:firstLineChars="1491"/>
        <w:contextualSpacing/>
        <w:jc w:val="both"/>
        <w:textAlignment w:val="auto"/>
        <w:rPr>
          <w:rFonts w:hint="eastAsia" w:ascii="宋体" w:hAnsi="宋体" w:eastAsia="宋体" w:cs="宋体"/>
          <w:bCs/>
          <w:color w:val="auto"/>
          <w:sz w:val="24"/>
          <w:szCs w:val="24"/>
          <w:highlight w:val="none"/>
        </w:rPr>
      </w:pPr>
    </w:p>
    <w:p w14:paraId="33D84B74">
      <w:pPr>
        <w:keepNext w:val="0"/>
        <w:keepLines w:val="0"/>
        <w:pageBreakBefore w:val="0"/>
        <w:autoSpaceDE/>
        <w:bidi w:val="0"/>
        <w:adjustRightInd/>
        <w:snapToGrid w:val="0"/>
        <w:spacing w:line="360" w:lineRule="auto"/>
        <w:ind w:left="0" w:leftChars="0" w:firstLine="3578" w:firstLineChars="149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招标单位：</w:t>
      </w:r>
      <w:r>
        <w:rPr>
          <w:rFonts w:hint="eastAsia" w:ascii="宋体" w:hAnsi="宋体" w:cs="宋体"/>
          <w:color w:val="auto"/>
          <w:sz w:val="24"/>
          <w:szCs w:val="24"/>
          <w:highlight w:val="none"/>
          <w:lang w:eastAsia="zh-CN"/>
        </w:rPr>
        <w:t>广州开发区财政投资建设项目管理中心</w:t>
      </w:r>
    </w:p>
    <w:p w14:paraId="5CEF07CA">
      <w:pPr>
        <w:keepNext w:val="0"/>
        <w:keepLines w:val="0"/>
        <w:pageBreakBefore w:val="0"/>
        <w:autoSpaceDE/>
        <w:bidi w:val="0"/>
        <w:adjustRightInd/>
        <w:snapToGrid w:val="0"/>
        <w:spacing w:line="360" w:lineRule="auto"/>
        <w:ind w:left="0" w:leftChars="0" w:firstLine="3578" w:firstLineChars="149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招标代理机构：</w:t>
      </w:r>
      <w:r>
        <w:rPr>
          <w:rFonts w:hint="eastAsia" w:ascii="宋体" w:hAnsi="宋体" w:cs="宋体"/>
          <w:color w:val="auto"/>
          <w:sz w:val="24"/>
          <w:szCs w:val="24"/>
          <w:highlight w:val="none"/>
          <w:lang w:eastAsia="zh-CN"/>
        </w:rPr>
        <w:t>广东省建筑工程监理有限公司</w:t>
      </w:r>
    </w:p>
    <w:p w14:paraId="6FC8A330">
      <w:pPr>
        <w:keepNext w:val="0"/>
        <w:keepLines w:val="0"/>
        <w:pageBreakBefore w:val="0"/>
        <w:autoSpaceDE/>
        <w:bidi w:val="0"/>
        <w:adjustRightInd/>
        <w:snapToGrid w:val="0"/>
        <w:spacing w:line="360" w:lineRule="auto"/>
        <w:ind w:left="0" w:leftChars="0" w:firstLine="3578" w:firstLineChars="1491"/>
        <w:contextualSpacing/>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日期：</w:t>
      </w:r>
      <w:r>
        <w:rPr>
          <w:rFonts w:hint="eastAsia" w:ascii="宋体" w:hAnsi="宋体" w:cs="宋体"/>
          <w:color w:val="auto"/>
          <w:sz w:val="24"/>
          <w:szCs w:val="24"/>
          <w:highlight w:val="none"/>
          <w:lang w:val="en-US" w:eastAsia="zh-CN"/>
        </w:rPr>
        <w:t>2025</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rPr>
        <w:t>月</w:t>
      </w:r>
      <w:r>
        <w:rPr>
          <w:rFonts w:hint="eastAsia" w:ascii="宋体" w:hAnsi="宋体" w:cs="宋体"/>
          <w:color w:val="auto"/>
          <w:sz w:val="24"/>
          <w:szCs w:val="24"/>
          <w:highlight w:val="none"/>
          <w:lang w:val="en-US" w:eastAsia="zh-CN"/>
        </w:rPr>
        <w:t>11</w:t>
      </w:r>
      <w:r>
        <w:rPr>
          <w:rFonts w:hint="eastAsia" w:ascii="宋体" w:hAnsi="宋体" w:eastAsia="宋体" w:cs="宋体"/>
          <w:color w:val="auto"/>
          <w:sz w:val="24"/>
          <w:szCs w:val="24"/>
          <w:highlight w:val="none"/>
        </w:rPr>
        <w:t>日</w:t>
      </w:r>
    </w:p>
    <w:p w14:paraId="159D4B15">
      <w:pP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br w:type="page"/>
      </w:r>
    </w:p>
    <w:p w14:paraId="23BD7147">
      <w:pPr>
        <w:adjustRightInd w:val="0"/>
        <w:snapToGrid w:val="0"/>
        <w:spacing w:line="360" w:lineRule="auto"/>
        <w:ind w:right="-57" w:rightChars="-27"/>
        <w:jc w:val="left"/>
        <w:rPr>
          <w:rFonts w:hint="eastAsia" w:ascii="宋体" w:hAnsi="宋体" w:cs="宋体"/>
          <w:b/>
          <w:color w:val="000000"/>
          <w:sz w:val="24"/>
          <w:szCs w:val="24"/>
        </w:rPr>
      </w:pPr>
      <w:r>
        <w:rPr>
          <w:rFonts w:hint="eastAsia" w:ascii="宋体" w:hAnsi="宋体" w:cs="宋体"/>
          <w:color w:val="000000"/>
          <w:sz w:val="24"/>
          <w:szCs w:val="24"/>
        </w:rPr>
        <w:t>附件</w:t>
      </w:r>
      <w:r>
        <w:rPr>
          <w:rFonts w:hint="eastAsia" w:ascii="宋体" w:hAnsi="宋体" w:cs="宋体"/>
          <w:color w:val="000000"/>
          <w:sz w:val="24"/>
          <w:szCs w:val="24"/>
          <w:lang w:val="en-US" w:eastAsia="zh-CN"/>
        </w:rPr>
        <w:t>一</w:t>
      </w:r>
      <w:r>
        <w:rPr>
          <w:rFonts w:hint="eastAsia" w:ascii="宋体" w:hAnsi="宋体" w:cs="宋体"/>
          <w:color w:val="000000"/>
          <w:sz w:val="24"/>
          <w:szCs w:val="24"/>
        </w:rPr>
        <w:t>：</w:t>
      </w:r>
    </w:p>
    <w:p w14:paraId="6D92C9AC">
      <w:pPr>
        <w:spacing w:line="360" w:lineRule="auto"/>
        <w:jc w:val="center"/>
        <w:rPr>
          <w:rFonts w:hint="eastAsia" w:ascii="宋体" w:hAnsi="宋体" w:cs="宋体"/>
          <w:b/>
          <w:color w:val="000000"/>
          <w:sz w:val="36"/>
          <w:szCs w:val="36"/>
        </w:rPr>
      </w:pPr>
      <w:r>
        <w:rPr>
          <w:rFonts w:hint="eastAsia" w:ascii="宋体" w:hAnsi="宋体" w:cs="宋体"/>
          <w:b/>
          <w:color w:val="000000"/>
          <w:kern w:val="0"/>
          <w:sz w:val="36"/>
          <w:szCs w:val="36"/>
        </w:rPr>
        <w:t>投标人</w:t>
      </w:r>
      <w:r>
        <w:rPr>
          <w:rFonts w:hint="eastAsia" w:ascii="宋体" w:hAnsi="宋体" w:cs="宋体"/>
          <w:b/>
          <w:color w:val="000000"/>
          <w:sz w:val="36"/>
          <w:szCs w:val="36"/>
        </w:rPr>
        <w:t>声明</w:t>
      </w:r>
    </w:p>
    <w:p w14:paraId="196FDA7C">
      <w:pPr>
        <w:spacing w:line="360" w:lineRule="auto"/>
        <w:jc w:val="left"/>
        <w:rPr>
          <w:rFonts w:hint="eastAsia" w:ascii="宋体" w:hAnsi="宋体" w:cs="宋体"/>
          <w:b/>
          <w:color w:val="000000"/>
          <w:sz w:val="24"/>
          <w:szCs w:val="24"/>
        </w:rPr>
      </w:pPr>
    </w:p>
    <w:p w14:paraId="4B399658">
      <w:pPr>
        <w:spacing w:line="360" w:lineRule="auto"/>
        <w:rPr>
          <w:rFonts w:hint="eastAsia" w:ascii="宋体" w:hAnsi="宋体" w:cs="宋体"/>
          <w:color w:val="000000"/>
          <w:kern w:val="0"/>
          <w:sz w:val="24"/>
          <w:szCs w:val="24"/>
        </w:rPr>
      </w:pPr>
      <w:r>
        <w:rPr>
          <w:rFonts w:hint="eastAsia" w:ascii="宋体" w:hAnsi="宋体" w:cs="宋体"/>
          <w:color w:val="000000"/>
          <w:sz w:val="24"/>
          <w:szCs w:val="24"/>
          <w:u w:val="single"/>
        </w:rPr>
        <w:t>广州市黄埔区住房和城乡建设局、广州开发区建设和交通局、</w:t>
      </w:r>
      <w:r>
        <w:rPr>
          <w:rFonts w:hint="eastAsia" w:ascii="宋体" w:hAnsi="宋体" w:cs="宋体"/>
          <w:color w:val="000000"/>
          <w:spacing w:val="-2"/>
          <w:sz w:val="24"/>
          <w:szCs w:val="24"/>
          <w:u w:val="single"/>
        </w:rPr>
        <w:t>广州开发区财政投资建设项目管理中心及广</w:t>
      </w:r>
      <w:r>
        <w:rPr>
          <w:rFonts w:hint="eastAsia" w:ascii="宋体" w:hAnsi="宋体" w:cs="宋体"/>
          <w:color w:val="000000"/>
          <w:sz w:val="24"/>
          <w:szCs w:val="24"/>
          <w:u w:val="single"/>
        </w:rPr>
        <w:t>州开发区建设工程招投标管理办公室（广州市黄埔区建设工程招投标管理办公室）</w:t>
      </w:r>
      <w:r>
        <w:rPr>
          <w:rFonts w:hint="eastAsia" w:ascii="宋体" w:hAnsi="宋体" w:cs="宋体"/>
          <w:color w:val="000000"/>
          <w:kern w:val="0"/>
          <w:sz w:val="24"/>
          <w:szCs w:val="24"/>
        </w:rPr>
        <w:t>：</w:t>
      </w:r>
    </w:p>
    <w:p w14:paraId="2592FAD1">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本公司就参加</w:t>
      </w:r>
      <w:r>
        <w:rPr>
          <w:rFonts w:hint="eastAsia" w:ascii="宋体" w:hAnsi="宋体" w:cs="宋体"/>
          <w:color w:val="000000"/>
          <w:kern w:val="0"/>
          <w:sz w:val="24"/>
          <w:szCs w:val="24"/>
          <w:u w:val="single"/>
        </w:rPr>
        <w:t>智达新能源产业化生产基地一期10kV外缆工程施工</w:t>
      </w:r>
      <w:r>
        <w:rPr>
          <w:rFonts w:hint="eastAsia" w:ascii="宋体" w:hAnsi="宋体" w:cs="宋体"/>
          <w:color w:val="000000"/>
          <w:kern w:val="0"/>
          <w:sz w:val="24"/>
          <w:szCs w:val="24"/>
        </w:rPr>
        <w:t>投标工作，作出郑重声明：</w:t>
      </w:r>
    </w:p>
    <w:p w14:paraId="2A714A2C">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一、本公司保证投标文件及其后提供的一切材料都是真实的。如我司成为本项目中标候选人，我司同意并授权招标人将我司投标文件商务部分的人员、业绩、奖项等资料进行公开。</w:t>
      </w:r>
    </w:p>
    <w:p w14:paraId="61477AD3">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0153999C">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三、本公司不存在下列情形之一：</w:t>
      </w:r>
    </w:p>
    <w:p w14:paraId="3DF4285A">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（一）为招标人不具有独立法人资格的附属机构（单位）；</w:t>
      </w:r>
    </w:p>
    <w:p w14:paraId="3783E0C9">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（二）为本标段前期准备提供设计或咨询服务或者与本项目设计人或提供咨询服务的机构存在附属关系的；</w:t>
      </w:r>
    </w:p>
    <w:p w14:paraId="7003822A">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（三）为本标段监理人或者与本标段监理人存在隶属关系或者其他利害关系；</w:t>
      </w:r>
    </w:p>
    <w:p w14:paraId="7D723554">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（四）为本标段的代建人；</w:t>
      </w:r>
    </w:p>
    <w:p w14:paraId="1E7DB969">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（五）为本标段提供招标代理服务的；</w:t>
      </w:r>
    </w:p>
    <w:p w14:paraId="755D6D3E">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（六）与本标段的监理人或代建人或招标代理机构同为一个法定代表人的；</w:t>
      </w:r>
    </w:p>
    <w:p w14:paraId="312BB699">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（七）与本标段的监理人或代建人或招标代理机构互相控股或参股的；</w:t>
      </w:r>
    </w:p>
    <w:p w14:paraId="6C807756">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（八）与本标段的监理人或代建人或招标代理机构相互任职或工作的；</w:t>
      </w:r>
    </w:p>
    <w:p w14:paraId="6BAC4EA0">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（九）与本标段的检测机构有隶属关系或者其他利害关系；</w:t>
      </w:r>
    </w:p>
    <w:p w14:paraId="158D0F05">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（十）与招标人存在利害关系且可能影响招标公正性； </w:t>
      </w:r>
    </w:p>
    <w:p w14:paraId="5E3668F4">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4A0F85F2">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（十二）被责令停产停业、暂扣或者吊销许可证、暂扣或者吊销执照的（本项事实应当以根据《中华人民共和国行政处罚法》依法作出并已经生效的行政处罚决定为认定依据。）；</w:t>
      </w:r>
    </w:p>
    <w:p w14:paraId="639686E0">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（十三）进入清算程序，或被宣布破产，或其他丧失履约能力的情形；</w:t>
      </w:r>
    </w:p>
    <w:p w14:paraId="59C86609">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E9CB240">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（十五）法律法规规定的其他情形。</w:t>
      </w:r>
    </w:p>
    <w:p w14:paraId="1B21243A">
      <w:pPr>
        <w:spacing w:line="360" w:lineRule="auto"/>
        <w:ind w:firstLine="480" w:firstLineChars="200"/>
        <w:jc w:val="left"/>
        <w:rPr>
          <w:rFonts w:hint="eastAsia" w:ascii="宋体" w:hAnsi="宋体"/>
          <w:color w:val="000000"/>
          <w:kern w:val="0"/>
          <w:sz w:val="24"/>
          <w:szCs w:val="24"/>
        </w:rPr>
      </w:pPr>
      <w:r>
        <w:rPr>
          <w:rFonts w:hint="eastAsia" w:ascii="宋体" w:hAnsi="宋体" w:cs="宋体"/>
          <w:color w:val="000000"/>
          <w:kern w:val="0"/>
          <w:sz w:val="24"/>
          <w:szCs w:val="24"/>
        </w:rPr>
        <w:t>四、本公司保证：本项目拟派的项目负责人没有在其他在建项目中任施工单位项目负责人，本项目拟派的专职安全员没有在其他在建项目中任职。</w:t>
      </w:r>
    </w:p>
    <w:p w14:paraId="456FE179">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五、本公司已经对投标时拟投入本项目的管理团队和专业技术人员进行了自查，保证拟投入的所有人员都是本</w:t>
      </w:r>
      <w:r>
        <w:rPr>
          <w:rFonts w:hint="eastAsia" w:ascii="宋体" w:hAnsi="宋体" w:cs="宋体"/>
          <w:color w:val="000000"/>
          <w:kern w:val="0"/>
          <w:sz w:val="24"/>
          <w:szCs w:val="24"/>
          <w:u w:val="single"/>
        </w:rPr>
        <w:t>公司</w:t>
      </w:r>
      <w:r>
        <w:rPr>
          <w:rFonts w:hint="eastAsia" w:ascii="宋体" w:hAnsi="宋体" w:cs="宋体"/>
          <w:color w:val="000000"/>
          <w:kern w:val="0"/>
          <w:sz w:val="24"/>
          <w:szCs w:val="24"/>
        </w:rPr>
        <w:t>正式人员，都在本</w:t>
      </w:r>
      <w:r>
        <w:rPr>
          <w:rFonts w:hint="eastAsia" w:ascii="宋体" w:hAnsi="宋体" w:cs="宋体"/>
          <w:color w:val="000000"/>
          <w:kern w:val="0"/>
          <w:sz w:val="24"/>
          <w:szCs w:val="24"/>
          <w:u w:val="single"/>
        </w:rPr>
        <w:t>公司</w:t>
      </w:r>
      <w:r>
        <w:rPr>
          <w:rFonts w:hint="eastAsia" w:ascii="宋体" w:hAnsi="宋体" w:cs="宋体"/>
          <w:color w:val="000000"/>
          <w:kern w:val="0"/>
          <w:sz w:val="24"/>
          <w:szCs w:val="24"/>
        </w:rPr>
        <w:t>缴纳社保，不存在持证人注册单位与实际工作单位不符、买卖租借（专业）资格（注册）证书等“挂证”违法违规行为。</w:t>
      </w:r>
    </w:p>
    <w:p w14:paraId="4ECB2ED3">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4B44FE9">
      <w:pPr>
        <w:spacing w:line="360" w:lineRule="auto"/>
        <w:ind w:firstLine="480" w:firstLineChars="200"/>
        <w:rPr>
          <w:rFonts w:ascii="宋体" w:hAnsi="宋体"/>
          <w:color w:val="000000"/>
          <w:kern w:val="0"/>
          <w:szCs w:val="21"/>
        </w:rPr>
      </w:pPr>
      <w:r>
        <w:rPr>
          <w:rFonts w:hint="eastAsia" w:ascii="宋体" w:hAnsi="宋体" w:cs="宋体"/>
          <w:color w:val="000000"/>
          <w:kern w:val="0"/>
          <w:sz w:val="24"/>
          <w:szCs w:val="24"/>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DA069FF">
      <w:pPr>
        <w:spacing w:line="360" w:lineRule="auto"/>
        <w:rPr>
          <w:rFonts w:hint="eastAsia" w:ascii="宋体" w:hAnsi="宋体" w:cs="宋体"/>
          <w:color w:val="000000"/>
          <w:kern w:val="0"/>
          <w:sz w:val="24"/>
          <w:szCs w:val="24"/>
        </w:rPr>
      </w:pPr>
      <w:r>
        <w:rPr>
          <w:rFonts w:hint="eastAsia" w:ascii="宋体" w:hAnsi="宋体"/>
          <w:color w:val="000000"/>
          <w:kern w:val="0"/>
          <w:szCs w:val="21"/>
        </w:rPr>
        <w:t>　　</w:t>
      </w:r>
      <w:r>
        <w:rPr>
          <w:rFonts w:hint="eastAsia" w:ascii="宋体" w:hAnsi="宋体" w:cs="宋体"/>
          <w:b/>
          <w:color w:val="000000"/>
          <w:kern w:val="0"/>
          <w:sz w:val="24"/>
          <w:szCs w:val="24"/>
        </w:rPr>
        <w:t>八、与本公司单位负责人为同一人或者与本公司存在控股、管理关系的其他单位包括：</w:t>
      </w:r>
      <w:r>
        <w:rPr>
          <w:rFonts w:hint="eastAsia" w:ascii="宋体" w:hAnsi="宋体" w:cs="宋体"/>
          <w:b/>
          <w:color w:val="000000"/>
          <w:kern w:val="0"/>
          <w:sz w:val="24"/>
          <w:szCs w:val="24"/>
          <w:u w:val="single"/>
        </w:rPr>
        <w:t xml:space="preserve">                          </w:t>
      </w:r>
      <w:r>
        <w:rPr>
          <w:rFonts w:hint="eastAsia" w:ascii="宋体" w:hAnsi="宋体" w:cs="宋体"/>
          <w:b/>
          <w:color w:val="000000"/>
          <w:kern w:val="0"/>
          <w:sz w:val="24"/>
          <w:szCs w:val="24"/>
        </w:rPr>
        <w:t>。</w:t>
      </w:r>
      <w:r>
        <w:rPr>
          <w:rFonts w:hint="eastAsia" w:ascii="宋体" w:hAnsi="宋体" w:cs="宋体"/>
          <w:color w:val="000000"/>
          <w:kern w:val="0"/>
          <w:sz w:val="24"/>
          <w:szCs w:val="24"/>
        </w:rPr>
        <w:t>（注：本条由投标人如实填写，如有，应列出全部满足招标公告资质要求的相关单位的名称；如无，则填写“无”。</w:t>
      </w:r>
      <w:r>
        <w:rPr>
          <w:rFonts w:hint="eastAsia" w:ascii="宋体" w:hAnsi="宋体" w:cs="宋体"/>
          <w:color w:val="000000"/>
          <w:kern w:val="0"/>
          <w:sz w:val="24"/>
          <w:szCs w:val="24"/>
          <w:u w:val="single"/>
        </w:rPr>
        <w:t>若投标人未列全符合相关条件的单位，但同时未列全的相关单位未参与本项目投标的，不作为对其投标文件进行无效标处理的依据。</w:t>
      </w:r>
      <w:r>
        <w:rPr>
          <w:rFonts w:hint="eastAsia" w:ascii="宋体" w:hAnsi="宋体" w:cs="宋体"/>
          <w:color w:val="000000"/>
          <w:kern w:val="0"/>
          <w:sz w:val="24"/>
          <w:szCs w:val="24"/>
        </w:rPr>
        <w:t>）</w:t>
      </w:r>
    </w:p>
    <w:p w14:paraId="0D4B8294">
      <w:pPr>
        <w:spacing w:line="360" w:lineRule="auto"/>
        <w:ind w:firstLine="480" w:firstLineChars="200"/>
        <w:rPr>
          <w:rFonts w:hint="eastAsia" w:ascii="宋体" w:hAnsi="宋体" w:cs="宋体"/>
          <w:color w:val="000000"/>
          <w:kern w:val="0"/>
          <w:sz w:val="24"/>
          <w:szCs w:val="24"/>
        </w:rPr>
      </w:pPr>
      <w:r>
        <w:rPr>
          <w:rFonts w:hint="eastAsia" w:ascii="宋体" w:hAnsi="宋体" w:cs="宋体"/>
          <w:color w:val="000000"/>
          <w:kern w:val="0"/>
          <w:sz w:val="24"/>
          <w:szCs w:val="24"/>
        </w:rPr>
        <w:t>九、本公司拟委派专职安全员兼任本工程的工地余泥渣土运输与排放管理员，严格遵守建设工程余泥渣土运输与排放管理制度，执行“一不准进、三不准出”规定，选择合法的余泥渣土运输单位及排放点。</w:t>
      </w:r>
    </w:p>
    <w:p w14:paraId="25F1C6CF">
      <w:pPr>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十、本公司承诺，中标后将按招标人要求，积极响应广州市关于投身“百千万工程”的号召，主动参与建筑业结对帮扶。</w:t>
      </w:r>
    </w:p>
    <w:p w14:paraId="30AA7BBE">
      <w:pPr>
        <w:spacing w:line="360" w:lineRule="auto"/>
        <w:ind w:firstLine="480" w:firstLineChars="200"/>
        <w:rPr>
          <w:rFonts w:hint="eastAsia" w:ascii="宋体" w:hAnsi="宋体"/>
          <w:color w:val="000000"/>
          <w:kern w:val="0"/>
          <w:sz w:val="24"/>
          <w:szCs w:val="24"/>
        </w:rPr>
      </w:pPr>
      <w:r>
        <w:rPr>
          <w:rFonts w:hint="eastAsia" w:ascii="宋体" w:hAnsi="宋体"/>
          <w:color w:val="000000"/>
          <w:kern w:val="0"/>
          <w:sz w:val="24"/>
          <w:szCs w:val="24"/>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07B2A9AF">
      <w:pPr>
        <w:widowControl/>
        <w:spacing w:line="360" w:lineRule="auto"/>
        <w:jc w:val="left"/>
        <w:rPr>
          <w:rFonts w:hint="eastAsia" w:ascii="宋体" w:hAnsi="宋体"/>
          <w:color w:val="000000"/>
          <w:sz w:val="24"/>
          <w:szCs w:val="24"/>
        </w:rPr>
      </w:pPr>
      <w:r>
        <w:rPr>
          <w:rFonts w:hint="eastAsia" w:ascii="宋体" w:hAnsi="宋体"/>
          <w:color w:val="000000"/>
          <w:kern w:val="0"/>
          <w:sz w:val="24"/>
          <w:szCs w:val="24"/>
        </w:rPr>
        <w:t xml:space="preserve">    十二、本公司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14:paraId="6689D77D">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十三、本公司承诺，中标后将切实落实《广东省建设工程施工扬尘污染防治管理办法（试行）》（粤办函〔</w:t>
      </w:r>
      <w:r>
        <w:rPr>
          <w:rFonts w:ascii="宋体" w:hAnsi="宋体"/>
          <w:color w:val="000000"/>
          <w:sz w:val="24"/>
          <w:szCs w:val="24"/>
        </w:rPr>
        <w:t>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w:t>
      </w:r>
      <w:r>
        <w:rPr>
          <w:rFonts w:hint="eastAsia" w:ascii="宋体" w:hAnsi="宋体"/>
          <w:color w:val="000000"/>
          <w:sz w:val="24"/>
          <w:szCs w:val="24"/>
        </w:rPr>
        <w:t>、《黄埔区住房和城乡建设局 广州开发区建设和交通局关于进一步提升我区施工围蔽及土地围蔽建设标准的通知》（穗埔建〔2023〕56号）、《黄埔区住房和城乡建设局 广州开发区建设和交通局关于进一步提升我区施工围蔽及土地围蔽建设标准的补充通知》（穗埔建〔2023〕71号）</w:t>
      </w:r>
      <w:r>
        <w:rPr>
          <w:rFonts w:ascii="宋体" w:hAnsi="宋体"/>
          <w:color w:val="000000"/>
          <w:sz w:val="24"/>
          <w:szCs w:val="24"/>
        </w:rPr>
        <w:t>和黄埔区、广州开发区建设行政主管部门发布的有关绿色施工、新型防护</w:t>
      </w:r>
      <w:r>
        <w:rPr>
          <w:rFonts w:hint="eastAsia" w:ascii="宋体" w:hAnsi="宋体"/>
          <w:color w:val="000000"/>
          <w:sz w:val="24"/>
          <w:szCs w:val="24"/>
        </w:rPr>
        <w:t>、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3858F275">
      <w:pPr>
        <w:widowControl/>
        <w:spacing w:line="360" w:lineRule="auto"/>
        <w:jc w:val="left"/>
        <w:rPr>
          <w:rFonts w:hint="eastAsia" w:ascii="宋体" w:hAnsi="宋体"/>
          <w:color w:val="000000"/>
          <w:sz w:val="24"/>
          <w:szCs w:val="24"/>
        </w:rPr>
      </w:pPr>
      <w:r>
        <w:rPr>
          <w:rFonts w:ascii="宋体" w:hAnsi="宋体"/>
          <w:color w:val="000000"/>
          <w:sz w:val="24"/>
          <w:szCs w:val="24"/>
        </w:rPr>
        <w:t xml:space="preserve">    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06D14DDB">
      <w:p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十四、</w:t>
      </w:r>
      <w:r>
        <w:rPr>
          <w:rFonts w:hint="eastAsia" w:ascii="宋体" w:hAnsi="宋体"/>
          <w:color w:val="000000"/>
          <w:sz w:val="24"/>
          <w:szCs w:val="24"/>
        </w:rPr>
        <w:t>本</w:t>
      </w:r>
      <w:r>
        <w:rPr>
          <w:rFonts w:hint="eastAsia" w:ascii="宋体" w:hAnsi="宋体"/>
          <w:color w:val="000000"/>
          <w:kern w:val="0"/>
          <w:sz w:val="24"/>
          <w:szCs w:val="24"/>
        </w:rPr>
        <w:t>公司或拟派项目负责人、拟派专职安全员未因安全生产违法行为或失信行为被有关行政主管部门采取本行业或者职业禁入等联合惩戒措施（有效期内）。</w:t>
      </w:r>
    </w:p>
    <w:p w14:paraId="2ACC3AA9">
      <w:pPr>
        <w:spacing w:line="360" w:lineRule="auto"/>
        <w:ind w:firstLine="480" w:firstLineChars="200"/>
        <w:jc w:val="left"/>
        <w:rPr>
          <w:rFonts w:hint="eastAsia" w:ascii="宋体" w:hAnsi="宋体"/>
          <w:color w:val="000000"/>
          <w:kern w:val="0"/>
          <w:sz w:val="24"/>
          <w:szCs w:val="24"/>
        </w:rPr>
      </w:pPr>
      <w:r>
        <w:rPr>
          <w:rFonts w:hint="eastAsia" w:ascii="宋体" w:hAnsi="宋体"/>
          <w:color w:val="000000"/>
          <w:kern w:val="0"/>
          <w:sz w:val="24"/>
          <w:szCs w:val="24"/>
        </w:rPr>
        <w:t>十五、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0AC18AEA">
      <w:pPr>
        <w:spacing w:line="360" w:lineRule="auto"/>
        <w:ind w:firstLine="480" w:firstLineChars="200"/>
        <w:rPr>
          <w:rFonts w:ascii="宋体" w:hAnsi="宋体"/>
          <w:color w:val="000000"/>
          <w:kern w:val="0"/>
          <w:sz w:val="24"/>
          <w:szCs w:val="24"/>
        </w:rPr>
      </w:pPr>
      <w:r>
        <w:rPr>
          <w:rFonts w:hint="eastAsia" w:ascii="宋体" w:hAnsi="宋体"/>
          <w:color w:val="000000"/>
          <w:sz w:val="24"/>
          <w:szCs w:val="24"/>
        </w:rPr>
        <w:t>十六、</w:t>
      </w:r>
      <w:r>
        <w:rPr>
          <w:rFonts w:hint="eastAsia" w:ascii="宋体" w:hAnsi="宋体"/>
          <w:color w:val="000000"/>
          <w:kern w:val="0"/>
          <w:sz w:val="24"/>
          <w:szCs w:val="24"/>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4C904C8A">
      <w:pPr>
        <w:spacing w:line="360" w:lineRule="auto"/>
        <w:ind w:firstLine="480" w:firstLineChars="200"/>
        <w:jc w:val="left"/>
        <w:rPr>
          <w:rFonts w:hint="eastAsia" w:ascii="宋体" w:hAnsi="宋体" w:cs="宋体"/>
          <w:color w:val="000000"/>
          <w:sz w:val="24"/>
          <w:szCs w:val="24"/>
        </w:rPr>
      </w:pPr>
      <w:r>
        <w:rPr>
          <w:rFonts w:hint="eastAsia" w:ascii="宋体" w:hAnsi="宋体" w:cs="宋体"/>
          <w:color w:val="000000"/>
          <w:sz w:val="24"/>
          <w:szCs w:val="24"/>
        </w:rPr>
        <w:t>特此声明。</w:t>
      </w:r>
    </w:p>
    <w:p w14:paraId="6E169A37">
      <w:pPr>
        <w:spacing w:line="360" w:lineRule="auto"/>
        <w:ind w:firstLine="420" w:firstLineChars="200"/>
        <w:rPr>
          <w:rFonts w:ascii="宋体" w:hAnsi="宋体" w:cs="宋体"/>
          <w:color w:val="000000"/>
          <w:kern w:val="0"/>
          <w:szCs w:val="21"/>
        </w:rPr>
      </w:pPr>
    </w:p>
    <w:p w14:paraId="15CC7833">
      <w:pPr>
        <w:spacing w:line="360" w:lineRule="auto"/>
        <w:ind w:left="629" w:right="1449"/>
        <w:rPr>
          <w:rFonts w:hint="eastAsia" w:ascii="宋体" w:hAnsi="宋体" w:cs="宋体"/>
          <w:color w:val="000000"/>
          <w:kern w:val="0"/>
          <w:sz w:val="24"/>
          <w:szCs w:val="24"/>
        </w:rPr>
      </w:pPr>
      <w:r>
        <w:rPr>
          <w:rFonts w:hint="eastAsia" w:ascii="宋体" w:hAnsi="宋体" w:cs="宋体"/>
          <w:color w:val="000000"/>
          <w:kern w:val="0"/>
          <w:sz w:val="24"/>
          <w:szCs w:val="24"/>
        </w:rPr>
        <w:t xml:space="preserve">                         声明企业：</w:t>
      </w:r>
    </w:p>
    <w:p w14:paraId="348E1E76">
      <w:pPr>
        <w:spacing w:line="360" w:lineRule="auto"/>
        <w:ind w:right="-58" w:firstLine="2160" w:firstLineChars="90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项目负责人签字：</w:t>
      </w:r>
    </w:p>
    <w:p w14:paraId="6B92AFAE">
      <w:pPr>
        <w:spacing w:line="360" w:lineRule="auto"/>
        <w:ind w:right="-58" w:firstLine="2160" w:firstLineChars="900"/>
        <w:jc w:val="left"/>
        <w:rPr>
          <w:rFonts w:hint="eastAsia" w:ascii="宋体" w:hAnsi="宋体" w:cs="宋体"/>
          <w:color w:val="000000"/>
          <w:kern w:val="0"/>
          <w:sz w:val="24"/>
          <w:szCs w:val="24"/>
        </w:rPr>
      </w:pPr>
      <w:r>
        <w:rPr>
          <w:rFonts w:hint="eastAsia" w:ascii="宋体" w:hAnsi="宋体" w:cs="宋体"/>
          <w:color w:val="000000"/>
          <w:kern w:val="0"/>
          <w:sz w:val="24"/>
          <w:szCs w:val="24"/>
        </w:rPr>
        <w:t xml:space="preserve">            技术负责人签字：</w:t>
      </w:r>
    </w:p>
    <w:p w14:paraId="7883BC3E">
      <w:pPr>
        <w:spacing w:line="360" w:lineRule="auto"/>
        <w:ind w:right="879" w:firstLine="2160" w:firstLineChars="900"/>
        <w:jc w:val="right"/>
        <w:rPr>
          <w:rFonts w:hint="eastAsia" w:ascii="宋体" w:hAnsi="宋体" w:cs="宋体"/>
          <w:color w:val="000000"/>
          <w:kern w:val="0"/>
          <w:sz w:val="24"/>
          <w:szCs w:val="24"/>
        </w:rPr>
      </w:pPr>
      <w:r>
        <w:rPr>
          <w:rFonts w:hint="eastAsia" w:ascii="宋体" w:hAnsi="宋体" w:cs="宋体"/>
          <w:color w:val="000000"/>
          <w:kern w:val="0"/>
          <w:sz w:val="24"/>
          <w:szCs w:val="24"/>
        </w:rPr>
        <w:t>年   月   日</w:t>
      </w:r>
    </w:p>
    <w:p w14:paraId="657FD964">
      <w:pPr>
        <w:widowControl/>
        <w:snapToGrid/>
        <w:spacing w:line="360" w:lineRule="auto"/>
        <w:ind w:right="0"/>
        <w:jc w:val="left"/>
        <w:rPr>
          <w:rFonts w:ascii="宋体" w:hAnsi="宋体" w:cs="宋体"/>
          <w:color w:val="auto"/>
          <w:sz w:val="24"/>
          <w:szCs w:val="24"/>
          <w:highlight w:val="none"/>
        </w:rPr>
      </w:pPr>
    </w:p>
    <w:sectPr>
      <w:footerReference r:id="rId3" w:type="default"/>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71E33">
    <w:pPr>
      <w:pStyle w:val="8"/>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path/>
          <v:fill on="f" focussize="0,0"/>
          <v:stroke on="f" weight="0.5pt" joinstyle="miter"/>
          <v:imagedata o:title=""/>
          <o:lock v:ext="edit"/>
          <v:textbox inset="0mm,0mm,0mm,0mm" style="mso-fit-shape-to-text:t;">
            <w:txbxContent>
              <w:p w14:paraId="7D52DA46">
                <w:pPr>
                  <w:pStyle w:val="8"/>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F30B25"/>
    <w:multiLevelType w:val="singleLevel"/>
    <w:tmpl w:val="B5F30B25"/>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mNjOWNjYzgyOTRjYjQzMDYzODg0ZmE4YmY4OGExN2EifQ=="/>
  </w:docVars>
  <w:rsids>
    <w:rsidRoot w:val="00172A27"/>
    <w:rsid w:val="00014131"/>
    <w:rsid w:val="000207E8"/>
    <w:rsid w:val="00030A29"/>
    <w:rsid w:val="000A7DB5"/>
    <w:rsid w:val="00172A27"/>
    <w:rsid w:val="001A7F0F"/>
    <w:rsid w:val="002F7368"/>
    <w:rsid w:val="003131F3"/>
    <w:rsid w:val="00314104"/>
    <w:rsid w:val="00373A61"/>
    <w:rsid w:val="003D5956"/>
    <w:rsid w:val="00556D33"/>
    <w:rsid w:val="005A5C87"/>
    <w:rsid w:val="005E6000"/>
    <w:rsid w:val="007F0512"/>
    <w:rsid w:val="00904DF4"/>
    <w:rsid w:val="00931140"/>
    <w:rsid w:val="0096471B"/>
    <w:rsid w:val="009776E0"/>
    <w:rsid w:val="00B8290A"/>
    <w:rsid w:val="00BB4D08"/>
    <w:rsid w:val="00BE5873"/>
    <w:rsid w:val="00C61558"/>
    <w:rsid w:val="00D143C8"/>
    <w:rsid w:val="00E43046"/>
    <w:rsid w:val="00EC3870"/>
    <w:rsid w:val="00F6402F"/>
    <w:rsid w:val="00FC300D"/>
    <w:rsid w:val="00FD39EB"/>
    <w:rsid w:val="00FE2474"/>
    <w:rsid w:val="01602263"/>
    <w:rsid w:val="02C90325"/>
    <w:rsid w:val="02D273D5"/>
    <w:rsid w:val="03072618"/>
    <w:rsid w:val="030744A0"/>
    <w:rsid w:val="037C7140"/>
    <w:rsid w:val="039025E0"/>
    <w:rsid w:val="047F34B4"/>
    <w:rsid w:val="05781693"/>
    <w:rsid w:val="057B6D61"/>
    <w:rsid w:val="06B56999"/>
    <w:rsid w:val="06CC1BC5"/>
    <w:rsid w:val="06F51BFA"/>
    <w:rsid w:val="07A61789"/>
    <w:rsid w:val="088F05FC"/>
    <w:rsid w:val="091F0ABB"/>
    <w:rsid w:val="0BDB0BEB"/>
    <w:rsid w:val="0CBA2865"/>
    <w:rsid w:val="0D07521B"/>
    <w:rsid w:val="0EC94C3A"/>
    <w:rsid w:val="0EDD6F33"/>
    <w:rsid w:val="0EF238CB"/>
    <w:rsid w:val="0F527FC6"/>
    <w:rsid w:val="0F595B86"/>
    <w:rsid w:val="0FE30E05"/>
    <w:rsid w:val="10591BDA"/>
    <w:rsid w:val="10A76924"/>
    <w:rsid w:val="10DC4F71"/>
    <w:rsid w:val="110E6EE5"/>
    <w:rsid w:val="11FF1F94"/>
    <w:rsid w:val="12123119"/>
    <w:rsid w:val="12371157"/>
    <w:rsid w:val="1240015F"/>
    <w:rsid w:val="12EC3B91"/>
    <w:rsid w:val="13057360"/>
    <w:rsid w:val="131466C1"/>
    <w:rsid w:val="144A6DBA"/>
    <w:rsid w:val="151D4008"/>
    <w:rsid w:val="15AE7982"/>
    <w:rsid w:val="1661290A"/>
    <w:rsid w:val="16ED44DA"/>
    <w:rsid w:val="170E5803"/>
    <w:rsid w:val="17A27073"/>
    <w:rsid w:val="183F73EA"/>
    <w:rsid w:val="18DF2ED5"/>
    <w:rsid w:val="19070B6D"/>
    <w:rsid w:val="1A4C1518"/>
    <w:rsid w:val="1B2A4E1E"/>
    <w:rsid w:val="1B2D065E"/>
    <w:rsid w:val="1C7D60A5"/>
    <w:rsid w:val="1D7C488C"/>
    <w:rsid w:val="1F15637C"/>
    <w:rsid w:val="1F875694"/>
    <w:rsid w:val="20251AEC"/>
    <w:rsid w:val="21206326"/>
    <w:rsid w:val="220A0A55"/>
    <w:rsid w:val="230A028E"/>
    <w:rsid w:val="23A928A1"/>
    <w:rsid w:val="23D5390C"/>
    <w:rsid w:val="252C0894"/>
    <w:rsid w:val="25B72A81"/>
    <w:rsid w:val="271779E7"/>
    <w:rsid w:val="27642191"/>
    <w:rsid w:val="27F6682A"/>
    <w:rsid w:val="28126853"/>
    <w:rsid w:val="294F4B81"/>
    <w:rsid w:val="2A10072A"/>
    <w:rsid w:val="2AD67248"/>
    <w:rsid w:val="2AFE794D"/>
    <w:rsid w:val="2B604E23"/>
    <w:rsid w:val="2B824FB1"/>
    <w:rsid w:val="2C757CC8"/>
    <w:rsid w:val="2CD866A2"/>
    <w:rsid w:val="2DEA32EF"/>
    <w:rsid w:val="2E2A1718"/>
    <w:rsid w:val="2E4F6532"/>
    <w:rsid w:val="2EF62000"/>
    <w:rsid w:val="2F593771"/>
    <w:rsid w:val="2FC4115A"/>
    <w:rsid w:val="2FE938EA"/>
    <w:rsid w:val="30384C7D"/>
    <w:rsid w:val="309C0F61"/>
    <w:rsid w:val="314E7000"/>
    <w:rsid w:val="32927F63"/>
    <w:rsid w:val="33F14D68"/>
    <w:rsid w:val="36851BE2"/>
    <w:rsid w:val="36AC0FA1"/>
    <w:rsid w:val="385C275B"/>
    <w:rsid w:val="38FD240B"/>
    <w:rsid w:val="39551D3F"/>
    <w:rsid w:val="3A2A4F01"/>
    <w:rsid w:val="3ADB0E49"/>
    <w:rsid w:val="3B0635EE"/>
    <w:rsid w:val="3C041E53"/>
    <w:rsid w:val="3C196A4C"/>
    <w:rsid w:val="3C4254E7"/>
    <w:rsid w:val="3D2D6B2F"/>
    <w:rsid w:val="3D903D0A"/>
    <w:rsid w:val="3DB64D77"/>
    <w:rsid w:val="3FDE5383"/>
    <w:rsid w:val="420D0511"/>
    <w:rsid w:val="42176ABE"/>
    <w:rsid w:val="42616650"/>
    <w:rsid w:val="42F31B82"/>
    <w:rsid w:val="43054151"/>
    <w:rsid w:val="433E1A96"/>
    <w:rsid w:val="44E62139"/>
    <w:rsid w:val="44EA2F34"/>
    <w:rsid w:val="45611A6C"/>
    <w:rsid w:val="457060A1"/>
    <w:rsid w:val="45A34316"/>
    <w:rsid w:val="45D81D34"/>
    <w:rsid w:val="45E72A99"/>
    <w:rsid w:val="472D66A6"/>
    <w:rsid w:val="474F708A"/>
    <w:rsid w:val="47664271"/>
    <w:rsid w:val="48207CAC"/>
    <w:rsid w:val="497E544C"/>
    <w:rsid w:val="49B1480E"/>
    <w:rsid w:val="4B464359"/>
    <w:rsid w:val="4B496972"/>
    <w:rsid w:val="4BD737A1"/>
    <w:rsid w:val="4D2871CF"/>
    <w:rsid w:val="4D470CD7"/>
    <w:rsid w:val="4DC332C4"/>
    <w:rsid w:val="4E2875CB"/>
    <w:rsid w:val="4E3A42BE"/>
    <w:rsid w:val="51CC19FD"/>
    <w:rsid w:val="523C08E8"/>
    <w:rsid w:val="552D196B"/>
    <w:rsid w:val="55F65DB3"/>
    <w:rsid w:val="58086A58"/>
    <w:rsid w:val="5830622B"/>
    <w:rsid w:val="5884755E"/>
    <w:rsid w:val="59AA292D"/>
    <w:rsid w:val="59E74508"/>
    <w:rsid w:val="5AC94305"/>
    <w:rsid w:val="5B0311A3"/>
    <w:rsid w:val="5B5639C9"/>
    <w:rsid w:val="5B7C4881"/>
    <w:rsid w:val="5BEA4052"/>
    <w:rsid w:val="5D785E49"/>
    <w:rsid w:val="5DDD2180"/>
    <w:rsid w:val="5E4C500D"/>
    <w:rsid w:val="5EAC1B5A"/>
    <w:rsid w:val="5ECF2829"/>
    <w:rsid w:val="5FE64BF0"/>
    <w:rsid w:val="602F37F0"/>
    <w:rsid w:val="61155B0D"/>
    <w:rsid w:val="61F45CEA"/>
    <w:rsid w:val="62630D14"/>
    <w:rsid w:val="62A768B8"/>
    <w:rsid w:val="65137FE1"/>
    <w:rsid w:val="65CA1B88"/>
    <w:rsid w:val="664722A7"/>
    <w:rsid w:val="66906C82"/>
    <w:rsid w:val="66EF455E"/>
    <w:rsid w:val="675E48ED"/>
    <w:rsid w:val="67977322"/>
    <w:rsid w:val="67F85E08"/>
    <w:rsid w:val="683C3F28"/>
    <w:rsid w:val="68754037"/>
    <w:rsid w:val="6884152A"/>
    <w:rsid w:val="68F82C78"/>
    <w:rsid w:val="69BC0A87"/>
    <w:rsid w:val="69D05266"/>
    <w:rsid w:val="6ABA6A70"/>
    <w:rsid w:val="6AD96184"/>
    <w:rsid w:val="6B317667"/>
    <w:rsid w:val="6C1874CD"/>
    <w:rsid w:val="6C75608F"/>
    <w:rsid w:val="6D200282"/>
    <w:rsid w:val="6DE84C49"/>
    <w:rsid w:val="6E2666A4"/>
    <w:rsid w:val="6F437969"/>
    <w:rsid w:val="6F8306AD"/>
    <w:rsid w:val="7122661A"/>
    <w:rsid w:val="7257774C"/>
    <w:rsid w:val="727E6F0A"/>
    <w:rsid w:val="734070EE"/>
    <w:rsid w:val="739B4217"/>
    <w:rsid w:val="743C59D7"/>
    <w:rsid w:val="745A2C6C"/>
    <w:rsid w:val="74AA44AE"/>
    <w:rsid w:val="752708F0"/>
    <w:rsid w:val="76797F74"/>
    <w:rsid w:val="76C01EBB"/>
    <w:rsid w:val="77753323"/>
    <w:rsid w:val="77EC7614"/>
    <w:rsid w:val="77F47BCD"/>
    <w:rsid w:val="786C0708"/>
    <w:rsid w:val="78D047C3"/>
    <w:rsid w:val="78E81581"/>
    <w:rsid w:val="79F503F9"/>
    <w:rsid w:val="7ABC5200"/>
    <w:rsid w:val="7C3E4EBC"/>
    <w:rsid w:val="7D4B066C"/>
    <w:rsid w:val="7DBB5BA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eastAsia="等线"/>
      <w:szCs w:val="20"/>
    </w:rPr>
  </w:style>
  <w:style w:type="paragraph" w:styleId="4">
    <w:name w:val="annotation text"/>
    <w:basedOn w:val="1"/>
    <w:link w:val="23"/>
    <w:qFormat/>
    <w:uiPriority w:val="0"/>
    <w:pPr>
      <w:jc w:val="left"/>
    </w:pPr>
  </w:style>
  <w:style w:type="paragraph" w:styleId="5">
    <w:name w:val="Body Text"/>
    <w:basedOn w:val="1"/>
    <w:qFormat/>
    <w:uiPriority w:val="0"/>
    <w:pPr>
      <w:spacing w:after="120"/>
    </w:pPr>
    <w:rPr>
      <w:kern w:val="0"/>
      <w:sz w:val="20"/>
      <w:szCs w:val="20"/>
    </w:rPr>
  </w:style>
  <w:style w:type="paragraph" w:styleId="6">
    <w:name w:val="Plain Text"/>
    <w:basedOn w:val="1"/>
    <w:qFormat/>
    <w:uiPriority w:val="0"/>
    <w:rPr>
      <w:rFonts w:ascii="宋体" w:hAnsi="Courier New"/>
      <w:kern w:val="0"/>
      <w:sz w:val="20"/>
      <w:szCs w:val="20"/>
    </w:rPr>
  </w:style>
  <w:style w:type="paragraph" w:styleId="7">
    <w:name w:val="Balloon Text"/>
    <w:basedOn w:val="1"/>
    <w:link w:val="21"/>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420" w:leftChars="200"/>
    </w:pPr>
  </w:style>
  <w:style w:type="paragraph" w:styleId="11">
    <w:name w:val="Body Text 2"/>
    <w:basedOn w:val="1"/>
    <w:qFormat/>
    <w:uiPriority w:val="0"/>
    <w:rPr>
      <w:rFonts w:ascii="宋体" w:hAnsi="宋体"/>
      <w:kern w:val="0"/>
      <w:sz w:val="20"/>
      <w:szCs w:val="24"/>
      <w:u w:val="single"/>
    </w:rPr>
  </w:style>
  <w:style w:type="paragraph" w:styleId="12">
    <w:name w:val="Normal (Web)"/>
    <w:basedOn w:val="1"/>
    <w:qFormat/>
    <w:uiPriority w:val="0"/>
    <w:pPr>
      <w:spacing w:beforeAutospacing="1" w:afterAutospacing="1"/>
      <w:jc w:val="left"/>
    </w:pPr>
    <w:rPr>
      <w:kern w:val="0"/>
      <w:sz w:val="24"/>
    </w:rPr>
  </w:style>
  <w:style w:type="paragraph" w:styleId="13">
    <w:name w:val="annotation subject"/>
    <w:basedOn w:val="4"/>
    <w:next w:val="4"/>
    <w:link w:val="24"/>
    <w:qFormat/>
    <w:uiPriority w:val="0"/>
    <w:rPr>
      <w:b/>
      <w:bCs/>
    </w:rPr>
  </w:style>
  <w:style w:type="character" w:styleId="16">
    <w:name w:val="Strong"/>
    <w:basedOn w:val="15"/>
    <w:qFormat/>
    <w:uiPriority w:val="0"/>
    <w:rPr>
      <w:b/>
    </w:rPr>
  </w:style>
  <w:style w:type="character" w:styleId="17">
    <w:name w:val="page number"/>
    <w:qFormat/>
    <w:uiPriority w:val="0"/>
    <w:rPr>
      <w:rFonts w:ascii="等线" w:hAnsi="等线" w:eastAsia="等线" w:cs="Times New Roman"/>
    </w:rPr>
  </w:style>
  <w:style w:type="character" w:styleId="18">
    <w:name w:val="annotation reference"/>
    <w:basedOn w:val="15"/>
    <w:qFormat/>
    <w:uiPriority w:val="0"/>
    <w:rPr>
      <w:sz w:val="21"/>
      <w:szCs w:val="21"/>
    </w:rPr>
  </w:style>
  <w:style w:type="paragraph" w:customStyle="1" w:styleId="19">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20">
    <w:name w:val="发文落款"/>
    <w:basedOn w:val="19"/>
    <w:qFormat/>
    <w:uiPriority w:val="0"/>
    <w:pPr>
      <w:ind w:left="4094" w:right="607" w:firstLine="0"/>
      <w:jc w:val="center"/>
    </w:pPr>
  </w:style>
  <w:style w:type="character" w:customStyle="1" w:styleId="21">
    <w:name w:val="批注框文本 字符"/>
    <w:basedOn w:val="15"/>
    <w:link w:val="7"/>
    <w:qFormat/>
    <w:uiPriority w:val="0"/>
    <w:rPr>
      <w:kern w:val="2"/>
      <w:sz w:val="18"/>
      <w:szCs w:val="18"/>
    </w:rPr>
  </w:style>
  <w:style w:type="paragraph" w:customStyle="1" w:styleId="22">
    <w:name w:val="修订1"/>
    <w:hidden/>
    <w:unhideWhenUsed/>
    <w:qFormat/>
    <w:uiPriority w:val="99"/>
    <w:rPr>
      <w:rFonts w:ascii="Times New Roman" w:hAnsi="Times New Roman" w:eastAsia="宋体" w:cs="Times New Roman"/>
      <w:kern w:val="2"/>
      <w:sz w:val="21"/>
      <w:szCs w:val="22"/>
      <w:lang w:val="en-US" w:eastAsia="zh-CN" w:bidi="ar-SA"/>
    </w:rPr>
  </w:style>
  <w:style w:type="character" w:customStyle="1" w:styleId="23">
    <w:name w:val="批注文字 字符"/>
    <w:basedOn w:val="15"/>
    <w:link w:val="4"/>
    <w:qFormat/>
    <w:uiPriority w:val="0"/>
    <w:rPr>
      <w:kern w:val="2"/>
      <w:sz w:val="21"/>
      <w:szCs w:val="22"/>
    </w:rPr>
  </w:style>
  <w:style w:type="character" w:customStyle="1" w:styleId="24">
    <w:name w:val="批注主题 字符"/>
    <w:basedOn w:val="23"/>
    <w:link w:val="13"/>
    <w:qFormat/>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9870</Words>
  <Characters>10363</Characters>
  <Lines>68</Lines>
  <Paragraphs>19</Paragraphs>
  <TotalTime>39</TotalTime>
  <ScaleCrop>false</ScaleCrop>
  <LinksUpToDate>false</LinksUpToDate>
  <CharactersWithSpaces>10551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2023-05-16T08:37:00Z</dcterms:created>
  <dc:creator>侠名</dc:creator>
  <cp:lastModifiedBy>admin</cp:lastModifiedBy>
  <cp:lastPrinted>2024-05-16T03:20:00Z</cp:lastPrinted>
  <dcterms:modified xsi:type="dcterms:W3CDTF">2025-03-11T02:03:49Z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18F0B12232864D1292CE674A3AC69ACE_13</vt:lpwstr>
  </property>
  <property fmtid="{D5CDD505-2E9C-101B-9397-08002B2CF9AE}" pid="4" name="KSOTemplateDocerSaveRecord">
    <vt:lpwstr>eyJoZGlkIjoiZmNjOWNjYzgyOTRjYjQzMDYzODg0ZmE4YmY4OGExN2EiLCJ1c2VySWQiOiIzMjg3MjkzMTYifQ==</vt:lpwstr>
  </property>
</Properties>
</file>