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b/>
          <w:color w:val="auto"/>
          <w:sz w:val="44"/>
          <w:szCs w:val="44"/>
        </w:rPr>
      </w:pPr>
      <w:r>
        <w:rPr>
          <w:rFonts w:hint="eastAsia"/>
          <w:b/>
          <w:color w:val="auto"/>
          <w:sz w:val="44"/>
          <w:szCs w:val="44"/>
        </w:rPr>
        <w:t xml:space="preserve">                                                                                                                                                                                                                                                                                                                                         </w:t>
      </w:r>
    </w:p>
    <w:p>
      <w:pPr>
        <w:autoSpaceDE w:val="0"/>
        <w:autoSpaceDN w:val="0"/>
        <w:adjustRightInd w:val="0"/>
        <w:spacing w:line="360" w:lineRule="auto"/>
        <w:ind w:left="181" w:leftChars="86"/>
        <w:jc w:val="center"/>
        <w:rPr>
          <w:b/>
          <w:color w:val="auto"/>
          <w:sz w:val="44"/>
          <w:szCs w:val="44"/>
        </w:rPr>
      </w:pPr>
    </w:p>
    <w:p>
      <w:pPr>
        <w:autoSpaceDE w:val="0"/>
        <w:autoSpaceDN w:val="0"/>
        <w:adjustRightInd w:val="0"/>
        <w:spacing w:line="360" w:lineRule="auto"/>
        <w:jc w:val="center"/>
        <w:rPr>
          <w:b/>
          <w:color w:val="auto"/>
          <w:sz w:val="44"/>
          <w:szCs w:val="44"/>
        </w:rPr>
      </w:pPr>
      <w:r>
        <w:rPr>
          <w:rFonts w:hint="eastAsia"/>
          <w:b/>
          <w:color w:val="auto"/>
          <w:sz w:val="44"/>
          <w:szCs w:val="44"/>
        </w:rPr>
        <w:t>增城区农村供水改造工程（第二批）监理</w:t>
      </w:r>
    </w:p>
    <w:p>
      <w:pPr>
        <w:pStyle w:val="16"/>
        <w:ind w:firstLine="883" w:firstLineChars="200"/>
        <w:jc w:val="both"/>
        <w:rPr>
          <w:b/>
          <w:color w:val="auto"/>
          <w:sz w:val="44"/>
          <w:szCs w:val="44"/>
        </w:rPr>
      </w:pPr>
    </w:p>
    <w:p>
      <w:pPr>
        <w:ind w:firstLine="640" w:firstLineChars="200"/>
        <w:jc w:val="center"/>
        <w:rPr>
          <w:rFonts w:ascii="Times New Roman" w:hAnsi="Times New Roman" w:eastAsia="黑体"/>
          <w:color w:val="auto"/>
          <w:sz w:val="32"/>
          <w:szCs w:val="32"/>
        </w:rPr>
      </w:pPr>
      <w:r>
        <w:rPr>
          <w:rFonts w:ascii="Times New Roman" w:hAnsi="Times New Roman" w:eastAsia="黑体"/>
          <w:color w:val="auto"/>
          <w:sz w:val="32"/>
          <w:szCs w:val="32"/>
        </w:rPr>
        <w:t>（招标编号：</w:t>
      </w:r>
      <w:r>
        <w:rPr>
          <w:rFonts w:ascii="Times New Roman" w:hAnsi="Times New Roman"/>
          <w:color w:val="auto"/>
          <w:sz w:val="32"/>
          <w:szCs w:val="32"/>
          <w:u w:val="single"/>
        </w:rPr>
        <w:t xml:space="preserve"> </w:t>
      </w:r>
      <w:r>
        <w:rPr>
          <w:rFonts w:hint="eastAsia" w:ascii="Times New Roman" w:hAnsi="Times New Roman"/>
          <w:color w:val="auto"/>
          <w:sz w:val="32"/>
          <w:szCs w:val="32"/>
          <w:u w:val="single"/>
        </w:rPr>
        <w:t xml:space="preserve">          </w:t>
      </w:r>
      <w:r>
        <w:rPr>
          <w:rFonts w:ascii="Times New Roman" w:hAnsi="Times New Roman" w:eastAsia="黑体"/>
          <w:color w:val="auto"/>
          <w:sz w:val="32"/>
          <w:szCs w:val="32"/>
        </w:rPr>
        <w:t>）</w:t>
      </w:r>
    </w:p>
    <w:p>
      <w:pPr>
        <w:spacing w:line="400" w:lineRule="exact"/>
        <w:ind w:firstLine="420" w:firstLineChars="200"/>
        <w:rPr>
          <w:rFonts w:ascii="Times New Roman" w:hAnsi="Times New Roman"/>
          <w:color w:val="auto"/>
        </w:rPr>
      </w:pPr>
    </w:p>
    <w:p>
      <w:pPr>
        <w:spacing w:line="400" w:lineRule="exact"/>
        <w:ind w:firstLine="420" w:firstLineChars="200"/>
        <w:rPr>
          <w:rFonts w:ascii="Times New Roman" w:hAnsi="Times New Roman"/>
          <w:color w:val="auto"/>
        </w:rPr>
      </w:pPr>
    </w:p>
    <w:p>
      <w:pPr>
        <w:ind w:firstLine="560" w:firstLineChars="200"/>
        <w:rPr>
          <w:rFonts w:ascii="Times New Roman" w:hAnsi="Times New Roman"/>
          <w:color w:val="auto"/>
          <w:sz w:val="28"/>
          <w:szCs w:val="28"/>
        </w:rPr>
      </w:pPr>
    </w:p>
    <w:p>
      <w:pPr>
        <w:ind w:firstLine="560" w:firstLineChars="200"/>
        <w:rPr>
          <w:rFonts w:ascii="Times New Roman" w:hAnsi="Times New Roman"/>
          <w:color w:val="auto"/>
          <w:sz w:val="28"/>
          <w:szCs w:val="28"/>
        </w:rPr>
      </w:pPr>
    </w:p>
    <w:p>
      <w:pPr>
        <w:ind w:firstLine="560" w:firstLineChars="200"/>
        <w:rPr>
          <w:rFonts w:ascii="Times New Roman" w:hAnsi="Times New Roman"/>
          <w:color w:val="auto"/>
          <w:sz w:val="28"/>
          <w:szCs w:val="28"/>
        </w:rPr>
      </w:pPr>
    </w:p>
    <w:p>
      <w:pPr>
        <w:ind w:firstLine="560" w:firstLineChars="200"/>
        <w:rPr>
          <w:rFonts w:ascii="Times New Roman" w:hAnsi="Times New Roman"/>
          <w:color w:val="auto"/>
          <w:sz w:val="28"/>
          <w:szCs w:val="28"/>
        </w:rPr>
      </w:pPr>
    </w:p>
    <w:p>
      <w:pPr>
        <w:ind w:firstLine="560" w:firstLineChars="200"/>
        <w:rPr>
          <w:rFonts w:ascii="Times New Roman" w:hAnsi="Times New Roman"/>
          <w:color w:val="auto"/>
          <w:sz w:val="28"/>
        </w:rPr>
      </w:pPr>
    </w:p>
    <w:p>
      <w:pPr>
        <w:ind w:firstLine="1680" w:firstLineChars="200"/>
        <w:rPr>
          <w:rFonts w:ascii="Times New Roman" w:hAnsi="Times New Roman" w:eastAsia="黑体"/>
          <w:color w:val="auto"/>
          <w:sz w:val="84"/>
          <w:szCs w:val="84"/>
        </w:rPr>
      </w:pPr>
      <w:r>
        <w:rPr>
          <w:rFonts w:ascii="Times New Roman" w:hAnsi="Times New Roman" w:eastAsia="黑体"/>
          <w:color w:val="auto"/>
          <w:sz w:val="84"/>
          <w:szCs w:val="84"/>
        </w:rPr>
        <w:t>招</w:t>
      </w:r>
      <w:r>
        <w:rPr>
          <w:rFonts w:hint="eastAsia" w:ascii="Times New Roman" w:hAnsi="Times New Roman" w:eastAsia="黑体"/>
          <w:color w:val="auto"/>
          <w:sz w:val="84"/>
          <w:szCs w:val="84"/>
        </w:rPr>
        <w:t xml:space="preserve"> </w:t>
      </w:r>
      <w:r>
        <w:rPr>
          <w:rFonts w:ascii="Times New Roman" w:hAnsi="Times New Roman" w:eastAsia="黑体"/>
          <w:color w:val="auto"/>
          <w:sz w:val="84"/>
          <w:szCs w:val="84"/>
        </w:rPr>
        <w:t>标</w:t>
      </w:r>
      <w:r>
        <w:rPr>
          <w:rFonts w:hint="eastAsia" w:ascii="Times New Roman" w:hAnsi="Times New Roman" w:eastAsia="黑体"/>
          <w:color w:val="auto"/>
          <w:sz w:val="84"/>
          <w:szCs w:val="84"/>
        </w:rPr>
        <w:t xml:space="preserve"> </w:t>
      </w:r>
      <w:r>
        <w:rPr>
          <w:rFonts w:ascii="Times New Roman" w:hAnsi="Times New Roman" w:eastAsia="黑体"/>
          <w:color w:val="auto"/>
          <w:sz w:val="84"/>
          <w:szCs w:val="84"/>
        </w:rPr>
        <w:t>文</w:t>
      </w:r>
      <w:r>
        <w:rPr>
          <w:rFonts w:hint="eastAsia" w:ascii="Times New Roman" w:hAnsi="Times New Roman" w:eastAsia="黑体"/>
          <w:color w:val="auto"/>
          <w:sz w:val="84"/>
          <w:szCs w:val="84"/>
        </w:rPr>
        <w:t xml:space="preserve"> </w:t>
      </w:r>
      <w:r>
        <w:rPr>
          <w:rFonts w:ascii="Times New Roman" w:hAnsi="Times New Roman" w:eastAsia="黑体"/>
          <w:color w:val="auto"/>
          <w:sz w:val="84"/>
          <w:szCs w:val="84"/>
        </w:rPr>
        <w:t>件</w:t>
      </w:r>
      <w:r>
        <w:rPr>
          <w:rFonts w:hint="eastAsia" w:ascii="Times New Roman" w:hAnsi="Times New Roman" w:eastAsia="黑体"/>
          <w:color w:val="auto"/>
          <w:sz w:val="84"/>
          <w:szCs w:val="84"/>
        </w:rPr>
        <w:t xml:space="preserve">                                                 </w:t>
      </w:r>
    </w:p>
    <w:p>
      <w:pPr>
        <w:spacing w:line="400" w:lineRule="exact"/>
        <w:ind w:firstLine="420" w:firstLineChars="200"/>
        <w:rPr>
          <w:rFonts w:ascii="Times New Roman" w:hAnsi="Times New Roman"/>
          <w:color w:val="auto"/>
        </w:rPr>
      </w:pPr>
    </w:p>
    <w:p>
      <w:pPr>
        <w:spacing w:line="400" w:lineRule="exact"/>
        <w:ind w:firstLine="420" w:firstLineChars="200"/>
        <w:rPr>
          <w:rFonts w:ascii="Times New Roman" w:hAnsi="Times New Roman"/>
          <w:color w:val="auto"/>
        </w:rPr>
      </w:pPr>
    </w:p>
    <w:p>
      <w:pPr>
        <w:spacing w:line="400" w:lineRule="exact"/>
        <w:ind w:firstLine="420" w:firstLineChars="200"/>
        <w:rPr>
          <w:rFonts w:ascii="Times New Roman" w:hAnsi="Times New Roman"/>
          <w:color w:val="auto"/>
        </w:rPr>
      </w:pPr>
    </w:p>
    <w:p>
      <w:pPr>
        <w:spacing w:line="400" w:lineRule="exact"/>
        <w:ind w:firstLine="420" w:firstLineChars="200"/>
        <w:rPr>
          <w:rFonts w:ascii="Times New Roman" w:hAnsi="Times New Roman"/>
          <w:color w:val="auto"/>
        </w:rPr>
      </w:pPr>
    </w:p>
    <w:p>
      <w:pPr>
        <w:spacing w:line="400" w:lineRule="exact"/>
        <w:ind w:firstLine="420" w:firstLineChars="200"/>
        <w:rPr>
          <w:rFonts w:ascii="Times New Roman" w:hAnsi="Times New Roman"/>
          <w:color w:val="auto"/>
        </w:rPr>
      </w:pPr>
    </w:p>
    <w:p>
      <w:pPr>
        <w:rPr>
          <w:color w:val="auto"/>
        </w:rPr>
      </w:pPr>
    </w:p>
    <w:p>
      <w:pPr>
        <w:spacing w:line="400" w:lineRule="exact"/>
        <w:ind w:firstLine="420" w:firstLineChars="200"/>
        <w:rPr>
          <w:rFonts w:ascii="Times New Roman" w:hAnsi="Times New Roman"/>
          <w:color w:val="auto"/>
        </w:rPr>
      </w:pPr>
    </w:p>
    <w:p>
      <w:pPr>
        <w:spacing w:line="400" w:lineRule="exact"/>
        <w:ind w:firstLine="420" w:firstLineChars="200"/>
        <w:rPr>
          <w:rFonts w:ascii="Times New Roman" w:hAnsi="Times New Roman"/>
          <w:color w:val="auto"/>
        </w:rPr>
      </w:pPr>
    </w:p>
    <w:p>
      <w:pPr>
        <w:spacing w:line="360" w:lineRule="auto"/>
        <w:ind w:firstLine="643" w:firstLineChars="200"/>
        <w:rPr>
          <w:rFonts w:ascii="宋体" w:hAnsi="宋体"/>
          <w:b/>
          <w:color w:val="auto"/>
          <w:sz w:val="32"/>
          <w:szCs w:val="32"/>
        </w:rPr>
      </w:pPr>
      <w:r>
        <w:rPr>
          <w:rFonts w:hint="eastAsia" w:ascii="宋体" w:hAnsi="宋体"/>
          <w:b/>
          <w:color w:val="auto"/>
          <w:sz w:val="32"/>
          <w:szCs w:val="32"/>
        </w:rPr>
        <w:t xml:space="preserve">招 标  单 位：广州增城区东进供水有限公司 </w:t>
      </w:r>
    </w:p>
    <w:p>
      <w:pPr>
        <w:spacing w:line="360" w:lineRule="auto"/>
        <w:ind w:firstLine="643" w:firstLineChars="200"/>
        <w:rPr>
          <w:rFonts w:ascii="宋体" w:hAnsi="宋体"/>
          <w:b/>
          <w:color w:val="auto"/>
          <w:sz w:val="32"/>
          <w:szCs w:val="32"/>
        </w:rPr>
      </w:pPr>
      <w:r>
        <w:rPr>
          <w:rFonts w:hint="eastAsia" w:ascii="宋体" w:hAnsi="宋体"/>
          <w:b/>
          <w:color w:val="auto"/>
          <w:sz w:val="32"/>
          <w:szCs w:val="32"/>
        </w:rPr>
        <w:t>招标代理单位：方明工程咨询（广州）有限公司</w:t>
      </w:r>
    </w:p>
    <w:p>
      <w:pPr>
        <w:spacing w:line="360" w:lineRule="auto"/>
        <w:ind w:firstLine="643" w:firstLineChars="200"/>
        <w:rPr>
          <w:rFonts w:ascii="宋体" w:hAnsi="宋体"/>
          <w:b/>
          <w:color w:val="auto"/>
          <w:sz w:val="32"/>
          <w:szCs w:val="32"/>
        </w:rPr>
      </w:pPr>
      <w:r>
        <w:rPr>
          <w:rFonts w:hint="eastAsia" w:ascii="宋体" w:hAnsi="宋体"/>
          <w:b/>
          <w:color w:val="auto"/>
          <w:sz w:val="32"/>
          <w:szCs w:val="32"/>
        </w:rPr>
        <w:t>日        期：二〇二二年</w:t>
      </w:r>
      <w:r>
        <w:rPr>
          <w:rFonts w:hint="eastAsia" w:ascii="宋体" w:hAnsi="宋体"/>
          <w:b/>
          <w:color w:val="auto"/>
          <w:sz w:val="32"/>
          <w:szCs w:val="32"/>
          <w:u w:val="single"/>
        </w:rPr>
        <w:t xml:space="preserve">  </w:t>
      </w:r>
      <w:r>
        <w:rPr>
          <w:rFonts w:hint="eastAsia" w:ascii="宋体" w:hAnsi="宋体"/>
          <w:b/>
          <w:color w:val="auto"/>
          <w:sz w:val="32"/>
          <w:szCs w:val="32"/>
        </w:rPr>
        <w:t>月</w:t>
      </w:r>
      <w:r>
        <w:rPr>
          <w:rFonts w:hint="eastAsia" w:ascii="宋体" w:hAnsi="宋体"/>
          <w:b/>
          <w:color w:val="auto"/>
          <w:sz w:val="32"/>
          <w:szCs w:val="32"/>
          <w:u w:val="single"/>
        </w:rPr>
        <w:t xml:space="preserve">   </w:t>
      </w:r>
      <w:r>
        <w:rPr>
          <w:rFonts w:hint="eastAsia" w:ascii="宋体" w:hAnsi="宋体"/>
          <w:b/>
          <w:color w:val="auto"/>
          <w:sz w:val="32"/>
          <w:szCs w:val="32"/>
        </w:rPr>
        <w:t>日</w:t>
      </w:r>
    </w:p>
    <w:p>
      <w:pPr>
        <w:pStyle w:val="14"/>
        <w:ind w:firstLine="420" w:firstLineChars="200"/>
        <w:rPr>
          <w:color w:val="auto"/>
        </w:rPr>
      </w:pPr>
    </w:p>
    <w:p>
      <w:pPr>
        <w:ind w:firstLine="420" w:firstLineChars="200"/>
        <w:rPr>
          <w:color w:val="auto"/>
        </w:rPr>
      </w:pPr>
    </w:p>
    <w:p>
      <w:pPr>
        <w:rPr>
          <w:rFonts w:asciiTheme="majorEastAsia" w:hAnsiTheme="majorEastAsia" w:eastAsiaTheme="majorEastAsia"/>
          <w:color w:val="auto"/>
          <w:lang w:val="zh-CN"/>
        </w:rPr>
      </w:pPr>
      <w:bookmarkStart w:id="0" w:name="_Toc152045511"/>
      <w:bookmarkStart w:id="1" w:name="_Toc152042287"/>
      <w:bookmarkStart w:id="2" w:name="_Toc144974479"/>
      <w:r>
        <w:rPr>
          <w:rFonts w:asciiTheme="majorEastAsia" w:hAnsiTheme="majorEastAsia" w:eastAsiaTheme="majorEastAsia"/>
          <w:color w:val="auto"/>
          <w:lang w:val="zh-CN"/>
        </w:rPr>
        <w:br w:type="page"/>
      </w:r>
    </w:p>
    <w:p>
      <w:pPr>
        <w:pStyle w:val="28"/>
        <w:keepNext w:val="0"/>
        <w:keepLines w:val="0"/>
        <w:widowControl w:val="0"/>
        <w:spacing w:before="0"/>
        <w:jc w:val="center"/>
        <w:rPr>
          <w:rFonts w:asciiTheme="majorEastAsia" w:hAnsiTheme="majorEastAsia" w:eastAsiaTheme="majorEastAsia"/>
          <w:b w:val="0"/>
          <w:color w:val="auto"/>
        </w:rPr>
      </w:pPr>
      <w:r>
        <w:rPr>
          <w:rFonts w:asciiTheme="majorEastAsia" w:hAnsiTheme="majorEastAsia" w:eastAsiaTheme="majorEastAsia"/>
          <w:b w:val="0"/>
          <w:color w:val="auto"/>
          <w:lang w:val="zh-CN"/>
        </w:rPr>
        <w:t>目</w:t>
      </w:r>
      <w:r>
        <w:rPr>
          <w:rFonts w:hint="eastAsia" w:asciiTheme="majorEastAsia" w:hAnsiTheme="majorEastAsia" w:eastAsiaTheme="majorEastAsia"/>
          <w:b w:val="0"/>
          <w:color w:val="auto"/>
          <w:lang w:val="zh-CN"/>
        </w:rPr>
        <w:t xml:space="preserve"> </w:t>
      </w:r>
      <w:r>
        <w:rPr>
          <w:rFonts w:asciiTheme="majorEastAsia" w:hAnsiTheme="majorEastAsia" w:eastAsiaTheme="majorEastAsia"/>
          <w:b w:val="0"/>
          <w:color w:val="auto"/>
          <w:lang w:val="zh-CN"/>
        </w:rPr>
        <w:t>录</w:t>
      </w:r>
    </w:p>
    <w:p>
      <w:pPr>
        <w:pStyle w:val="18"/>
        <w:tabs>
          <w:tab w:val="right" w:leader="dot" w:pos="8630"/>
        </w:tabs>
        <w:ind w:firstLine="420" w:firstLineChars="200"/>
        <w:rPr>
          <w:rFonts w:ascii="Times New Roman" w:hAnsi="Times New Roman"/>
          <w:color w:val="auto"/>
        </w:rPr>
      </w:pPr>
    </w:p>
    <w:p>
      <w:pPr>
        <w:pStyle w:val="18"/>
        <w:tabs>
          <w:tab w:val="right" w:leader="dot" w:pos="8630"/>
        </w:tabs>
        <w:spacing w:line="360" w:lineRule="auto"/>
        <w:ind w:firstLine="420" w:firstLineChars="200"/>
        <w:rPr>
          <w:rFonts w:asciiTheme="minorHAnsi" w:hAnsiTheme="minorHAnsi" w:eastAsiaTheme="minorEastAsia" w:cstheme="minorBidi"/>
          <w:color w:val="auto"/>
          <w:sz w:val="24"/>
          <w:szCs w:val="24"/>
        </w:rPr>
      </w:pPr>
      <w:r>
        <w:rPr>
          <w:rFonts w:ascii="Times New Roman" w:hAnsi="Times New Roman"/>
          <w:color w:val="auto"/>
        </w:rPr>
        <w:fldChar w:fldCharType="begin"/>
      </w:r>
      <w:r>
        <w:rPr>
          <w:rFonts w:ascii="Times New Roman" w:hAnsi="Times New Roman"/>
          <w:color w:val="auto"/>
        </w:rPr>
        <w:instrText xml:space="preserve"> TOC \o "1-3" \h \z \u </w:instrText>
      </w:r>
      <w:r>
        <w:rPr>
          <w:rFonts w:ascii="Times New Roman" w:hAnsi="Times New Roman"/>
          <w:color w:val="auto"/>
        </w:rPr>
        <w:fldChar w:fldCharType="separate"/>
      </w:r>
      <w:r>
        <w:rPr>
          <w:color w:val="auto"/>
        </w:rPr>
        <w:fldChar w:fldCharType="begin"/>
      </w:r>
      <w:r>
        <w:rPr>
          <w:color w:val="auto"/>
        </w:rPr>
        <w:instrText xml:space="preserve"> HYPERLINK \l "_Toc89870540" </w:instrText>
      </w:r>
      <w:r>
        <w:rPr>
          <w:color w:val="auto"/>
        </w:rPr>
        <w:fldChar w:fldCharType="separate"/>
      </w:r>
      <w:r>
        <w:rPr>
          <w:rStyle w:val="26"/>
          <w:rFonts w:hint="eastAsia"/>
          <w:color w:val="auto"/>
          <w:sz w:val="24"/>
          <w:szCs w:val="24"/>
        </w:rPr>
        <w:t>第一章招标公告</w:t>
      </w:r>
      <w:r>
        <w:rPr>
          <w:color w:val="auto"/>
          <w:sz w:val="24"/>
          <w:szCs w:val="24"/>
        </w:rPr>
        <w:tab/>
      </w:r>
      <w:r>
        <w:rPr>
          <w:color w:val="auto"/>
          <w:sz w:val="24"/>
          <w:szCs w:val="24"/>
        </w:rPr>
        <w:fldChar w:fldCharType="begin"/>
      </w:r>
      <w:r>
        <w:rPr>
          <w:color w:val="auto"/>
          <w:sz w:val="24"/>
          <w:szCs w:val="24"/>
        </w:rPr>
        <w:instrText xml:space="preserve"> PAGEREF _Toc89870540 \h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pPr>
        <w:pStyle w:val="18"/>
        <w:tabs>
          <w:tab w:val="right" w:leader="dot" w:pos="8630"/>
        </w:tabs>
        <w:spacing w:line="360" w:lineRule="auto"/>
        <w:ind w:firstLine="420" w:firstLineChars="200"/>
        <w:rPr>
          <w:rFonts w:asciiTheme="minorHAnsi" w:hAnsiTheme="minorHAnsi" w:eastAsiaTheme="minorEastAsia" w:cstheme="minorBidi"/>
          <w:color w:val="auto"/>
          <w:sz w:val="24"/>
          <w:szCs w:val="24"/>
        </w:rPr>
      </w:pPr>
      <w:r>
        <w:rPr>
          <w:color w:val="auto"/>
        </w:rPr>
        <w:fldChar w:fldCharType="begin"/>
      </w:r>
      <w:r>
        <w:rPr>
          <w:color w:val="auto"/>
        </w:rPr>
        <w:instrText xml:space="preserve"> HYPERLINK \l "_Toc89870548" </w:instrText>
      </w:r>
      <w:r>
        <w:rPr>
          <w:color w:val="auto"/>
        </w:rPr>
        <w:fldChar w:fldCharType="separate"/>
      </w:r>
      <w:r>
        <w:rPr>
          <w:rStyle w:val="26"/>
          <w:rFonts w:hint="eastAsia"/>
          <w:color w:val="auto"/>
          <w:sz w:val="24"/>
          <w:szCs w:val="24"/>
        </w:rPr>
        <w:t>第二章投标人须知</w:t>
      </w:r>
      <w:r>
        <w:rPr>
          <w:color w:val="auto"/>
          <w:sz w:val="24"/>
          <w:szCs w:val="24"/>
        </w:rPr>
        <w:tab/>
      </w:r>
      <w:r>
        <w:rPr>
          <w:color w:val="auto"/>
          <w:sz w:val="24"/>
          <w:szCs w:val="24"/>
        </w:rPr>
        <w:fldChar w:fldCharType="begin"/>
      </w:r>
      <w:r>
        <w:rPr>
          <w:color w:val="auto"/>
          <w:sz w:val="24"/>
          <w:szCs w:val="24"/>
        </w:rPr>
        <w:instrText xml:space="preserve"> PAGEREF _Toc89870548 \h </w:instrText>
      </w:r>
      <w:r>
        <w:rPr>
          <w:color w:val="auto"/>
          <w:sz w:val="24"/>
          <w:szCs w:val="24"/>
        </w:rPr>
        <w:fldChar w:fldCharType="separate"/>
      </w:r>
      <w:r>
        <w:rPr>
          <w:color w:val="auto"/>
          <w:sz w:val="24"/>
          <w:szCs w:val="24"/>
        </w:rPr>
        <w:t>10</w:t>
      </w:r>
      <w:r>
        <w:rPr>
          <w:color w:val="auto"/>
          <w:sz w:val="24"/>
          <w:szCs w:val="24"/>
        </w:rPr>
        <w:fldChar w:fldCharType="end"/>
      </w:r>
      <w:r>
        <w:rPr>
          <w:color w:val="auto"/>
          <w:sz w:val="24"/>
          <w:szCs w:val="24"/>
        </w:rPr>
        <w:fldChar w:fldCharType="end"/>
      </w:r>
    </w:p>
    <w:p>
      <w:pPr>
        <w:pStyle w:val="18"/>
        <w:tabs>
          <w:tab w:val="right" w:leader="dot" w:pos="8630"/>
        </w:tabs>
        <w:spacing w:line="360" w:lineRule="auto"/>
        <w:ind w:firstLine="420" w:firstLineChars="200"/>
        <w:rPr>
          <w:rFonts w:asciiTheme="minorHAnsi" w:hAnsiTheme="minorHAnsi" w:eastAsiaTheme="minorEastAsia" w:cstheme="minorBidi"/>
          <w:color w:val="auto"/>
          <w:sz w:val="24"/>
          <w:szCs w:val="24"/>
        </w:rPr>
      </w:pPr>
      <w:r>
        <w:rPr>
          <w:color w:val="auto"/>
        </w:rPr>
        <w:fldChar w:fldCharType="begin"/>
      </w:r>
      <w:r>
        <w:rPr>
          <w:color w:val="auto"/>
        </w:rPr>
        <w:instrText xml:space="preserve"> HYPERLINK \l "_Toc89870608" </w:instrText>
      </w:r>
      <w:r>
        <w:rPr>
          <w:color w:val="auto"/>
        </w:rPr>
        <w:fldChar w:fldCharType="separate"/>
      </w:r>
      <w:r>
        <w:rPr>
          <w:rStyle w:val="26"/>
          <w:rFonts w:hint="eastAsia"/>
          <w:color w:val="auto"/>
          <w:sz w:val="24"/>
          <w:szCs w:val="24"/>
        </w:rPr>
        <w:t>第三章评标办法（综合评估法）</w:t>
      </w:r>
      <w:r>
        <w:rPr>
          <w:color w:val="auto"/>
          <w:sz w:val="24"/>
          <w:szCs w:val="24"/>
        </w:rPr>
        <w:tab/>
      </w:r>
      <w:r>
        <w:rPr>
          <w:color w:val="auto"/>
          <w:sz w:val="24"/>
          <w:szCs w:val="24"/>
        </w:rPr>
        <w:fldChar w:fldCharType="begin"/>
      </w:r>
      <w:r>
        <w:rPr>
          <w:color w:val="auto"/>
          <w:sz w:val="24"/>
          <w:szCs w:val="24"/>
        </w:rPr>
        <w:instrText xml:space="preserve"> PAGEREF _Toc89870608 \h </w:instrText>
      </w:r>
      <w:r>
        <w:rPr>
          <w:color w:val="auto"/>
          <w:sz w:val="24"/>
          <w:szCs w:val="24"/>
        </w:rPr>
        <w:fldChar w:fldCharType="separate"/>
      </w:r>
      <w:r>
        <w:rPr>
          <w:color w:val="auto"/>
          <w:sz w:val="24"/>
          <w:szCs w:val="24"/>
        </w:rPr>
        <w:t>37</w:t>
      </w:r>
      <w:r>
        <w:rPr>
          <w:color w:val="auto"/>
          <w:sz w:val="24"/>
          <w:szCs w:val="24"/>
        </w:rPr>
        <w:fldChar w:fldCharType="end"/>
      </w:r>
      <w:r>
        <w:rPr>
          <w:color w:val="auto"/>
          <w:sz w:val="24"/>
          <w:szCs w:val="24"/>
        </w:rPr>
        <w:fldChar w:fldCharType="end"/>
      </w:r>
    </w:p>
    <w:p>
      <w:pPr>
        <w:pStyle w:val="18"/>
        <w:tabs>
          <w:tab w:val="right" w:leader="dot" w:pos="8630"/>
        </w:tabs>
        <w:spacing w:line="360" w:lineRule="auto"/>
        <w:ind w:firstLine="420" w:firstLineChars="200"/>
        <w:rPr>
          <w:rFonts w:asciiTheme="minorHAnsi" w:hAnsiTheme="minorHAnsi" w:eastAsiaTheme="minorEastAsia" w:cstheme="minorBidi"/>
          <w:color w:val="auto"/>
          <w:sz w:val="24"/>
          <w:szCs w:val="24"/>
        </w:rPr>
      </w:pPr>
      <w:r>
        <w:rPr>
          <w:color w:val="auto"/>
        </w:rPr>
        <w:fldChar w:fldCharType="begin"/>
      </w:r>
      <w:r>
        <w:rPr>
          <w:color w:val="auto"/>
        </w:rPr>
        <w:instrText xml:space="preserve"> HYPERLINK \l "_Toc89870620" </w:instrText>
      </w:r>
      <w:r>
        <w:rPr>
          <w:color w:val="auto"/>
        </w:rPr>
        <w:fldChar w:fldCharType="separate"/>
      </w:r>
      <w:r>
        <w:rPr>
          <w:rStyle w:val="26"/>
          <w:rFonts w:hint="eastAsia"/>
          <w:color w:val="auto"/>
          <w:sz w:val="24"/>
          <w:szCs w:val="24"/>
        </w:rPr>
        <w:t>第四章合同条款及格式</w:t>
      </w:r>
      <w:r>
        <w:rPr>
          <w:color w:val="auto"/>
          <w:sz w:val="24"/>
          <w:szCs w:val="24"/>
        </w:rPr>
        <w:tab/>
      </w:r>
      <w:r>
        <w:rPr>
          <w:color w:val="auto"/>
          <w:sz w:val="24"/>
          <w:szCs w:val="24"/>
        </w:rPr>
        <w:fldChar w:fldCharType="begin"/>
      </w:r>
      <w:r>
        <w:rPr>
          <w:color w:val="auto"/>
          <w:sz w:val="24"/>
          <w:szCs w:val="24"/>
        </w:rPr>
        <w:instrText xml:space="preserve"> PAGEREF _Toc89870620 \h </w:instrText>
      </w:r>
      <w:r>
        <w:rPr>
          <w:color w:val="auto"/>
          <w:sz w:val="24"/>
          <w:szCs w:val="24"/>
        </w:rPr>
        <w:fldChar w:fldCharType="separate"/>
      </w:r>
      <w:r>
        <w:rPr>
          <w:color w:val="auto"/>
          <w:sz w:val="24"/>
          <w:szCs w:val="24"/>
        </w:rPr>
        <w:t>44</w:t>
      </w:r>
      <w:r>
        <w:rPr>
          <w:color w:val="auto"/>
          <w:sz w:val="24"/>
          <w:szCs w:val="24"/>
        </w:rPr>
        <w:fldChar w:fldCharType="end"/>
      </w:r>
      <w:r>
        <w:rPr>
          <w:color w:val="auto"/>
          <w:sz w:val="24"/>
          <w:szCs w:val="24"/>
        </w:rPr>
        <w:fldChar w:fldCharType="end"/>
      </w:r>
    </w:p>
    <w:p>
      <w:pPr>
        <w:pStyle w:val="18"/>
        <w:tabs>
          <w:tab w:val="right" w:leader="dot" w:pos="8630"/>
        </w:tabs>
        <w:spacing w:line="360" w:lineRule="auto"/>
        <w:ind w:firstLine="420" w:firstLineChars="200"/>
        <w:rPr>
          <w:rFonts w:asciiTheme="minorHAnsi" w:hAnsiTheme="minorHAnsi" w:eastAsiaTheme="minorEastAsia" w:cstheme="minorBidi"/>
          <w:color w:val="auto"/>
          <w:sz w:val="24"/>
          <w:szCs w:val="24"/>
        </w:rPr>
      </w:pPr>
      <w:r>
        <w:rPr>
          <w:color w:val="auto"/>
        </w:rPr>
        <w:fldChar w:fldCharType="begin"/>
      </w:r>
      <w:r>
        <w:rPr>
          <w:color w:val="auto"/>
        </w:rPr>
        <w:instrText xml:space="preserve"> HYPERLINK \l "_Toc89870622" </w:instrText>
      </w:r>
      <w:r>
        <w:rPr>
          <w:color w:val="auto"/>
        </w:rPr>
        <w:fldChar w:fldCharType="separate"/>
      </w:r>
      <w:r>
        <w:rPr>
          <w:rStyle w:val="26"/>
          <w:rFonts w:hint="eastAsia"/>
          <w:color w:val="auto"/>
          <w:sz w:val="24"/>
          <w:szCs w:val="24"/>
        </w:rPr>
        <w:t>第五章委托人要求</w:t>
      </w:r>
      <w:r>
        <w:rPr>
          <w:color w:val="auto"/>
          <w:sz w:val="24"/>
          <w:szCs w:val="24"/>
        </w:rPr>
        <w:tab/>
      </w:r>
      <w:r>
        <w:rPr>
          <w:color w:val="auto"/>
          <w:sz w:val="24"/>
          <w:szCs w:val="24"/>
        </w:rPr>
        <w:fldChar w:fldCharType="begin"/>
      </w:r>
      <w:r>
        <w:rPr>
          <w:color w:val="auto"/>
          <w:sz w:val="24"/>
          <w:szCs w:val="24"/>
        </w:rPr>
        <w:instrText xml:space="preserve"> PAGEREF _Toc89870622 \h </w:instrText>
      </w:r>
      <w:r>
        <w:rPr>
          <w:color w:val="auto"/>
          <w:sz w:val="24"/>
          <w:szCs w:val="24"/>
        </w:rPr>
        <w:fldChar w:fldCharType="separate"/>
      </w:r>
      <w:r>
        <w:rPr>
          <w:color w:val="auto"/>
          <w:sz w:val="24"/>
          <w:szCs w:val="24"/>
        </w:rPr>
        <w:t>81</w:t>
      </w:r>
      <w:r>
        <w:rPr>
          <w:color w:val="auto"/>
          <w:sz w:val="24"/>
          <w:szCs w:val="24"/>
        </w:rPr>
        <w:fldChar w:fldCharType="end"/>
      </w:r>
      <w:r>
        <w:rPr>
          <w:color w:val="auto"/>
          <w:sz w:val="24"/>
          <w:szCs w:val="24"/>
        </w:rPr>
        <w:fldChar w:fldCharType="end"/>
      </w:r>
    </w:p>
    <w:p>
      <w:pPr>
        <w:pStyle w:val="18"/>
        <w:tabs>
          <w:tab w:val="right" w:leader="dot" w:pos="8630"/>
        </w:tabs>
        <w:spacing w:line="360" w:lineRule="auto"/>
        <w:ind w:firstLine="420" w:firstLineChars="200"/>
        <w:rPr>
          <w:rFonts w:asciiTheme="minorHAnsi" w:hAnsiTheme="minorHAnsi" w:eastAsiaTheme="minorEastAsia" w:cstheme="minorBidi"/>
          <w:color w:val="auto"/>
          <w:sz w:val="24"/>
          <w:szCs w:val="24"/>
        </w:rPr>
      </w:pPr>
      <w:r>
        <w:rPr>
          <w:color w:val="auto"/>
        </w:rPr>
        <w:fldChar w:fldCharType="begin"/>
      </w:r>
      <w:r>
        <w:rPr>
          <w:color w:val="auto"/>
        </w:rPr>
        <w:instrText xml:space="preserve"> HYPERLINK \l "_Toc89870634" </w:instrText>
      </w:r>
      <w:r>
        <w:rPr>
          <w:color w:val="auto"/>
        </w:rPr>
        <w:fldChar w:fldCharType="separate"/>
      </w:r>
      <w:r>
        <w:rPr>
          <w:rStyle w:val="26"/>
          <w:rFonts w:hint="eastAsia"/>
          <w:color w:val="auto"/>
          <w:sz w:val="24"/>
          <w:szCs w:val="24"/>
        </w:rPr>
        <w:t>第六章</w:t>
      </w:r>
      <w:r>
        <w:rPr>
          <w:rStyle w:val="26"/>
          <w:color w:val="auto"/>
          <w:sz w:val="24"/>
          <w:szCs w:val="24"/>
        </w:rPr>
        <w:t xml:space="preserve"> </w:t>
      </w:r>
      <w:r>
        <w:rPr>
          <w:rStyle w:val="26"/>
          <w:rFonts w:hint="eastAsia"/>
          <w:color w:val="auto"/>
          <w:sz w:val="24"/>
          <w:szCs w:val="24"/>
        </w:rPr>
        <w:t>投标文件格式</w:t>
      </w:r>
      <w:r>
        <w:rPr>
          <w:color w:val="auto"/>
          <w:sz w:val="24"/>
          <w:szCs w:val="24"/>
        </w:rPr>
        <w:tab/>
      </w:r>
      <w:r>
        <w:rPr>
          <w:color w:val="auto"/>
          <w:sz w:val="24"/>
          <w:szCs w:val="24"/>
        </w:rPr>
        <w:fldChar w:fldCharType="begin"/>
      </w:r>
      <w:r>
        <w:rPr>
          <w:color w:val="auto"/>
          <w:sz w:val="24"/>
          <w:szCs w:val="24"/>
        </w:rPr>
        <w:instrText xml:space="preserve"> PAGEREF _Toc89870634 \h </w:instrText>
      </w:r>
      <w:r>
        <w:rPr>
          <w:color w:val="auto"/>
          <w:sz w:val="24"/>
          <w:szCs w:val="24"/>
        </w:rPr>
        <w:fldChar w:fldCharType="separate"/>
      </w:r>
      <w:r>
        <w:rPr>
          <w:color w:val="auto"/>
          <w:sz w:val="24"/>
          <w:szCs w:val="24"/>
        </w:rPr>
        <w:t>92</w:t>
      </w:r>
      <w:r>
        <w:rPr>
          <w:color w:val="auto"/>
          <w:sz w:val="24"/>
          <w:szCs w:val="24"/>
        </w:rPr>
        <w:fldChar w:fldCharType="end"/>
      </w:r>
      <w:r>
        <w:rPr>
          <w:color w:val="auto"/>
          <w:sz w:val="24"/>
          <w:szCs w:val="24"/>
        </w:rPr>
        <w:fldChar w:fldCharType="end"/>
      </w:r>
    </w:p>
    <w:p>
      <w:pPr>
        <w:spacing w:line="360" w:lineRule="auto"/>
        <w:ind w:firstLine="420" w:firstLineChars="200"/>
        <w:rPr>
          <w:color w:val="auto"/>
        </w:rPr>
        <w:sectPr>
          <w:footerReference r:id="rId3" w:type="default"/>
          <w:pgSz w:w="12240" w:h="15840"/>
          <w:pgMar w:top="1440" w:right="1800" w:bottom="1440" w:left="1800" w:header="720" w:footer="720" w:gutter="0"/>
          <w:pgNumType w:start="1"/>
          <w:cols w:space="720" w:num="1"/>
          <w:docGrid w:linePitch="285" w:charSpace="0"/>
        </w:sectPr>
      </w:pPr>
      <w:r>
        <w:rPr>
          <w:rFonts w:ascii="Times New Roman" w:hAnsi="Times New Roman"/>
          <w:color w:val="auto"/>
        </w:rPr>
        <w:fldChar w:fldCharType="end"/>
      </w:r>
    </w:p>
    <w:p>
      <w:pPr>
        <w:rPr>
          <w:color w:val="auto"/>
        </w:rPr>
      </w:pPr>
      <w:bookmarkStart w:id="3" w:name="_Toc511557024"/>
      <w:bookmarkStart w:id="4" w:name="_Toc89870539"/>
    </w:p>
    <w:p>
      <w:pPr>
        <w:ind w:left="181" w:leftChars="86"/>
        <w:rPr>
          <w:color w:val="auto"/>
        </w:rPr>
      </w:pPr>
    </w:p>
    <w:p>
      <w:pPr>
        <w:ind w:left="181" w:leftChars="86"/>
        <w:rPr>
          <w:color w:val="auto"/>
        </w:rPr>
      </w:pPr>
    </w:p>
    <w:p>
      <w:pPr>
        <w:ind w:left="181" w:leftChars="86"/>
        <w:rPr>
          <w:color w:val="auto"/>
        </w:rPr>
      </w:pPr>
    </w:p>
    <w:p>
      <w:pPr>
        <w:ind w:left="181" w:leftChars="86"/>
        <w:rPr>
          <w:color w:val="auto"/>
        </w:rPr>
      </w:pPr>
    </w:p>
    <w:p>
      <w:pPr>
        <w:ind w:left="181" w:leftChars="86"/>
        <w:rPr>
          <w:color w:val="auto"/>
        </w:rPr>
      </w:pPr>
    </w:p>
    <w:p>
      <w:pPr>
        <w:ind w:left="181" w:leftChars="86"/>
        <w:rPr>
          <w:color w:val="auto"/>
        </w:rPr>
      </w:pPr>
    </w:p>
    <w:p>
      <w:pPr>
        <w:ind w:left="181" w:leftChars="86"/>
        <w:rPr>
          <w:color w:val="auto"/>
        </w:rPr>
      </w:pPr>
    </w:p>
    <w:p>
      <w:pPr>
        <w:ind w:left="181" w:leftChars="86"/>
        <w:rPr>
          <w:color w:val="auto"/>
        </w:rPr>
      </w:pPr>
    </w:p>
    <w:p>
      <w:pPr>
        <w:pStyle w:val="4"/>
        <w:keepNext w:val="0"/>
        <w:keepLines w:val="0"/>
        <w:spacing w:before="0" w:after="0" w:line="240" w:lineRule="auto"/>
        <w:jc w:val="center"/>
        <w:rPr>
          <w:color w:val="auto"/>
        </w:rPr>
      </w:pPr>
      <w:r>
        <w:rPr>
          <w:color w:val="auto"/>
        </w:rPr>
        <w:t>第</w:t>
      </w:r>
      <w:bookmarkEnd w:id="0"/>
      <w:bookmarkEnd w:id="1"/>
      <w:bookmarkEnd w:id="2"/>
      <w:bookmarkEnd w:id="3"/>
      <w:r>
        <w:rPr>
          <w:color w:val="auto"/>
        </w:rPr>
        <w:t>一卷</w:t>
      </w:r>
      <w:bookmarkEnd w:id="4"/>
    </w:p>
    <w:p>
      <w:pPr>
        <w:ind w:firstLine="420" w:firstLineChars="200"/>
        <w:rPr>
          <w:color w:val="auto"/>
        </w:rPr>
      </w:pPr>
      <w:bookmarkStart w:id="5" w:name="_Toc89870540"/>
      <w:r>
        <w:rPr>
          <w:rFonts w:hint="eastAsia"/>
          <w:color w:val="auto"/>
        </w:rPr>
        <w:br w:type="page"/>
      </w:r>
    </w:p>
    <w:p>
      <w:pPr>
        <w:pStyle w:val="4"/>
        <w:keepNext w:val="0"/>
        <w:keepLines w:val="0"/>
        <w:spacing w:before="0" w:after="360" w:afterLines="150" w:line="240" w:lineRule="auto"/>
        <w:jc w:val="center"/>
        <w:rPr>
          <w:color w:val="auto"/>
        </w:rPr>
      </w:pPr>
      <w:r>
        <w:rPr>
          <w:rFonts w:hint="eastAsia"/>
          <w:color w:val="auto"/>
        </w:rPr>
        <w:t xml:space="preserve">第一章 </w:t>
      </w:r>
      <w:r>
        <w:rPr>
          <w:color w:val="auto"/>
        </w:rPr>
        <w:t>招标公告</w:t>
      </w:r>
      <w:bookmarkEnd w:id="5"/>
    </w:p>
    <w:p>
      <w:pPr>
        <w:autoSpaceDE w:val="0"/>
        <w:autoSpaceDN w:val="0"/>
        <w:adjustRightInd w:val="0"/>
        <w:spacing w:line="360" w:lineRule="auto"/>
        <w:jc w:val="center"/>
        <w:rPr>
          <w:rFonts w:ascii="宋体" w:hAnsi="宋体" w:cs="宋体"/>
          <w:b/>
          <w:color w:val="auto"/>
          <w:sz w:val="32"/>
          <w:szCs w:val="32"/>
        </w:rPr>
      </w:pPr>
      <w:bookmarkStart w:id="6" w:name="_Toc610"/>
      <w:bookmarkStart w:id="7" w:name="_Toc7437"/>
      <w:bookmarkStart w:id="8" w:name="_Toc16720"/>
      <w:bookmarkStart w:id="9" w:name="_Toc13962"/>
      <w:bookmarkStart w:id="10" w:name="_Toc2170"/>
      <w:bookmarkStart w:id="11" w:name="_Toc514170118"/>
      <w:bookmarkStart w:id="12" w:name="_Toc1036"/>
      <w:r>
        <w:rPr>
          <w:rFonts w:hint="eastAsia" w:ascii="宋体" w:hAnsi="宋体" w:cs="宋体"/>
          <w:b/>
          <w:color w:val="auto"/>
          <w:sz w:val="32"/>
          <w:szCs w:val="32"/>
        </w:rPr>
        <w:t>增城区农村供水改造工程（第二批）监理</w:t>
      </w:r>
    </w:p>
    <w:p>
      <w:pPr>
        <w:autoSpaceDE w:val="0"/>
        <w:autoSpaceDN w:val="0"/>
        <w:adjustRightInd w:val="0"/>
        <w:spacing w:line="360" w:lineRule="auto"/>
        <w:jc w:val="center"/>
        <w:rPr>
          <w:rFonts w:ascii="宋体" w:hAnsi="宋体" w:cs="宋体"/>
          <w:b/>
          <w:color w:val="auto"/>
          <w:sz w:val="32"/>
          <w:szCs w:val="32"/>
        </w:rPr>
      </w:pPr>
      <w:r>
        <w:rPr>
          <w:rFonts w:hint="eastAsia" w:ascii="宋体" w:hAnsi="宋体" w:cs="宋体"/>
          <w:b/>
          <w:color w:val="auto"/>
          <w:sz w:val="32"/>
          <w:szCs w:val="32"/>
        </w:rPr>
        <w:t>招标公告</w:t>
      </w:r>
    </w:p>
    <w:bookmarkEnd w:id="6"/>
    <w:bookmarkEnd w:id="7"/>
    <w:bookmarkEnd w:id="8"/>
    <w:bookmarkEnd w:id="9"/>
    <w:bookmarkEnd w:id="10"/>
    <w:bookmarkEnd w:id="11"/>
    <w:bookmarkEnd w:id="12"/>
    <w:p>
      <w:pPr>
        <w:spacing w:line="360" w:lineRule="auto"/>
        <w:ind w:firstLine="643" w:firstLineChars="200"/>
        <w:outlineLvl w:val="1"/>
        <w:rPr>
          <w:rFonts w:eastAsia="黑体"/>
          <w:b/>
          <w:color w:val="auto"/>
          <w:sz w:val="32"/>
          <w:szCs w:val="24"/>
        </w:rPr>
      </w:pPr>
      <w:bookmarkStart w:id="13" w:name="_Toc47621265"/>
      <w:bookmarkStart w:id="14" w:name="_Toc515033010"/>
      <w:bookmarkStart w:id="15" w:name="_Toc47694115"/>
      <w:bookmarkStart w:id="16" w:name="_Toc7705"/>
      <w:bookmarkStart w:id="17" w:name="_Toc511557025"/>
      <w:bookmarkStart w:id="18" w:name="_Toc89870541"/>
      <w:r>
        <w:rPr>
          <w:rFonts w:eastAsia="黑体"/>
          <w:b/>
          <w:color w:val="auto"/>
          <w:sz w:val="32"/>
          <w:szCs w:val="24"/>
        </w:rPr>
        <w:t xml:space="preserve">1. </w:t>
      </w:r>
      <w:r>
        <w:rPr>
          <w:rFonts w:hint="eastAsia" w:eastAsia="黑体"/>
          <w:b/>
          <w:color w:val="auto"/>
          <w:sz w:val="32"/>
          <w:szCs w:val="24"/>
        </w:rPr>
        <w:t>招标条件</w:t>
      </w:r>
      <w:bookmarkEnd w:id="13"/>
      <w:bookmarkEnd w:id="14"/>
      <w:bookmarkEnd w:id="15"/>
      <w:bookmarkEnd w:id="16"/>
      <w:bookmarkEnd w:id="17"/>
      <w:bookmarkEnd w:id="18"/>
    </w:p>
    <w:p>
      <w:pPr>
        <w:widowControl/>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本招标项目</w:t>
      </w:r>
      <w:r>
        <w:rPr>
          <w:rFonts w:hint="eastAsia" w:ascii="宋体" w:hAnsi="宋体" w:cs="宋体"/>
          <w:color w:val="auto"/>
          <w:sz w:val="24"/>
          <w:szCs w:val="24"/>
          <w:u w:val="single"/>
        </w:rPr>
        <w:t>增城区农村供水改造工程（第二批）</w:t>
      </w:r>
      <w:r>
        <w:rPr>
          <w:rFonts w:hint="eastAsia" w:ascii="宋体" w:hAnsi="宋体" w:cs="宋体"/>
          <w:color w:val="auto"/>
          <w:sz w:val="24"/>
          <w:szCs w:val="24"/>
          <w:u w:val="single"/>
          <w:lang w:val="en-US" w:eastAsia="zh-CN"/>
        </w:rPr>
        <w:t>监理</w:t>
      </w:r>
      <w:r>
        <w:rPr>
          <w:rFonts w:hint="eastAsia" w:ascii="宋体" w:hAnsi="宋体" w:cs="宋体"/>
          <w:color w:val="auto"/>
          <w:sz w:val="24"/>
          <w:szCs w:val="24"/>
        </w:rPr>
        <w:t>已由</w:t>
      </w:r>
      <w:r>
        <w:rPr>
          <w:rFonts w:hint="eastAsia" w:ascii="宋体" w:hAnsi="宋体" w:cs="宋体"/>
          <w:color w:val="auto"/>
          <w:sz w:val="24"/>
          <w:u w:val="single"/>
        </w:rPr>
        <w:t>广州市增城区发展和改革局</w:t>
      </w:r>
      <w:r>
        <w:rPr>
          <w:rFonts w:hint="eastAsia" w:ascii="宋体" w:hAnsi="宋体" w:cs="宋体"/>
          <w:color w:val="auto"/>
          <w:sz w:val="24"/>
        </w:rPr>
        <w:t>批</w:t>
      </w:r>
      <w:r>
        <w:rPr>
          <w:rFonts w:hint="eastAsia" w:ascii="宋体" w:hAnsi="宋体" w:cs="宋体"/>
          <w:color w:val="auto"/>
          <w:sz w:val="24"/>
          <w:szCs w:val="24"/>
        </w:rPr>
        <w:t>准建设</w:t>
      </w:r>
      <w:r>
        <w:rPr>
          <w:rFonts w:hint="eastAsia"/>
          <w:color w:val="auto"/>
          <w:sz w:val="24"/>
          <w:szCs w:val="24"/>
        </w:rPr>
        <w:t>，</w:t>
      </w:r>
      <w:r>
        <w:rPr>
          <w:rFonts w:hint="eastAsia" w:ascii="宋体" w:hAnsi="宋体" w:cs="宋体"/>
          <w:color w:val="auto"/>
          <w:sz w:val="24"/>
          <w:szCs w:val="24"/>
          <w:u w:val="single"/>
        </w:rPr>
        <w:t>批准文号：穗增发改函〔2022〕1082号</w:t>
      </w:r>
      <w:r>
        <w:rPr>
          <w:rFonts w:hint="eastAsia" w:ascii="宋体" w:hAnsi="宋体" w:cs="宋体"/>
          <w:color w:val="auto"/>
          <w:sz w:val="24"/>
          <w:szCs w:val="24"/>
        </w:rPr>
        <w:t>。</w:t>
      </w:r>
      <w:r>
        <w:rPr>
          <w:rFonts w:hint="eastAsia" w:ascii="宋体" w:hAnsi="宋体"/>
          <w:color w:val="auto"/>
          <w:sz w:val="24"/>
          <w:szCs w:val="24"/>
        </w:rPr>
        <w:t>项目建设管理单位为</w:t>
      </w:r>
      <w:r>
        <w:rPr>
          <w:rFonts w:hint="eastAsia" w:ascii="宋体" w:hAnsi="宋体"/>
          <w:color w:val="auto"/>
          <w:sz w:val="24"/>
          <w:u w:val="single"/>
        </w:rPr>
        <w:t>广州增城区东进供水有限公司</w:t>
      </w:r>
      <w:r>
        <w:rPr>
          <w:rFonts w:hint="eastAsia" w:ascii="宋体" w:hAnsi="宋体" w:cs="宋体"/>
          <w:color w:val="auto"/>
          <w:sz w:val="24"/>
          <w:szCs w:val="24"/>
          <w:lang w:val="zh-CN"/>
        </w:rPr>
        <w:t>，</w:t>
      </w:r>
      <w:r>
        <w:rPr>
          <w:rFonts w:hint="eastAsia" w:ascii="宋体" w:hAnsi="宋体" w:cs="宋体"/>
          <w:color w:val="auto"/>
          <w:sz w:val="24"/>
          <w:szCs w:val="24"/>
          <w:u w:val="single"/>
        </w:rPr>
        <w:t>建设资金来源：建设资金来自财政资金及业主单位自筹，项目出资比例为</w:t>
      </w:r>
      <w:r>
        <w:rPr>
          <w:rFonts w:hint="eastAsia" w:ascii="宋体" w:hAnsi="宋体" w:cs="宋体"/>
          <w:color w:val="auto"/>
          <w:sz w:val="24"/>
          <w:szCs w:val="24"/>
          <w:u w:val="single"/>
          <w:lang w:bidi="ar"/>
        </w:rPr>
        <w:t>财政资金比例不低于总投资的 20%，其余建设资金由业主单位自筹</w:t>
      </w:r>
      <w:r>
        <w:rPr>
          <w:rFonts w:hint="eastAsia" w:ascii="宋体" w:hAnsi="宋体" w:cs="宋体"/>
          <w:color w:val="auto"/>
          <w:kern w:val="0"/>
          <w:sz w:val="24"/>
          <w:szCs w:val="24"/>
          <w:u w:val="single"/>
          <w:lang w:bidi="ar"/>
        </w:rPr>
        <w:t>）</w:t>
      </w:r>
      <w:r>
        <w:rPr>
          <w:rFonts w:hint="eastAsia" w:ascii="宋体" w:hAnsi="宋体" w:cs="宋体"/>
          <w:color w:val="auto"/>
          <w:sz w:val="24"/>
          <w:szCs w:val="24"/>
          <w:u w:val="single"/>
        </w:rPr>
        <w:t>，</w:t>
      </w:r>
      <w:r>
        <w:rPr>
          <w:rFonts w:hint="eastAsia" w:ascii="宋体" w:hAnsi="宋体" w:cs="宋体"/>
          <w:color w:val="auto"/>
          <w:sz w:val="24"/>
          <w:szCs w:val="24"/>
        </w:rPr>
        <w:t>招标人为</w:t>
      </w:r>
      <w:r>
        <w:rPr>
          <w:rFonts w:hint="eastAsia" w:ascii="宋体" w:hAnsi="宋体"/>
          <w:color w:val="auto"/>
          <w:sz w:val="24"/>
          <w:u w:val="single"/>
        </w:rPr>
        <w:t>广州增城区东进供水有限公司</w:t>
      </w:r>
      <w:r>
        <w:rPr>
          <w:rFonts w:hint="eastAsia" w:ascii="宋体" w:hAnsi="宋体" w:cs="宋体"/>
          <w:color w:val="auto"/>
          <w:sz w:val="24"/>
          <w:szCs w:val="24"/>
        </w:rPr>
        <w:t>。项目已具备招标条件，现对该项目的</w:t>
      </w:r>
      <w:r>
        <w:rPr>
          <w:rFonts w:hint="eastAsia" w:ascii="宋体" w:hAnsi="宋体" w:cs="宋体"/>
          <w:color w:val="auto"/>
          <w:kern w:val="0"/>
          <w:sz w:val="24"/>
          <w:u w:val="single"/>
        </w:rPr>
        <w:t>监理</w:t>
      </w:r>
      <w:r>
        <w:rPr>
          <w:rFonts w:hint="eastAsia" w:ascii="宋体" w:hAnsi="宋体" w:cs="宋体"/>
          <w:color w:val="auto"/>
          <w:sz w:val="24"/>
          <w:szCs w:val="24"/>
        </w:rPr>
        <w:t>进行公开招标。</w:t>
      </w:r>
    </w:p>
    <w:p>
      <w:pPr>
        <w:spacing w:line="360" w:lineRule="auto"/>
        <w:ind w:firstLine="643" w:firstLineChars="200"/>
        <w:outlineLvl w:val="1"/>
        <w:rPr>
          <w:rFonts w:eastAsia="黑体"/>
          <w:b/>
          <w:color w:val="auto"/>
          <w:sz w:val="32"/>
          <w:szCs w:val="24"/>
        </w:rPr>
      </w:pPr>
      <w:bookmarkStart w:id="19" w:name="_Toc89870542"/>
      <w:bookmarkStart w:id="20" w:name="_Toc47694116"/>
      <w:bookmarkStart w:id="21" w:name="_Toc7708"/>
      <w:bookmarkStart w:id="22" w:name="_Toc47621266"/>
      <w:bookmarkStart w:id="23" w:name="_Toc515033011"/>
      <w:bookmarkStart w:id="24" w:name="_Toc511557026"/>
      <w:r>
        <w:rPr>
          <w:rFonts w:eastAsia="黑体"/>
          <w:b/>
          <w:color w:val="auto"/>
          <w:sz w:val="32"/>
          <w:szCs w:val="24"/>
        </w:rPr>
        <w:t xml:space="preserve">2. </w:t>
      </w:r>
      <w:r>
        <w:rPr>
          <w:rFonts w:hint="eastAsia" w:eastAsia="黑体"/>
          <w:b/>
          <w:color w:val="auto"/>
          <w:sz w:val="32"/>
          <w:szCs w:val="24"/>
        </w:rPr>
        <w:t>项目概况与招标范围</w:t>
      </w:r>
      <w:bookmarkEnd w:id="19"/>
      <w:bookmarkEnd w:id="20"/>
      <w:bookmarkEnd w:id="21"/>
      <w:bookmarkEnd w:id="22"/>
      <w:bookmarkEnd w:id="23"/>
      <w:bookmarkEnd w:id="24"/>
    </w:p>
    <w:p>
      <w:pPr>
        <w:spacing w:line="360" w:lineRule="auto"/>
        <w:ind w:firstLine="480" w:firstLineChars="200"/>
        <w:rPr>
          <w:color w:val="auto"/>
          <w:sz w:val="24"/>
          <w:szCs w:val="24"/>
        </w:rPr>
      </w:pPr>
      <w:r>
        <w:rPr>
          <w:rFonts w:ascii="宋体" w:hAnsi="宋体" w:cs="宋体"/>
          <w:color w:val="auto"/>
          <w:sz w:val="24"/>
        </w:rPr>
        <w:t>2.1</w:t>
      </w:r>
      <w:r>
        <w:rPr>
          <w:rFonts w:hint="eastAsia"/>
          <w:color w:val="auto"/>
          <w:sz w:val="24"/>
          <w:szCs w:val="24"/>
        </w:rPr>
        <w:t>招标项目概况</w:t>
      </w:r>
    </w:p>
    <w:p>
      <w:pPr>
        <w:spacing w:line="360" w:lineRule="auto"/>
        <w:ind w:firstLine="480" w:firstLineChars="200"/>
        <w:rPr>
          <w:rFonts w:ascii="宋体" w:hAnsi="宋体" w:cs="宋体"/>
          <w:color w:val="auto"/>
          <w:sz w:val="24"/>
          <w:szCs w:val="24"/>
        </w:rPr>
      </w:pPr>
      <w:r>
        <w:rPr>
          <w:rFonts w:ascii="宋体" w:hAnsi="宋体" w:cs="宋体"/>
          <w:color w:val="auto"/>
          <w:sz w:val="24"/>
        </w:rPr>
        <w:t>2.1.1</w:t>
      </w:r>
      <w:r>
        <w:rPr>
          <w:rFonts w:hint="eastAsia"/>
          <w:color w:val="auto"/>
          <w:sz w:val="24"/>
          <w:szCs w:val="24"/>
        </w:rPr>
        <w:t>项目名称：</w:t>
      </w:r>
      <w:r>
        <w:rPr>
          <w:rFonts w:hint="eastAsia" w:ascii="宋体" w:hAnsi="宋体" w:cs="宋体"/>
          <w:color w:val="auto"/>
          <w:sz w:val="24"/>
          <w:szCs w:val="24"/>
          <w:u w:val="single"/>
        </w:rPr>
        <w:t>增城区农村供水改造工程（第二批）</w:t>
      </w:r>
      <w:r>
        <w:rPr>
          <w:rFonts w:hint="eastAsia" w:ascii="宋体" w:hAnsi="宋体" w:cs="宋体"/>
          <w:color w:val="auto"/>
          <w:sz w:val="24"/>
          <w:szCs w:val="24"/>
          <w:u w:val="single"/>
          <w:lang w:val="en-US" w:eastAsia="zh-CN"/>
        </w:rPr>
        <w:t>监理</w:t>
      </w:r>
      <w:r>
        <w:rPr>
          <w:rFonts w:hint="eastAsia" w:ascii="宋体" w:hAnsi="宋体" w:cs="宋体"/>
          <w:color w:val="auto"/>
          <w:sz w:val="24"/>
          <w:szCs w:val="24"/>
        </w:rPr>
        <w:t>。</w:t>
      </w:r>
    </w:p>
    <w:p>
      <w:pPr>
        <w:spacing w:line="360" w:lineRule="auto"/>
        <w:ind w:firstLine="480" w:firstLineChars="200"/>
        <w:rPr>
          <w:rFonts w:ascii="宋体" w:hAnsi="宋体" w:cs="宋体"/>
          <w:color w:val="auto"/>
          <w:kern w:val="0"/>
          <w:sz w:val="24"/>
        </w:rPr>
      </w:pPr>
      <w:r>
        <w:rPr>
          <w:rFonts w:ascii="宋体" w:hAnsi="宋体" w:cs="宋体"/>
          <w:color w:val="auto"/>
          <w:sz w:val="24"/>
        </w:rPr>
        <w:t>2.1.2</w:t>
      </w:r>
      <w:r>
        <w:rPr>
          <w:rFonts w:hint="eastAsia"/>
          <w:color w:val="auto"/>
          <w:sz w:val="24"/>
          <w:szCs w:val="24"/>
        </w:rPr>
        <w:t>建设地点：</w:t>
      </w:r>
      <w:r>
        <w:rPr>
          <w:rFonts w:hint="eastAsia"/>
          <w:color w:val="auto"/>
          <w:sz w:val="24"/>
          <w:szCs w:val="24"/>
          <w:u w:val="single"/>
        </w:rPr>
        <w:t>本项目位于广州市</w:t>
      </w:r>
      <w:r>
        <w:rPr>
          <w:rFonts w:hint="eastAsia" w:ascii="宋体" w:hAnsi="宋体" w:cs="宋体"/>
          <w:color w:val="auto"/>
          <w:sz w:val="24"/>
          <w:szCs w:val="24"/>
          <w:u w:val="single"/>
          <w:lang w:bidi="ar"/>
        </w:rPr>
        <w:t>增城区派潭镇、朱村街、荔城街、仙村镇和中新镇</w:t>
      </w:r>
      <w:r>
        <w:rPr>
          <w:rFonts w:hint="eastAsia" w:ascii="宋体" w:hAnsi="宋体" w:cs="宋体"/>
          <w:color w:val="auto"/>
          <w:sz w:val="24"/>
          <w:szCs w:val="24"/>
        </w:rPr>
        <w:t>。</w:t>
      </w:r>
    </w:p>
    <w:p>
      <w:pPr>
        <w:spacing w:line="360" w:lineRule="auto"/>
        <w:ind w:firstLine="480" w:firstLineChars="200"/>
        <w:rPr>
          <w:rFonts w:ascii="宋体" w:hAnsi="宋体"/>
          <w:color w:val="auto"/>
          <w:sz w:val="24"/>
          <w:u w:val="single"/>
        </w:rPr>
      </w:pPr>
      <w:r>
        <w:rPr>
          <w:rFonts w:ascii="宋体" w:hAnsi="宋体" w:cs="宋体"/>
          <w:color w:val="auto"/>
          <w:sz w:val="24"/>
        </w:rPr>
        <w:t>2.1.3</w:t>
      </w:r>
      <w:r>
        <w:rPr>
          <w:rFonts w:hint="eastAsia"/>
          <w:color w:val="auto"/>
          <w:sz w:val="24"/>
          <w:szCs w:val="24"/>
        </w:rPr>
        <w:t>项目规模：</w:t>
      </w:r>
      <w:r>
        <w:rPr>
          <w:rFonts w:hint="eastAsia"/>
          <w:color w:val="auto"/>
          <w:sz w:val="24"/>
          <w:szCs w:val="24"/>
          <w:u w:val="single"/>
          <w:lang w:val="en-US" w:eastAsia="zh-CN"/>
        </w:rPr>
        <w:t>本项目供水管网改造范围包含增城区派潭镇、朱村街、荔城街、仙村镇和中新镇等 5 个镇街，对总计 39 个农村供水管网及 5 个片区的市政路供水主管老旧配套设施进行升级改造，建立一套完善与安全的供水体系，服务人口 54854 人，供水量约 1.6 万 m3/d，铺设DN20-DN600管道共计约700公里；新建阀门井 1870 座，排气井 400 座，排泥井 237 座；新建加压泵站 13 座，新建集中式 一体化供水站 7套等</w:t>
      </w:r>
      <w:r>
        <w:rPr>
          <w:rFonts w:hint="eastAsia"/>
          <w:color w:val="auto"/>
          <w:sz w:val="24"/>
          <w:szCs w:val="24"/>
          <w:u w:val="single"/>
        </w:rPr>
        <w:t>（</w:t>
      </w:r>
      <w:r>
        <w:rPr>
          <w:rFonts w:hint="eastAsia"/>
          <w:color w:val="auto"/>
          <w:sz w:val="24"/>
          <w:szCs w:val="24"/>
          <w:u w:val="single"/>
          <w:lang w:val="en-US" w:eastAsia="zh-CN"/>
        </w:rPr>
        <w:t>最终以施工图为准。</w:t>
      </w:r>
      <w:r>
        <w:rPr>
          <w:rFonts w:hint="eastAsia"/>
          <w:color w:val="auto"/>
          <w:sz w:val="24"/>
          <w:szCs w:val="24"/>
          <w:u w:val="single"/>
        </w:rPr>
        <w:t>）</w:t>
      </w:r>
    </w:p>
    <w:p>
      <w:pPr>
        <w:spacing w:line="360" w:lineRule="auto"/>
        <w:ind w:firstLine="480" w:firstLineChars="200"/>
        <w:rPr>
          <w:rFonts w:ascii="宋体" w:hAnsi="宋体" w:cs="宋体"/>
          <w:color w:val="auto"/>
          <w:sz w:val="24"/>
          <w:u w:val="single"/>
        </w:rPr>
      </w:pPr>
      <w:r>
        <w:rPr>
          <w:rFonts w:ascii="宋体" w:hAnsi="宋体" w:cs="宋体"/>
          <w:color w:val="auto"/>
          <w:sz w:val="24"/>
        </w:rPr>
        <w:t>2.1.4</w:t>
      </w:r>
      <w:r>
        <w:rPr>
          <w:rFonts w:hint="eastAsia"/>
          <w:color w:val="auto"/>
          <w:sz w:val="24"/>
          <w:szCs w:val="24"/>
        </w:rPr>
        <w:t>建筑安装工程费/工程概算：</w:t>
      </w:r>
      <w:r>
        <w:rPr>
          <w:rFonts w:hint="eastAsia"/>
          <w:color w:val="auto"/>
          <w:sz w:val="24"/>
          <w:szCs w:val="24"/>
          <w:u w:val="single"/>
        </w:rPr>
        <w:t>建安工程费</w:t>
      </w:r>
      <w:r>
        <w:rPr>
          <w:rFonts w:hint="eastAsia" w:ascii="宋体" w:hAnsi="宋体" w:cs="宋体"/>
          <w:color w:val="auto"/>
          <w:sz w:val="24"/>
          <w:szCs w:val="24"/>
          <w:u w:val="single"/>
          <w:lang w:bidi="ar"/>
        </w:rPr>
        <w:t>约为¥41786.43</w:t>
      </w:r>
      <w:r>
        <w:rPr>
          <w:rFonts w:ascii="宋体" w:hAnsi="宋体" w:cs="宋体"/>
          <w:color w:val="auto"/>
          <w:sz w:val="24"/>
          <w:szCs w:val="24"/>
          <w:u w:val="single"/>
          <w:lang w:bidi="ar"/>
        </w:rPr>
        <w:t>万元</w:t>
      </w:r>
      <w:r>
        <w:rPr>
          <w:rFonts w:hint="eastAsia"/>
          <w:color w:val="auto"/>
          <w:sz w:val="24"/>
          <w:szCs w:val="24"/>
        </w:rPr>
        <w:t>。</w:t>
      </w:r>
    </w:p>
    <w:p>
      <w:pPr>
        <w:spacing w:line="360" w:lineRule="auto"/>
        <w:ind w:firstLine="480" w:firstLineChars="200"/>
        <w:rPr>
          <w:color w:val="auto"/>
          <w:sz w:val="24"/>
          <w:szCs w:val="24"/>
          <w:u w:val="single"/>
        </w:rPr>
      </w:pPr>
      <w:r>
        <w:rPr>
          <w:rFonts w:ascii="宋体" w:hAnsi="宋体" w:cs="宋体"/>
          <w:color w:val="auto"/>
          <w:sz w:val="24"/>
        </w:rPr>
        <w:t>2.2</w:t>
      </w:r>
      <w:r>
        <w:rPr>
          <w:rFonts w:hint="eastAsia"/>
          <w:color w:val="auto"/>
          <w:sz w:val="24"/>
          <w:szCs w:val="24"/>
        </w:rPr>
        <w:t>招标范围</w:t>
      </w:r>
    </w:p>
    <w:p>
      <w:pPr>
        <w:spacing w:line="360" w:lineRule="auto"/>
        <w:ind w:firstLine="480" w:firstLineChars="200"/>
        <w:rPr>
          <w:color w:val="auto"/>
          <w:sz w:val="24"/>
          <w:szCs w:val="24"/>
          <w:u w:val="single"/>
        </w:rPr>
      </w:pPr>
      <w:r>
        <w:rPr>
          <w:rFonts w:ascii="宋体" w:hAnsi="宋体" w:cs="宋体"/>
          <w:color w:val="auto"/>
          <w:sz w:val="24"/>
        </w:rPr>
        <w:t>2.2.1</w:t>
      </w:r>
      <w:r>
        <w:rPr>
          <w:rFonts w:hint="eastAsia" w:ascii="宋体" w:hAnsi="宋体"/>
          <w:color w:val="auto"/>
          <w:sz w:val="24"/>
          <w:szCs w:val="24"/>
        </w:rPr>
        <w:t>标段划分：本项目设</w:t>
      </w:r>
      <w:r>
        <w:rPr>
          <w:rFonts w:ascii="宋体" w:hAnsi="宋体"/>
          <w:color w:val="auto"/>
          <w:sz w:val="24"/>
          <w:szCs w:val="24"/>
          <w:u w:val="single"/>
        </w:rPr>
        <w:t>1</w:t>
      </w:r>
      <w:r>
        <w:rPr>
          <w:rFonts w:hint="eastAsia" w:ascii="宋体" w:hAnsi="宋体"/>
          <w:color w:val="auto"/>
          <w:sz w:val="24"/>
          <w:szCs w:val="24"/>
        </w:rPr>
        <w:t>个标段。</w:t>
      </w:r>
      <w:bookmarkStart w:id="25" w:name="OLE_LINK17"/>
      <w:bookmarkStart w:id="26" w:name="OLE_LINK16"/>
    </w:p>
    <w:p>
      <w:pPr>
        <w:pStyle w:val="20"/>
        <w:spacing w:line="360" w:lineRule="auto"/>
        <w:ind w:firstLine="480" w:firstLineChars="200"/>
        <w:jc w:val="both"/>
        <w:rPr>
          <w:rFonts w:ascii="Calibri" w:hAnsi="Calibri" w:eastAsia="宋体" w:cs="Times New Roman"/>
          <w:color w:val="auto"/>
          <w:kern w:val="2"/>
          <w:u w:val="single"/>
        </w:rPr>
      </w:pPr>
      <w:r>
        <w:rPr>
          <w:rFonts w:ascii="宋体" w:hAnsi="宋体" w:eastAsia="宋体"/>
          <w:color w:val="auto"/>
          <w:kern w:val="2"/>
          <w:szCs w:val="22"/>
        </w:rPr>
        <w:t>2.2.2</w:t>
      </w:r>
      <w:r>
        <w:rPr>
          <w:rFonts w:hint="eastAsia" w:ascii="Calibri" w:hAnsi="Calibri" w:eastAsia="宋体" w:cs="Times New Roman"/>
          <w:color w:val="auto"/>
          <w:kern w:val="2"/>
        </w:rPr>
        <w:t>监理范围：</w:t>
      </w:r>
      <w:bookmarkEnd w:id="25"/>
      <w:bookmarkEnd w:id="26"/>
      <w:r>
        <w:rPr>
          <w:rFonts w:hint="eastAsia" w:ascii="Calibri" w:hAnsi="Calibri" w:eastAsia="宋体" w:cs="Times New Roman"/>
          <w:color w:val="auto"/>
          <w:kern w:val="2"/>
          <w:u w:val="single"/>
        </w:rPr>
        <w:t>包括但不限于以下内容：本工程的施工准备、施工、竣工结算、缺陷责任期、保修阶段的质量控制、职业健康、安全生产及环境监督管理、投资控制、进度控制、合同管理、信息管理、组织协调等监理工作及造价咨询（含进度款审核、变更签证造价审核、结算审核等造价咨询服务）等相关工作。</w:t>
      </w:r>
    </w:p>
    <w:p>
      <w:pPr>
        <w:spacing w:line="360" w:lineRule="auto"/>
        <w:ind w:firstLine="480" w:firstLineChars="200"/>
        <w:rPr>
          <w:rFonts w:ascii="宋体" w:hAnsi="宋体"/>
          <w:color w:val="auto"/>
          <w:sz w:val="24"/>
          <w:szCs w:val="24"/>
        </w:rPr>
      </w:pPr>
      <w:r>
        <w:rPr>
          <w:rFonts w:ascii="宋体" w:hAnsi="宋体" w:cs="宋体"/>
          <w:color w:val="auto"/>
          <w:sz w:val="24"/>
        </w:rPr>
        <w:t>2.2.3</w:t>
      </w:r>
      <w:r>
        <w:rPr>
          <w:rFonts w:hint="eastAsia" w:ascii="宋体" w:hAnsi="宋体"/>
          <w:color w:val="auto"/>
          <w:sz w:val="24"/>
          <w:szCs w:val="24"/>
        </w:rPr>
        <w:t>监理服务期限</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施工准备阶段：</w:t>
      </w:r>
      <w:r>
        <w:rPr>
          <w:rFonts w:hint="eastAsia" w:ascii="宋体" w:hAnsi="宋体"/>
          <w:color w:val="auto"/>
          <w:sz w:val="24"/>
          <w:szCs w:val="24"/>
          <w:u w:val="single"/>
        </w:rPr>
        <w:t>从中标通知书发出到工程开工之日</w:t>
      </w:r>
      <w:r>
        <w:rPr>
          <w:rFonts w:hint="eastAsia" w:ascii="宋体" w:hAnsi="宋体"/>
          <w:color w:val="auto"/>
          <w:sz w:val="24"/>
          <w:szCs w:val="24"/>
        </w:rPr>
        <w:t>；</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施工阶段监理服务期：</w:t>
      </w:r>
      <w:r>
        <w:rPr>
          <w:rFonts w:hint="eastAsia" w:ascii="宋体" w:hAnsi="宋体"/>
          <w:color w:val="auto"/>
          <w:sz w:val="24"/>
          <w:szCs w:val="24"/>
          <w:u w:val="single"/>
        </w:rPr>
        <w:t>从业主下达开工令或开工报告审批之日起至施工项目全部完工并办理竣工验收、竣工结算、备案管理为止</w:t>
      </w:r>
      <w:r>
        <w:rPr>
          <w:rFonts w:hint="eastAsia" w:ascii="宋体" w:hAnsi="宋体"/>
          <w:color w:val="auto"/>
          <w:sz w:val="24"/>
          <w:szCs w:val="24"/>
        </w:rPr>
        <w:t>；</w:t>
      </w:r>
    </w:p>
    <w:p>
      <w:pPr>
        <w:spacing w:line="360" w:lineRule="auto"/>
        <w:ind w:firstLine="480" w:firstLineChars="200"/>
        <w:rPr>
          <w:rFonts w:ascii="宋体" w:hAnsi="宋体"/>
          <w:color w:val="auto"/>
          <w:sz w:val="24"/>
          <w:szCs w:val="24"/>
        </w:rPr>
      </w:pPr>
      <w:r>
        <w:rPr>
          <w:rFonts w:hint="eastAsia" w:ascii="宋体" w:hAnsi="宋体"/>
          <w:color w:val="auto"/>
          <w:sz w:val="24"/>
          <w:szCs w:val="24"/>
        </w:rPr>
        <w:t>工程收尾阶段：</w:t>
      </w:r>
      <w:r>
        <w:rPr>
          <w:rFonts w:hint="eastAsia" w:ascii="宋体" w:hAnsi="宋体" w:cs="宋体"/>
          <w:color w:val="auto"/>
          <w:sz w:val="24"/>
          <w:szCs w:val="24"/>
          <w:u w:val="single"/>
        </w:rPr>
        <w:t>包括竣工收尾、验收、整改、移交、结算、考核评价等方面的监理工作完成为止</w:t>
      </w:r>
      <w:r>
        <w:rPr>
          <w:rFonts w:hint="eastAsia" w:ascii="宋体" w:hAnsi="宋体" w:cs="宋体"/>
          <w:color w:val="auto"/>
          <w:sz w:val="24"/>
          <w:szCs w:val="24"/>
        </w:rPr>
        <w:t>。</w:t>
      </w:r>
    </w:p>
    <w:p>
      <w:pPr>
        <w:spacing w:line="360" w:lineRule="auto"/>
        <w:ind w:firstLine="480" w:firstLineChars="200"/>
        <w:rPr>
          <w:rFonts w:ascii="宋体" w:hAnsi="宋体"/>
          <w:color w:val="auto"/>
          <w:sz w:val="24"/>
          <w:szCs w:val="24"/>
        </w:rPr>
      </w:pPr>
      <w:r>
        <w:rPr>
          <w:rFonts w:hint="eastAsia" w:ascii="宋体" w:hAnsi="宋体"/>
          <w:color w:val="auto"/>
          <w:sz w:val="24"/>
          <w:szCs w:val="24"/>
        </w:rPr>
        <w:t>缺陷责任期阶段监理服务期：</w:t>
      </w:r>
      <w:r>
        <w:rPr>
          <w:rFonts w:hint="eastAsia" w:ascii="宋体" w:hAnsi="宋体"/>
          <w:color w:val="auto"/>
          <w:sz w:val="24"/>
          <w:szCs w:val="24"/>
          <w:u w:val="single"/>
        </w:rPr>
        <w:t>从工程竣工验收合格之日起</w:t>
      </w:r>
      <w:r>
        <w:rPr>
          <w:rFonts w:ascii="宋体" w:hAnsi="宋体"/>
          <w:color w:val="auto"/>
          <w:sz w:val="24"/>
          <w:szCs w:val="24"/>
          <w:u w:val="single"/>
        </w:rPr>
        <w:t>2年</w:t>
      </w:r>
      <w:r>
        <w:rPr>
          <w:rFonts w:ascii="宋体" w:hAnsi="宋体"/>
          <w:color w:val="auto"/>
          <w:sz w:val="24"/>
          <w:szCs w:val="24"/>
        </w:rPr>
        <w:t>。</w:t>
      </w:r>
    </w:p>
    <w:p>
      <w:pPr>
        <w:spacing w:line="360" w:lineRule="auto"/>
        <w:ind w:firstLine="480" w:firstLineChars="200"/>
        <w:rPr>
          <w:color w:val="auto"/>
        </w:rPr>
      </w:pPr>
      <w:r>
        <w:rPr>
          <w:rFonts w:ascii="宋体" w:hAnsi="宋体" w:cs="宋体"/>
          <w:color w:val="auto"/>
          <w:sz w:val="24"/>
        </w:rPr>
        <w:t>2.2.4</w:t>
      </w:r>
      <w:r>
        <w:rPr>
          <w:rFonts w:hint="eastAsia" w:ascii="宋体" w:hAnsi="宋体"/>
          <w:color w:val="auto"/>
          <w:sz w:val="24"/>
          <w:szCs w:val="24"/>
        </w:rPr>
        <w:t>监理服务最高投标限价：</w:t>
      </w:r>
      <w:r>
        <w:rPr>
          <w:rFonts w:hint="eastAsia" w:ascii="宋体" w:hAnsi="宋体"/>
          <w:color w:val="auto"/>
          <w:sz w:val="24"/>
          <w:szCs w:val="24"/>
          <w:u w:val="single"/>
          <w:lang w:eastAsia="zh-CN"/>
        </w:rPr>
        <w:t>586.8</w:t>
      </w:r>
      <w:r>
        <w:rPr>
          <w:rFonts w:hint="eastAsia" w:ascii="宋体" w:hAnsi="宋体"/>
          <w:color w:val="auto"/>
          <w:sz w:val="24"/>
          <w:szCs w:val="24"/>
        </w:rPr>
        <w:t>万元。</w:t>
      </w:r>
      <w:r>
        <w:rPr>
          <w:rFonts w:ascii="宋体" w:hAnsi="宋体"/>
          <w:color w:val="auto"/>
          <w:sz w:val="24"/>
          <w:szCs w:val="24"/>
        </w:rPr>
        <w:t xml:space="preserve">  </w:t>
      </w:r>
    </w:p>
    <w:p>
      <w:pPr>
        <w:numPr>
          <w:ilvl w:val="0"/>
          <w:numId w:val="1"/>
        </w:numPr>
        <w:spacing w:line="360" w:lineRule="auto"/>
        <w:ind w:firstLine="643" w:firstLineChars="200"/>
        <w:outlineLvl w:val="1"/>
        <w:rPr>
          <w:rFonts w:eastAsia="黑体"/>
          <w:b/>
          <w:color w:val="auto"/>
          <w:sz w:val="32"/>
          <w:szCs w:val="24"/>
        </w:rPr>
      </w:pPr>
      <w:bookmarkStart w:id="27" w:name="_Toc89870543"/>
      <w:bookmarkStart w:id="28" w:name="_Toc511557027"/>
      <w:bookmarkStart w:id="29" w:name="_Toc6736"/>
      <w:bookmarkStart w:id="30" w:name="_Toc47694117"/>
      <w:bookmarkStart w:id="31" w:name="_Toc47621267"/>
      <w:bookmarkStart w:id="32" w:name="_Toc515033012"/>
      <w:r>
        <w:rPr>
          <w:rFonts w:hint="eastAsia" w:eastAsia="黑体"/>
          <w:b/>
          <w:color w:val="auto"/>
          <w:sz w:val="32"/>
          <w:szCs w:val="24"/>
        </w:rPr>
        <w:t>投标人资格要求</w:t>
      </w:r>
      <w:bookmarkEnd w:id="27"/>
      <w:bookmarkEnd w:id="28"/>
      <w:bookmarkEnd w:id="29"/>
      <w:bookmarkEnd w:id="30"/>
      <w:bookmarkEnd w:id="31"/>
      <w:bookmarkEnd w:id="32"/>
    </w:p>
    <w:p>
      <w:pPr>
        <w:tabs>
          <w:tab w:val="left" w:pos="7513"/>
        </w:tabs>
        <w:spacing w:line="360" w:lineRule="auto"/>
        <w:ind w:firstLine="480" w:firstLineChars="200"/>
        <w:rPr>
          <w:rFonts w:ascii="宋体" w:hAnsi="宋体" w:cs="宋体"/>
          <w:color w:val="auto"/>
          <w:sz w:val="24"/>
        </w:rPr>
      </w:pPr>
      <w:r>
        <w:rPr>
          <w:rFonts w:hint="eastAsia" w:ascii="宋体" w:hAnsi="宋体" w:cs="宋体"/>
          <w:color w:val="auto"/>
          <w:sz w:val="24"/>
        </w:rPr>
        <w:t xml:space="preserve">3.1投标人参加投标的意思表达清楚，投标人代表被授权有效。 </w:t>
      </w:r>
    </w:p>
    <w:p>
      <w:pPr>
        <w:tabs>
          <w:tab w:val="left" w:pos="7513"/>
        </w:tabs>
        <w:spacing w:line="360" w:lineRule="auto"/>
        <w:ind w:firstLine="480" w:firstLineChars="200"/>
        <w:rPr>
          <w:rFonts w:ascii="宋体" w:hAnsi="宋体" w:cs="宋体"/>
          <w:color w:val="auto"/>
          <w:sz w:val="24"/>
        </w:rPr>
      </w:pPr>
      <w:r>
        <w:rPr>
          <w:rFonts w:hint="eastAsia" w:ascii="宋体" w:hAnsi="宋体" w:cs="宋体"/>
          <w:color w:val="auto"/>
          <w:sz w:val="24"/>
        </w:rPr>
        <w:t>3.2投标人均具有独立法人资格，持有工商行政管理部门核发的法人营业执照，按国家法律经营。</w:t>
      </w:r>
    </w:p>
    <w:p>
      <w:pPr>
        <w:tabs>
          <w:tab w:val="left" w:pos="7513"/>
        </w:tabs>
        <w:spacing w:line="360" w:lineRule="auto"/>
        <w:ind w:firstLine="480" w:firstLineChars="200"/>
        <w:rPr>
          <w:rFonts w:ascii="宋体" w:hAnsi="宋体" w:cs="宋体"/>
          <w:color w:val="auto"/>
          <w:sz w:val="24"/>
        </w:rPr>
      </w:pPr>
      <w:r>
        <w:rPr>
          <w:rFonts w:ascii="宋体" w:hAnsi="宋体" w:cs="宋体"/>
          <w:color w:val="auto"/>
          <w:sz w:val="24"/>
        </w:rPr>
        <w:t>3.3投标人须具备建设行政主管部门颁发的</w:t>
      </w:r>
      <w:r>
        <w:rPr>
          <w:rFonts w:hint="eastAsia" w:ascii="宋体" w:hAnsi="宋体" w:cs="宋体"/>
          <w:color w:val="auto"/>
          <w:sz w:val="24"/>
        </w:rPr>
        <w:t>工程监理综合资质或市政公用工程监理丙级或以上资质。</w:t>
      </w:r>
    </w:p>
    <w:p>
      <w:pPr>
        <w:tabs>
          <w:tab w:val="left" w:pos="7513"/>
        </w:tabs>
        <w:spacing w:line="490" w:lineRule="exact"/>
        <w:ind w:firstLine="480" w:firstLineChars="200"/>
        <w:rPr>
          <w:rFonts w:ascii="宋体" w:hAnsi="宋体" w:cs="宋体"/>
          <w:color w:val="auto"/>
          <w:sz w:val="24"/>
        </w:rPr>
      </w:pPr>
      <w:r>
        <w:rPr>
          <w:rFonts w:hint="eastAsia" w:ascii="宋体" w:hAnsi="宋体" w:cs="宋体"/>
          <w:color w:val="auto"/>
          <w:sz w:val="24"/>
        </w:rPr>
        <w:t>注：依据《广东省住房和城乡建设厅关于印发香港工程建设咨询企业和专业人士在粤港澳大湾区内地城市开业执业试点管理暂行办法的通知》（粤建规范〔</w:t>
      </w:r>
      <w:r>
        <w:rPr>
          <w:rFonts w:ascii="宋体" w:hAnsi="宋体" w:cs="宋体"/>
          <w:color w:val="auto"/>
          <w:sz w:val="24"/>
        </w:rPr>
        <w:t>2020〕1号，详见链接：</w:t>
      </w:r>
      <w:r>
        <w:rPr>
          <w:rFonts w:ascii="Times New Roman" w:hAnsi="Times New Roman" w:cs="Times New Roman"/>
          <w:color w:val="auto"/>
        </w:rPr>
        <w:fldChar w:fldCharType="begin"/>
      </w:r>
      <w:r>
        <w:rPr>
          <w:rFonts w:ascii="Times New Roman" w:hAnsi="Times New Roman" w:cs="Times New Roman"/>
          <w:color w:val="auto"/>
        </w:rPr>
        <w:instrText xml:space="preserve"> HYPERLINK "http://zfcxjst.gd.gov.cn/xxgk/wjtz/content/post_3137220.html），" </w:instrText>
      </w:r>
      <w:r>
        <w:rPr>
          <w:rFonts w:ascii="Times New Roman" w:hAnsi="Times New Roman" w:cs="Times New Roman"/>
          <w:color w:val="auto"/>
        </w:rPr>
        <w:fldChar w:fldCharType="separate"/>
      </w:r>
      <w:r>
        <w:rPr>
          <w:rFonts w:ascii="Times New Roman" w:hAnsi="Times New Roman" w:cs="Times New Roman"/>
          <w:color w:val="auto"/>
          <w:sz w:val="24"/>
        </w:rPr>
        <w:t>http://zfcxjst.gd.gov.cn/xxgk/wjtz/content/post_3137220.html），</w:t>
      </w:r>
      <w:r>
        <w:rPr>
          <w:rFonts w:ascii="Times New Roman" w:hAnsi="Times New Roman" w:cs="Times New Roman"/>
          <w:color w:val="auto"/>
          <w:sz w:val="24"/>
        </w:rPr>
        <w:fldChar w:fldCharType="end"/>
      </w:r>
      <w:r>
        <w:rPr>
          <w:rFonts w:hint="eastAsia" w:ascii="宋体" w:hAnsi="宋体" w:cs="宋体"/>
          <w:color w:val="auto"/>
          <w:sz w:val="24"/>
        </w:rPr>
        <w:t>自</w:t>
      </w:r>
      <w:r>
        <w:rPr>
          <w:rFonts w:ascii="宋体" w:hAnsi="宋体" w:cs="宋体"/>
          <w:color w:val="auto"/>
          <w:sz w:val="24"/>
        </w:rPr>
        <w:t>2021年1月1日起，允许经备案且备案的业务范围满足招标文件要求的香港企业参加勘察、设计和监理项目的投标，允许经备案且备案的业务范围满足招标文件要求的香港专业人士担任勘察、设计和监理项目管理团队中的相应职务。满足前述内容的香港企业参与本次投标的，应按招标文件要求提供满足评审的相关证明文件。</w:t>
      </w:r>
    </w:p>
    <w:p>
      <w:pPr>
        <w:tabs>
          <w:tab w:val="left" w:pos="7513"/>
        </w:tabs>
        <w:spacing w:line="490" w:lineRule="exact"/>
        <w:ind w:firstLine="480" w:firstLineChars="200"/>
        <w:rPr>
          <w:rFonts w:ascii="宋体" w:hAnsi="宋体" w:cs="宋体"/>
          <w:color w:val="auto"/>
          <w:sz w:val="24"/>
        </w:rPr>
      </w:pPr>
      <w:r>
        <w:rPr>
          <w:rFonts w:ascii="宋体" w:hAnsi="宋体" w:cs="宋体"/>
          <w:color w:val="auto"/>
          <w:sz w:val="24"/>
        </w:rPr>
        <w:t>3.4拟派总监理工程师须具有建设部2006年4月1日后颁发的中华人民共和国注册监理工程师注册执业证书，</w:t>
      </w:r>
      <w:r>
        <w:rPr>
          <w:rFonts w:hint="eastAsia" w:ascii="宋体" w:hAnsi="宋体" w:cs="宋体"/>
          <w:color w:val="auto"/>
          <w:sz w:val="24"/>
        </w:rPr>
        <w:t>且注册专业为市政公用工程并具备本科或以上学历，注册执业单位为投标人。或在广东省住房和城乡建设主管部门备案且备案的业务范围符合本招标项目对总监理工程师要求的香港专业人士。</w:t>
      </w:r>
    </w:p>
    <w:p>
      <w:pPr>
        <w:tabs>
          <w:tab w:val="left" w:pos="7513"/>
        </w:tabs>
        <w:spacing w:line="490" w:lineRule="exact"/>
        <w:ind w:firstLine="480" w:firstLineChars="200"/>
        <w:rPr>
          <w:rFonts w:ascii="宋体" w:hAnsi="宋体" w:cs="宋体"/>
          <w:color w:val="auto"/>
          <w:sz w:val="24"/>
        </w:rPr>
      </w:pPr>
      <w:r>
        <w:rPr>
          <w:rFonts w:hint="eastAsia" w:ascii="宋体" w:hAnsi="宋体" w:cs="宋体"/>
          <w:color w:val="auto"/>
          <w:sz w:val="24"/>
        </w:rPr>
        <w:t>注：香港专业人士的备案业务范围依据《广东省住房和城乡建设厅关于印发香港工程建设咨询企业和专业人士在粤港澳大湾区内地城市开业执业试点管理暂行办法的通知》（粤建规范〔2020〕1号）确定。</w:t>
      </w:r>
    </w:p>
    <w:p>
      <w:pPr>
        <w:pStyle w:val="29"/>
        <w:spacing w:before="0" w:after="0" w:line="490" w:lineRule="exact"/>
        <w:ind w:firstLine="480" w:firstLineChars="200"/>
        <w:jc w:val="both"/>
        <w:rPr>
          <w:color w:val="auto"/>
        </w:rPr>
      </w:pPr>
      <w:r>
        <w:rPr>
          <w:rFonts w:hint="eastAsia"/>
          <w:color w:val="auto"/>
        </w:rPr>
        <w:t>3.5投标登记前，投标人已在广州公共资源交易中心办理企业信息登记及拟担任本工程总监理工程师须是本单位在企业库中的在册人员。</w:t>
      </w:r>
    </w:p>
    <w:p>
      <w:pPr>
        <w:pStyle w:val="29"/>
        <w:spacing w:before="0" w:after="0" w:line="490" w:lineRule="exact"/>
        <w:ind w:firstLine="480" w:firstLineChars="200"/>
        <w:jc w:val="both"/>
        <w:rPr>
          <w:color w:val="auto"/>
        </w:rPr>
      </w:pPr>
      <w:r>
        <w:rPr>
          <w:rFonts w:hint="eastAsia"/>
          <w:color w:val="auto"/>
        </w:rPr>
        <w:t>3.6投标人已按规定格式签名盖章《投标人声明》（格式详见招标公告附件一）。</w:t>
      </w:r>
    </w:p>
    <w:p>
      <w:pPr>
        <w:tabs>
          <w:tab w:val="left" w:pos="7513"/>
        </w:tabs>
        <w:spacing w:line="490" w:lineRule="exact"/>
        <w:ind w:firstLine="480" w:firstLineChars="200"/>
        <w:rPr>
          <w:rFonts w:ascii="宋体" w:hAnsi="宋体" w:cs="宋体"/>
          <w:color w:val="auto"/>
          <w:sz w:val="24"/>
        </w:rPr>
      </w:pPr>
      <w:r>
        <w:rPr>
          <w:rFonts w:hint="eastAsia" w:ascii="宋体" w:hAnsi="宋体" w:cs="宋体"/>
          <w:color w:val="auto"/>
          <w:sz w:val="24"/>
        </w:rPr>
        <w:t>3.7投标人应未被纳入国家、市、区的失信联合惩戒名单且被限制参加</w:t>
      </w:r>
      <w:r>
        <w:rPr>
          <w:rFonts w:hint="eastAsia" w:ascii="宋体" w:hAnsi="宋体" w:cs="宋体"/>
          <w:color w:val="auto"/>
          <w:sz w:val="24"/>
          <w:lang w:val="en-US" w:eastAsia="zh-CN"/>
        </w:rPr>
        <w:t>财政投资工程或政府投资工程或</w:t>
      </w:r>
      <w:r>
        <w:rPr>
          <w:rFonts w:hint="eastAsia" w:ascii="宋体" w:hAnsi="宋体" w:cs="宋体"/>
          <w:color w:val="auto"/>
          <w:sz w:val="24"/>
        </w:rPr>
        <w:t>建设工程投标（具体名单以递交投标文件截止时间“信用广州”https://credit1.gz.gov.cn/sgs/sgsXkNew公布的“失信黑名单”为准）。</w:t>
      </w:r>
    </w:p>
    <w:p>
      <w:pPr>
        <w:tabs>
          <w:tab w:val="left" w:pos="7513"/>
        </w:tabs>
        <w:spacing w:line="490" w:lineRule="exact"/>
        <w:ind w:firstLine="480" w:firstLineChars="200"/>
        <w:rPr>
          <w:rFonts w:ascii="宋体" w:hAnsi="宋体" w:cs="宋体"/>
          <w:color w:val="auto"/>
          <w:sz w:val="24"/>
        </w:rPr>
      </w:pPr>
      <w:r>
        <w:rPr>
          <w:rFonts w:hint="eastAsia" w:ascii="宋体" w:hAnsi="宋体" w:cs="宋体"/>
          <w:color w:val="auto"/>
          <w:sz w:val="24"/>
        </w:rPr>
        <w:t>3.8本项目</w:t>
      </w:r>
      <w:r>
        <w:rPr>
          <w:rFonts w:hint="eastAsia" w:ascii="宋体" w:hAnsi="宋体" w:cs="宋体"/>
          <w:color w:val="auto"/>
          <w:sz w:val="24"/>
          <w:u w:val="single"/>
        </w:rPr>
        <w:t>不接受</w:t>
      </w:r>
      <w:r>
        <w:rPr>
          <w:rFonts w:hint="eastAsia" w:ascii="宋体" w:hAnsi="宋体" w:cs="宋体"/>
          <w:color w:val="auto"/>
          <w:sz w:val="24"/>
        </w:rPr>
        <w:t>联合体投标。</w:t>
      </w:r>
    </w:p>
    <w:p>
      <w:pPr>
        <w:wordWrap w:val="0"/>
        <w:topLinePunct/>
        <w:adjustRightInd w:val="0"/>
        <w:snapToGrid w:val="0"/>
        <w:spacing w:line="490" w:lineRule="exact"/>
        <w:ind w:firstLine="480" w:firstLineChars="200"/>
        <w:rPr>
          <w:color w:val="auto"/>
        </w:rPr>
      </w:pPr>
      <w:r>
        <w:rPr>
          <w:rFonts w:hint="eastAsia" w:ascii="宋体" w:hAnsi="宋体" w:cs="宋体"/>
          <w:color w:val="auto"/>
          <w:sz w:val="24"/>
        </w:rPr>
        <w:t>注：未在招标公告第三条单列的投标人资格要求条件，不作为资审不合格的依据。</w:t>
      </w:r>
    </w:p>
    <w:p>
      <w:pPr>
        <w:numPr>
          <w:ilvl w:val="0"/>
          <w:numId w:val="2"/>
        </w:numPr>
        <w:spacing w:line="490" w:lineRule="exact"/>
        <w:ind w:firstLine="643" w:firstLineChars="200"/>
        <w:outlineLvl w:val="1"/>
        <w:rPr>
          <w:rFonts w:eastAsia="黑体"/>
          <w:b/>
          <w:color w:val="auto"/>
          <w:sz w:val="32"/>
          <w:szCs w:val="24"/>
        </w:rPr>
      </w:pPr>
      <w:bookmarkStart w:id="33" w:name="_Toc24551"/>
      <w:bookmarkStart w:id="34" w:name="_Toc47621268"/>
      <w:bookmarkStart w:id="35" w:name="_Toc89870544"/>
      <w:bookmarkStart w:id="36" w:name="_Toc47694118"/>
      <w:bookmarkStart w:id="37" w:name="_Toc511557029"/>
      <w:bookmarkStart w:id="38" w:name="_Toc515033014"/>
      <w:r>
        <w:rPr>
          <w:rFonts w:hint="eastAsia" w:eastAsia="黑体"/>
          <w:b/>
          <w:color w:val="auto"/>
          <w:sz w:val="32"/>
          <w:szCs w:val="24"/>
        </w:rPr>
        <w:t>招标文件的获取</w:t>
      </w:r>
      <w:bookmarkEnd w:id="33"/>
      <w:bookmarkEnd w:id="34"/>
      <w:bookmarkEnd w:id="35"/>
      <w:bookmarkEnd w:id="36"/>
    </w:p>
    <w:p>
      <w:pPr>
        <w:spacing w:line="490" w:lineRule="exact"/>
        <w:ind w:firstLine="480" w:firstLineChars="200"/>
        <w:rPr>
          <w:color w:val="auto"/>
          <w:sz w:val="24"/>
          <w:szCs w:val="24"/>
        </w:rPr>
      </w:pPr>
      <w:bookmarkStart w:id="39" w:name="_Toc47621269"/>
      <w:bookmarkStart w:id="40" w:name="_Toc47694119"/>
      <w:bookmarkStart w:id="41" w:name="_Toc5049"/>
      <w:r>
        <w:rPr>
          <w:rFonts w:hint="eastAsia" w:ascii="宋体" w:hAnsi="宋体" w:cs="宋体"/>
          <w:color w:val="auto"/>
          <w:sz w:val="24"/>
        </w:rPr>
        <w:t>4.1</w:t>
      </w:r>
      <w:r>
        <w:rPr>
          <w:rFonts w:hint="eastAsia"/>
          <w:color w:val="auto"/>
          <w:sz w:val="24"/>
          <w:szCs w:val="24"/>
        </w:rPr>
        <w:t>（B）凡有意参加投标者，请于</w:t>
      </w:r>
      <w:r>
        <w:rPr>
          <w:rFonts w:hint="eastAsia"/>
          <w:color w:val="auto"/>
          <w:sz w:val="24"/>
          <w:szCs w:val="24"/>
          <w:u w:val="single"/>
        </w:rPr>
        <w:t xml:space="preserve">  年  月  日  时  分</w:t>
      </w:r>
      <w:r>
        <w:rPr>
          <w:rFonts w:hint="eastAsia"/>
          <w:color w:val="auto"/>
          <w:sz w:val="24"/>
          <w:szCs w:val="24"/>
        </w:rPr>
        <w:t>至</w:t>
      </w:r>
      <w:r>
        <w:rPr>
          <w:rFonts w:hint="eastAsia"/>
          <w:color w:val="auto"/>
          <w:sz w:val="24"/>
          <w:szCs w:val="24"/>
          <w:u w:val="single"/>
        </w:rPr>
        <w:t xml:space="preserve">  年  月  日  时  分</w:t>
      </w:r>
      <w:r>
        <w:rPr>
          <w:rFonts w:hint="eastAsia"/>
          <w:color w:val="auto"/>
          <w:sz w:val="24"/>
          <w:szCs w:val="24"/>
        </w:rPr>
        <w:t>(北京时间，下同)，登录</w:t>
      </w:r>
      <w:r>
        <w:rPr>
          <w:rFonts w:hint="eastAsia"/>
          <w:color w:val="auto"/>
          <w:sz w:val="24"/>
          <w:szCs w:val="24"/>
          <w:u w:val="single"/>
        </w:rPr>
        <w:t>广州公共资源交易中心网</w:t>
      </w:r>
      <w:r>
        <w:rPr>
          <w:rFonts w:hint="eastAsia"/>
          <w:color w:val="auto"/>
          <w:sz w:val="24"/>
          <w:szCs w:val="24"/>
        </w:rPr>
        <w:t>（http//www.gzggzy.cn）下载电子招标文件。</w:t>
      </w:r>
    </w:p>
    <w:p>
      <w:pPr>
        <w:spacing w:line="490" w:lineRule="exact"/>
        <w:ind w:firstLine="480" w:firstLineChars="200"/>
        <w:rPr>
          <w:rFonts w:ascii="宋体" w:hAnsi="宋体" w:cs="宋体"/>
          <w:color w:val="auto"/>
          <w:sz w:val="24"/>
        </w:rPr>
      </w:pPr>
      <w:r>
        <w:rPr>
          <w:rFonts w:hint="eastAsia" w:ascii="宋体" w:hAnsi="宋体" w:cs="宋体"/>
          <w:color w:val="auto"/>
          <w:sz w:val="24"/>
        </w:rPr>
        <w:t>4.2</w:t>
      </w:r>
      <w:r>
        <w:rPr>
          <w:rFonts w:hint="eastAsia"/>
          <w:color w:val="auto"/>
          <w:sz w:val="24"/>
          <w:szCs w:val="24"/>
        </w:rPr>
        <w:t xml:space="preserve"> 本项目设立投标登记环节，采取</w:t>
      </w:r>
      <w:r>
        <w:rPr>
          <w:rFonts w:hint="eastAsia"/>
          <w:color w:val="auto"/>
          <w:sz w:val="24"/>
          <w:szCs w:val="24"/>
          <w:u w:val="single"/>
        </w:rPr>
        <w:t>网上登记</w:t>
      </w:r>
      <w:r>
        <w:rPr>
          <w:rFonts w:hint="eastAsia"/>
          <w:color w:val="auto"/>
          <w:sz w:val="24"/>
          <w:szCs w:val="24"/>
        </w:rPr>
        <w:t>方式进行投标登记。不接受现场投标登记（参加投标登记之前，投标人应查询本企业在广州公共资源交易中心的信息登记的状态，确保一切信息都是真实的、在有效期内的，以免出现相关信息不能被使用的情况。上述情况有可能导致投标信息无法录入广州公共资源交易中心信息系统。如出现上述情况，投标人有可能失去投标机会，因其可能所引起的一切后果由投标人承担。）。</w:t>
      </w:r>
    </w:p>
    <w:p>
      <w:pPr>
        <w:spacing w:line="360" w:lineRule="auto"/>
        <w:ind w:firstLine="480" w:firstLineChars="200"/>
        <w:rPr>
          <w:color w:val="auto"/>
          <w:sz w:val="24"/>
          <w:szCs w:val="24"/>
        </w:rPr>
      </w:pPr>
      <w:r>
        <w:rPr>
          <w:rFonts w:hint="eastAsia" w:ascii="宋体" w:hAnsi="宋体" w:cs="宋体"/>
          <w:color w:val="auto"/>
          <w:sz w:val="24"/>
        </w:rPr>
        <w:t>4.2.1</w:t>
      </w:r>
      <w:r>
        <w:rPr>
          <w:rFonts w:hint="eastAsia"/>
          <w:color w:val="auto"/>
          <w:sz w:val="24"/>
          <w:szCs w:val="24"/>
        </w:rPr>
        <w:t>投标登记时间：</w:t>
      </w:r>
      <w:r>
        <w:rPr>
          <w:rFonts w:hint="eastAsia"/>
          <w:color w:val="auto"/>
          <w:sz w:val="24"/>
          <w:szCs w:val="24"/>
          <w:u w:val="single"/>
        </w:rPr>
        <w:t xml:space="preserve">  年  月  日  时  分</w:t>
      </w:r>
      <w:r>
        <w:rPr>
          <w:rFonts w:hint="eastAsia"/>
          <w:color w:val="auto"/>
          <w:sz w:val="24"/>
          <w:szCs w:val="24"/>
        </w:rPr>
        <w:t>至</w:t>
      </w:r>
      <w:r>
        <w:rPr>
          <w:rFonts w:hint="eastAsia"/>
          <w:color w:val="auto"/>
          <w:sz w:val="24"/>
          <w:szCs w:val="24"/>
          <w:u w:val="single"/>
        </w:rPr>
        <w:t xml:space="preserve">  年  月  日  时  分</w:t>
      </w:r>
      <w:r>
        <w:rPr>
          <w:rFonts w:hint="eastAsia"/>
          <w:color w:val="auto"/>
          <w:sz w:val="24"/>
          <w:szCs w:val="24"/>
        </w:rPr>
        <w:t>。</w:t>
      </w:r>
    </w:p>
    <w:p>
      <w:pPr>
        <w:spacing w:line="360" w:lineRule="auto"/>
        <w:ind w:firstLine="480" w:firstLineChars="200"/>
        <w:rPr>
          <w:color w:val="auto"/>
          <w:sz w:val="24"/>
          <w:szCs w:val="24"/>
        </w:rPr>
      </w:pPr>
      <w:r>
        <w:rPr>
          <w:rFonts w:hint="eastAsia" w:ascii="宋体" w:hAnsi="宋体" w:cs="宋体"/>
          <w:color w:val="auto"/>
          <w:sz w:val="24"/>
        </w:rPr>
        <w:t>4.3</w:t>
      </w:r>
      <w:r>
        <w:rPr>
          <w:rFonts w:hint="eastAsia"/>
          <w:color w:val="auto"/>
          <w:sz w:val="24"/>
          <w:szCs w:val="24"/>
        </w:rPr>
        <w:t xml:space="preserve"> 本项目采用资格后审方式。</w:t>
      </w:r>
    </w:p>
    <w:p>
      <w:pPr>
        <w:spacing w:line="360" w:lineRule="auto"/>
        <w:ind w:firstLine="480" w:firstLineChars="200"/>
        <w:rPr>
          <w:color w:val="auto"/>
          <w:sz w:val="24"/>
          <w:szCs w:val="24"/>
        </w:rPr>
      </w:pPr>
      <w:r>
        <w:rPr>
          <w:rFonts w:hint="eastAsia"/>
          <w:color w:val="auto"/>
          <w:sz w:val="24"/>
          <w:szCs w:val="24"/>
        </w:rPr>
        <w:t>注：电子招投标操作流程详见广州公共资源交易中心网站发布的最新版操作指引。</w:t>
      </w:r>
    </w:p>
    <w:p>
      <w:pPr>
        <w:spacing w:line="360" w:lineRule="auto"/>
        <w:ind w:firstLine="643" w:firstLineChars="200"/>
        <w:outlineLvl w:val="1"/>
        <w:rPr>
          <w:rFonts w:eastAsia="黑体"/>
          <w:b/>
          <w:color w:val="auto"/>
          <w:sz w:val="32"/>
          <w:szCs w:val="24"/>
        </w:rPr>
      </w:pPr>
      <w:bookmarkStart w:id="42" w:name="_Toc89870545"/>
      <w:r>
        <w:rPr>
          <w:rFonts w:eastAsia="黑体"/>
          <w:b/>
          <w:color w:val="auto"/>
          <w:sz w:val="32"/>
          <w:szCs w:val="24"/>
        </w:rPr>
        <w:t>5.</w:t>
      </w:r>
      <w:r>
        <w:rPr>
          <w:rFonts w:hint="eastAsia" w:eastAsia="黑体"/>
          <w:b/>
          <w:color w:val="auto"/>
          <w:sz w:val="32"/>
          <w:szCs w:val="24"/>
        </w:rPr>
        <w:t xml:space="preserve"> 投标文件的递交</w:t>
      </w:r>
      <w:bookmarkEnd w:id="39"/>
      <w:bookmarkEnd w:id="40"/>
      <w:bookmarkEnd w:id="41"/>
      <w:bookmarkEnd w:id="42"/>
    </w:p>
    <w:p>
      <w:pPr>
        <w:spacing w:line="360" w:lineRule="auto"/>
        <w:ind w:firstLine="480" w:firstLineChars="200"/>
        <w:rPr>
          <w:rFonts w:ascii="宋体" w:hAnsi="宋体" w:cs="宋体"/>
          <w:color w:val="auto"/>
          <w:sz w:val="24"/>
          <w:szCs w:val="24"/>
        </w:rPr>
      </w:pPr>
      <w:r>
        <w:rPr>
          <w:rFonts w:hint="eastAsia" w:ascii="宋体" w:hAnsi="宋体" w:cs="宋体"/>
          <w:color w:val="auto"/>
          <w:sz w:val="24"/>
          <w:lang w:bidi="ar"/>
        </w:rPr>
        <w:t>5.1发布</w:t>
      </w:r>
      <w:r>
        <w:rPr>
          <w:rFonts w:hint="eastAsia" w:ascii="宋体" w:hAnsi="宋体" w:cs="宋体"/>
          <w:color w:val="auto"/>
          <w:sz w:val="24"/>
          <w:szCs w:val="24"/>
        </w:rPr>
        <w:t>招标公告时间（含本日）：</w:t>
      </w:r>
      <w:r>
        <w:rPr>
          <w:rFonts w:ascii="宋体" w:hAnsi="宋体" w:cs="宋体"/>
          <w:color w:val="auto"/>
          <w:sz w:val="24"/>
          <w:szCs w:val="24"/>
          <w:u w:val="single"/>
        </w:rPr>
        <w:t xml:space="preserve">   </w:t>
      </w:r>
      <w:r>
        <w:rPr>
          <w:rFonts w:hint="eastAsia"/>
          <w:color w:val="auto"/>
          <w:sz w:val="24"/>
          <w:szCs w:val="24"/>
          <w:u w:val="single"/>
        </w:rPr>
        <w:t>年  月  日  时  分至</w:t>
      </w:r>
      <w:r>
        <w:rPr>
          <w:color w:val="auto"/>
          <w:sz w:val="24"/>
          <w:szCs w:val="24"/>
          <w:u w:val="single"/>
        </w:rPr>
        <w:t xml:space="preserve">   </w:t>
      </w:r>
      <w:r>
        <w:rPr>
          <w:rFonts w:hint="eastAsia"/>
          <w:color w:val="auto"/>
          <w:sz w:val="24"/>
          <w:szCs w:val="24"/>
          <w:u w:val="single"/>
        </w:rPr>
        <w:t>年 月  日 时  分</w:t>
      </w:r>
      <w:r>
        <w:rPr>
          <w:rFonts w:hint="eastAsia" w:ascii="宋体" w:hAnsi="宋体" w:cs="宋体"/>
          <w:color w:val="auto"/>
          <w:sz w:val="24"/>
          <w:szCs w:val="24"/>
        </w:rPr>
        <w:t>。</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注：发布招标公告的时间为招标公告发出之日起至递交投标文件截止时间止。</w:t>
      </w:r>
    </w:p>
    <w:p>
      <w:pPr>
        <w:spacing w:line="360" w:lineRule="auto"/>
        <w:ind w:firstLine="480" w:firstLineChars="200"/>
        <w:rPr>
          <w:rFonts w:ascii="宋体" w:hAnsi="宋体" w:cs="宋体"/>
          <w:color w:val="auto"/>
          <w:sz w:val="24"/>
        </w:rPr>
      </w:pPr>
      <w:r>
        <w:rPr>
          <w:rFonts w:hint="eastAsia" w:ascii="宋体" w:hAnsi="宋体" w:cs="宋体"/>
          <w:color w:val="auto"/>
          <w:sz w:val="24"/>
          <w:lang w:bidi="ar"/>
        </w:rPr>
        <w:t>5.2递</w:t>
      </w:r>
      <w:r>
        <w:rPr>
          <w:rFonts w:hint="eastAsia" w:ascii="宋体" w:hAnsi="宋体" w:cs="宋体"/>
          <w:color w:val="auto"/>
          <w:sz w:val="24"/>
          <w:szCs w:val="24"/>
        </w:rPr>
        <w:t>交投标文件时间：</w:t>
      </w:r>
      <w:r>
        <w:rPr>
          <w:rFonts w:ascii="宋体" w:hAnsi="宋体" w:cs="宋体"/>
          <w:color w:val="auto"/>
          <w:sz w:val="24"/>
          <w:szCs w:val="24"/>
          <w:u w:val="single"/>
        </w:rPr>
        <w:t xml:space="preserve">   </w:t>
      </w:r>
      <w:r>
        <w:rPr>
          <w:rFonts w:hint="eastAsia"/>
          <w:color w:val="auto"/>
          <w:sz w:val="24"/>
          <w:szCs w:val="24"/>
          <w:u w:val="single"/>
        </w:rPr>
        <w:t>年  月  日  时  分至</w:t>
      </w:r>
      <w:r>
        <w:rPr>
          <w:color w:val="auto"/>
          <w:sz w:val="24"/>
          <w:szCs w:val="24"/>
          <w:u w:val="single"/>
        </w:rPr>
        <w:t xml:space="preserve"> </w:t>
      </w:r>
      <w:r>
        <w:rPr>
          <w:rFonts w:hint="eastAsia"/>
          <w:color w:val="auto"/>
          <w:sz w:val="24"/>
          <w:szCs w:val="24"/>
          <w:u w:val="single"/>
        </w:rPr>
        <w:t xml:space="preserve">  年  月  日  时  分</w:t>
      </w:r>
      <w:r>
        <w:rPr>
          <w:rFonts w:hint="eastAsia" w:ascii="宋体" w:hAnsi="宋体" w:cs="宋体"/>
          <w:color w:val="auto"/>
          <w:sz w:val="24"/>
          <w:szCs w:val="24"/>
        </w:rPr>
        <w:t>。投标人通过</w:t>
      </w:r>
      <w:r>
        <w:rPr>
          <w:rFonts w:hint="eastAsia" w:ascii="宋体" w:hAnsi="宋体" w:cs="宋体"/>
          <w:color w:val="auto"/>
          <w:sz w:val="24"/>
          <w:szCs w:val="24"/>
          <w:u w:val="single"/>
        </w:rPr>
        <w:t>广州公共资源交易中心网站（网址：http://www.gzggzy.cn/）</w:t>
      </w:r>
      <w:r>
        <w:rPr>
          <w:rFonts w:hint="eastAsia" w:ascii="宋体" w:hAnsi="宋体" w:cs="宋体"/>
          <w:color w:val="auto"/>
          <w:sz w:val="24"/>
          <w:szCs w:val="24"/>
        </w:rPr>
        <w:t>交易平台递交电子投标文件。投标人应在递交投标文件截止时间前，登录</w:t>
      </w:r>
      <w:r>
        <w:rPr>
          <w:rFonts w:hint="eastAsia" w:ascii="宋体" w:hAnsi="宋体" w:cs="宋体"/>
          <w:color w:val="auto"/>
          <w:sz w:val="24"/>
          <w:szCs w:val="24"/>
          <w:u w:val="single"/>
        </w:rPr>
        <w:t>广州公共资源交易中心网站</w:t>
      </w:r>
      <w:r>
        <w:rPr>
          <w:rFonts w:hint="eastAsia" w:ascii="宋体" w:hAnsi="宋体" w:cs="宋体"/>
          <w:color w:val="auto"/>
          <w:sz w:val="24"/>
          <w:szCs w:val="24"/>
        </w:rPr>
        <w:t>交易平台网站办理网上投标登记手续。按照交易平台关于全流程电子化项目的相关指南进行操作。详见：</w:t>
      </w:r>
      <w:r>
        <w:rPr>
          <w:rFonts w:hint="eastAsia" w:ascii="宋体" w:hAnsi="宋体" w:cs="宋体"/>
          <w:color w:val="auto"/>
          <w:sz w:val="24"/>
          <w:szCs w:val="24"/>
          <w:u w:val="single"/>
        </w:rPr>
        <w:t>广州公共资源交易中心网站首页-服务指南。</w:t>
      </w:r>
    </w:p>
    <w:p>
      <w:pPr>
        <w:spacing w:line="360" w:lineRule="auto"/>
        <w:ind w:firstLine="480" w:firstLineChars="200"/>
        <w:rPr>
          <w:rFonts w:ascii="宋体" w:hAnsi="宋体" w:cs="宋体"/>
          <w:color w:val="auto"/>
          <w:sz w:val="24"/>
        </w:rPr>
      </w:pPr>
      <w:r>
        <w:rPr>
          <w:rFonts w:hint="eastAsia" w:ascii="宋体" w:hAnsi="宋体" w:cs="宋体"/>
          <w:color w:val="auto"/>
          <w:sz w:val="24"/>
          <w:lang w:bidi="ar"/>
        </w:rPr>
        <w:t>5.3投标文件备用光盘递交时间：</w:t>
      </w:r>
      <w:r>
        <w:rPr>
          <w:rFonts w:hint="eastAsia" w:ascii="宋体" w:hAnsi="宋体" w:cs="宋体"/>
          <w:color w:val="auto"/>
          <w:sz w:val="24"/>
          <w:u w:val="single"/>
          <w:lang w:bidi="ar"/>
        </w:rPr>
        <w:t xml:space="preserve">   </w:t>
      </w:r>
      <w:r>
        <w:rPr>
          <w:rFonts w:hint="eastAsia" w:ascii="宋体" w:hAnsi="宋体" w:cs="宋体"/>
          <w:color w:val="auto"/>
          <w:sz w:val="24"/>
          <w:lang w:bidi="ar"/>
        </w:rPr>
        <w:t>年</w:t>
      </w:r>
      <w:r>
        <w:rPr>
          <w:rFonts w:hint="eastAsia" w:ascii="宋体" w:hAnsi="宋体" w:cs="宋体"/>
          <w:color w:val="auto"/>
          <w:sz w:val="24"/>
          <w:u w:val="single"/>
          <w:lang w:bidi="ar"/>
        </w:rPr>
        <w:t xml:space="preserve">  </w:t>
      </w:r>
      <w:r>
        <w:rPr>
          <w:rFonts w:hint="eastAsia" w:ascii="宋体" w:hAnsi="宋体" w:cs="宋体"/>
          <w:color w:val="auto"/>
          <w:sz w:val="24"/>
          <w:lang w:bidi="ar"/>
        </w:rPr>
        <w:t>月</w:t>
      </w:r>
      <w:r>
        <w:rPr>
          <w:rFonts w:hint="eastAsia" w:ascii="宋体" w:hAnsi="宋体" w:cs="宋体"/>
          <w:color w:val="auto"/>
          <w:sz w:val="24"/>
          <w:u w:val="single"/>
          <w:lang w:bidi="ar"/>
        </w:rPr>
        <w:t xml:space="preserve">  </w:t>
      </w:r>
      <w:r>
        <w:rPr>
          <w:rFonts w:hint="eastAsia" w:ascii="宋体" w:hAnsi="宋体" w:cs="宋体"/>
          <w:color w:val="auto"/>
          <w:sz w:val="24"/>
          <w:lang w:bidi="ar"/>
        </w:rPr>
        <w:t>日</w:t>
      </w:r>
      <w:r>
        <w:rPr>
          <w:rFonts w:hint="eastAsia" w:ascii="宋体" w:hAnsi="宋体" w:cs="宋体"/>
          <w:color w:val="auto"/>
          <w:sz w:val="24"/>
          <w:u w:val="single"/>
          <w:lang w:bidi="ar"/>
        </w:rPr>
        <w:t xml:space="preserve">  </w:t>
      </w:r>
      <w:r>
        <w:rPr>
          <w:rFonts w:hint="eastAsia" w:ascii="宋体" w:hAnsi="宋体" w:cs="宋体"/>
          <w:color w:val="auto"/>
          <w:sz w:val="24"/>
          <w:lang w:bidi="ar"/>
        </w:rPr>
        <w:t>时</w:t>
      </w:r>
      <w:r>
        <w:rPr>
          <w:rFonts w:hint="eastAsia" w:ascii="宋体" w:hAnsi="宋体" w:cs="宋体"/>
          <w:color w:val="auto"/>
          <w:sz w:val="24"/>
          <w:u w:val="single"/>
          <w:lang w:bidi="ar"/>
        </w:rPr>
        <w:t xml:space="preserve">  </w:t>
      </w:r>
      <w:r>
        <w:rPr>
          <w:rFonts w:hint="eastAsia" w:ascii="宋体" w:hAnsi="宋体" w:cs="宋体"/>
          <w:color w:val="auto"/>
          <w:sz w:val="24"/>
          <w:lang w:bidi="ar"/>
        </w:rPr>
        <w:t>分至</w:t>
      </w:r>
      <w:r>
        <w:rPr>
          <w:rFonts w:hint="eastAsia" w:ascii="宋体" w:hAnsi="宋体" w:cs="宋体"/>
          <w:color w:val="auto"/>
          <w:sz w:val="24"/>
          <w:u w:val="single"/>
          <w:lang w:bidi="ar"/>
        </w:rPr>
        <w:t xml:space="preserve">   </w:t>
      </w:r>
      <w:r>
        <w:rPr>
          <w:rFonts w:hint="eastAsia" w:ascii="宋体" w:hAnsi="宋体" w:cs="宋体"/>
          <w:color w:val="auto"/>
          <w:sz w:val="24"/>
          <w:lang w:bidi="ar"/>
        </w:rPr>
        <w:t>年</w:t>
      </w:r>
      <w:r>
        <w:rPr>
          <w:rFonts w:hint="eastAsia" w:ascii="宋体" w:hAnsi="宋体" w:cs="宋体"/>
          <w:color w:val="auto"/>
          <w:sz w:val="24"/>
          <w:u w:val="single"/>
          <w:lang w:bidi="ar"/>
        </w:rPr>
        <w:t xml:space="preserve">  </w:t>
      </w:r>
      <w:r>
        <w:rPr>
          <w:rFonts w:hint="eastAsia" w:ascii="宋体" w:hAnsi="宋体" w:cs="宋体"/>
          <w:color w:val="auto"/>
          <w:sz w:val="24"/>
          <w:lang w:bidi="ar"/>
        </w:rPr>
        <w:t>月</w:t>
      </w:r>
      <w:r>
        <w:rPr>
          <w:rFonts w:hint="eastAsia" w:ascii="宋体" w:hAnsi="宋体" w:cs="宋体"/>
          <w:color w:val="auto"/>
          <w:sz w:val="24"/>
          <w:u w:val="single"/>
          <w:lang w:bidi="ar"/>
        </w:rPr>
        <w:t xml:space="preserve">  </w:t>
      </w:r>
      <w:r>
        <w:rPr>
          <w:rFonts w:hint="eastAsia" w:ascii="宋体" w:hAnsi="宋体" w:cs="宋体"/>
          <w:color w:val="auto"/>
          <w:sz w:val="24"/>
          <w:lang w:bidi="ar"/>
        </w:rPr>
        <w:t>日</w:t>
      </w:r>
      <w:r>
        <w:rPr>
          <w:rFonts w:hint="eastAsia" w:ascii="宋体" w:hAnsi="宋体" w:cs="宋体"/>
          <w:color w:val="auto"/>
          <w:sz w:val="24"/>
          <w:u w:val="single"/>
          <w:lang w:bidi="ar"/>
        </w:rPr>
        <w:t xml:space="preserve">  </w:t>
      </w:r>
      <w:r>
        <w:rPr>
          <w:rFonts w:hint="eastAsia" w:ascii="宋体" w:hAnsi="宋体" w:cs="宋体"/>
          <w:color w:val="auto"/>
          <w:sz w:val="24"/>
          <w:lang w:bidi="ar"/>
        </w:rPr>
        <w:t>时</w:t>
      </w:r>
      <w:r>
        <w:rPr>
          <w:rFonts w:hint="eastAsia" w:ascii="宋体" w:hAnsi="宋体" w:cs="宋体"/>
          <w:color w:val="auto"/>
          <w:sz w:val="24"/>
          <w:u w:val="single"/>
          <w:lang w:bidi="ar"/>
        </w:rPr>
        <w:t xml:space="preserve">  </w:t>
      </w:r>
      <w:r>
        <w:rPr>
          <w:rFonts w:hint="eastAsia" w:ascii="宋体" w:hAnsi="宋体" w:cs="宋体"/>
          <w:color w:val="auto"/>
          <w:sz w:val="24"/>
          <w:lang w:bidi="ar"/>
        </w:rPr>
        <w:t>分；地点为广州公共资源交易中心增城交易部</w:t>
      </w:r>
      <w:r>
        <w:rPr>
          <w:rFonts w:hint="eastAsia" w:ascii="宋体" w:hAnsi="宋体" w:cs="宋体"/>
          <w:color w:val="auto"/>
          <w:sz w:val="24"/>
          <w:szCs w:val="24"/>
        </w:rPr>
        <w:t>第</w:t>
      </w:r>
      <w:r>
        <w:rPr>
          <w:rFonts w:ascii="宋体" w:hAnsi="宋体" w:cs="宋体"/>
          <w:color w:val="auto"/>
          <w:sz w:val="24"/>
          <w:szCs w:val="24"/>
          <w:u w:val="single"/>
        </w:rPr>
        <w:t xml:space="preserve">  </w:t>
      </w:r>
      <w:r>
        <w:rPr>
          <w:rFonts w:hint="eastAsia" w:ascii="宋体" w:hAnsi="宋体" w:cs="宋体"/>
          <w:color w:val="auto"/>
          <w:sz w:val="24"/>
          <w:szCs w:val="24"/>
        </w:rPr>
        <w:t>开标室</w:t>
      </w:r>
      <w:r>
        <w:rPr>
          <w:rFonts w:hint="eastAsia" w:ascii="宋体" w:hAnsi="宋体" w:cs="宋体"/>
          <w:color w:val="auto"/>
          <w:sz w:val="24"/>
          <w:lang w:bidi="ar"/>
        </w:rPr>
        <w:t>（增城区增城大道2号金河湾3栋108）。</w:t>
      </w:r>
      <w:r>
        <w:rPr>
          <w:rFonts w:hint="eastAsia" w:ascii="Times New Roman" w:hAnsi="Times New Roman" w:cs="宋体"/>
          <w:color w:val="auto"/>
          <w:sz w:val="24"/>
          <w:szCs w:val="24"/>
          <w:lang w:bidi="ar"/>
        </w:rPr>
        <w:t>（电子光盘需按规定封装。投标人将数据刻录到光盘之后，应在投标前自行检查文件是否可以读取。）</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lang w:bidi="ar"/>
        </w:rPr>
        <w:t>5.4</w:t>
      </w:r>
      <w:r>
        <w:rPr>
          <w:rFonts w:hint="eastAsia" w:ascii="宋体" w:hAnsi="宋体" w:cs="宋体"/>
          <w:color w:val="auto"/>
          <w:sz w:val="24"/>
          <w:szCs w:val="24"/>
        </w:rPr>
        <w:t>逾期送达的投标文件，电子招标投标交易平台将予以拒收。逾期未上传成功的电子投标文件，招标人拒绝接收。逾期或未在指定地点递交投标文件光盘的,招标人拒绝接收其投标文件光盘。</w:t>
      </w:r>
    </w:p>
    <w:p>
      <w:pPr>
        <w:tabs>
          <w:tab w:val="left" w:pos="360"/>
        </w:tabs>
        <w:spacing w:line="360" w:lineRule="auto"/>
        <w:ind w:firstLine="480" w:firstLineChars="200"/>
        <w:rPr>
          <w:rFonts w:ascii="宋体" w:hAnsi="宋体" w:cs="宋体"/>
          <w:color w:val="auto"/>
          <w:sz w:val="24"/>
        </w:rPr>
      </w:pPr>
      <w:r>
        <w:rPr>
          <w:rFonts w:hint="eastAsia" w:ascii="宋体" w:hAnsi="宋体" w:cs="宋体"/>
          <w:color w:val="auto"/>
          <w:sz w:val="24"/>
          <w:szCs w:val="24"/>
        </w:rPr>
        <w:t>5.5 开标时间：</w:t>
      </w:r>
      <w:r>
        <w:rPr>
          <w:rFonts w:hint="eastAsia" w:ascii="宋体" w:hAnsi="宋体" w:cs="宋体"/>
          <w:color w:val="auto"/>
          <w:sz w:val="24"/>
          <w:szCs w:val="24"/>
          <w:u w:val="single"/>
        </w:rPr>
        <w:t xml:space="preserve">    </w:t>
      </w:r>
      <w:r>
        <w:rPr>
          <w:rFonts w:hint="eastAsia"/>
          <w:color w:val="auto"/>
          <w:sz w:val="24"/>
          <w:szCs w:val="24"/>
          <w:u w:val="single"/>
        </w:rPr>
        <w:t>年  月  日  时  分</w:t>
      </w:r>
      <w:r>
        <w:rPr>
          <w:rFonts w:hint="eastAsia" w:ascii="宋体" w:hAnsi="宋体" w:cs="宋体"/>
          <w:color w:val="auto"/>
          <w:sz w:val="24"/>
          <w:szCs w:val="24"/>
        </w:rPr>
        <w:t>。地点：广州公共资源交易中心增城交易部第</w:t>
      </w:r>
      <w:r>
        <w:rPr>
          <w:rFonts w:ascii="宋体" w:hAnsi="宋体" w:cs="宋体"/>
          <w:color w:val="auto"/>
          <w:sz w:val="24"/>
          <w:szCs w:val="24"/>
          <w:u w:val="single"/>
        </w:rPr>
        <w:t xml:space="preserve">  </w:t>
      </w:r>
      <w:r>
        <w:rPr>
          <w:rFonts w:hint="eastAsia" w:ascii="宋体" w:hAnsi="宋体" w:cs="宋体"/>
          <w:color w:val="auto"/>
          <w:sz w:val="24"/>
          <w:szCs w:val="24"/>
        </w:rPr>
        <w:t>开标室。</w:t>
      </w:r>
    </w:p>
    <w:p>
      <w:pPr>
        <w:spacing w:line="360" w:lineRule="auto"/>
        <w:ind w:firstLine="643" w:firstLineChars="200"/>
        <w:outlineLvl w:val="1"/>
        <w:rPr>
          <w:rFonts w:ascii="楷体" w:hAnsi="楷体" w:eastAsia="楷体" w:cs="楷体"/>
          <w:b/>
          <w:color w:val="auto"/>
          <w:sz w:val="32"/>
          <w:szCs w:val="24"/>
        </w:rPr>
      </w:pPr>
      <w:bookmarkStart w:id="43" w:name="_Toc4336"/>
      <w:bookmarkStart w:id="44" w:name="_Toc47621270"/>
      <w:bookmarkStart w:id="45" w:name="_Toc47694120"/>
      <w:bookmarkStart w:id="46" w:name="_Toc89870546"/>
      <w:r>
        <w:rPr>
          <w:rFonts w:hint="eastAsia" w:eastAsia="黑体"/>
          <w:b/>
          <w:color w:val="auto"/>
          <w:sz w:val="32"/>
          <w:szCs w:val="24"/>
        </w:rPr>
        <w:t>6. 发布公告的媒介</w:t>
      </w:r>
      <w:bookmarkEnd w:id="43"/>
      <w:bookmarkEnd w:id="44"/>
      <w:bookmarkEnd w:id="45"/>
      <w:bookmarkEnd w:id="46"/>
    </w:p>
    <w:bookmarkEnd w:id="37"/>
    <w:bookmarkEnd w:id="38"/>
    <w:p>
      <w:pPr>
        <w:spacing w:line="360" w:lineRule="auto"/>
        <w:ind w:firstLine="480" w:firstLineChars="200"/>
        <w:rPr>
          <w:color w:val="auto"/>
          <w:sz w:val="24"/>
          <w:szCs w:val="24"/>
        </w:rPr>
      </w:pPr>
      <w:bookmarkStart w:id="47" w:name="_Toc511557031"/>
      <w:bookmarkStart w:id="48" w:name="_Toc47694121"/>
      <w:bookmarkStart w:id="49" w:name="_Toc47621271"/>
      <w:bookmarkStart w:id="50" w:name="_Toc515033016"/>
      <w:bookmarkStart w:id="51" w:name="_Toc7161"/>
      <w:r>
        <w:rPr>
          <w:color w:val="auto"/>
          <w:sz w:val="24"/>
          <w:szCs w:val="24"/>
        </w:rPr>
        <w:t>本次招标公告同时在</w:t>
      </w:r>
      <w:r>
        <w:rPr>
          <w:rFonts w:hint="eastAsia" w:ascii="Times New Roman" w:hAnsi="Times New Roman"/>
          <w:color w:val="auto"/>
          <w:sz w:val="24"/>
          <w:szCs w:val="24"/>
          <w:u w:val="single"/>
        </w:rPr>
        <w:t>广州公共资源交易中心（网址：</w:t>
      </w:r>
      <w:r>
        <w:rPr>
          <w:rFonts w:ascii="Times New Roman" w:hAnsi="Times New Roman"/>
          <w:color w:val="auto"/>
          <w:sz w:val="24"/>
          <w:szCs w:val="24"/>
          <w:u w:val="single"/>
        </w:rPr>
        <w:t>http://www.gzggzy.cn/</w:t>
      </w:r>
      <w:r>
        <w:rPr>
          <w:rFonts w:hint="eastAsia" w:ascii="Times New Roman" w:hAnsi="Times New Roman"/>
          <w:color w:val="auto"/>
          <w:sz w:val="24"/>
          <w:szCs w:val="24"/>
          <w:u w:val="single"/>
        </w:rPr>
        <w:t>）、广东省招标投标监管网（网址：</w:t>
      </w:r>
      <w:r>
        <w:rPr>
          <w:rFonts w:ascii="Times New Roman" w:hAnsi="Times New Roman"/>
          <w:color w:val="auto"/>
          <w:sz w:val="24"/>
          <w:szCs w:val="24"/>
          <w:u w:val="single"/>
        </w:rPr>
        <w:t>http://zbtb.gd.gov.cn/</w:t>
      </w:r>
      <w:r>
        <w:rPr>
          <w:rFonts w:hint="eastAsia" w:ascii="Times New Roman" w:hAnsi="Times New Roman"/>
          <w:color w:val="auto"/>
          <w:sz w:val="24"/>
          <w:szCs w:val="24"/>
          <w:u w:val="single"/>
        </w:rPr>
        <w:t>）、中国招标投标公共服务平台（网址：</w:t>
      </w:r>
      <w:r>
        <w:rPr>
          <w:rFonts w:ascii="Times New Roman" w:hAnsi="Times New Roman"/>
          <w:color w:val="auto"/>
          <w:sz w:val="24"/>
          <w:szCs w:val="24"/>
          <w:u w:val="single"/>
        </w:rPr>
        <w:t>http://www.cebpubservice.com/</w:t>
      </w:r>
      <w:r>
        <w:rPr>
          <w:rFonts w:hint="eastAsia" w:ascii="Times New Roman" w:hAnsi="Times New Roman"/>
          <w:color w:val="auto"/>
          <w:sz w:val="24"/>
          <w:szCs w:val="24"/>
          <w:u w:val="single"/>
        </w:rPr>
        <w:t>）和广州市增城区人民政府门户网站（网址：</w:t>
      </w:r>
      <w:r>
        <w:rPr>
          <w:rFonts w:ascii="Times New Roman" w:hAnsi="Times New Roman"/>
          <w:color w:val="auto"/>
          <w:sz w:val="24"/>
          <w:szCs w:val="24"/>
          <w:u w:val="single"/>
        </w:rPr>
        <w:t>http://www.zc.gov.cn/</w:t>
      </w:r>
      <w:r>
        <w:rPr>
          <w:rFonts w:hint="eastAsia" w:ascii="Times New Roman" w:hAnsi="Times New Roman"/>
          <w:color w:val="auto"/>
          <w:sz w:val="24"/>
          <w:szCs w:val="24"/>
          <w:u w:val="single"/>
        </w:rPr>
        <w:t xml:space="preserve"> “首页</w:t>
      </w:r>
      <w:r>
        <w:rPr>
          <w:rFonts w:ascii="Times New Roman" w:hAnsi="Times New Roman"/>
          <w:color w:val="auto"/>
          <w:sz w:val="24"/>
          <w:szCs w:val="24"/>
          <w:u w:val="single"/>
        </w:rPr>
        <w:t>&gt;</w:t>
      </w:r>
      <w:r>
        <w:rPr>
          <w:rFonts w:hint="eastAsia" w:ascii="Times New Roman" w:hAnsi="Times New Roman"/>
          <w:color w:val="auto"/>
          <w:sz w:val="24"/>
          <w:szCs w:val="24"/>
          <w:u w:val="single"/>
        </w:rPr>
        <w:t>公开</w:t>
      </w:r>
      <w:r>
        <w:rPr>
          <w:rFonts w:ascii="Times New Roman" w:hAnsi="Times New Roman"/>
          <w:color w:val="auto"/>
          <w:sz w:val="24"/>
          <w:szCs w:val="24"/>
          <w:u w:val="single"/>
        </w:rPr>
        <w:t>&gt;</w:t>
      </w:r>
      <w:r>
        <w:rPr>
          <w:rFonts w:hint="eastAsia" w:ascii="Times New Roman" w:hAnsi="Times New Roman"/>
          <w:color w:val="auto"/>
          <w:sz w:val="24"/>
          <w:szCs w:val="24"/>
          <w:u w:val="single"/>
        </w:rPr>
        <w:t>公共资源配置领域</w:t>
      </w:r>
      <w:r>
        <w:rPr>
          <w:rFonts w:ascii="Times New Roman" w:hAnsi="Times New Roman"/>
          <w:color w:val="auto"/>
          <w:sz w:val="24"/>
          <w:szCs w:val="24"/>
          <w:u w:val="single"/>
        </w:rPr>
        <w:t>&gt;</w:t>
      </w:r>
      <w:r>
        <w:rPr>
          <w:rFonts w:hint="eastAsia" w:ascii="Times New Roman" w:hAnsi="Times New Roman"/>
          <w:color w:val="auto"/>
          <w:sz w:val="24"/>
          <w:szCs w:val="24"/>
          <w:u w:val="single"/>
        </w:rPr>
        <w:t>工程建设项目招投标”）</w:t>
      </w:r>
      <w:r>
        <w:rPr>
          <w:rFonts w:hint="eastAsia" w:ascii="Times New Roman" w:hAnsi="Times New Roman"/>
          <w:color w:val="auto"/>
          <w:sz w:val="24"/>
          <w:szCs w:val="24"/>
        </w:rPr>
        <w:t>栏目发布，</w:t>
      </w:r>
      <w:r>
        <w:rPr>
          <w:rFonts w:hint="eastAsia" w:ascii="宋体" w:hAnsi="宋体" w:cs="宋体"/>
          <w:color w:val="auto"/>
          <w:sz w:val="24"/>
          <w:szCs w:val="24"/>
        </w:rPr>
        <w:t>本公告的修改、补充，在广州公共资源交易中心网站</w:t>
      </w:r>
      <w:r>
        <w:rPr>
          <w:color w:val="auto"/>
          <w:sz w:val="24"/>
          <w:szCs w:val="24"/>
        </w:rPr>
        <w:t>上发布。</w:t>
      </w:r>
    </w:p>
    <w:p>
      <w:pPr>
        <w:spacing w:line="360" w:lineRule="auto"/>
        <w:ind w:firstLine="643" w:firstLineChars="200"/>
        <w:rPr>
          <w:rFonts w:ascii="宋体" w:hAnsi="宋体"/>
          <w:color w:val="auto"/>
          <w:sz w:val="24"/>
          <w:u w:val="single"/>
        </w:rPr>
      </w:pPr>
      <w:bookmarkStart w:id="52" w:name="_Toc89870547"/>
      <w:r>
        <w:rPr>
          <w:rFonts w:hint="eastAsia" w:eastAsia="黑体"/>
          <w:b/>
          <w:color w:val="auto"/>
          <w:sz w:val="32"/>
          <w:szCs w:val="24"/>
        </w:rPr>
        <w:t>7</w:t>
      </w:r>
      <w:r>
        <w:rPr>
          <w:rFonts w:eastAsia="黑体"/>
          <w:b/>
          <w:color w:val="auto"/>
          <w:sz w:val="32"/>
          <w:szCs w:val="24"/>
        </w:rPr>
        <w:t xml:space="preserve">. </w:t>
      </w:r>
      <w:r>
        <w:rPr>
          <w:rFonts w:hint="eastAsia" w:eastAsia="黑体"/>
          <w:b/>
          <w:color w:val="auto"/>
          <w:sz w:val="32"/>
          <w:szCs w:val="24"/>
        </w:rPr>
        <w:t>联系方式</w:t>
      </w:r>
      <w:bookmarkEnd w:id="47"/>
      <w:bookmarkEnd w:id="48"/>
      <w:bookmarkEnd w:id="49"/>
      <w:bookmarkEnd w:id="50"/>
      <w:bookmarkEnd w:id="51"/>
      <w:bookmarkEnd w:id="52"/>
    </w:p>
    <w:p>
      <w:pPr>
        <w:spacing w:line="360" w:lineRule="auto"/>
        <w:ind w:firstLine="480" w:firstLineChars="200"/>
        <w:rPr>
          <w:rFonts w:ascii="宋体" w:hAnsi="宋体" w:cs="宋体"/>
          <w:color w:val="auto"/>
          <w:sz w:val="24"/>
          <w:szCs w:val="24"/>
          <w:u w:val="single"/>
        </w:rPr>
      </w:pPr>
      <w:bookmarkStart w:id="53" w:name="_Toc361508563"/>
      <w:bookmarkEnd w:id="53"/>
      <w:bookmarkStart w:id="54" w:name="_Toc152042289"/>
      <w:bookmarkEnd w:id="54"/>
      <w:bookmarkStart w:id="55" w:name="_Toc152042288"/>
      <w:bookmarkEnd w:id="55"/>
      <w:bookmarkStart w:id="56" w:name="_Toc361508560"/>
      <w:bookmarkEnd w:id="56"/>
      <w:bookmarkStart w:id="57" w:name="_Toc247513934"/>
      <w:bookmarkEnd w:id="57"/>
      <w:bookmarkStart w:id="58" w:name="_Toc352691453"/>
      <w:bookmarkEnd w:id="58"/>
      <w:bookmarkStart w:id="59" w:name="_Toc300834927"/>
      <w:bookmarkEnd w:id="59"/>
      <w:bookmarkStart w:id="60" w:name="_Toc144974480"/>
      <w:bookmarkEnd w:id="60"/>
      <w:bookmarkStart w:id="61" w:name="_Toc352691455"/>
      <w:bookmarkEnd w:id="61"/>
      <w:bookmarkStart w:id="62" w:name="_Toc369531498"/>
      <w:bookmarkEnd w:id="62"/>
      <w:bookmarkStart w:id="63" w:name="_Toc352691456"/>
      <w:bookmarkEnd w:id="63"/>
      <w:bookmarkStart w:id="64" w:name="_Toc144974481"/>
      <w:bookmarkEnd w:id="64"/>
      <w:bookmarkStart w:id="65" w:name="_Toc247527535"/>
      <w:bookmarkEnd w:id="65"/>
      <w:bookmarkStart w:id="66" w:name="_Toc152045513"/>
      <w:bookmarkEnd w:id="66"/>
      <w:bookmarkStart w:id="67" w:name="_Toc10785"/>
      <w:bookmarkEnd w:id="67"/>
      <w:bookmarkStart w:id="68" w:name="_Toc384308185"/>
      <w:bookmarkEnd w:id="68"/>
      <w:bookmarkStart w:id="69" w:name="_Toc300834930"/>
      <w:bookmarkEnd w:id="69"/>
      <w:bookmarkStart w:id="70" w:name="_Toc247513935"/>
      <w:bookmarkEnd w:id="70"/>
      <w:bookmarkStart w:id="71" w:name="_Toc17972"/>
      <w:bookmarkEnd w:id="71"/>
      <w:bookmarkStart w:id="72" w:name="_Toc30817"/>
      <w:bookmarkEnd w:id="72"/>
      <w:bookmarkStart w:id="73" w:name="_Toc369531497"/>
      <w:bookmarkEnd w:id="73"/>
      <w:bookmarkStart w:id="74" w:name="_Toc361508562"/>
      <w:bookmarkEnd w:id="74"/>
      <w:bookmarkStart w:id="75" w:name="_Toc152045512"/>
      <w:bookmarkEnd w:id="75"/>
      <w:bookmarkStart w:id="76" w:name="_Toc300834929"/>
      <w:bookmarkEnd w:id="76"/>
      <w:bookmarkStart w:id="77" w:name="_Toc384308188"/>
      <w:bookmarkEnd w:id="77"/>
      <w:bookmarkStart w:id="78" w:name="_Toc247527536"/>
      <w:bookmarkEnd w:id="78"/>
      <w:bookmarkStart w:id="79" w:name="_Toc384308187"/>
      <w:bookmarkEnd w:id="79"/>
      <w:bookmarkStart w:id="80" w:name="_Toc369531495"/>
      <w:bookmarkEnd w:id="80"/>
      <w:r>
        <w:rPr>
          <w:rFonts w:hint="eastAsia" w:ascii="宋体" w:hAnsi="宋体" w:cs="宋体"/>
          <w:color w:val="auto"/>
          <w:sz w:val="24"/>
          <w:szCs w:val="24"/>
        </w:rPr>
        <w:t>招 标 人：</w:t>
      </w:r>
      <w:r>
        <w:rPr>
          <w:rFonts w:hint="eastAsia" w:ascii="宋体" w:hAnsi="宋体" w:cs="宋体"/>
          <w:color w:val="auto"/>
          <w:sz w:val="24"/>
          <w:szCs w:val="24"/>
          <w:u w:val="single"/>
        </w:rPr>
        <w:t>广州增城区东进供水有限公司</w:t>
      </w:r>
      <w:r>
        <w:rPr>
          <w:rFonts w:ascii="宋体" w:hAnsi="宋体" w:cs="宋体"/>
          <w:color w:val="auto"/>
          <w:sz w:val="24"/>
          <w:szCs w:val="24"/>
          <w:u w:val="single"/>
        </w:rPr>
        <w:t xml:space="preserve"> </w:t>
      </w:r>
    </w:p>
    <w:p>
      <w:pPr>
        <w:spacing w:line="360" w:lineRule="auto"/>
        <w:ind w:firstLine="480" w:firstLineChars="200"/>
        <w:rPr>
          <w:rFonts w:ascii="宋体" w:hAnsi="宋体" w:cs="宋体"/>
          <w:color w:val="auto"/>
          <w:sz w:val="24"/>
          <w:szCs w:val="24"/>
          <w:u w:val="single"/>
        </w:rPr>
      </w:pPr>
      <w:r>
        <w:rPr>
          <w:rFonts w:hint="eastAsia" w:ascii="宋体" w:hAnsi="宋体" w:cs="宋体"/>
          <w:color w:val="auto"/>
          <w:sz w:val="24"/>
          <w:szCs w:val="24"/>
        </w:rPr>
        <w:t>地    址：</w:t>
      </w:r>
      <w:r>
        <w:rPr>
          <w:rFonts w:hint="eastAsia" w:ascii="宋体" w:hAnsi="宋体" w:cs="宋体"/>
          <w:color w:val="auto"/>
          <w:sz w:val="24"/>
          <w:szCs w:val="24"/>
          <w:u w:val="single"/>
          <w:shd w:val="clear" w:color="auto" w:fill="FFFFFF"/>
        </w:rPr>
        <w:t>广州市增城区荔城街民乐路</w:t>
      </w:r>
      <w:r>
        <w:rPr>
          <w:rFonts w:ascii="宋体" w:hAnsi="宋体" w:cs="宋体"/>
          <w:color w:val="auto"/>
          <w:sz w:val="24"/>
          <w:szCs w:val="24"/>
          <w:u w:val="single"/>
          <w:shd w:val="clear" w:color="auto" w:fill="FFFFFF"/>
        </w:rPr>
        <w:t>20号阳光国际大厦801房</w:t>
      </w:r>
    </w:p>
    <w:p>
      <w:pPr>
        <w:spacing w:line="360" w:lineRule="auto"/>
        <w:ind w:firstLine="480" w:firstLineChars="200"/>
        <w:rPr>
          <w:rFonts w:ascii="宋体" w:hAnsi="宋体" w:cs="宋体"/>
          <w:color w:val="auto"/>
          <w:sz w:val="24"/>
          <w:szCs w:val="24"/>
          <w:u w:val="single"/>
        </w:rPr>
      </w:pPr>
      <w:r>
        <w:rPr>
          <w:rFonts w:hint="eastAsia" w:ascii="宋体" w:hAnsi="宋体" w:cs="宋体"/>
          <w:color w:val="auto"/>
          <w:sz w:val="24"/>
          <w:szCs w:val="24"/>
        </w:rPr>
        <w:t>联 系 人：</w:t>
      </w:r>
      <w:r>
        <w:rPr>
          <w:rFonts w:hint="eastAsia" w:ascii="宋体" w:hAnsi="宋体" w:cs="宋体"/>
          <w:color w:val="auto"/>
          <w:sz w:val="24"/>
          <w:szCs w:val="24"/>
          <w:u w:val="single"/>
        </w:rPr>
        <w:t>列工</w:t>
      </w:r>
    </w:p>
    <w:p>
      <w:pPr>
        <w:spacing w:line="360" w:lineRule="auto"/>
        <w:ind w:firstLine="480" w:firstLineChars="200"/>
        <w:rPr>
          <w:rFonts w:ascii="宋体" w:hAnsi="宋体" w:cs="宋体"/>
          <w:color w:val="auto"/>
          <w:sz w:val="24"/>
          <w:szCs w:val="24"/>
          <w:u w:val="single"/>
        </w:rPr>
      </w:pPr>
      <w:r>
        <w:rPr>
          <w:rFonts w:hint="eastAsia" w:ascii="宋体" w:hAnsi="宋体" w:cs="宋体"/>
          <w:color w:val="auto"/>
          <w:sz w:val="24"/>
          <w:szCs w:val="24"/>
        </w:rPr>
        <w:t>电    话：</w:t>
      </w:r>
      <w:r>
        <w:rPr>
          <w:rFonts w:ascii="宋体" w:hAnsi="宋体" w:cs="宋体"/>
          <w:color w:val="auto"/>
          <w:sz w:val="24"/>
          <w:szCs w:val="24"/>
          <w:u w:val="single"/>
          <w:shd w:val="clear" w:color="auto" w:fill="FFFFFF"/>
        </w:rPr>
        <w:t>020-82622803</w:t>
      </w:r>
    </w:p>
    <w:p>
      <w:pPr>
        <w:spacing w:line="360" w:lineRule="auto"/>
        <w:ind w:firstLine="480" w:firstLineChars="200"/>
        <w:rPr>
          <w:rFonts w:ascii="宋体" w:hAnsi="宋体" w:cs="宋体"/>
          <w:color w:val="auto"/>
          <w:sz w:val="24"/>
          <w:szCs w:val="24"/>
          <w:u w:val="single"/>
        </w:rPr>
      </w:pP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招标代理机构：</w:t>
      </w:r>
      <w:r>
        <w:rPr>
          <w:rFonts w:hint="eastAsia" w:ascii="宋体" w:hAnsi="宋体" w:cs="宋体"/>
          <w:color w:val="auto"/>
          <w:sz w:val="24"/>
          <w:szCs w:val="24"/>
          <w:u w:val="single"/>
        </w:rPr>
        <w:t>方明工程咨询（广州）有限公司</w:t>
      </w:r>
    </w:p>
    <w:p>
      <w:pPr>
        <w:spacing w:line="360" w:lineRule="auto"/>
        <w:ind w:firstLine="480" w:firstLineChars="200"/>
        <w:rPr>
          <w:rFonts w:ascii="宋体" w:hAnsi="宋体" w:cs="宋体"/>
          <w:color w:val="auto"/>
          <w:sz w:val="24"/>
          <w:szCs w:val="24"/>
          <w:u w:val="single"/>
        </w:rPr>
      </w:pPr>
      <w:r>
        <w:rPr>
          <w:rFonts w:hint="eastAsia" w:ascii="宋体" w:hAnsi="宋体" w:cs="宋体"/>
          <w:color w:val="auto"/>
          <w:sz w:val="24"/>
          <w:szCs w:val="24"/>
        </w:rPr>
        <w:t>地    址：</w:t>
      </w:r>
      <w:r>
        <w:rPr>
          <w:rFonts w:hint="eastAsia" w:ascii="宋体" w:hAnsi="宋体" w:cs="宋体"/>
          <w:color w:val="auto"/>
          <w:sz w:val="24"/>
          <w:szCs w:val="24"/>
          <w:u w:val="single"/>
        </w:rPr>
        <w:t>广州市天河区马场路</w:t>
      </w:r>
      <w:r>
        <w:rPr>
          <w:rFonts w:ascii="宋体" w:hAnsi="宋体" w:cs="宋体"/>
          <w:color w:val="auto"/>
          <w:sz w:val="24"/>
          <w:szCs w:val="24"/>
          <w:u w:val="single"/>
        </w:rPr>
        <w:t>16号</w:t>
      </w:r>
      <w:r>
        <w:rPr>
          <w:rFonts w:hint="eastAsia" w:ascii="宋体" w:hAnsi="宋体" w:cs="宋体"/>
          <w:color w:val="auto"/>
          <w:sz w:val="24"/>
          <w:szCs w:val="24"/>
          <w:u w:val="single"/>
        </w:rPr>
        <w:t>富力盈盛</w:t>
      </w:r>
      <w:r>
        <w:rPr>
          <w:rFonts w:ascii="宋体" w:hAnsi="宋体" w:cs="宋体"/>
          <w:color w:val="auto"/>
          <w:sz w:val="24"/>
          <w:szCs w:val="24"/>
          <w:u w:val="single"/>
        </w:rPr>
        <w:t>A802</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联 系 人：</w:t>
      </w:r>
      <w:r>
        <w:rPr>
          <w:rFonts w:hint="eastAsia" w:ascii="宋体" w:hAnsi="宋体" w:cs="宋体"/>
          <w:color w:val="auto"/>
          <w:sz w:val="24"/>
          <w:szCs w:val="24"/>
          <w:u w:val="single"/>
          <w:lang w:val="en-US" w:eastAsia="zh-CN"/>
        </w:rPr>
        <w:t>陈</w:t>
      </w:r>
      <w:r>
        <w:rPr>
          <w:rFonts w:hint="eastAsia" w:ascii="宋体" w:hAnsi="宋体" w:cs="宋体"/>
          <w:color w:val="auto"/>
          <w:sz w:val="24"/>
          <w:szCs w:val="24"/>
          <w:u w:val="single"/>
        </w:rPr>
        <w:t>工</w:t>
      </w:r>
    </w:p>
    <w:p>
      <w:pPr>
        <w:pStyle w:val="22"/>
        <w:spacing w:after="0" w:line="360" w:lineRule="auto"/>
        <w:ind w:firstLine="480" w:firstLineChars="200"/>
        <w:rPr>
          <w:rFonts w:ascii="宋体" w:hAnsi="宋体" w:cs="宋体"/>
          <w:color w:val="auto"/>
          <w:sz w:val="24"/>
        </w:rPr>
      </w:pPr>
      <w:r>
        <w:rPr>
          <w:rFonts w:hint="eastAsia" w:ascii="宋体" w:hAnsi="宋体" w:cs="宋体"/>
          <w:color w:val="auto"/>
          <w:sz w:val="24"/>
        </w:rPr>
        <w:t>电    话：</w:t>
      </w:r>
      <w:r>
        <w:rPr>
          <w:rFonts w:ascii="宋体" w:hAnsi="宋体" w:cs="宋体"/>
          <w:color w:val="auto"/>
          <w:sz w:val="24"/>
          <w:u w:val="single"/>
        </w:rPr>
        <w:t xml:space="preserve">13392664078 </w:t>
      </w:r>
    </w:p>
    <w:p>
      <w:pPr>
        <w:wordWrap w:val="0"/>
        <w:topLinePunct/>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异议受理部门：</w:t>
      </w:r>
      <w:r>
        <w:rPr>
          <w:rFonts w:hint="eastAsia" w:ascii="宋体" w:hAnsi="宋体" w:cs="宋体"/>
          <w:color w:val="auto"/>
          <w:sz w:val="24"/>
          <w:szCs w:val="24"/>
          <w:u w:val="single"/>
        </w:rPr>
        <w:t>广州增城区东进供水有限公司</w:t>
      </w:r>
    </w:p>
    <w:p>
      <w:pPr>
        <w:wordWrap w:val="0"/>
        <w:topLinePunct/>
        <w:spacing w:line="440" w:lineRule="exact"/>
        <w:ind w:firstLine="480" w:firstLineChars="200"/>
        <w:rPr>
          <w:rFonts w:ascii="宋体" w:hAnsi="宋体" w:cs="宋体"/>
          <w:color w:val="auto"/>
          <w:sz w:val="24"/>
          <w:szCs w:val="24"/>
          <w:u w:val="single"/>
        </w:rPr>
      </w:pPr>
      <w:r>
        <w:rPr>
          <w:rFonts w:hint="eastAsia" w:ascii="宋体" w:hAnsi="宋体" w:cs="宋体"/>
          <w:color w:val="auto"/>
          <w:sz w:val="24"/>
          <w:szCs w:val="24"/>
        </w:rPr>
        <w:t>地    址：</w:t>
      </w:r>
      <w:r>
        <w:rPr>
          <w:rFonts w:hint="eastAsia" w:ascii="宋体" w:hAnsi="宋体" w:cs="宋体"/>
          <w:color w:val="auto"/>
          <w:sz w:val="24"/>
          <w:szCs w:val="24"/>
          <w:u w:val="single"/>
          <w:shd w:val="clear" w:color="auto" w:fill="FFFFFF"/>
        </w:rPr>
        <w:t>广州市增城区荔城街民乐路</w:t>
      </w:r>
      <w:r>
        <w:rPr>
          <w:rFonts w:ascii="宋体" w:hAnsi="宋体" w:cs="宋体"/>
          <w:color w:val="auto"/>
          <w:sz w:val="24"/>
          <w:szCs w:val="24"/>
          <w:u w:val="single"/>
          <w:shd w:val="clear" w:color="auto" w:fill="FFFFFF"/>
        </w:rPr>
        <w:t>20号阳光国际大厦801房</w:t>
      </w:r>
    </w:p>
    <w:p>
      <w:pPr>
        <w:wordWrap w:val="0"/>
        <w:topLinePunct/>
        <w:spacing w:line="440" w:lineRule="exact"/>
        <w:ind w:firstLine="480" w:firstLineChars="200"/>
        <w:rPr>
          <w:rFonts w:ascii="宋体" w:hAnsi="宋体" w:cs="宋体"/>
          <w:color w:val="auto"/>
          <w:sz w:val="24"/>
          <w:szCs w:val="24"/>
          <w:u w:val="single"/>
        </w:rPr>
      </w:pPr>
      <w:r>
        <w:rPr>
          <w:rFonts w:hint="eastAsia" w:ascii="宋体" w:hAnsi="宋体" w:cs="宋体"/>
          <w:color w:val="auto"/>
          <w:sz w:val="24"/>
          <w:szCs w:val="24"/>
        </w:rPr>
        <w:t>联 系 人：</w:t>
      </w:r>
      <w:r>
        <w:rPr>
          <w:rFonts w:hint="eastAsia" w:ascii="宋体" w:hAnsi="宋体" w:cs="宋体"/>
          <w:color w:val="auto"/>
          <w:sz w:val="24"/>
          <w:szCs w:val="24"/>
          <w:u w:val="single"/>
        </w:rPr>
        <w:t>列工</w:t>
      </w:r>
    </w:p>
    <w:p>
      <w:pPr>
        <w:wordWrap w:val="0"/>
        <w:topLinePunct/>
        <w:spacing w:line="440" w:lineRule="exact"/>
        <w:ind w:firstLine="480" w:firstLineChars="200"/>
        <w:rPr>
          <w:rFonts w:ascii="宋体" w:hAnsi="宋体" w:cs="宋体"/>
          <w:color w:val="auto"/>
          <w:sz w:val="24"/>
          <w:szCs w:val="24"/>
          <w:u w:val="single"/>
        </w:rPr>
      </w:pPr>
      <w:r>
        <w:rPr>
          <w:rFonts w:hint="eastAsia" w:ascii="宋体" w:hAnsi="宋体" w:cs="宋体"/>
          <w:color w:val="auto"/>
          <w:sz w:val="24"/>
          <w:szCs w:val="24"/>
        </w:rPr>
        <w:t>电    话：</w:t>
      </w:r>
      <w:r>
        <w:rPr>
          <w:rFonts w:ascii="宋体" w:hAnsi="宋体" w:cs="宋体"/>
          <w:color w:val="auto"/>
          <w:sz w:val="24"/>
          <w:szCs w:val="24"/>
          <w:u w:val="single"/>
          <w:shd w:val="clear" w:color="auto" w:fill="FFFFFF"/>
        </w:rPr>
        <w:t>020-82622803</w:t>
      </w:r>
    </w:p>
    <w:p>
      <w:pPr>
        <w:wordWrap w:val="0"/>
        <w:spacing w:line="440" w:lineRule="exact"/>
        <w:ind w:firstLine="480" w:firstLineChars="200"/>
        <w:rPr>
          <w:rFonts w:ascii="宋体" w:hAnsi="宋体" w:cs="宋体"/>
          <w:color w:val="auto"/>
          <w:sz w:val="24"/>
          <w:szCs w:val="24"/>
        </w:rPr>
      </w:pPr>
    </w:p>
    <w:p>
      <w:pPr>
        <w:wordWrap w:val="0"/>
        <w:topLinePunct/>
        <w:spacing w:line="440" w:lineRule="exact"/>
        <w:ind w:firstLine="480" w:firstLineChars="200"/>
        <w:rPr>
          <w:rFonts w:ascii="宋体" w:hAnsi="宋体" w:cs="宋体"/>
          <w:color w:val="auto"/>
          <w:sz w:val="24"/>
          <w:szCs w:val="24"/>
          <w:u w:val="single"/>
        </w:rPr>
      </w:pPr>
      <w:r>
        <w:rPr>
          <w:rFonts w:hint="eastAsia" w:ascii="宋体" w:hAnsi="宋体" w:cs="宋体"/>
          <w:color w:val="auto"/>
          <w:sz w:val="24"/>
          <w:szCs w:val="24"/>
        </w:rPr>
        <w:t>招标监督机构：</w:t>
      </w:r>
      <w:r>
        <w:rPr>
          <w:rFonts w:hint="eastAsia" w:ascii="宋体" w:hAnsi="宋体" w:cs="宋体"/>
          <w:color w:val="auto"/>
          <w:sz w:val="24"/>
          <w:szCs w:val="24"/>
          <w:u w:val="single"/>
        </w:rPr>
        <w:t>广州市增城区水务局</w:t>
      </w:r>
    </w:p>
    <w:p>
      <w:pPr>
        <w:wordWrap w:val="0"/>
        <w:topLinePunct/>
        <w:spacing w:line="440" w:lineRule="exact"/>
        <w:ind w:firstLine="480" w:firstLineChars="200"/>
        <w:rPr>
          <w:rFonts w:ascii="宋体" w:hAnsi="宋体" w:cs="宋体"/>
          <w:color w:val="auto"/>
          <w:sz w:val="24"/>
          <w:szCs w:val="24"/>
          <w:u w:val="single"/>
        </w:rPr>
      </w:pPr>
      <w:r>
        <w:rPr>
          <w:rFonts w:hint="eastAsia" w:ascii="宋体" w:hAnsi="宋体" w:cs="宋体"/>
          <w:color w:val="auto"/>
          <w:sz w:val="24"/>
          <w:szCs w:val="24"/>
        </w:rPr>
        <w:t xml:space="preserve">地 </w:t>
      </w:r>
      <w:r>
        <w:rPr>
          <w:rFonts w:ascii="宋体" w:hAnsi="宋体" w:cs="宋体"/>
          <w:color w:val="auto"/>
          <w:sz w:val="24"/>
          <w:szCs w:val="24"/>
        </w:rPr>
        <w:t xml:space="preserve">   </w:t>
      </w:r>
      <w:r>
        <w:rPr>
          <w:rFonts w:hint="eastAsia" w:ascii="宋体" w:hAnsi="宋体" w:cs="宋体"/>
          <w:color w:val="auto"/>
          <w:sz w:val="24"/>
          <w:szCs w:val="24"/>
        </w:rPr>
        <w:t>址：</w:t>
      </w:r>
      <w:r>
        <w:rPr>
          <w:rFonts w:hint="eastAsia" w:ascii="宋体" w:hAnsi="宋体" w:cs="宋体"/>
          <w:color w:val="auto"/>
          <w:sz w:val="24"/>
          <w:szCs w:val="24"/>
          <w:u w:val="single"/>
        </w:rPr>
        <w:t>广州市增城区荔城街园圃路</w:t>
      </w:r>
      <w:r>
        <w:rPr>
          <w:rFonts w:ascii="宋体" w:hAnsi="宋体" w:cs="宋体"/>
          <w:color w:val="auto"/>
          <w:sz w:val="24"/>
          <w:szCs w:val="24"/>
          <w:u w:val="single"/>
        </w:rPr>
        <w:t>4号</w:t>
      </w:r>
    </w:p>
    <w:p>
      <w:pPr>
        <w:wordWrap w:val="0"/>
        <w:topLinePunct/>
        <w:spacing w:line="440" w:lineRule="exact"/>
        <w:ind w:firstLine="480" w:firstLineChars="200"/>
        <w:rPr>
          <w:rFonts w:ascii="宋体" w:hAnsi="宋体"/>
          <w:i/>
          <w:iCs/>
          <w:color w:val="auto"/>
          <w:sz w:val="24"/>
          <w:szCs w:val="24"/>
        </w:rPr>
      </w:pPr>
      <w:r>
        <w:rPr>
          <w:rFonts w:hint="eastAsia" w:ascii="宋体" w:hAnsi="宋体"/>
          <w:color w:val="auto"/>
          <w:sz w:val="24"/>
          <w:szCs w:val="24"/>
        </w:rPr>
        <w:t xml:space="preserve">电 </w:t>
      </w:r>
      <w:r>
        <w:rPr>
          <w:rFonts w:ascii="宋体" w:hAnsi="宋体"/>
          <w:color w:val="auto"/>
          <w:sz w:val="24"/>
          <w:szCs w:val="24"/>
        </w:rPr>
        <w:t xml:space="preserve">   </w:t>
      </w:r>
      <w:r>
        <w:rPr>
          <w:rFonts w:hint="eastAsia" w:ascii="宋体" w:hAnsi="宋体"/>
          <w:color w:val="auto"/>
          <w:sz w:val="24"/>
          <w:szCs w:val="24"/>
        </w:rPr>
        <w:t>话：</w:t>
      </w:r>
      <w:r>
        <w:rPr>
          <w:rFonts w:ascii="宋体" w:hAnsi="宋体"/>
          <w:color w:val="auto"/>
          <w:sz w:val="24"/>
          <w:szCs w:val="24"/>
          <w:u w:val="single"/>
        </w:rPr>
        <w:t>020-82639502</w:t>
      </w:r>
    </w:p>
    <w:p>
      <w:pPr>
        <w:pStyle w:val="22"/>
        <w:spacing w:after="0" w:line="360" w:lineRule="auto"/>
        <w:ind w:firstLine="480" w:firstLineChars="200"/>
        <w:rPr>
          <w:color w:val="auto"/>
          <w:sz w:val="24"/>
        </w:rPr>
      </w:pPr>
    </w:p>
    <w:p>
      <w:pPr>
        <w:topLinePunct/>
        <w:spacing w:line="360" w:lineRule="auto"/>
        <w:jc w:val="right"/>
        <w:rPr>
          <w:rFonts w:ascii="Times New Roman" w:hAnsi="Times New Roman"/>
          <w:color w:val="auto"/>
          <w:sz w:val="24"/>
          <w:szCs w:val="24"/>
        </w:rPr>
      </w:pPr>
      <w:r>
        <w:rPr>
          <w:rFonts w:hint="eastAsia"/>
          <w:color w:val="auto"/>
          <w:sz w:val="24"/>
          <w:szCs w:val="24"/>
        </w:rPr>
        <w:t xml:space="preserve">招 标 </w:t>
      </w:r>
      <w:r>
        <w:rPr>
          <w:rFonts w:hint="eastAsia" w:ascii="宋体" w:hAnsi="宋体"/>
          <w:color w:val="auto"/>
          <w:sz w:val="24"/>
          <w:szCs w:val="24"/>
        </w:rPr>
        <w:t>人：</w:t>
      </w:r>
      <w:r>
        <w:rPr>
          <w:rFonts w:hint="eastAsia" w:ascii="Times New Roman" w:hAnsi="Times New Roman"/>
          <w:color w:val="auto"/>
          <w:sz w:val="24"/>
          <w:szCs w:val="24"/>
        </w:rPr>
        <w:t xml:space="preserve">广州增城区东进供水有限公司 </w:t>
      </w:r>
    </w:p>
    <w:p>
      <w:pPr>
        <w:topLinePunct/>
        <w:spacing w:line="360" w:lineRule="auto"/>
        <w:jc w:val="right"/>
        <w:rPr>
          <w:rFonts w:ascii="宋体" w:hAnsi="宋体"/>
          <w:color w:val="auto"/>
          <w:sz w:val="24"/>
          <w:szCs w:val="24"/>
        </w:rPr>
      </w:pPr>
      <w:r>
        <w:rPr>
          <w:rFonts w:hint="eastAsia" w:ascii="宋体" w:hAnsi="宋体"/>
          <w:color w:val="auto"/>
          <w:sz w:val="24"/>
          <w:szCs w:val="24"/>
        </w:rPr>
        <w:t>招标代理机构：方明工程咨询（广州）有限公司</w:t>
      </w:r>
    </w:p>
    <w:p>
      <w:pPr>
        <w:spacing w:line="360" w:lineRule="auto"/>
        <w:ind w:firstLine="4080" w:firstLineChars="1700"/>
        <w:jc w:val="left"/>
        <w:rPr>
          <w:rFonts w:ascii="宋体" w:hAnsi="宋体" w:cs="宋体"/>
          <w:color w:val="auto"/>
          <w:kern w:val="0"/>
          <w:sz w:val="24"/>
        </w:rPr>
      </w:pPr>
      <w:r>
        <w:rPr>
          <w:rFonts w:hint="eastAsia" w:ascii="宋体" w:hAnsi="宋体"/>
          <w:color w:val="auto"/>
          <w:sz w:val="24"/>
          <w:szCs w:val="24"/>
        </w:rPr>
        <w:t>日</w:t>
      </w:r>
      <w:r>
        <w:rPr>
          <w:rFonts w:ascii="宋体" w:hAnsi="宋体"/>
          <w:color w:val="auto"/>
          <w:sz w:val="24"/>
          <w:szCs w:val="24"/>
        </w:rPr>
        <w:t xml:space="preserve">  </w:t>
      </w:r>
      <w:r>
        <w:rPr>
          <w:rFonts w:hint="eastAsia" w:ascii="宋体" w:hAnsi="宋体"/>
          <w:color w:val="auto"/>
          <w:sz w:val="24"/>
          <w:szCs w:val="24"/>
        </w:rPr>
        <w:t>期：</w:t>
      </w:r>
      <w:r>
        <w:rPr>
          <w:rFonts w:ascii="宋体" w:hAnsi="宋体"/>
          <w:color w:val="auto"/>
          <w:sz w:val="24"/>
          <w:szCs w:val="24"/>
        </w:rPr>
        <w:t>2022年</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hint="eastAsia" w:ascii="宋体" w:hAnsi="宋体"/>
          <w:color w:val="auto"/>
          <w:sz w:val="24"/>
          <w:szCs w:val="24"/>
        </w:rPr>
        <w:t>月</w:t>
      </w:r>
      <w:r>
        <w:rPr>
          <w:rFonts w:ascii="宋体" w:hAnsi="宋体"/>
          <w:color w:val="auto"/>
          <w:sz w:val="24"/>
          <w:szCs w:val="24"/>
          <w:u w:val="single"/>
        </w:rPr>
        <w:t xml:space="preserve">   </w:t>
      </w:r>
      <w:r>
        <w:rPr>
          <w:rFonts w:hint="eastAsia" w:ascii="宋体" w:hAnsi="宋体"/>
          <w:color w:val="auto"/>
          <w:sz w:val="24"/>
          <w:szCs w:val="24"/>
        </w:rPr>
        <w:t>日</w:t>
      </w:r>
      <w:r>
        <w:rPr>
          <w:rFonts w:hint="eastAsia" w:hAnsi="宋体"/>
          <w:b/>
          <w:color w:val="auto"/>
          <w:sz w:val="30"/>
          <w:szCs w:val="30"/>
        </w:rPr>
        <w:t xml:space="preserve"> </w:t>
      </w:r>
      <w:r>
        <w:rPr>
          <w:rFonts w:ascii="Arial" w:hAnsi="宋体" w:eastAsia="黑体"/>
          <w:b/>
          <w:color w:val="auto"/>
          <w:sz w:val="32"/>
          <w:szCs w:val="24"/>
        </w:rPr>
        <w:br w:type="page"/>
      </w:r>
      <w:r>
        <w:rPr>
          <w:rFonts w:hint="eastAsia" w:ascii="宋体" w:hAnsi="宋体" w:cs="宋体"/>
          <w:color w:val="auto"/>
          <w:kern w:val="0"/>
          <w:sz w:val="24"/>
        </w:rPr>
        <w:t>附件一：</w:t>
      </w:r>
    </w:p>
    <w:p>
      <w:pPr>
        <w:widowControl/>
        <w:snapToGrid w:val="0"/>
        <w:ind w:firstLine="640" w:firstLineChars="200"/>
        <w:jc w:val="center"/>
        <w:rPr>
          <w:rFonts w:ascii="方正小标宋_GBK" w:hAnsi="宋体" w:eastAsia="方正小标宋_GBK" w:cs="宋体"/>
          <w:color w:val="auto"/>
          <w:kern w:val="0"/>
          <w:sz w:val="32"/>
          <w:szCs w:val="32"/>
        </w:rPr>
      </w:pPr>
      <w:r>
        <w:rPr>
          <w:rFonts w:hint="eastAsia" w:ascii="方正小标宋_GBK" w:hAnsi="宋体" w:eastAsia="方正小标宋_GBK" w:cs="宋体"/>
          <w:color w:val="auto"/>
          <w:kern w:val="0"/>
          <w:sz w:val="32"/>
          <w:szCs w:val="32"/>
        </w:rPr>
        <w:t>投标人声明</w:t>
      </w:r>
    </w:p>
    <w:p>
      <w:pPr>
        <w:snapToGrid w:val="0"/>
        <w:spacing w:line="360" w:lineRule="auto"/>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广州市住房和城乡建设局、本招标项目招标人及招标监管机构：</w:t>
      </w:r>
    </w:p>
    <w:p>
      <w:pPr>
        <w:snapToGrid w:val="0"/>
        <w:spacing w:line="360" w:lineRule="auto"/>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本公司就参加</w:t>
      </w:r>
      <w:r>
        <w:rPr>
          <w:rFonts w:hint="eastAsia" w:ascii="仿宋_GB2312" w:hAnsi="宋体" w:eastAsia="仿宋_GB2312" w:cs="宋体"/>
          <w:color w:val="auto"/>
          <w:kern w:val="0"/>
          <w:sz w:val="24"/>
          <w:szCs w:val="24"/>
          <w:u w:val="single"/>
        </w:rPr>
        <w:t>                </w:t>
      </w:r>
      <w:r>
        <w:rPr>
          <w:rFonts w:hint="eastAsia" w:ascii="仿宋_GB2312" w:hAnsi="宋体" w:eastAsia="仿宋_GB2312" w:cs="宋体"/>
          <w:color w:val="auto"/>
          <w:kern w:val="0"/>
          <w:sz w:val="24"/>
          <w:szCs w:val="24"/>
        </w:rPr>
        <w:t>项目投标工作，作出郑重声明：</w:t>
      </w:r>
    </w:p>
    <w:p>
      <w:pPr>
        <w:snapToGrid w:val="0"/>
        <w:spacing w:line="360" w:lineRule="auto"/>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一、本公司保证投标报名材料及其后提供的一切材料都是真实的。如我司成为本项目中标候选人，我司同意并授权招标人将我司投标文件商务部分的人员、业绩、奖项等资料进行公开。</w:t>
      </w:r>
    </w:p>
    <w:p>
      <w:pPr>
        <w:snapToGrid w:val="0"/>
        <w:spacing w:line="360" w:lineRule="auto"/>
        <w:ind w:firstLine="482" w:firstLineChars="200"/>
        <w:rPr>
          <w:rFonts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rPr>
        <w:t>二、本公司承诺遵循</w:t>
      </w:r>
      <w:r>
        <w:rPr>
          <w:rFonts w:ascii="仿宋_GB2312" w:hAnsi="宋体" w:eastAsia="仿宋_GB2312" w:cs="宋体"/>
          <w:b/>
          <w:color w:val="auto"/>
          <w:kern w:val="0"/>
          <w:sz w:val="24"/>
          <w:szCs w:val="24"/>
        </w:rPr>
        <w:t>公平公正、公开、诚实信用原则，如实投标，真实反映企业实力，公平竞争，不弄虚作假，不</w:t>
      </w:r>
      <w:r>
        <w:rPr>
          <w:rFonts w:hint="eastAsia" w:ascii="仿宋_GB2312" w:hAnsi="宋体" w:eastAsia="仿宋_GB2312" w:cs="宋体"/>
          <w:b/>
          <w:color w:val="auto"/>
          <w:kern w:val="0"/>
          <w:sz w:val="24"/>
          <w:szCs w:val="24"/>
        </w:rPr>
        <w:t>以</w:t>
      </w:r>
      <w:r>
        <w:rPr>
          <w:rFonts w:ascii="仿宋_GB2312" w:hAnsi="宋体" w:eastAsia="仿宋_GB2312" w:cs="宋体"/>
          <w:b/>
          <w:color w:val="auto"/>
          <w:kern w:val="0"/>
          <w:sz w:val="24"/>
          <w:szCs w:val="24"/>
        </w:rPr>
        <w:t>低于监理企业成本价</w:t>
      </w:r>
      <w:r>
        <w:rPr>
          <w:rFonts w:hint="eastAsia" w:ascii="仿宋_GB2312" w:hAnsi="宋体" w:eastAsia="仿宋_GB2312" w:cs="宋体"/>
          <w:b/>
          <w:color w:val="auto"/>
          <w:kern w:val="0"/>
          <w:sz w:val="24"/>
          <w:szCs w:val="24"/>
        </w:rPr>
        <w:t>竞标</w:t>
      </w:r>
      <w:r>
        <w:rPr>
          <w:rFonts w:ascii="仿宋_GB2312" w:hAnsi="宋体" w:eastAsia="仿宋_GB2312" w:cs="宋体"/>
          <w:b/>
          <w:color w:val="auto"/>
          <w:kern w:val="0"/>
          <w:sz w:val="24"/>
          <w:szCs w:val="24"/>
        </w:rPr>
        <w:t>而降低监理服务质量，不</w:t>
      </w:r>
      <w:r>
        <w:rPr>
          <w:rFonts w:hint="eastAsia" w:ascii="仿宋_GB2312" w:hAnsi="宋体" w:eastAsia="仿宋_GB2312" w:cs="宋体"/>
          <w:b/>
          <w:color w:val="auto"/>
          <w:kern w:val="0"/>
          <w:sz w:val="24"/>
          <w:szCs w:val="24"/>
        </w:rPr>
        <w:t>与</w:t>
      </w:r>
      <w:r>
        <w:rPr>
          <w:rFonts w:ascii="仿宋_GB2312" w:hAnsi="宋体" w:eastAsia="仿宋_GB2312" w:cs="宋体"/>
          <w:b/>
          <w:color w:val="auto"/>
          <w:kern w:val="0"/>
          <w:sz w:val="24"/>
          <w:szCs w:val="24"/>
        </w:rPr>
        <w:t>任何建设单位订立违背监理企业成本取费标准及相关规定的“</w:t>
      </w:r>
      <w:r>
        <w:rPr>
          <w:rFonts w:hint="eastAsia" w:ascii="仿宋_GB2312" w:hAnsi="宋体" w:eastAsia="仿宋_GB2312" w:cs="宋体"/>
          <w:b/>
          <w:color w:val="auto"/>
          <w:kern w:val="0"/>
          <w:sz w:val="24"/>
          <w:szCs w:val="24"/>
        </w:rPr>
        <w:t>阴阳合同</w:t>
      </w:r>
      <w:r>
        <w:rPr>
          <w:rFonts w:ascii="仿宋_GB2312" w:hAnsi="宋体" w:eastAsia="仿宋_GB2312" w:cs="宋体"/>
          <w:b/>
          <w:color w:val="auto"/>
          <w:kern w:val="0"/>
          <w:sz w:val="24"/>
          <w:szCs w:val="24"/>
        </w:rPr>
        <w:t>”</w:t>
      </w:r>
      <w:r>
        <w:rPr>
          <w:rFonts w:hint="eastAsia" w:ascii="仿宋_GB2312" w:hAnsi="宋体" w:eastAsia="仿宋_GB2312" w:cs="宋体"/>
          <w:b/>
          <w:color w:val="auto"/>
          <w:kern w:val="0"/>
          <w:sz w:val="24"/>
          <w:szCs w:val="24"/>
        </w:rPr>
        <w:t>进行恶性</w:t>
      </w:r>
      <w:r>
        <w:rPr>
          <w:rFonts w:ascii="仿宋_GB2312" w:hAnsi="宋体" w:eastAsia="仿宋_GB2312" w:cs="宋体"/>
          <w:b/>
          <w:color w:val="auto"/>
          <w:kern w:val="0"/>
          <w:sz w:val="24"/>
          <w:szCs w:val="24"/>
        </w:rPr>
        <w:t>竞争，扰乱市场秩序</w:t>
      </w:r>
      <w:r>
        <w:rPr>
          <w:rFonts w:hint="eastAsia" w:ascii="仿宋_GB2312" w:hAnsi="宋体" w:eastAsia="仿宋_GB2312" w:cs="宋体"/>
          <w:b/>
          <w:color w:val="auto"/>
          <w:kern w:val="0"/>
          <w:sz w:val="24"/>
          <w:szCs w:val="24"/>
        </w:rPr>
        <w:t>，不与其他单位串通投标</w:t>
      </w:r>
      <w:r>
        <w:rPr>
          <w:rFonts w:ascii="仿宋_GB2312" w:hAnsi="宋体" w:eastAsia="仿宋_GB2312" w:cs="宋体"/>
          <w:b/>
          <w:color w:val="auto"/>
          <w:kern w:val="0"/>
          <w:sz w:val="24"/>
          <w:szCs w:val="24"/>
        </w:rPr>
        <w:t>或以</w:t>
      </w:r>
      <w:r>
        <w:rPr>
          <w:rFonts w:hint="eastAsia" w:ascii="仿宋_GB2312" w:hAnsi="宋体" w:eastAsia="仿宋_GB2312" w:cs="宋体"/>
          <w:b/>
          <w:color w:val="auto"/>
          <w:kern w:val="0"/>
          <w:sz w:val="24"/>
          <w:szCs w:val="24"/>
        </w:rPr>
        <w:t>行贿手段</w:t>
      </w:r>
      <w:r>
        <w:rPr>
          <w:rFonts w:ascii="仿宋_GB2312" w:hAnsi="宋体" w:eastAsia="仿宋_GB2312" w:cs="宋体"/>
          <w:b/>
          <w:color w:val="auto"/>
          <w:kern w:val="0"/>
          <w:sz w:val="24"/>
          <w:szCs w:val="24"/>
        </w:rPr>
        <w:t>谋取中标</w:t>
      </w:r>
      <w:r>
        <w:rPr>
          <w:rFonts w:hint="eastAsia" w:ascii="仿宋_GB2312" w:hAnsi="宋体" w:eastAsia="仿宋_GB2312" w:cs="宋体"/>
          <w:b/>
          <w:color w:val="auto"/>
          <w:kern w:val="0"/>
          <w:sz w:val="24"/>
          <w:szCs w:val="24"/>
        </w:rPr>
        <w:t>，不出借资质</w:t>
      </w:r>
      <w:r>
        <w:rPr>
          <w:rFonts w:ascii="仿宋_GB2312" w:hAnsi="宋体" w:eastAsia="仿宋_GB2312" w:cs="宋体"/>
          <w:b/>
          <w:color w:val="auto"/>
          <w:kern w:val="0"/>
          <w:sz w:val="24"/>
          <w:szCs w:val="24"/>
        </w:rPr>
        <w:t>、</w:t>
      </w:r>
      <w:r>
        <w:rPr>
          <w:rFonts w:hint="eastAsia" w:ascii="仿宋_GB2312" w:hAnsi="宋体" w:eastAsia="仿宋_GB2312" w:cs="宋体"/>
          <w:b/>
          <w:color w:val="auto"/>
          <w:kern w:val="0"/>
          <w:sz w:val="24"/>
          <w:szCs w:val="24"/>
        </w:rPr>
        <w:t>转包或</w:t>
      </w:r>
      <w:r>
        <w:rPr>
          <w:rFonts w:ascii="仿宋_GB2312" w:hAnsi="宋体" w:eastAsia="仿宋_GB2312" w:cs="宋体"/>
          <w:b/>
          <w:color w:val="auto"/>
          <w:kern w:val="0"/>
          <w:sz w:val="24"/>
          <w:szCs w:val="24"/>
        </w:rPr>
        <w:t>违法分包</w:t>
      </w:r>
      <w:r>
        <w:rPr>
          <w:rFonts w:hint="eastAsia" w:ascii="仿宋_GB2312" w:hAnsi="宋体" w:eastAsia="仿宋_GB2312" w:cs="宋体"/>
          <w:b/>
          <w:color w:val="auto"/>
          <w:kern w:val="0"/>
          <w:sz w:val="24"/>
          <w:szCs w:val="24"/>
        </w:rPr>
        <w:t>监理</w:t>
      </w:r>
      <w:r>
        <w:rPr>
          <w:rFonts w:ascii="仿宋_GB2312" w:hAnsi="宋体" w:eastAsia="仿宋_GB2312" w:cs="宋体"/>
          <w:b/>
          <w:color w:val="auto"/>
          <w:kern w:val="0"/>
          <w:sz w:val="24"/>
          <w:szCs w:val="24"/>
        </w:rPr>
        <w:t>业务</w:t>
      </w:r>
      <w:r>
        <w:rPr>
          <w:rFonts w:hint="eastAsia" w:ascii="仿宋_GB2312" w:hAnsi="宋体" w:eastAsia="仿宋_GB2312" w:cs="宋体"/>
          <w:b/>
          <w:color w:val="auto"/>
          <w:kern w:val="0"/>
          <w:sz w:val="24"/>
          <w:szCs w:val="24"/>
        </w:rPr>
        <w:t>。</w:t>
      </w:r>
    </w:p>
    <w:p>
      <w:pPr>
        <w:snapToGrid w:val="0"/>
        <w:spacing w:line="360" w:lineRule="auto"/>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三、本公司不存在招标文件第二章投标人须知第1.4.3项所规定的任何一种情形。</w:t>
      </w:r>
    </w:p>
    <w:p>
      <w:pPr>
        <w:snapToGrid w:val="0"/>
        <w:spacing w:line="360" w:lineRule="auto"/>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四、本公司及其有隶属关系的机构，没有参加本项目招标文件的编写工作；本公司与本次招标的招标代理机构没有隶属关系或其他利害关系。</w:t>
      </w:r>
    </w:p>
    <w:p>
      <w:pPr>
        <w:snapToGrid w:val="0"/>
        <w:spacing w:line="360" w:lineRule="auto"/>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五、本公司承诺，中标后严格执行安全生产相关管理规定。</w:t>
      </w:r>
    </w:p>
    <w:p>
      <w:pPr>
        <w:snapToGrid w:val="0"/>
        <w:spacing w:line="360" w:lineRule="auto"/>
        <w:ind w:firstLine="482" w:firstLineChars="200"/>
        <w:rPr>
          <w:rFonts w:ascii="仿宋_GB2312" w:hAnsi="宋体" w:eastAsia="仿宋_GB2312" w:cs="宋体"/>
          <w:color w:val="auto"/>
          <w:kern w:val="0"/>
          <w:sz w:val="24"/>
          <w:szCs w:val="24"/>
        </w:rPr>
      </w:pPr>
      <w:r>
        <w:rPr>
          <w:rFonts w:hint="eastAsia" w:ascii="仿宋_GB2312" w:hAnsi="宋体" w:eastAsia="仿宋_GB2312" w:cs="宋体"/>
          <w:b/>
          <w:color w:val="auto"/>
          <w:kern w:val="0"/>
          <w:sz w:val="24"/>
          <w:szCs w:val="24"/>
        </w:rPr>
        <w:t>本公司违反上述承诺，或本声明陈述与事实不符，经查实，本公司愿意接受公开通报，愿意按照《广州市建筑市场信用管理办法》（穗建规字</w:t>
      </w:r>
      <w:r>
        <w:rPr>
          <w:rFonts w:hint="eastAsia" w:ascii="微软雅黑" w:hAnsi="微软雅黑" w:eastAsia="微软雅黑" w:cs="微软雅黑"/>
          <w:b/>
          <w:color w:val="auto"/>
          <w:kern w:val="0"/>
          <w:sz w:val="24"/>
          <w:szCs w:val="24"/>
        </w:rPr>
        <w:t>﹝</w:t>
      </w:r>
      <w:r>
        <w:rPr>
          <w:rFonts w:hint="eastAsia" w:ascii="仿宋_GB2312" w:hAnsi="宋体" w:eastAsia="仿宋_GB2312" w:cs="宋体"/>
          <w:b/>
          <w:color w:val="auto"/>
          <w:kern w:val="0"/>
          <w:sz w:val="24"/>
          <w:szCs w:val="24"/>
        </w:rPr>
        <w:t>2019</w:t>
      </w:r>
      <w:r>
        <w:rPr>
          <w:rFonts w:hint="eastAsia" w:ascii="微软雅黑" w:hAnsi="微软雅黑" w:eastAsia="微软雅黑" w:cs="微软雅黑"/>
          <w:b/>
          <w:color w:val="auto"/>
          <w:kern w:val="0"/>
          <w:sz w:val="24"/>
          <w:szCs w:val="24"/>
        </w:rPr>
        <w:t>﹞</w:t>
      </w:r>
      <w:r>
        <w:rPr>
          <w:rFonts w:hint="eastAsia" w:ascii="仿宋_GB2312" w:hAnsi="宋体" w:eastAsia="仿宋_GB2312" w:cs="宋体"/>
          <w:b/>
          <w:color w:val="auto"/>
          <w:kern w:val="0"/>
          <w:sz w:val="24"/>
          <w:szCs w:val="24"/>
        </w:rPr>
        <w:t>16号）的规定被记录为失信信息，</w:t>
      </w:r>
      <w:r>
        <w:rPr>
          <w:rFonts w:hint="eastAsia" w:ascii="仿宋_GB2312" w:hAnsi="宋体" w:eastAsia="仿宋_GB2312" w:cs="宋体"/>
          <w:color w:val="auto"/>
          <w:kern w:val="0"/>
          <w:sz w:val="24"/>
          <w:szCs w:val="24"/>
        </w:rPr>
        <w:t>承担由此带来的一切后果，并自愿停止参加广州市行政辖区内的招标投标活动三个月。</w:t>
      </w:r>
    </w:p>
    <w:p>
      <w:pPr>
        <w:widowControl/>
        <w:shd w:val="clear" w:color="auto" w:fill="FFFFFF"/>
        <w:spacing w:line="360" w:lineRule="auto"/>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特此声明。</w:t>
      </w:r>
    </w:p>
    <w:p>
      <w:pPr>
        <w:snapToGrid w:val="0"/>
        <w:spacing w:line="360" w:lineRule="auto"/>
        <w:ind w:firstLine="480" w:firstLineChars="200"/>
        <w:jc w:val="righ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声明企业：            (企业公章)</w:t>
      </w:r>
    </w:p>
    <w:p>
      <w:pPr>
        <w:snapToGrid w:val="0"/>
        <w:spacing w:line="360" w:lineRule="auto"/>
        <w:ind w:firstLine="480" w:firstLineChars="200"/>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 xml:space="preserve">                                   </w:t>
      </w:r>
      <w:r>
        <w:rPr>
          <w:rFonts w:hint="eastAsia" w:ascii="仿宋_GB2312" w:hAnsi="宋体" w:eastAsia="仿宋_GB2312" w:cs="宋体"/>
          <w:color w:val="auto"/>
          <w:kern w:val="0"/>
          <w:sz w:val="24"/>
          <w:szCs w:val="24"/>
        </w:rPr>
        <w:t>总监理工程师：         （签字）</w:t>
      </w:r>
    </w:p>
    <w:p>
      <w:pPr>
        <w:snapToGrid w:val="0"/>
        <w:spacing w:line="360" w:lineRule="auto"/>
        <w:ind w:firstLine="480" w:firstLineChars="200"/>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 xml:space="preserve">                     </w:t>
      </w:r>
      <w:r>
        <w:rPr>
          <w:rFonts w:hint="eastAsia" w:ascii="仿宋_GB2312" w:hAnsi="宋体" w:eastAsia="仿宋_GB2312" w:cs="宋体"/>
          <w:color w:val="auto"/>
          <w:kern w:val="0"/>
          <w:sz w:val="24"/>
          <w:szCs w:val="24"/>
        </w:rPr>
        <w:t>法定代表人签字：</w:t>
      </w:r>
    </w:p>
    <w:p>
      <w:pPr>
        <w:ind w:firstLine="480" w:firstLineChars="200"/>
        <w:jc w:val="right"/>
        <w:rPr>
          <w:color w:val="auto"/>
        </w:rPr>
      </w:pPr>
      <w:r>
        <w:rPr>
          <w:rFonts w:hint="eastAsia" w:ascii="仿宋_GB2312" w:hAnsi="宋体" w:eastAsia="仿宋_GB2312" w:cs="宋体"/>
          <w:color w:val="auto"/>
          <w:kern w:val="0"/>
          <w:sz w:val="24"/>
          <w:szCs w:val="24"/>
        </w:rPr>
        <w:t>年   月   日</w:t>
      </w:r>
    </w:p>
    <w:p>
      <w:pPr>
        <w:pStyle w:val="14"/>
        <w:rPr>
          <w:color w:val="auto"/>
        </w:rPr>
      </w:pPr>
    </w:p>
    <w:p>
      <w:pPr>
        <w:widowControl/>
        <w:jc w:val="left"/>
        <w:rPr>
          <w:rFonts w:ascii="Times New Roman" w:hAnsi="Times New Roman"/>
          <w:b/>
          <w:color w:val="auto"/>
          <w:kern w:val="44"/>
          <w:sz w:val="44"/>
          <w:szCs w:val="20"/>
        </w:rPr>
      </w:pPr>
      <w:bookmarkStart w:id="81" w:name="_Toc89870548"/>
      <w:r>
        <w:rPr>
          <w:color w:val="auto"/>
        </w:rPr>
        <w:br w:type="page"/>
      </w:r>
    </w:p>
    <w:p>
      <w:pPr>
        <w:pStyle w:val="4"/>
        <w:keepNext w:val="0"/>
        <w:keepLines w:val="0"/>
        <w:spacing w:before="100" w:after="100" w:line="360" w:lineRule="auto"/>
        <w:jc w:val="center"/>
        <w:rPr>
          <w:color w:val="auto"/>
        </w:rPr>
      </w:pPr>
      <w:r>
        <w:rPr>
          <w:color w:val="auto"/>
        </w:rPr>
        <w:t>第二章投标人须知</w:t>
      </w:r>
      <w:bookmarkEnd w:id="81"/>
    </w:p>
    <w:p>
      <w:pPr>
        <w:pStyle w:val="5"/>
        <w:keepNext w:val="0"/>
        <w:keepLines w:val="0"/>
        <w:spacing w:before="20" w:after="0" w:line="360" w:lineRule="auto"/>
        <w:jc w:val="center"/>
        <w:rPr>
          <w:rFonts w:ascii="Times New Roman" w:hAnsi="Times New Roman"/>
          <w:color w:val="auto"/>
        </w:rPr>
      </w:pPr>
      <w:bookmarkStart w:id="82" w:name="_Toc89870549"/>
      <w:r>
        <w:rPr>
          <w:rFonts w:ascii="Times New Roman" w:hAnsi="Times New Roman"/>
          <w:color w:val="auto"/>
        </w:rPr>
        <w:t>投标人须知前附表</w:t>
      </w:r>
      <w:bookmarkEnd w:id="82"/>
    </w:p>
    <w:tbl>
      <w:tblPr>
        <w:tblStyle w:val="23"/>
        <w:tblW w:w="978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82"/>
        <w:gridCol w:w="2187"/>
        <w:gridCol w:w="641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5" w:hRule="atLeast"/>
          <w:tblHeader/>
          <w:jc w:val="center"/>
        </w:trPr>
        <w:tc>
          <w:tcPr>
            <w:tcW w:w="1182" w:type="dxa"/>
            <w:vAlign w:val="center"/>
          </w:tcPr>
          <w:p>
            <w:pPr>
              <w:snapToGrid w:val="0"/>
              <w:jc w:val="center"/>
              <w:rPr>
                <w:rFonts w:ascii="宋体" w:hAnsi="宋体"/>
                <w:b/>
                <w:color w:val="auto"/>
                <w:szCs w:val="21"/>
              </w:rPr>
            </w:pPr>
            <w:r>
              <w:rPr>
                <w:rFonts w:ascii="宋体" w:hAnsi="宋体"/>
                <w:b/>
                <w:color w:val="auto"/>
                <w:szCs w:val="21"/>
              </w:rPr>
              <w:t>条款号</w:t>
            </w:r>
          </w:p>
        </w:tc>
        <w:tc>
          <w:tcPr>
            <w:tcW w:w="2187" w:type="dxa"/>
            <w:vAlign w:val="center"/>
          </w:tcPr>
          <w:p>
            <w:pPr>
              <w:snapToGrid w:val="0"/>
              <w:jc w:val="center"/>
              <w:rPr>
                <w:rFonts w:ascii="宋体" w:hAnsi="宋体"/>
                <w:b/>
                <w:color w:val="auto"/>
                <w:szCs w:val="21"/>
              </w:rPr>
            </w:pPr>
            <w:r>
              <w:rPr>
                <w:rFonts w:ascii="宋体" w:hAnsi="宋体"/>
                <w:b/>
                <w:color w:val="auto"/>
                <w:szCs w:val="21"/>
              </w:rPr>
              <w:t>条款名称</w:t>
            </w:r>
          </w:p>
        </w:tc>
        <w:tc>
          <w:tcPr>
            <w:tcW w:w="6415" w:type="dxa"/>
            <w:vAlign w:val="center"/>
          </w:tcPr>
          <w:p>
            <w:pPr>
              <w:snapToGrid w:val="0"/>
              <w:jc w:val="center"/>
              <w:rPr>
                <w:rFonts w:ascii="宋体" w:hAnsi="宋体"/>
                <w:b/>
                <w:color w:val="auto"/>
                <w:szCs w:val="21"/>
              </w:rPr>
            </w:pPr>
            <w:r>
              <w:rPr>
                <w:rFonts w:ascii="宋体" w:hAnsi="宋体"/>
                <w:b/>
                <w:color w:val="auto"/>
                <w:szCs w:val="21"/>
              </w:rPr>
              <w:t>编列内容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44" w:hRule="atLeast"/>
          <w:jc w:val="center"/>
        </w:trPr>
        <w:tc>
          <w:tcPr>
            <w:tcW w:w="1182" w:type="dxa"/>
            <w:vAlign w:val="center"/>
          </w:tcPr>
          <w:p>
            <w:pPr>
              <w:snapToGrid w:val="0"/>
              <w:jc w:val="center"/>
              <w:rPr>
                <w:rFonts w:ascii="宋体" w:hAnsi="宋体"/>
                <w:color w:val="auto"/>
                <w:szCs w:val="21"/>
              </w:rPr>
            </w:pPr>
            <w:r>
              <w:rPr>
                <w:rFonts w:ascii="宋体" w:hAnsi="宋体"/>
                <w:color w:val="auto"/>
                <w:szCs w:val="21"/>
              </w:rPr>
              <w:t>1.1.2</w:t>
            </w:r>
          </w:p>
        </w:tc>
        <w:tc>
          <w:tcPr>
            <w:tcW w:w="2187" w:type="dxa"/>
            <w:vAlign w:val="center"/>
          </w:tcPr>
          <w:p>
            <w:pPr>
              <w:snapToGrid w:val="0"/>
              <w:jc w:val="center"/>
              <w:rPr>
                <w:rFonts w:ascii="宋体" w:hAnsi="宋体"/>
                <w:color w:val="auto"/>
                <w:szCs w:val="21"/>
              </w:rPr>
            </w:pPr>
            <w:r>
              <w:rPr>
                <w:rFonts w:ascii="宋体" w:hAnsi="宋体"/>
                <w:color w:val="auto"/>
                <w:szCs w:val="21"/>
              </w:rPr>
              <w:t>招标人</w:t>
            </w:r>
          </w:p>
        </w:tc>
        <w:tc>
          <w:tcPr>
            <w:tcW w:w="6415" w:type="dxa"/>
            <w:vAlign w:val="center"/>
          </w:tcPr>
          <w:p>
            <w:pPr>
              <w:snapToGrid w:val="0"/>
              <w:jc w:val="left"/>
              <w:rPr>
                <w:rFonts w:ascii="宋体" w:hAnsi="宋体"/>
                <w:color w:val="auto"/>
                <w:szCs w:val="21"/>
              </w:rPr>
            </w:pPr>
            <w:r>
              <w:rPr>
                <w:rFonts w:hint="eastAsia" w:ascii="宋体" w:hAnsi="宋体"/>
                <w:color w:val="auto"/>
                <w:szCs w:val="21"/>
              </w:rPr>
              <w:t xml:space="preserve">招 标 人：广州增城区东进供水有限公司 </w:t>
            </w:r>
          </w:p>
          <w:p>
            <w:pPr>
              <w:snapToGrid w:val="0"/>
              <w:jc w:val="left"/>
              <w:rPr>
                <w:rFonts w:ascii="宋体" w:hAnsi="宋体"/>
                <w:color w:val="auto"/>
                <w:szCs w:val="21"/>
              </w:rPr>
            </w:pPr>
            <w:r>
              <w:rPr>
                <w:rFonts w:hint="eastAsia" w:ascii="宋体" w:hAnsi="宋体"/>
                <w:color w:val="auto"/>
                <w:szCs w:val="21"/>
              </w:rPr>
              <w:t>地    址：广州市增城区荔城街民乐路20号阳光国际大厦801房</w:t>
            </w:r>
          </w:p>
          <w:p>
            <w:pPr>
              <w:snapToGrid w:val="0"/>
              <w:jc w:val="left"/>
              <w:rPr>
                <w:rFonts w:ascii="宋体" w:hAnsi="宋体"/>
                <w:color w:val="auto"/>
                <w:szCs w:val="21"/>
              </w:rPr>
            </w:pPr>
            <w:r>
              <w:rPr>
                <w:rFonts w:hint="eastAsia" w:ascii="宋体" w:hAnsi="宋体"/>
                <w:color w:val="auto"/>
                <w:szCs w:val="21"/>
              </w:rPr>
              <w:t>联</w:t>
            </w:r>
            <w:r>
              <w:rPr>
                <w:rFonts w:ascii="宋体" w:hAnsi="宋体"/>
                <w:color w:val="auto"/>
                <w:szCs w:val="21"/>
              </w:rPr>
              <w:t xml:space="preserve"> </w:t>
            </w:r>
            <w:r>
              <w:rPr>
                <w:rFonts w:hint="eastAsia" w:ascii="宋体" w:hAnsi="宋体"/>
                <w:color w:val="auto"/>
                <w:szCs w:val="21"/>
              </w:rPr>
              <w:t>系</w:t>
            </w:r>
            <w:r>
              <w:rPr>
                <w:rFonts w:ascii="宋体" w:hAnsi="宋体"/>
                <w:color w:val="auto"/>
                <w:szCs w:val="21"/>
              </w:rPr>
              <w:t xml:space="preserve"> </w:t>
            </w:r>
            <w:r>
              <w:rPr>
                <w:rFonts w:hint="eastAsia" w:ascii="宋体" w:hAnsi="宋体"/>
                <w:color w:val="auto"/>
                <w:szCs w:val="21"/>
              </w:rPr>
              <w:t>人：列工</w:t>
            </w:r>
          </w:p>
          <w:p>
            <w:pPr>
              <w:snapToGrid w:val="0"/>
              <w:jc w:val="left"/>
              <w:rPr>
                <w:rFonts w:ascii="宋体" w:hAnsi="宋体"/>
                <w:color w:val="auto"/>
                <w:szCs w:val="21"/>
                <w:u w:val="single"/>
              </w:rPr>
            </w:pPr>
            <w:r>
              <w:rPr>
                <w:rFonts w:hint="eastAsia" w:ascii="宋体" w:hAnsi="宋体"/>
                <w:color w:val="auto"/>
                <w:szCs w:val="21"/>
              </w:rPr>
              <w:t>电</w:t>
            </w:r>
            <w:r>
              <w:rPr>
                <w:rFonts w:ascii="宋体" w:hAnsi="宋体"/>
                <w:color w:val="auto"/>
                <w:szCs w:val="21"/>
              </w:rPr>
              <w:t xml:space="preserve">    </w:t>
            </w:r>
            <w:r>
              <w:rPr>
                <w:rFonts w:hint="eastAsia" w:ascii="宋体" w:hAnsi="宋体"/>
                <w:color w:val="auto"/>
                <w:szCs w:val="21"/>
              </w:rPr>
              <w:t>话：020-82622803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61" w:hRule="atLeast"/>
          <w:jc w:val="center"/>
        </w:trPr>
        <w:tc>
          <w:tcPr>
            <w:tcW w:w="1182" w:type="dxa"/>
            <w:vAlign w:val="center"/>
          </w:tcPr>
          <w:p>
            <w:pPr>
              <w:snapToGrid w:val="0"/>
              <w:jc w:val="center"/>
              <w:rPr>
                <w:rFonts w:ascii="宋体" w:hAnsi="宋体"/>
                <w:color w:val="auto"/>
                <w:szCs w:val="21"/>
              </w:rPr>
            </w:pPr>
            <w:r>
              <w:rPr>
                <w:rFonts w:ascii="宋体" w:hAnsi="宋体"/>
                <w:color w:val="auto"/>
                <w:szCs w:val="21"/>
              </w:rPr>
              <w:t>1.1.3</w:t>
            </w:r>
          </w:p>
        </w:tc>
        <w:tc>
          <w:tcPr>
            <w:tcW w:w="2187" w:type="dxa"/>
            <w:vAlign w:val="center"/>
          </w:tcPr>
          <w:p>
            <w:pPr>
              <w:snapToGrid w:val="0"/>
              <w:jc w:val="center"/>
              <w:rPr>
                <w:rFonts w:ascii="宋体" w:hAnsi="宋体"/>
                <w:color w:val="auto"/>
                <w:szCs w:val="21"/>
              </w:rPr>
            </w:pPr>
            <w:r>
              <w:rPr>
                <w:rFonts w:ascii="宋体" w:hAnsi="宋体"/>
                <w:color w:val="auto"/>
                <w:szCs w:val="21"/>
              </w:rPr>
              <w:t>招标代理机构</w:t>
            </w:r>
          </w:p>
        </w:tc>
        <w:tc>
          <w:tcPr>
            <w:tcW w:w="6415" w:type="dxa"/>
            <w:vAlign w:val="center"/>
          </w:tcPr>
          <w:p>
            <w:pPr>
              <w:snapToGrid w:val="0"/>
              <w:jc w:val="left"/>
              <w:rPr>
                <w:rFonts w:ascii="宋体" w:hAnsi="宋体"/>
                <w:color w:val="auto"/>
                <w:szCs w:val="21"/>
              </w:rPr>
            </w:pPr>
            <w:r>
              <w:rPr>
                <w:rFonts w:hint="eastAsia" w:ascii="宋体" w:hAnsi="宋体"/>
                <w:color w:val="auto"/>
                <w:szCs w:val="21"/>
              </w:rPr>
              <w:t>招标代理机构：方明工程咨询（广州）有限公司</w:t>
            </w:r>
          </w:p>
          <w:p>
            <w:pPr>
              <w:snapToGrid w:val="0"/>
              <w:jc w:val="left"/>
              <w:rPr>
                <w:rFonts w:ascii="宋体" w:hAnsi="宋体"/>
                <w:color w:val="auto"/>
                <w:szCs w:val="21"/>
              </w:rPr>
            </w:pPr>
            <w:r>
              <w:rPr>
                <w:rFonts w:hint="eastAsia" w:ascii="宋体" w:hAnsi="宋体"/>
                <w:color w:val="auto"/>
                <w:szCs w:val="21"/>
              </w:rPr>
              <w:t>地    址：广州市天河区马场路16号富力盈盛A802</w:t>
            </w:r>
          </w:p>
          <w:p>
            <w:pPr>
              <w:snapToGrid w:val="0"/>
              <w:jc w:val="left"/>
              <w:rPr>
                <w:rFonts w:hint="eastAsia" w:ascii="宋体" w:hAnsi="宋体" w:eastAsia="宋体"/>
                <w:color w:val="auto"/>
                <w:szCs w:val="21"/>
                <w:lang w:eastAsia="zh-CN"/>
              </w:rPr>
            </w:pPr>
            <w:r>
              <w:rPr>
                <w:rFonts w:hint="eastAsia" w:ascii="宋体" w:hAnsi="宋体"/>
                <w:color w:val="auto"/>
                <w:szCs w:val="21"/>
              </w:rPr>
              <w:t>联 系 人：</w:t>
            </w:r>
            <w:r>
              <w:rPr>
                <w:rFonts w:hint="eastAsia" w:ascii="宋体" w:hAnsi="宋体"/>
                <w:color w:val="auto"/>
                <w:szCs w:val="21"/>
                <w:lang w:eastAsia="zh-CN"/>
              </w:rPr>
              <w:t>陈工</w:t>
            </w:r>
          </w:p>
          <w:p>
            <w:pPr>
              <w:snapToGrid w:val="0"/>
              <w:jc w:val="left"/>
              <w:rPr>
                <w:color w:val="auto"/>
                <w:szCs w:val="21"/>
              </w:rPr>
            </w:pPr>
            <w:r>
              <w:rPr>
                <w:rFonts w:hint="eastAsia" w:ascii="宋体" w:hAnsi="宋体"/>
                <w:color w:val="auto"/>
                <w:szCs w:val="21"/>
              </w:rPr>
              <w:t>电    话：13392664078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1182" w:type="dxa"/>
            <w:vAlign w:val="center"/>
          </w:tcPr>
          <w:p>
            <w:pPr>
              <w:snapToGrid w:val="0"/>
              <w:jc w:val="center"/>
              <w:rPr>
                <w:rFonts w:ascii="宋体" w:hAnsi="宋体"/>
                <w:color w:val="auto"/>
                <w:szCs w:val="21"/>
              </w:rPr>
            </w:pPr>
            <w:r>
              <w:rPr>
                <w:rFonts w:ascii="宋体" w:hAnsi="宋体"/>
                <w:color w:val="auto"/>
                <w:szCs w:val="21"/>
              </w:rPr>
              <w:t>1.1.4</w:t>
            </w:r>
          </w:p>
        </w:tc>
        <w:tc>
          <w:tcPr>
            <w:tcW w:w="2187" w:type="dxa"/>
            <w:vAlign w:val="center"/>
          </w:tcPr>
          <w:p>
            <w:pPr>
              <w:snapToGrid w:val="0"/>
              <w:jc w:val="center"/>
              <w:rPr>
                <w:rFonts w:ascii="宋体" w:hAnsi="宋体"/>
                <w:color w:val="auto"/>
                <w:szCs w:val="21"/>
              </w:rPr>
            </w:pPr>
            <w:r>
              <w:rPr>
                <w:rFonts w:ascii="宋体" w:hAnsi="宋体"/>
                <w:color w:val="auto"/>
                <w:szCs w:val="21"/>
              </w:rPr>
              <w:t>招标项目名称</w:t>
            </w:r>
          </w:p>
        </w:tc>
        <w:tc>
          <w:tcPr>
            <w:tcW w:w="6415" w:type="dxa"/>
            <w:vAlign w:val="center"/>
          </w:tcPr>
          <w:p>
            <w:pPr>
              <w:snapToGrid w:val="0"/>
              <w:rPr>
                <w:rFonts w:hint="eastAsia" w:ascii="宋体" w:hAnsi="宋体" w:eastAsia="宋体"/>
                <w:color w:val="auto"/>
                <w:szCs w:val="21"/>
                <w:lang w:val="en-US" w:eastAsia="zh-CN"/>
              </w:rPr>
            </w:pPr>
            <w:r>
              <w:rPr>
                <w:rFonts w:hint="eastAsia"/>
                <w:color w:val="auto"/>
                <w:szCs w:val="21"/>
              </w:rPr>
              <w:t>增城区农村供水改造工程（第二批）</w:t>
            </w:r>
            <w:r>
              <w:rPr>
                <w:rFonts w:hint="eastAsia"/>
                <w:color w:val="auto"/>
                <w:szCs w:val="21"/>
                <w:lang w:val="en-US" w:eastAsia="zh-CN"/>
              </w:rPr>
              <w:t>监理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3" w:hRule="atLeast"/>
          <w:jc w:val="center"/>
        </w:trPr>
        <w:tc>
          <w:tcPr>
            <w:tcW w:w="1182" w:type="dxa"/>
            <w:vAlign w:val="center"/>
          </w:tcPr>
          <w:p>
            <w:pPr>
              <w:snapToGrid w:val="0"/>
              <w:jc w:val="center"/>
              <w:rPr>
                <w:rFonts w:ascii="宋体" w:hAnsi="宋体"/>
                <w:color w:val="auto"/>
                <w:szCs w:val="21"/>
              </w:rPr>
            </w:pPr>
            <w:r>
              <w:rPr>
                <w:rFonts w:ascii="宋体" w:hAnsi="宋体"/>
                <w:color w:val="auto"/>
                <w:szCs w:val="21"/>
              </w:rPr>
              <w:t>1.1.5</w:t>
            </w:r>
          </w:p>
        </w:tc>
        <w:tc>
          <w:tcPr>
            <w:tcW w:w="2187" w:type="dxa"/>
            <w:vAlign w:val="center"/>
          </w:tcPr>
          <w:p>
            <w:pPr>
              <w:snapToGrid w:val="0"/>
              <w:jc w:val="center"/>
              <w:rPr>
                <w:rFonts w:ascii="宋体" w:hAnsi="宋体"/>
                <w:color w:val="auto"/>
                <w:szCs w:val="21"/>
              </w:rPr>
            </w:pPr>
            <w:r>
              <w:rPr>
                <w:rFonts w:ascii="宋体" w:hAnsi="宋体"/>
                <w:color w:val="auto"/>
                <w:szCs w:val="21"/>
              </w:rPr>
              <w:t>项目建设地点</w:t>
            </w:r>
          </w:p>
        </w:tc>
        <w:tc>
          <w:tcPr>
            <w:tcW w:w="6415" w:type="dxa"/>
            <w:vAlign w:val="center"/>
          </w:tcPr>
          <w:p>
            <w:pPr>
              <w:snapToGrid w:val="0"/>
              <w:jc w:val="left"/>
              <w:rPr>
                <w:rFonts w:hint="eastAsia" w:ascii="宋体" w:hAnsi="宋体" w:eastAsia="宋体" w:cs="宋体"/>
                <w:color w:val="auto"/>
                <w:szCs w:val="21"/>
                <w:lang w:eastAsia="zh-CN"/>
              </w:rPr>
            </w:pPr>
            <w:r>
              <w:rPr>
                <w:rFonts w:hint="eastAsia" w:ascii="宋体" w:hAnsi="宋体" w:cs="宋体"/>
                <w:color w:val="auto"/>
                <w:szCs w:val="21"/>
              </w:rPr>
              <w:t>详见本工程招标公告</w:t>
            </w:r>
            <w:r>
              <w:rPr>
                <w:rFonts w:hint="eastAsia" w:ascii="宋体" w:hAnsi="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1182" w:type="dxa"/>
            <w:vAlign w:val="center"/>
          </w:tcPr>
          <w:p>
            <w:pPr>
              <w:snapToGrid w:val="0"/>
              <w:jc w:val="center"/>
              <w:rPr>
                <w:rFonts w:ascii="宋体" w:hAnsi="宋体"/>
                <w:color w:val="auto"/>
                <w:szCs w:val="21"/>
              </w:rPr>
            </w:pPr>
            <w:r>
              <w:rPr>
                <w:rFonts w:ascii="宋体" w:hAnsi="宋体"/>
                <w:color w:val="auto"/>
                <w:szCs w:val="21"/>
              </w:rPr>
              <w:t>1.1.6</w:t>
            </w:r>
          </w:p>
        </w:tc>
        <w:tc>
          <w:tcPr>
            <w:tcW w:w="2187" w:type="dxa"/>
            <w:vAlign w:val="center"/>
          </w:tcPr>
          <w:p>
            <w:pPr>
              <w:snapToGrid w:val="0"/>
              <w:jc w:val="center"/>
              <w:rPr>
                <w:rFonts w:ascii="宋体" w:hAnsi="宋体"/>
                <w:color w:val="auto"/>
                <w:szCs w:val="21"/>
              </w:rPr>
            </w:pPr>
            <w:r>
              <w:rPr>
                <w:rFonts w:ascii="宋体" w:hAnsi="宋体"/>
                <w:color w:val="auto"/>
                <w:szCs w:val="21"/>
              </w:rPr>
              <w:t>项目建设规模</w:t>
            </w:r>
          </w:p>
        </w:tc>
        <w:tc>
          <w:tcPr>
            <w:tcW w:w="6415" w:type="dxa"/>
            <w:vAlign w:val="center"/>
          </w:tcPr>
          <w:p>
            <w:pPr>
              <w:snapToGrid w:val="0"/>
              <w:jc w:val="left"/>
              <w:rPr>
                <w:rFonts w:hint="eastAsia" w:ascii="宋体" w:hAnsi="宋体" w:eastAsia="宋体" w:cs="宋体"/>
                <w:color w:val="auto"/>
                <w:szCs w:val="21"/>
                <w:lang w:eastAsia="zh-CN"/>
              </w:rPr>
            </w:pPr>
            <w:r>
              <w:rPr>
                <w:rFonts w:hint="eastAsia" w:ascii="宋体" w:hAnsi="宋体" w:cs="宋体"/>
                <w:color w:val="auto"/>
                <w:szCs w:val="21"/>
              </w:rPr>
              <w:t>详见本工程招标公告</w:t>
            </w:r>
            <w:r>
              <w:rPr>
                <w:rFonts w:hint="eastAsia" w:ascii="宋体" w:hAnsi="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1182" w:type="dxa"/>
            <w:vAlign w:val="center"/>
          </w:tcPr>
          <w:p>
            <w:pPr>
              <w:snapToGrid w:val="0"/>
              <w:jc w:val="center"/>
              <w:rPr>
                <w:rFonts w:ascii="宋体" w:hAnsi="宋体"/>
                <w:color w:val="auto"/>
                <w:szCs w:val="21"/>
              </w:rPr>
            </w:pPr>
            <w:r>
              <w:rPr>
                <w:rFonts w:ascii="宋体" w:hAnsi="宋体"/>
                <w:color w:val="auto"/>
                <w:szCs w:val="21"/>
              </w:rPr>
              <w:t>1.1.7</w:t>
            </w:r>
          </w:p>
        </w:tc>
        <w:tc>
          <w:tcPr>
            <w:tcW w:w="2187" w:type="dxa"/>
            <w:vAlign w:val="center"/>
          </w:tcPr>
          <w:p>
            <w:pPr>
              <w:snapToGrid w:val="0"/>
              <w:jc w:val="center"/>
              <w:rPr>
                <w:rFonts w:ascii="宋体" w:hAnsi="宋体"/>
                <w:color w:val="auto"/>
                <w:szCs w:val="21"/>
              </w:rPr>
            </w:pPr>
            <w:r>
              <w:rPr>
                <w:rFonts w:ascii="宋体" w:hAnsi="宋体"/>
                <w:color w:val="auto"/>
                <w:szCs w:val="21"/>
              </w:rPr>
              <w:t>工程项目施工预计开工日期和建设周期</w:t>
            </w:r>
          </w:p>
        </w:tc>
        <w:tc>
          <w:tcPr>
            <w:tcW w:w="6415" w:type="dxa"/>
            <w:vAlign w:val="center"/>
          </w:tcPr>
          <w:p>
            <w:pPr>
              <w:snapToGrid w:val="0"/>
              <w:jc w:val="left"/>
              <w:rPr>
                <w:rFonts w:hint="eastAsia" w:eastAsia="宋体"/>
                <w:color w:val="auto"/>
                <w:szCs w:val="21"/>
                <w:u w:val="single"/>
                <w:lang w:eastAsia="zh-CN"/>
              </w:rPr>
            </w:pPr>
            <w:r>
              <w:rPr>
                <w:rFonts w:hint="eastAsia"/>
                <w:color w:val="auto"/>
                <w:szCs w:val="21"/>
              </w:rPr>
              <w:t>预计开工日期：</w:t>
            </w:r>
            <w:r>
              <w:rPr>
                <w:rFonts w:hint="eastAsia"/>
                <w:color w:val="auto"/>
                <w:szCs w:val="21"/>
                <w:u w:val="single"/>
              </w:rPr>
              <w:t>具体开工时间以业主的书面通知为准</w:t>
            </w:r>
            <w:r>
              <w:rPr>
                <w:rFonts w:hint="eastAsia"/>
                <w:color w:val="auto"/>
                <w:szCs w:val="21"/>
                <w:u w:val="single"/>
                <w:lang w:eastAsia="zh-CN"/>
              </w:rPr>
              <w:t>。</w:t>
            </w:r>
          </w:p>
          <w:p>
            <w:pPr>
              <w:snapToGrid w:val="0"/>
              <w:jc w:val="left"/>
              <w:rPr>
                <w:rFonts w:hint="eastAsia" w:ascii="宋体" w:hAnsi="宋体" w:eastAsia="宋体" w:cs="宋体"/>
                <w:color w:val="auto"/>
                <w:szCs w:val="21"/>
                <w:lang w:eastAsia="zh-CN"/>
              </w:rPr>
            </w:pPr>
            <w:r>
              <w:rPr>
                <w:rFonts w:hint="eastAsia"/>
                <w:color w:val="auto"/>
                <w:szCs w:val="21"/>
              </w:rPr>
              <w:t>建设周期：暂定</w:t>
            </w:r>
            <w:r>
              <w:rPr>
                <w:rFonts w:hint="eastAsia"/>
                <w:color w:val="auto"/>
              </w:rPr>
              <w:t>12个月（具体以实际工期为准）</w:t>
            </w:r>
            <w:r>
              <w:rPr>
                <w:rFonts w:hint="eastAsia"/>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182" w:type="dxa"/>
            <w:vAlign w:val="center"/>
          </w:tcPr>
          <w:p>
            <w:pPr>
              <w:snapToGrid w:val="0"/>
              <w:jc w:val="center"/>
              <w:rPr>
                <w:rFonts w:ascii="宋体" w:hAnsi="宋体"/>
                <w:color w:val="auto"/>
                <w:szCs w:val="21"/>
              </w:rPr>
            </w:pPr>
            <w:r>
              <w:rPr>
                <w:rFonts w:ascii="宋体" w:hAnsi="宋体"/>
                <w:color w:val="auto"/>
                <w:szCs w:val="21"/>
              </w:rPr>
              <w:t>1.1.8</w:t>
            </w:r>
          </w:p>
        </w:tc>
        <w:tc>
          <w:tcPr>
            <w:tcW w:w="2187" w:type="dxa"/>
            <w:vAlign w:val="center"/>
          </w:tcPr>
          <w:p>
            <w:pPr>
              <w:snapToGrid w:val="0"/>
              <w:jc w:val="center"/>
              <w:rPr>
                <w:rFonts w:ascii="宋体" w:cs="宋体"/>
                <w:color w:val="auto"/>
                <w:kern w:val="0"/>
                <w:szCs w:val="21"/>
              </w:rPr>
            </w:pPr>
            <w:r>
              <w:rPr>
                <w:rFonts w:hint="eastAsia" w:ascii="宋体" w:cs="宋体"/>
                <w:color w:val="auto"/>
                <w:kern w:val="0"/>
                <w:szCs w:val="21"/>
              </w:rPr>
              <w:t>建筑安装工程费/工程概算</w:t>
            </w:r>
          </w:p>
        </w:tc>
        <w:tc>
          <w:tcPr>
            <w:tcW w:w="6415" w:type="dxa"/>
            <w:vAlign w:val="center"/>
          </w:tcPr>
          <w:p>
            <w:pPr>
              <w:snapToGrid w:val="0"/>
              <w:jc w:val="left"/>
              <w:rPr>
                <w:rFonts w:hint="eastAsia" w:ascii="宋体" w:eastAsia="宋体" w:cs="宋体"/>
                <w:color w:val="auto"/>
                <w:kern w:val="0"/>
                <w:szCs w:val="21"/>
                <w:lang w:eastAsia="zh-CN"/>
              </w:rPr>
            </w:pPr>
            <w:r>
              <w:rPr>
                <w:rFonts w:hint="eastAsia" w:ascii="宋体" w:hAnsi="宋体" w:cs="宋体"/>
                <w:color w:val="auto"/>
                <w:szCs w:val="21"/>
              </w:rPr>
              <w:t>详见本工程招标公告</w:t>
            </w:r>
            <w:r>
              <w:rPr>
                <w:rFonts w:hint="eastAsia" w:ascii="宋体" w:hAnsi="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1182" w:type="dxa"/>
            <w:vAlign w:val="center"/>
          </w:tcPr>
          <w:p>
            <w:pPr>
              <w:snapToGrid w:val="0"/>
              <w:jc w:val="center"/>
              <w:rPr>
                <w:rFonts w:ascii="宋体" w:hAnsi="宋体"/>
                <w:color w:val="auto"/>
                <w:szCs w:val="21"/>
              </w:rPr>
            </w:pPr>
            <w:r>
              <w:rPr>
                <w:rFonts w:ascii="宋体" w:hAnsi="宋体"/>
                <w:color w:val="auto"/>
                <w:szCs w:val="21"/>
              </w:rPr>
              <w:t>1.2.1</w:t>
            </w:r>
          </w:p>
        </w:tc>
        <w:tc>
          <w:tcPr>
            <w:tcW w:w="2187" w:type="dxa"/>
            <w:vAlign w:val="center"/>
          </w:tcPr>
          <w:p>
            <w:pPr>
              <w:snapToGrid w:val="0"/>
              <w:jc w:val="center"/>
              <w:rPr>
                <w:rFonts w:ascii="宋体" w:hAnsi="宋体"/>
                <w:color w:val="auto"/>
                <w:szCs w:val="21"/>
              </w:rPr>
            </w:pPr>
            <w:r>
              <w:rPr>
                <w:rFonts w:ascii="宋体" w:hAnsi="宋体"/>
                <w:color w:val="auto"/>
                <w:szCs w:val="21"/>
              </w:rPr>
              <w:t>资金来源及比例</w:t>
            </w:r>
          </w:p>
        </w:tc>
        <w:tc>
          <w:tcPr>
            <w:tcW w:w="6415" w:type="dxa"/>
            <w:vAlign w:val="center"/>
          </w:tcPr>
          <w:p>
            <w:pPr>
              <w:snapToGrid w:val="0"/>
              <w:jc w:val="left"/>
              <w:rPr>
                <w:rFonts w:hint="eastAsia" w:ascii="宋体" w:hAnsi="宋体" w:eastAsia="宋体" w:cs="宋体"/>
                <w:color w:val="auto"/>
                <w:szCs w:val="21"/>
                <w:lang w:eastAsia="zh-CN"/>
              </w:rPr>
            </w:pPr>
            <w:r>
              <w:rPr>
                <w:rFonts w:hint="eastAsia" w:ascii="宋体" w:hAnsi="宋体"/>
                <w:color w:val="auto"/>
                <w:szCs w:val="21"/>
              </w:rPr>
              <w:t>详见本工程招标公告</w:t>
            </w:r>
            <w:r>
              <w:rPr>
                <w:rFonts w:hint="eastAsia" w:ascii="宋体" w:hAnsi="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1182" w:type="dxa"/>
            <w:vAlign w:val="center"/>
          </w:tcPr>
          <w:p>
            <w:pPr>
              <w:snapToGrid w:val="0"/>
              <w:jc w:val="center"/>
              <w:rPr>
                <w:rFonts w:ascii="宋体" w:hAnsi="宋体"/>
                <w:color w:val="auto"/>
                <w:szCs w:val="21"/>
              </w:rPr>
            </w:pPr>
            <w:r>
              <w:rPr>
                <w:rFonts w:ascii="宋体" w:hAnsi="宋体"/>
                <w:color w:val="auto"/>
                <w:szCs w:val="21"/>
              </w:rPr>
              <w:t>1.2.2</w:t>
            </w:r>
          </w:p>
        </w:tc>
        <w:tc>
          <w:tcPr>
            <w:tcW w:w="2187" w:type="dxa"/>
            <w:vAlign w:val="center"/>
          </w:tcPr>
          <w:p>
            <w:pPr>
              <w:snapToGrid w:val="0"/>
              <w:jc w:val="center"/>
              <w:rPr>
                <w:rFonts w:ascii="宋体" w:hAnsi="宋体"/>
                <w:color w:val="auto"/>
                <w:szCs w:val="21"/>
              </w:rPr>
            </w:pPr>
            <w:r>
              <w:rPr>
                <w:rFonts w:ascii="宋体" w:hAnsi="宋体"/>
                <w:color w:val="auto"/>
                <w:szCs w:val="21"/>
              </w:rPr>
              <w:t>资金落实情况</w:t>
            </w:r>
          </w:p>
        </w:tc>
        <w:tc>
          <w:tcPr>
            <w:tcW w:w="6415" w:type="dxa"/>
            <w:vAlign w:val="center"/>
          </w:tcPr>
          <w:p>
            <w:pPr>
              <w:snapToGrid w:val="0"/>
              <w:rPr>
                <w:rFonts w:hint="eastAsia" w:ascii="宋体" w:hAnsi="宋体" w:eastAsia="宋体" w:cs="宋体"/>
                <w:color w:val="auto"/>
                <w:szCs w:val="21"/>
                <w:lang w:eastAsia="zh-CN"/>
              </w:rPr>
            </w:pPr>
            <w:r>
              <w:rPr>
                <w:rFonts w:hint="eastAsia" w:ascii="宋体" w:hAnsi="宋体" w:cs="宋体"/>
                <w:color w:val="auto"/>
                <w:szCs w:val="21"/>
              </w:rPr>
              <w:t>已落实</w:t>
            </w:r>
            <w:r>
              <w:rPr>
                <w:rFonts w:hint="eastAsia" w:ascii="宋体" w:hAnsi="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1182" w:type="dxa"/>
            <w:vAlign w:val="center"/>
          </w:tcPr>
          <w:p>
            <w:pPr>
              <w:snapToGrid w:val="0"/>
              <w:jc w:val="center"/>
              <w:rPr>
                <w:rFonts w:ascii="宋体" w:hAnsi="宋体"/>
                <w:color w:val="auto"/>
                <w:szCs w:val="21"/>
              </w:rPr>
            </w:pPr>
            <w:r>
              <w:rPr>
                <w:rFonts w:ascii="宋体" w:hAnsi="宋体"/>
                <w:color w:val="auto"/>
                <w:szCs w:val="21"/>
              </w:rPr>
              <w:t>1.3.1</w:t>
            </w:r>
          </w:p>
        </w:tc>
        <w:tc>
          <w:tcPr>
            <w:tcW w:w="2187" w:type="dxa"/>
            <w:vAlign w:val="center"/>
          </w:tcPr>
          <w:p>
            <w:pPr>
              <w:snapToGrid w:val="0"/>
              <w:jc w:val="center"/>
              <w:rPr>
                <w:rFonts w:ascii="宋体" w:hAnsi="宋体"/>
                <w:color w:val="auto"/>
                <w:szCs w:val="21"/>
              </w:rPr>
            </w:pPr>
            <w:r>
              <w:rPr>
                <w:rFonts w:ascii="宋体" w:hAnsi="宋体"/>
                <w:color w:val="auto"/>
                <w:szCs w:val="21"/>
              </w:rPr>
              <w:t>招标范围</w:t>
            </w:r>
          </w:p>
        </w:tc>
        <w:tc>
          <w:tcPr>
            <w:tcW w:w="6415" w:type="dxa"/>
            <w:vAlign w:val="center"/>
          </w:tcPr>
          <w:p>
            <w:pPr>
              <w:snapToGrid w:val="0"/>
              <w:ind w:right="106"/>
              <w:rPr>
                <w:rFonts w:hint="eastAsia" w:ascii="宋体" w:hAnsi="宋体" w:eastAsia="宋体" w:cs="宋体"/>
                <w:color w:val="auto"/>
                <w:szCs w:val="21"/>
                <w:lang w:eastAsia="zh-CN"/>
              </w:rPr>
            </w:pPr>
            <w:r>
              <w:rPr>
                <w:rFonts w:hint="eastAsia" w:ascii="宋体" w:hAnsi="宋体" w:cs="宋体"/>
                <w:color w:val="auto"/>
                <w:szCs w:val="21"/>
              </w:rPr>
              <w:t>详见本工程招标公告</w:t>
            </w:r>
            <w:r>
              <w:rPr>
                <w:rFonts w:hint="eastAsia" w:ascii="宋体" w:hAnsi="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9" w:hRule="atLeast"/>
          <w:jc w:val="center"/>
        </w:trPr>
        <w:tc>
          <w:tcPr>
            <w:tcW w:w="1182" w:type="dxa"/>
            <w:vAlign w:val="center"/>
          </w:tcPr>
          <w:p>
            <w:pPr>
              <w:snapToGrid w:val="0"/>
              <w:jc w:val="center"/>
              <w:rPr>
                <w:rFonts w:ascii="宋体" w:hAnsi="宋体"/>
                <w:color w:val="auto"/>
                <w:szCs w:val="21"/>
              </w:rPr>
            </w:pPr>
            <w:r>
              <w:rPr>
                <w:rFonts w:ascii="宋体" w:hAnsi="宋体"/>
                <w:color w:val="auto"/>
                <w:szCs w:val="21"/>
              </w:rPr>
              <w:t>1.3.2</w:t>
            </w:r>
          </w:p>
        </w:tc>
        <w:tc>
          <w:tcPr>
            <w:tcW w:w="2187" w:type="dxa"/>
            <w:vAlign w:val="center"/>
          </w:tcPr>
          <w:p>
            <w:pPr>
              <w:snapToGrid w:val="0"/>
              <w:jc w:val="center"/>
              <w:rPr>
                <w:rFonts w:ascii="宋体" w:hAnsi="宋体"/>
                <w:color w:val="auto"/>
                <w:szCs w:val="21"/>
              </w:rPr>
            </w:pPr>
            <w:r>
              <w:rPr>
                <w:rFonts w:ascii="宋体" w:hAnsi="宋体"/>
                <w:color w:val="auto"/>
                <w:szCs w:val="21"/>
              </w:rPr>
              <w:t>监理服务期限</w:t>
            </w:r>
          </w:p>
        </w:tc>
        <w:tc>
          <w:tcPr>
            <w:tcW w:w="6415" w:type="dxa"/>
            <w:vAlign w:val="center"/>
          </w:tcPr>
          <w:p>
            <w:pPr>
              <w:snapToGrid w:val="0"/>
              <w:ind w:right="106"/>
              <w:rPr>
                <w:rFonts w:hint="eastAsia" w:ascii="宋体" w:hAnsi="宋体" w:eastAsia="宋体" w:cs="宋体"/>
                <w:color w:val="auto"/>
                <w:szCs w:val="21"/>
                <w:lang w:eastAsia="zh-CN"/>
              </w:rPr>
            </w:pPr>
            <w:r>
              <w:rPr>
                <w:rFonts w:hint="eastAsia" w:ascii="宋体" w:hAnsi="宋体" w:cs="宋体"/>
                <w:color w:val="auto"/>
                <w:szCs w:val="21"/>
              </w:rPr>
              <w:t>详见本工程招标公告</w:t>
            </w:r>
            <w:r>
              <w:rPr>
                <w:rFonts w:hint="eastAsia" w:ascii="宋体" w:hAnsi="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1182" w:type="dxa"/>
            <w:vAlign w:val="center"/>
          </w:tcPr>
          <w:p>
            <w:pPr>
              <w:snapToGrid w:val="0"/>
              <w:jc w:val="center"/>
              <w:rPr>
                <w:rFonts w:ascii="宋体" w:hAnsi="宋体"/>
                <w:color w:val="auto"/>
                <w:szCs w:val="21"/>
              </w:rPr>
            </w:pPr>
            <w:r>
              <w:rPr>
                <w:rFonts w:ascii="宋体" w:hAnsi="宋体"/>
                <w:color w:val="auto"/>
                <w:szCs w:val="21"/>
              </w:rPr>
              <w:t>1.3.3</w:t>
            </w:r>
          </w:p>
        </w:tc>
        <w:tc>
          <w:tcPr>
            <w:tcW w:w="2187" w:type="dxa"/>
            <w:vAlign w:val="center"/>
          </w:tcPr>
          <w:p>
            <w:pPr>
              <w:snapToGrid w:val="0"/>
              <w:jc w:val="center"/>
              <w:rPr>
                <w:rFonts w:ascii="宋体" w:hAnsi="宋体"/>
                <w:color w:val="auto"/>
                <w:szCs w:val="21"/>
              </w:rPr>
            </w:pPr>
            <w:r>
              <w:rPr>
                <w:rFonts w:ascii="宋体" w:hAnsi="宋体"/>
                <w:color w:val="auto"/>
                <w:szCs w:val="21"/>
              </w:rPr>
              <w:t>质量标准</w:t>
            </w:r>
          </w:p>
        </w:tc>
        <w:tc>
          <w:tcPr>
            <w:tcW w:w="6415" w:type="dxa"/>
            <w:vAlign w:val="center"/>
          </w:tcPr>
          <w:p>
            <w:pPr>
              <w:snapToGrid w:val="0"/>
              <w:rPr>
                <w:rFonts w:hint="eastAsia" w:ascii="宋体" w:hAnsi="宋体" w:eastAsia="宋体" w:cs="宋体"/>
                <w:color w:val="auto"/>
                <w:szCs w:val="21"/>
                <w:lang w:eastAsia="zh-CN"/>
              </w:rPr>
            </w:pPr>
            <w:r>
              <w:rPr>
                <w:rFonts w:hint="eastAsia" w:ascii="宋体" w:hAnsi="宋体"/>
                <w:color w:val="auto"/>
                <w:szCs w:val="21"/>
              </w:rPr>
              <w:t>按国家相关规定执行的合格标准</w:t>
            </w:r>
            <w:r>
              <w:rPr>
                <w:rFonts w:hint="eastAsia" w:ascii="宋体" w:hAnsi="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 w:hRule="atLeast"/>
          <w:jc w:val="center"/>
        </w:trPr>
        <w:tc>
          <w:tcPr>
            <w:tcW w:w="1182" w:type="dxa"/>
            <w:vAlign w:val="center"/>
          </w:tcPr>
          <w:p>
            <w:pPr>
              <w:snapToGrid w:val="0"/>
              <w:jc w:val="center"/>
              <w:rPr>
                <w:rFonts w:ascii="宋体" w:hAnsi="宋体"/>
                <w:color w:val="auto"/>
                <w:szCs w:val="21"/>
              </w:rPr>
            </w:pPr>
            <w:r>
              <w:rPr>
                <w:rFonts w:ascii="宋体" w:hAnsi="宋体"/>
                <w:color w:val="auto"/>
                <w:szCs w:val="21"/>
              </w:rPr>
              <w:t>1.4.1</w:t>
            </w:r>
          </w:p>
        </w:tc>
        <w:tc>
          <w:tcPr>
            <w:tcW w:w="2187" w:type="dxa"/>
            <w:vAlign w:val="center"/>
          </w:tcPr>
          <w:p>
            <w:pPr>
              <w:snapToGrid w:val="0"/>
              <w:jc w:val="center"/>
              <w:rPr>
                <w:rFonts w:ascii="宋体" w:hAnsi="宋体"/>
                <w:color w:val="auto"/>
                <w:szCs w:val="21"/>
              </w:rPr>
            </w:pPr>
            <w:r>
              <w:rPr>
                <w:rFonts w:ascii="宋体" w:hAnsi="宋体"/>
                <w:color w:val="auto"/>
                <w:szCs w:val="21"/>
              </w:rPr>
              <w:t>投标人资质条件、能力、信誉</w:t>
            </w:r>
          </w:p>
        </w:tc>
        <w:tc>
          <w:tcPr>
            <w:tcW w:w="6415" w:type="dxa"/>
            <w:vAlign w:val="center"/>
          </w:tcPr>
          <w:p>
            <w:pPr>
              <w:snapToGrid w:val="0"/>
              <w:rPr>
                <w:rFonts w:hint="eastAsia" w:ascii="宋体" w:hAnsi="宋体" w:eastAsia="宋体"/>
                <w:color w:val="auto"/>
                <w:szCs w:val="21"/>
                <w:lang w:eastAsia="zh-CN"/>
              </w:rPr>
            </w:pPr>
            <w:r>
              <w:rPr>
                <w:rFonts w:hint="eastAsia" w:ascii="宋体" w:hAnsi="宋体" w:cs="宋体"/>
                <w:color w:val="auto"/>
                <w:szCs w:val="21"/>
              </w:rPr>
              <w:t>详见招标公告第3点“投标人资格要求”</w:t>
            </w:r>
            <w:r>
              <w:rPr>
                <w:rFonts w:hint="eastAsia" w:ascii="宋体" w:hAnsi="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3" w:hRule="atLeast"/>
          <w:jc w:val="center"/>
        </w:trPr>
        <w:tc>
          <w:tcPr>
            <w:tcW w:w="1182" w:type="dxa"/>
            <w:vAlign w:val="center"/>
          </w:tcPr>
          <w:p>
            <w:pPr>
              <w:snapToGrid w:val="0"/>
              <w:jc w:val="center"/>
              <w:rPr>
                <w:rFonts w:ascii="宋体" w:hAnsi="宋体"/>
                <w:color w:val="auto"/>
                <w:szCs w:val="21"/>
              </w:rPr>
            </w:pPr>
            <w:r>
              <w:rPr>
                <w:rFonts w:ascii="宋体" w:hAnsi="宋体"/>
                <w:color w:val="auto"/>
                <w:szCs w:val="21"/>
              </w:rPr>
              <w:t>1.4.2</w:t>
            </w:r>
          </w:p>
        </w:tc>
        <w:tc>
          <w:tcPr>
            <w:tcW w:w="2187" w:type="dxa"/>
            <w:vAlign w:val="center"/>
          </w:tcPr>
          <w:p>
            <w:pPr>
              <w:snapToGrid w:val="0"/>
              <w:jc w:val="center"/>
              <w:rPr>
                <w:rFonts w:ascii="宋体" w:hAnsi="宋体"/>
                <w:color w:val="auto"/>
                <w:szCs w:val="21"/>
              </w:rPr>
            </w:pPr>
            <w:r>
              <w:rPr>
                <w:rFonts w:ascii="宋体" w:hAnsi="宋体"/>
                <w:color w:val="auto"/>
                <w:szCs w:val="21"/>
              </w:rPr>
              <w:t>是否接受联合体投标</w:t>
            </w:r>
          </w:p>
        </w:tc>
        <w:tc>
          <w:tcPr>
            <w:tcW w:w="6415" w:type="dxa"/>
            <w:vAlign w:val="center"/>
          </w:tcPr>
          <w:p>
            <w:pPr>
              <w:spacing w:line="280" w:lineRule="exact"/>
              <w:rPr>
                <w:rFonts w:ascii="宋体" w:hAnsi="宋体"/>
                <w:color w:val="auto"/>
                <w:szCs w:val="21"/>
              </w:rPr>
            </w:pPr>
            <w:r>
              <w:rPr>
                <w:rFonts w:hint="eastAsia"/>
                <w:color w:val="auto"/>
                <w:szCs w:val="21"/>
              </w:rPr>
              <w:t>■</w:t>
            </w:r>
            <w:r>
              <w:rPr>
                <w:rFonts w:hint="eastAsia" w:ascii="宋体" w:hAnsi="宋体"/>
                <w:color w:val="auto"/>
                <w:szCs w:val="21"/>
              </w:rPr>
              <w:t>不接受</w:t>
            </w:r>
            <w:r>
              <w:rPr>
                <w:rFonts w:ascii="宋体" w:hAnsi="宋体"/>
                <w:color w:val="auto"/>
                <w:szCs w:val="21"/>
              </w:rPr>
              <w:t xml:space="preserve"> </w:t>
            </w:r>
          </w:p>
          <w:p>
            <w:pPr>
              <w:spacing w:line="280" w:lineRule="exact"/>
              <w:rPr>
                <w:rFonts w:hint="eastAsia" w:ascii="宋体" w:hAnsi="宋体" w:eastAsia="宋体"/>
                <w:color w:val="auto"/>
                <w:szCs w:val="21"/>
                <w:lang w:eastAsia="zh-CN"/>
              </w:rPr>
            </w:pPr>
            <w:r>
              <w:rPr>
                <w:rFonts w:ascii="宋体" w:hAnsi="宋体"/>
                <w:color w:val="auto"/>
                <w:szCs w:val="21"/>
              </w:rPr>
              <w:sym w:font="Wingdings 2" w:char="00A3"/>
            </w:r>
            <w:r>
              <w:rPr>
                <w:rFonts w:hint="eastAsia" w:ascii="宋体" w:hAnsi="宋体"/>
                <w:color w:val="auto"/>
                <w:szCs w:val="21"/>
              </w:rPr>
              <w:t>接受，应满足下列要求:</w:t>
            </w:r>
            <w:r>
              <w:rPr>
                <w:rFonts w:hint="eastAsia" w:ascii="宋体" w:hAnsi="宋体" w:cs="宋体"/>
                <w:color w:val="auto"/>
                <w:szCs w:val="21"/>
              </w:rPr>
              <w:t>详见招标公告</w:t>
            </w:r>
            <w:r>
              <w:rPr>
                <w:rFonts w:hint="eastAsia" w:ascii="宋体" w:hAnsi="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 w:hRule="atLeast"/>
          <w:jc w:val="center"/>
        </w:trPr>
        <w:tc>
          <w:tcPr>
            <w:tcW w:w="1182" w:type="dxa"/>
            <w:vAlign w:val="center"/>
          </w:tcPr>
          <w:p>
            <w:pPr>
              <w:snapToGrid w:val="0"/>
              <w:jc w:val="center"/>
              <w:rPr>
                <w:rFonts w:ascii="宋体" w:hAnsi="宋体"/>
                <w:color w:val="auto"/>
                <w:szCs w:val="21"/>
              </w:rPr>
            </w:pPr>
            <w:r>
              <w:rPr>
                <w:rFonts w:ascii="宋体" w:hAnsi="宋体"/>
                <w:color w:val="auto"/>
                <w:szCs w:val="21"/>
              </w:rPr>
              <w:t>1.4.3</w:t>
            </w:r>
          </w:p>
        </w:tc>
        <w:tc>
          <w:tcPr>
            <w:tcW w:w="2187" w:type="dxa"/>
            <w:vAlign w:val="center"/>
          </w:tcPr>
          <w:p>
            <w:pPr>
              <w:snapToGrid w:val="0"/>
              <w:jc w:val="center"/>
              <w:rPr>
                <w:rFonts w:ascii="宋体" w:hAnsi="宋体"/>
                <w:color w:val="auto"/>
                <w:szCs w:val="21"/>
              </w:rPr>
            </w:pPr>
            <w:r>
              <w:rPr>
                <w:rFonts w:ascii="宋体" w:hAnsi="宋体"/>
                <w:color w:val="auto"/>
                <w:szCs w:val="21"/>
              </w:rPr>
              <w:t>投标人不得存在的</w:t>
            </w:r>
            <w:r>
              <w:rPr>
                <w:rFonts w:hint="eastAsia" w:ascii="宋体" w:hAnsi="宋体"/>
                <w:color w:val="auto"/>
                <w:szCs w:val="21"/>
              </w:rPr>
              <w:t>其他</w:t>
            </w:r>
            <w:r>
              <w:rPr>
                <w:rFonts w:ascii="宋体" w:hAnsi="宋体"/>
                <w:color w:val="auto"/>
                <w:szCs w:val="21"/>
              </w:rPr>
              <w:t>情形</w:t>
            </w:r>
          </w:p>
        </w:tc>
        <w:tc>
          <w:tcPr>
            <w:tcW w:w="6415" w:type="dxa"/>
            <w:vAlign w:val="center"/>
          </w:tcPr>
          <w:p>
            <w:pPr>
              <w:snapToGrid w:val="0"/>
              <w:rPr>
                <w:rFonts w:ascii="宋体" w:hAnsi="宋体"/>
                <w:color w:val="auto"/>
                <w:szCs w:val="21"/>
              </w:rPr>
            </w:pPr>
            <w:r>
              <w:rPr>
                <w:rFonts w:hint="eastAsia" w:ascii="宋体" w:hAnsi="宋体"/>
                <w:color w:val="auto"/>
                <w:szCs w:val="21"/>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64" w:hRule="atLeast"/>
          <w:jc w:val="center"/>
        </w:trPr>
        <w:tc>
          <w:tcPr>
            <w:tcW w:w="1182" w:type="dxa"/>
            <w:vAlign w:val="center"/>
          </w:tcPr>
          <w:p>
            <w:pPr>
              <w:snapToGrid w:val="0"/>
              <w:jc w:val="center"/>
              <w:rPr>
                <w:rFonts w:ascii="宋体" w:hAnsi="宋体"/>
                <w:color w:val="auto"/>
                <w:szCs w:val="21"/>
              </w:rPr>
            </w:pPr>
            <w:r>
              <w:rPr>
                <w:rFonts w:ascii="宋体" w:hAnsi="宋体"/>
                <w:color w:val="auto"/>
                <w:szCs w:val="21"/>
              </w:rPr>
              <w:t>1.9.1</w:t>
            </w:r>
          </w:p>
        </w:tc>
        <w:tc>
          <w:tcPr>
            <w:tcW w:w="2187" w:type="dxa"/>
            <w:vAlign w:val="center"/>
          </w:tcPr>
          <w:p>
            <w:pPr>
              <w:snapToGrid w:val="0"/>
              <w:jc w:val="center"/>
              <w:rPr>
                <w:rFonts w:ascii="宋体" w:hAnsi="宋体"/>
                <w:color w:val="auto"/>
                <w:szCs w:val="21"/>
              </w:rPr>
            </w:pPr>
            <w:r>
              <w:rPr>
                <w:rFonts w:ascii="宋体" w:hAnsi="宋体"/>
                <w:color w:val="auto"/>
                <w:szCs w:val="21"/>
              </w:rPr>
              <w:t>踏勘现场</w:t>
            </w:r>
          </w:p>
        </w:tc>
        <w:tc>
          <w:tcPr>
            <w:tcW w:w="6415" w:type="dxa"/>
            <w:vAlign w:val="center"/>
          </w:tcPr>
          <w:p>
            <w:pPr>
              <w:pStyle w:val="11"/>
              <w:topLinePunct/>
              <w:snapToGrid w:val="0"/>
              <w:rPr>
                <w:rFonts w:hint="eastAsia" w:hAnsi="宋体" w:eastAsia="宋体"/>
                <w:color w:val="auto"/>
                <w:sz w:val="21"/>
                <w:szCs w:val="21"/>
                <w:lang w:eastAsia="zh-CN"/>
              </w:rPr>
            </w:pPr>
            <w:r>
              <w:rPr>
                <w:rFonts w:hint="eastAsia"/>
                <w:color w:val="auto"/>
                <w:sz w:val="21"/>
                <w:szCs w:val="21"/>
              </w:rPr>
              <w:t>■</w:t>
            </w:r>
            <w:r>
              <w:rPr>
                <w:rFonts w:hAnsi="宋体"/>
                <w:color w:val="auto"/>
                <w:sz w:val="21"/>
                <w:szCs w:val="21"/>
              </w:rPr>
              <w:t>不组织</w:t>
            </w:r>
            <w:r>
              <w:rPr>
                <w:rFonts w:hint="eastAsia" w:hAnsi="宋体"/>
                <w:color w:val="auto"/>
                <w:sz w:val="21"/>
                <w:szCs w:val="21"/>
              </w:rPr>
              <w:t>，由投标人自行现场考察</w:t>
            </w:r>
            <w:r>
              <w:rPr>
                <w:rFonts w:hint="eastAsia" w:hAnsi="宋体"/>
                <w:color w:val="auto"/>
                <w:sz w:val="21"/>
                <w:szCs w:val="21"/>
                <w:lang w:eastAsia="zh-CN"/>
              </w:rPr>
              <w:t>。</w:t>
            </w:r>
          </w:p>
          <w:p>
            <w:pPr>
              <w:pStyle w:val="11"/>
              <w:topLinePunct/>
              <w:snapToGrid w:val="0"/>
              <w:rPr>
                <w:rFonts w:hAnsi="宋体"/>
                <w:color w:val="auto"/>
                <w:sz w:val="21"/>
                <w:szCs w:val="21"/>
              </w:rPr>
            </w:pPr>
            <w:r>
              <w:rPr>
                <w:rFonts w:hAnsi="宋体"/>
                <w:color w:val="auto"/>
                <w:sz w:val="21"/>
                <w:szCs w:val="21"/>
              </w:rPr>
              <w:sym w:font="Wingdings 2" w:char="00A3"/>
            </w:r>
            <w:r>
              <w:rPr>
                <w:rFonts w:hAnsi="宋体"/>
                <w:color w:val="auto"/>
                <w:sz w:val="21"/>
                <w:szCs w:val="21"/>
              </w:rPr>
              <w:t>组织，踏勘时间：</w:t>
            </w:r>
            <w:r>
              <w:rPr>
                <w:rFonts w:hint="eastAsia" w:hAnsi="宋体"/>
                <w:color w:val="auto"/>
                <w:sz w:val="21"/>
                <w:szCs w:val="21"/>
                <w:u w:val="single"/>
              </w:rPr>
              <w:t xml:space="preserve"> / </w:t>
            </w:r>
          </w:p>
          <w:p>
            <w:pPr>
              <w:pStyle w:val="11"/>
              <w:topLinePunct/>
              <w:snapToGrid w:val="0"/>
              <w:ind w:firstLine="840" w:firstLineChars="400"/>
              <w:rPr>
                <w:rFonts w:hAnsi="宋体"/>
                <w:color w:val="auto"/>
                <w:sz w:val="21"/>
                <w:szCs w:val="21"/>
              </w:rPr>
            </w:pPr>
            <w:r>
              <w:rPr>
                <w:rFonts w:hAnsi="宋体"/>
                <w:color w:val="auto"/>
                <w:sz w:val="21"/>
                <w:szCs w:val="21"/>
              </w:rPr>
              <w:t>踏勘集中地点：</w:t>
            </w:r>
            <w:r>
              <w:rPr>
                <w:rFonts w:hint="eastAsia" w:hAnsi="宋体"/>
                <w:color w:val="auto"/>
                <w:sz w:val="21"/>
                <w:szCs w:val="21"/>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35" w:hRule="atLeast"/>
          <w:jc w:val="center"/>
        </w:trPr>
        <w:tc>
          <w:tcPr>
            <w:tcW w:w="1182" w:type="dxa"/>
            <w:vAlign w:val="center"/>
          </w:tcPr>
          <w:p>
            <w:pPr>
              <w:snapToGrid w:val="0"/>
              <w:jc w:val="center"/>
              <w:rPr>
                <w:rFonts w:ascii="宋体" w:hAnsi="宋体"/>
                <w:color w:val="auto"/>
                <w:szCs w:val="21"/>
              </w:rPr>
            </w:pPr>
            <w:r>
              <w:rPr>
                <w:rFonts w:ascii="宋体" w:hAnsi="宋体"/>
                <w:color w:val="auto"/>
                <w:szCs w:val="21"/>
              </w:rPr>
              <w:t>1.10.1</w:t>
            </w:r>
          </w:p>
        </w:tc>
        <w:tc>
          <w:tcPr>
            <w:tcW w:w="2187" w:type="dxa"/>
            <w:vAlign w:val="center"/>
          </w:tcPr>
          <w:p>
            <w:pPr>
              <w:snapToGrid w:val="0"/>
              <w:jc w:val="center"/>
              <w:rPr>
                <w:rFonts w:ascii="宋体" w:hAnsi="宋体"/>
                <w:color w:val="auto"/>
                <w:szCs w:val="21"/>
              </w:rPr>
            </w:pPr>
            <w:r>
              <w:rPr>
                <w:rFonts w:ascii="宋体" w:hAnsi="宋体"/>
                <w:color w:val="auto"/>
                <w:szCs w:val="21"/>
              </w:rPr>
              <w:t>投标预备会</w:t>
            </w:r>
          </w:p>
        </w:tc>
        <w:tc>
          <w:tcPr>
            <w:tcW w:w="6415" w:type="dxa"/>
            <w:vAlign w:val="center"/>
          </w:tcPr>
          <w:p>
            <w:pPr>
              <w:pStyle w:val="11"/>
              <w:topLinePunct/>
              <w:snapToGrid w:val="0"/>
              <w:rPr>
                <w:rFonts w:hAnsi="宋体"/>
                <w:color w:val="auto"/>
                <w:sz w:val="21"/>
                <w:szCs w:val="21"/>
              </w:rPr>
            </w:pPr>
            <w:r>
              <w:rPr>
                <w:rFonts w:hint="eastAsia"/>
                <w:color w:val="auto"/>
                <w:sz w:val="21"/>
                <w:szCs w:val="21"/>
              </w:rPr>
              <w:t>■</w:t>
            </w:r>
            <w:r>
              <w:rPr>
                <w:rFonts w:hAnsi="宋体"/>
                <w:color w:val="auto"/>
                <w:sz w:val="21"/>
                <w:szCs w:val="21"/>
              </w:rPr>
              <w:t>不召开</w:t>
            </w:r>
          </w:p>
          <w:p>
            <w:pPr>
              <w:snapToGrid w:val="0"/>
              <w:rPr>
                <w:rFonts w:ascii="宋体" w:hAnsi="宋体"/>
                <w:color w:val="auto"/>
                <w:szCs w:val="21"/>
              </w:rPr>
            </w:pPr>
            <w:r>
              <w:rPr>
                <w:rFonts w:ascii="宋体" w:hAnsi="宋体"/>
                <w:color w:val="auto"/>
                <w:szCs w:val="21"/>
              </w:rPr>
              <w:sym w:font="Wingdings 2" w:char="00A3"/>
            </w:r>
            <w:r>
              <w:rPr>
                <w:rFonts w:ascii="宋体" w:hAnsi="宋体"/>
                <w:color w:val="auto"/>
                <w:szCs w:val="21"/>
              </w:rPr>
              <w:t>召开，召开时间：</w:t>
            </w:r>
            <w:r>
              <w:rPr>
                <w:rFonts w:hint="eastAsia" w:ascii="宋体" w:hAnsi="宋体"/>
                <w:color w:val="auto"/>
                <w:szCs w:val="21"/>
                <w:u w:val="single"/>
              </w:rPr>
              <w:t xml:space="preserve"> / </w:t>
            </w:r>
          </w:p>
          <w:p>
            <w:pPr>
              <w:snapToGrid w:val="0"/>
              <w:ind w:firstLine="840" w:firstLineChars="400"/>
              <w:rPr>
                <w:rFonts w:ascii="宋体" w:hAnsi="宋体"/>
                <w:color w:val="auto"/>
                <w:szCs w:val="21"/>
              </w:rPr>
            </w:pPr>
            <w:r>
              <w:rPr>
                <w:rFonts w:ascii="宋体" w:hAnsi="宋体"/>
                <w:color w:val="auto"/>
                <w:szCs w:val="21"/>
              </w:rPr>
              <w:t>召开地点：</w:t>
            </w:r>
            <w:r>
              <w:rPr>
                <w:rFonts w:hint="eastAsia" w:ascii="宋体" w:hAnsi="宋体"/>
                <w:color w:val="auto"/>
                <w:szCs w:val="21"/>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182" w:type="dxa"/>
            <w:vMerge w:val="restart"/>
            <w:vAlign w:val="center"/>
          </w:tcPr>
          <w:p>
            <w:pPr>
              <w:snapToGrid w:val="0"/>
              <w:jc w:val="center"/>
              <w:rPr>
                <w:rFonts w:ascii="宋体" w:hAnsi="宋体"/>
                <w:color w:val="auto"/>
                <w:szCs w:val="21"/>
              </w:rPr>
            </w:pPr>
            <w:r>
              <w:rPr>
                <w:rFonts w:ascii="宋体" w:hAnsi="宋体"/>
                <w:color w:val="auto"/>
                <w:szCs w:val="21"/>
              </w:rPr>
              <w:t>1.10.2</w:t>
            </w:r>
          </w:p>
        </w:tc>
        <w:tc>
          <w:tcPr>
            <w:tcW w:w="2187" w:type="dxa"/>
            <w:vMerge w:val="restart"/>
            <w:vAlign w:val="center"/>
          </w:tcPr>
          <w:p>
            <w:pPr>
              <w:snapToGrid w:val="0"/>
              <w:jc w:val="center"/>
              <w:rPr>
                <w:rFonts w:ascii="宋体" w:hAnsi="宋体"/>
                <w:color w:val="auto"/>
                <w:szCs w:val="21"/>
              </w:rPr>
            </w:pPr>
            <w:r>
              <w:rPr>
                <w:rFonts w:ascii="宋体" w:hAnsi="宋体"/>
                <w:color w:val="auto"/>
                <w:szCs w:val="21"/>
              </w:rPr>
              <w:t>投标人在投标预备会前提出问题</w:t>
            </w:r>
          </w:p>
        </w:tc>
        <w:tc>
          <w:tcPr>
            <w:tcW w:w="6415" w:type="dxa"/>
            <w:vAlign w:val="center"/>
          </w:tcPr>
          <w:p>
            <w:pPr>
              <w:snapToGrid w:val="0"/>
              <w:rPr>
                <w:rFonts w:ascii="宋体" w:hAnsi="宋体"/>
                <w:color w:val="auto"/>
                <w:szCs w:val="21"/>
              </w:rPr>
            </w:pPr>
            <w:r>
              <w:rPr>
                <w:rFonts w:ascii="宋体" w:hAnsi="宋体"/>
                <w:color w:val="auto"/>
                <w:szCs w:val="21"/>
              </w:rPr>
              <w:t>时间：</w:t>
            </w:r>
            <w:r>
              <w:rPr>
                <w:rFonts w:hint="eastAsia" w:ascii="宋体" w:hAnsi="宋体"/>
                <w:color w:val="auto"/>
                <w:szCs w:val="21"/>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8" w:hRule="atLeast"/>
          <w:jc w:val="center"/>
        </w:trPr>
        <w:tc>
          <w:tcPr>
            <w:tcW w:w="1182" w:type="dxa"/>
            <w:vMerge w:val="continue"/>
            <w:vAlign w:val="center"/>
          </w:tcPr>
          <w:p>
            <w:pPr>
              <w:snapToGrid w:val="0"/>
              <w:ind w:firstLine="420" w:firstLineChars="200"/>
              <w:rPr>
                <w:rFonts w:ascii="宋体" w:hAnsi="宋体"/>
                <w:color w:val="auto"/>
                <w:szCs w:val="21"/>
              </w:rPr>
            </w:pPr>
          </w:p>
        </w:tc>
        <w:tc>
          <w:tcPr>
            <w:tcW w:w="2187" w:type="dxa"/>
            <w:vMerge w:val="continue"/>
            <w:vAlign w:val="center"/>
          </w:tcPr>
          <w:p>
            <w:pPr>
              <w:snapToGrid w:val="0"/>
              <w:ind w:firstLine="420" w:firstLineChars="200"/>
              <w:rPr>
                <w:rFonts w:ascii="宋体" w:hAnsi="宋体"/>
                <w:color w:val="auto"/>
                <w:szCs w:val="21"/>
              </w:rPr>
            </w:pPr>
          </w:p>
        </w:tc>
        <w:tc>
          <w:tcPr>
            <w:tcW w:w="6415" w:type="dxa"/>
            <w:vAlign w:val="center"/>
          </w:tcPr>
          <w:p>
            <w:pPr>
              <w:snapToGrid w:val="0"/>
              <w:rPr>
                <w:rFonts w:ascii="宋体" w:hAnsi="宋体"/>
                <w:color w:val="auto"/>
                <w:szCs w:val="21"/>
              </w:rPr>
            </w:pPr>
            <w:r>
              <w:rPr>
                <w:rFonts w:ascii="宋体" w:hAnsi="宋体"/>
                <w:color w:val="auto"/>
                <w:szCs w:val="21"/>
              </w:rPr>
              <w:t>形式：</w:t>
            </w:r>
            <w:r>
              <w:rPr>
                <w:rFonts w:hint="eastAsia" w:ascii="宋体" w:hAnsi="宋体"/>
                <w:color w:val="auto"/>
                <w:szCs w:val="21"/>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6" w:hRule="atLeast"/>
          <w:jc w:val="center"/>
        </w:trPr>
        <w:tc>
          <w:tcPr>
            <w:tcW w:w="1182" w:type="dxa"/>
            <w:vAlign w:val="center"/>
          </w:tcPr>
          <w:p>
            <w:pPr>
              <w:snapToGrid w:val="0"/>
              <w:jc w:val="center"/>
              <w:rPr>
                <w:rFonts w:ascii="宋体" w:hAnsi="宋体"/>
                <w:color w:val="auto"/>
                <w:szCs w:val="21"/>
              </w:rPr>
            </w:pPr>
            <w:r>
              <w:rPr>
                <w:rFonts w:ascii="宋体" w:hAnsi="宋体"/>
                <w:color w:val="auto"/>
                <w:szCs w:val="21"/>
              </w:rPr>
              <w:t>1.10.3</w:t>
            </w:r>
          </w:p>
        </w:tc>
        <w:tc>
          <w:tcPr>
            <w:tcW w:w="2187" w:type="dxa"/>
            <w:vAlign w:val="center"/>
          </w:tcPr>
          <w:p>
            <w:pPr>
              <w:snapToGrid w:val="0"/>
              <w:jc w:val="center"/>
              <w:rPr>
                <w:rFonts w:ascii="宋体" w:hAnsi="宋体"/>
                <w:color w:val="auto"/>
                <w:szCs w:val="21"/>
              </w:rPr>
            </w:pPr>
            <w:r>
              <w:rPr>
                <w:rFonts w:ascii="宋体" w:hAnsi="宋体"/>
                <w:color w:val="auto"/>
                <w:szCs w:val="21"/>
              </w:rPr>
              <w:t>招标文件澄清发出的形式</w:t>
            </w:r>
          </w:p>
        </w:tc>
        <w:tc>
          <w:tcPr>
            <w:tcW w:w="6415" w:type="dxa"/>
            <w:vAlign w:val="center"/>
          </w:tcPr>
          <w:p>
            <w:pPr>
              <w:snapToGrid w:val="0"/>
              <w:rPr>
                <w:rFonts w:hint="eastAsia" w:ascii="宋体" w:hAnsi="宋体" w:eastAsia="宋体"/>
                <w:color w:val="auto"/>
                <w:szCs w:val="21"/>
                <w:u w:val="single"/>
                <w:lang w:eastAsia="zh-CN"/>
              </w:rPr>
            </w:pPr>
            <w:r>
              <w:rPr>
                <w:rFonts w:hint="eastAsia" w:ascii="宋体" w:hAnsi="宋体"/>
                <w:color w:val="auto"/>
                <w:szCs w:val="21"/>
                <w:u w:val="single"/>
              </w:rPr>
              <w:t>在广州公共资源交易中心网站“招标答疑”专区发布，一经发布，视作已发放给所有投标人</w:t>
            </w:r>
            <w:r>
              <w:rPr>
                <w:rFonts w:hint="eastAsia" w:ascii="宋体" w:hAnsi="宋体"/>
                <w:color w:val="auto"/>
                <w:szCs w:val="21"/>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1182" w:type="dxa"/>
            <w:vAlign w:val="center"/>
          </w:tcPr>
          <w:p>
            <w:pPr>
              <w:snapToGrid w:val="0"/>
              <w:jc w:val="center"/>
              <w:rPr>
                <w:rFonts w:ascii="宋体" w:hAnsi="宋体"/>
                <w:color w:val="auto"/>
                <w:szCs w:val="21"/>
              </w:rPr>
            </w:pPr>
            <w:r>
              <w:rPr>
                <w:rFonts w:ascii="宋体" w:hAnsi="宋体"/>
                <w:color w:val="auto"/>
                <w:szCs w:val="21"/>
              </w:rPr>
              <w:t>1.12.1</w:t>
            </w:r>
          </w:p>
        </w:tc>
        <w:tc>
          <w:tcPr>
            <w:tcW w:w="2187" w:type="dxa"/>
            <w:vAlign w:val="center"/>
          </w:tcPr>
          <w:p>
            <w:pPr>
              <w:snapToGrid w:val="0"/>
              <w:jc w:val="center"/>
              <w:rPr>
                <w:rFonts w:ascii="宋体" w:hAnsi="宋体"/>
                <w:color w:val="auto"/>
                <w:szCs w:val="21"/>
              </w:rPr>
            </w:pPr>
            <w:r>
              <w:rPr>
                <w:rFonts w:ascii="宋体" w:hAnsi="宋体"/>
                <w:color w:val="auto"/>
                <w:szCs w:val="21"/>
              </w:rPr>
              <w:t>实质性要求和条件</w:t>
            </w:r>
          </w:p>
        </w:tc>
        <w:tc>
          <w:tcPr>
            <w:tcW w:w="6415" w:type="dxa"/>
            <w:vAlign w:val="center"/>
          </w:tcPr>
          <w:p>
            <w:pPr>
              <w:pStyle w:val="11"/>
              <w:topLinePunct/>
              <w:snapToGrid w:val="0"/>
              <w:rPr>
                <w:rFonts w:hint="eastAsia" w:hAnsi="宋体" w:eastAsia="宋体"/>
                <w:color w:val="auto"/>
                <w:sz w:val="21"/>
                <w:szCs w:val="21"/>
                <w:lang w:eastAsia="zh-CN"/>
              </w:rPr>
            </w:pPr>
            <w:r>
              <w:rPr>
                <w:rFonts w:hint="eastAsia" w:hAnsi="宋体"/>
                <w:color w:val="auto"/>
                <w:sz w:val="21"/>
                <w:szCs w:val="21"/>
                <w:u w:val="single"/>
              </w:rPr>
              <w:t>详见评标办法前附表中2.1.1、2.1.2、2.1.3的评审标准</w:t>
            </w:r>
            <w:r>
              <w:rPr>
                <w:rFonts w:hint="eastAsia" w:hAnsi="宋体"/>
                <w:color w:val="auto"/>
                <w:sz w:val="21"/>
                <w:szCs w:val="21"/>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182" w:type="dxa"/>
            <w:vAlign w:val="center"/>
          </w:tcPr>
          <w:p>
            <w:pPr>
              <w:snapToGrid w:val="0"/>
              <w:jc w:val="center"/>
              <w:rPr>
                <w:rFonts w:ascii="宋体" w:hAnsi="宋体"/>
                <w:color w:val="auto"/>
                <w:szCs w:val="21"/>
              </w:rPr>
            </w:pPr>
            <w:r>
              <w:rPr>
                <w:rFonts w:ascii="宋体" w:hAnsi="宋体"/>
                <w:color w:val="auto"/>
                <w:szCs w:val="21"/>
              </w:rPr>
              <w:t>1.12.3</w:t>
            </w:r>
          </w:p>
        </w:tc>
        <w:tc>
          <w:tcPr>
            <w:tcW w:w="2187" w:type="dxa"/>
            <w:vAlign w:val="center"/>
          </w:tcPr>
          <w:p>
            <w:pPr>
              <w:snapToGrid w:val="0"/>
              <w:jc w:val="center"/>
              <w:rPr>
                <w:rFonts w:ascii="宋体" w:hAnsi="宋体"/>
                <w:color w:val="auto"/>
                <w:szCs w:val="21"/>
              </w:rPr>
            </w:pPr>
            <w:r>
              <w:rPr>
                <w:rFonts w:ascii="宋体" w:hAnsi="宋体"/>
                <w:color w:val="auto"/>
                <w:szCs w:val="21"/>
              </w:rPr>
              <w:t>偏差</w:t>
            </w:r>
          </w:p>
        </w:tc>
        <w:tc>
          <w:tcPr>
            <w:tcW w:w="6415" w:type="dxa"/>
            <w:vAlign w:val="center"/>
          </w:tcPr>
          <w:p>
            <w:pPr>
              <w:snapToGrid w:val="0"/>
              <w:rPr>
                <w:rFonts w:ascii="宋体" w:hAnsi="宋体"/>
                <w:color w:val="auto"/>
                <w:szCs w:val="21"/>
              </w:rPr>
            </w:pPr>
            <w:r>
              <w:rPr>
                <w:rFonts w:hint="eastAsia"/>
                <w:color w:val="auto"/>
                <w:szCs w:val="21"/>
              </w:rPr>
              <w:t>■</w:t>
            </w:r>
            <w:r>
              <w:rPr>
                <w:rFonts w:ascii="宋体" w:hAnsi="宋体"/>
                <w:color w:val="auto"/>
                <w:szCs w:val="21"/>
              </w:rPr>
              <w:t>不允许</w:t>
            </w:r>
          </w:p>
          <w:p>
            <w:pPr>
              <w:snapToGrid w:val="0"/>
              <w:rPr>
                <w:rFonts w:ascii="宋体" w:hAnsi="宋体"/>
                <w:color w:val="auto"/>
                <w:szCs w:val="21"/>
              </w:rPr>
            </w:pPr>
            <w:r>
              <w:rPr>
                <w:rFonts w:ascii="宋体" w:hAnsi="宋体"/>
                <w:color w:val="auto"/>
                <w:szCs w:val="21"/>
              </w:rPr>
              <w:sym w:font="Wingdings 2" w:char="00A3"/>
            </w:r>
            <w:r>
              <w:rPr>
                <w:rFonts w:ascii="宋体" w:hAnsi="宋体"/>
                <w:color w:val="auto"/>
                <w:szCs w:val="21"/>
              </w:rPr>
              <w:t>允许，偏差范围：</w:t>
            </w:r>
            <w:r>
              <w:rPr>
                <w:rFonts w:hint="eastAsia" w:ascii="宋体" w:hAnsi="宋体"/>
                <w:color w:val="auto"/>
                <w:szCs w:val="21"/>
                <w:u w:val="single"/>
              </w:rPr>
              <w:t xml:space="preserve"> / </w:t>
            </w:r>
          </w:p>
          <w:p>
            <w:pPr>
              <w:pStyle w:val="11"/>
              <w:topLinePunct/>
              <w:snapToGrid w:val="0"/>
              <w:ind w:firstLine="840" w:firstLineChars="400"/>
              <w:rPr>
                <w:rFonts w:hAnsi="宋体"/>
                <w:color w:val="auto"/>
                <w:sz w:val="21"/>
                <w:szCs w:val="21"/>
              </w:rPr>
            </w:pPr>
            <w:r>
              <w:rPr>
                <w:rFonts w:hAnsi="宋体"/>
                <w:color w:val="auto"/>
                <w:sz w:val="21"/>
                <w:szCs w:val="21"/>
              </w:rPr>
              <w:t>偏差幅度：</w:t>
            </w:r>
            <w:r>
              <w:rPr>
                <w:rFonts w:hint="eastAsia" w:hAnsi="宋体"/>
                <w:color w:val="auto"/>
                <w:sz w:val="21"/>
                <w:szCs w:val="21"/>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1182" w:type="dxa"/>
            <w:vAlign w:val="center"/>
          </w:tcPr>
          <w:p>
            <w:pPr>
              <w:snapToGrid w:val="0"/>
              <w:jc w:val="center"/>
              <w:rPr>
                <w:rFonts w:ascii="宋体" w:hAnsi="宋体"/>
                <w:color w:val="auto"/>
                <w:szCs w:val="21"/>
              </w:rPr>
            </w:pPr>
            <w:r>
              <w:rPr>
                <w:rFonts w:ascii="宋体" w:hAnsi="宋体"/>
                <w:color w:val="auto"/>
                <w:szCs w:val="21"/>
              </w:rPr>
              <w:t>2.1</w:t>
            </w:r>
          </w:p>
        </w:tc>
        <w:tc>
          <w:tcPr>
            <w:tcW w:w="2187" w:type="dxa"/>
            <w:vAlign w:val="center"/>
          </w:tcPr>
          <w:p>
            <w:pPr>
              <w:snapToGrid w:val="0"/>
              <w:jc w:val="center"/>
              <w:rPr>
                <w:rFonts w:ascii="宋体" w:hAnsi="宋体"/>
                <w:color w:val="auto"/>
                <w:szCs w:val="21"/>
              </w:rPr>
            </w:pPr>
            <w:r>
              <w:rPr>
                <w:rFonts w:ascii="宋体" w:hAnsi="宋体"/>
                <w:color w:val="auto"/>
                <w:szCs w:val="21"/>
              </w:rPr>
              <w:t>构成招标文件的其他资料</w:t>
            </w:r>
          </w:p>
        </w:tc>
        <w:tc>
          <w:tcPr>
            <w:tcW w:w="6415" w:type="dxa"/>
            <w:vAlign w:val="center"/>
          </w:tcPr>
          <w:p>
            <w:pPr>
              <w:snapToGrid w:val="0"/>
              <w:rPr>
                <w:rFonts w:ascii="宋体" w:hAnsi="宋体"/>
                <w:color w:val="auto"/>
                <w:szCs w:val="21"/>
              </w:rPr>
            </w:pPr>
            <w:r>
              <w:rPr>
                <w:rFonts w:hint="eastAsia" w:ascii="宋体" w:hAnsi="宋体"/>
                <w:color w:val="auto"/>
                <w:szCs w:val="21"/>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96" w:hRule="atLeast"/>
          <w:jc w:val="center"/>
        </w:trPr>
        <w:tc>
          <w:tcPr>
            <w:tcW w:w="1182" w:type="dxa"/>
            <w:vAlign w:val="center"/>
          </w:tcPr>
          <w:p>
            <w:pPr>
              <w:snapToGrid w:val="0"/>
              <w:jc w:val="center"/>
              <w:rPr>
                <w:rFonts w:ascii="宋体" w:hAnsi="宋体"/>
                <w:color w:val="auto"/>
                <w:szCs w:val="21"/>
              </w:rPr>
            </w:pPr>
            <w:r>
              <w:rPr>
                <w:rFonts w:ascii="宋体" w:hAnsi="宋体"/>
                <w:color w:val="auto"/>
                <w:szCs w:val="21"/>
              </w:rPr>
              <w:t>2.2.1</w:t>
            </w:r>
          </w:p>
        </w:tc>
        <w:tc>
          <w:tcPr>
            <w:tcW w:w="2187" w:type="dxa"/>
            <w:vAlign w:val="center"/>
          </w:tcPr>
          <w:p>
            <w:pPr>
              <w:snapToGrid w:val="0"/>
              <w:jc w:val="center"/>
              <w:rPr>
                <w:rFonts w:ascii="宋体" w:hAnsi="宋体"/>
                <w:color w:val="auto"/>
                <w:szCs w:val="21"/>
              </w:rPr>
            </w:pPr>
            <w:r>
              <w:rPr>
                <w:rFonts w:ascii="宋体" w:hAnsi="宋体"/>
                <w:color w:val="auto"/>
                <w:szCs w:val="21"/>
              </w:rPr>
              <w:t>投标人要求澄清招标文件</w:t>
            </w:r>
          </w:p>
        </w:tc>
        <w:tc>
          <w:tcPr>
            <w:tcW w:w="6415" w:type="dxa"/>
            <w:vAlign w:val="center"/>
          </w:tcPr>
          <w:p>
            <w:pPr>
              <w:snapToGrid w:val="0"/>
              <w:rPr>
                <w:rFonts w:hint="eastAsia" w:ascii="宋体" w:hAnsi="宋体" w:eastAsia="宋体"/>
                <w:color w:val="auto"/>
                <w:szCs w:val="21"/>
                <w:u w:val="single"/>
                <w:lang w:eastAsia="zh-CN"/>
              </w:rPr>
            </w:pPr>
            <w:r>
              <w:rPr>
                <w:rFonts w:ascii="宋体" w:hAnsi="宋体"/>
                <w:color w:val="auto"/>
                <w:szCs w:val="21"/>
                <w:u w:val="single"/>
              </w:rPr>
              <w:t>时间：</w:t>
            </w:r>
            <w:r>
              <w:rPr>
                <w:rFonts w:hint="eastAsia" w:ascii="宋体" w:hAnsi="宋体"/>
                <w:color w:val="auto"/>
                <w:szCs w:val="21"/>
                <w:u w:val="single"/>
              </w:rPr>
              <w:t>在投标截止日期前18日</w:t>
            </w:r>
            <w:r>
              <w:rPr>
                <w:rFonts w:hint="eastAsia" w:ascii="宋体" w:hAnsi="宋体"/>
                <w:color w:val="auto"/>
                <w:szCs w:val="21"/>
                <w:u w:val="single"/>
                <w:lang w:eastAsia="zh-CN"/>
              </w:rPr>
              <w:t>。</w:t>
            </w:r>
          </w:p>
          <w:p>
            <w:pPr>
              <w:pStyle w:val="22"/>
              <w:snapToGrid w:val="0"/>
              <w:spacing w:after="0" w:line="240" w:lineRule="auto"/>
              <w:ind w:firstLine="0"/>
              <w:rPr>
                <w:rFonts w:ascii="宋体" w:hAnsi="宋体"/>
                <w:color w:val="auto"/>
                <w:szCs w:val="21"/>
                <w:u w:val="single"/>
              </w:rPr>
            </w:pPr>
            <w:r>
              <w:rPr>
                <w:rFonts w:ascii="宋体" w:hAnsi="宋体"/>
                <w:color w:val="auto"/>
                <w:szCs w:val="21"/>
                <w:u w:val="single"/>
              </w:rPr>
              <w:t>形式：1</w:t>
            </w:r>
            <w:r>
              <w:rPr>
                <w:rFonts w:hint="eastAsia" w:ascii="宋体" w:hAnsi="宋体"/>
                <w:color w:val="auto"/>
                <w:szCs w:val="21"/>
                <w:u w:val="single"/>
              </w:rPr>
              <w:t>、招标答疑采用网上答疑方式进行。投标人若对招标文件有疑问的，可在规定的时间内通过广州公共资源交易中心网站凭密码进入提问区域将问题提交给招标人或招标代理人，提交问题时一律不得署名。</w:t>
            </w:r>
          </w:p>
          <w:p>
            <w:pPr>
              <w:pStyle w:val="22"/>
              <w:snapToGrid w:val="0"/>
              <w:spacing w:after="0" w:line="240" w:lineRule="auto"/>
              <w:ind w:firstLineChars="200"/>
              <w:rPr>
                <w:rFonts w:ascii="宋体" w:hAnsi="宋体"/>
                <w:color w:val="auto"/>
                <w:szCs w:val="21"/>
                <w:u w:val="single"/>
              </w:rPr>
            </w:pPr>
            <w:r>
              <w:rPr>
                <w:rFonts w:hint="eastAsia" w:ascii="宋体" w:hAnsi="宋体"/>
                <w:color w:val="auto"/>
                <w:szCs w:val="21"/>
                <w:u w:val="single"/>
              </w:rPr>
              <w:t>网上答疑的操作指南为：登陆广州公共资源交易中心网站→进入“项目招标答疑”专区→通过项目编号或名称找到所需的项目→在上述的答疑时间内点击“提问”→输入密码（密码为：</w:t>
            </w:r>
            <w:r>
              <w:rPr>
                <w:rFonts w:ascii="宋体" w:hAnsi="宋体"/>
                <w:color w:val="auto"/>
                <w:szCs w:val="21"/>
                <w:u w:val="single"/>
              </w:rPr>
              <w:t>123456</w:t>
            </w:r>
            <w:r>
              <w:rPr>
                <w:rFonts w:hint="eastAsia" w:ascii="宋体" w:hAnsi="宋体"/>
                <w:color w:val="auto"/>
                <w:szCs w:val="21"/>
                <w:u w:val="single"/>
              </w:rPr>
              <w:t>）进入到提问区域→无记名或匿名提出问题以及查看所有的问题。</w:t>
            </w:r>
          </w:p>
          <w:p>
            <w:pPr>
              <w:pStyle w:val="22"/>
              <w:snapToGrid w:val="0"/>
              <w:spacing w:after="0" w:line="240" w:lineRule="auto"/>
              <w:ind w:firstLine="0"/>
              <w:rPr>
                <w:rFonts w:ascii="宋体" w:hAnsi="宋体"/>
                <w:color w:val="auto"/>
                <w:szCs w:val="21"/>
                <w:u w:val="single"/>
              </w:rPr>
            </w:pPr>
            <w:r>
              <w:rPr>
                <w:rFonts w:ascii="宋体" w:hAnsi="宋体"/>
                <w:color w:val="auto"/>
                <w:szCs w:val="21"/>
                <w:u w:val="single"/>
              </w:rPr>
              <w:t>2</w:t>
            </w:r>
            <w:r>
              <w:rPr>
                <w:rFonts w:hint="eastAsia" w:ascii="宋体" w:hAnsi="宋体"/>
                <w:color w:val="auto"/>
                <w:szCs w:val="21"/>
                <w:u w:val="single"/>
              </w:rPr>
              <w:t>、投标人应在投标截止时间</w:t>
            </w:r>
            <w:r>
              <w:rPr>
                <w:rFonts w:ascii="宋体" w:hAnsi="宋体"/>
                <w:color w:val="auto"/>
                <w:szCs w:val="21"/>
                <w:u w:val="single"/>
              </w:rPr>
              <w:t>18</w:t>
            </w:r>
            <w:r>
              <w:rPr>
                <w:rFonts w:hint="eastAsia" w:ascii="宋体" w:hAnsi="宋体"/>
                <w:color w:val="auto"/>
                <w:szCs w:val="21"/>
                <w:u w:val="single"/>
              </w:rPr>
              <w:t>日前停止质疑。招标人应在投标截止时间</w:t>
            </w:r>
            <w:r>
              <w:rPr>
                <w:rFonts w:ascii="宋体" w:hAnsi="宋体"/>
                <w:color w:val="auto"/>
                <w:szCs w:val="21"/>
                <w:u w:val="single"/>
              </w:rPr>
              <w:t>15</w:t>
            </w:r>
            <w:r>
              <w:rPr>
                <w:rFonts w:hint="eastAsia" w:ascii="宋体" w:hAnsi="宋体"/>
                <w:color w:val="auto"/>
                <w:szCs w:val="21"/>
                <w:u w:val="single"/>
              </w:rPr>
              <w:t>日前解答投标人对招标文件提出的疑问，形成答疑纪要，并经招标监管机构备案后，方可在广州公共资源交易中心网站项目答疑专区发布。</w:t>
            </w:r>
          </w:p>
          <w:p>
            <w:pPr>
              <w:pStyle w:val="22"/>
              <w:snapToGrid w:val="0"/>
              <w:spacing w:after="0" w:line="240" w:lineRule="auto"/>
              <w:ind w:firstLine="0"/>
              <w:rPr>
                <w:rFonts w:ascii="宋体" w:hAnsi="宋体"/>
                <w:color w:val="auto"/>
                <w:szCs w:val="21"/>
                <w:u w:val="single"/>
              </w:rPr>
            </w:pPr>
            <w:r>
              <w:rPr>
                <w:rFonts w:ascii="宋体" w:hAnsi="宋体"/>
                <w:color w:val="auto"/>
                <w:szCs w:val="21"/>
                <w:u w:val="single"/>
              </w:rPr>
              <w:t>3</w:t>
            </w:r>
            <w:r>
              <w:rPr>
                <w:rFonts w:hint="eastAsia" w:ascii="宋体" w:hAnsi="宋体"/>
                <w:color w:val="auto"/>
                <w:szCs w:val="21"/>
                <w:u w:val="single"/>
              </w:rPr>
              <w:t>、招标答疑纪要一经在广州公共资源交易中心网站发布，视作已发放给所有投标人。</w:t>
            </w:r>
          </w:p>
          <w:p>
            <w:pPr>
              <w:snapToGrid w:val="0"/>
              <w:rPr>
                <w:rFonts w:ascii="宋体" w:hAnsi="宋体"/>
                <w:color w:val="auto"/>
                <w:szCs w:val="21"/>
                <w:u w:val="single"/>
              </w:rPr>
            </w:pPr>
            <w:r>
              <w:rPr>
                <w:rFonts w:ascii="宋体" w:hAnsi="宋体"/>
                <w:color w:val="auto"/>
                <w:szCs w:val="21"/>
                <w:u w:val="single"/>
              </w:rPr>
              <w:t>4</w:t>
            </w:r>
            <w:r>
              <w:rPr>
                <w:rFonts w:hint="eastAsia" w:ascii="宋体" w:hAnsi="宋体"/>
                <w:color w:val="auto"/>
                <w:szCs w:val="21"/>
                <w:u w:val="single"/>
              </w:rPr>
              <w:t>、招标答疑纪要为招标文件的一部分。投标人可在广州公共资源交易中心网站浏览、下载招标答疑纪要。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1182" w:type="dxa"/>
            <w:vAlign w:val="center"/>
          </w:tcPr>
          <w:p>
            <w:pPr>
              <w:snapToGrid w:val="0"/>
              <w:jc w:val="center"/>
              <w:rPr>
                <w:rFonts w:ascii="宋体" w:hAnsi="宋体"/>
                <w:color w:val="auto"/>
                <w:szCs w:val="21"/>
              </w:rPr>
            </w:pPr>
            <w:r>
              <w:rPr>
                <w:rFonts w:ascii="宋体" w:hAnsi="宋体"/>
                <w:color w:val="auto"/>
                <w:szCs w:val="21"/>
              </w:rPr>
              <w:t>2.2.2</w:t>
            </w:r>
          </w:p>
        </w:tc>
        <w:tc>
          <w:tcPr>
            <w:tcW w:w="2187" w:type="dxa"/>
            <w:vAlign w:val="center"/>
          </w:tcPr>
          <w:p>
            <w:pPr>
              <w:snapToGrid w:val="0"/>
              <w:jc w:val="center"/>
              <w:rPr>
                <w:rFonts w:ascii="宋体" w:hAnsi="宋体"/>
                <w:color w:val="auto"/>
                <w:szCs w:val="21"/>
              </w:rPr>
            </w:pPr>
            <w:r>
              <w:rPr>
                <w:rFonts w:ascii="宋体" w:hAnsi="宋体"/>
                <w:color w:val="auto"/>
                <w:szCs w:val="21"/>
              </w:rPr>
              <w:t>招标文件澄清发出的形式</w:t>
            </w:r>
          </w:p>
        </w:tc>
        <w:tc>
          <w:tcPr>
            <w:tcW w:w="6415" w:type="dxa"/>
            <w:vAlign w:val="center"/>
          </w:tcPr>
          <w:p>
            <w:pPr>
              <w:snapToGrid w:val="0"/>
              <w:rPr>
                <w:rFonts w:hint="eastAsia" w:ascii="宋体" w:hAnsi="宋体" w:eastAsia="宋体"/>
                <w:color w:val="auto"/>
                <w:szCs w:val="21"/>
                <w:u w:val="single"/>
                <w:lang w:eastAsia="zh-CN"/>
              </w:rPr>
            </w:pPr>
            <w:r>
              <w:rPr>
                <w:rFonts w:hint="eastAsia" w:ascii="宋体" w:hAnsi="宋体"/>
                <w:color w:val="auto"/>
                <w:szCs w:val="21"/>
                <w:u w:val="single"/>
              </w:rPr>
              <w:t>在广州公共资源交易中心网站项目答疑专区发布</w:t>
            </w:r>
            <w:r>
              <w:rPr>
                <w:rFonts w:hint="eastAsia" w:ascii="宋体" w:hAnsi="宋体"/>
                <w:color w:val="auto"/>
                <w:szCs w:val="21"/>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 w:hRule="atLeast"/>
          <w:jc w:val="center"/>
        </w:trPr>
        <w:tc>
          <w:tcPr>
            <w:tcW w:w="1182" w:type="dxa"/>
            <w:vMerge w:val="restart"/>
            <w:vAlign w:val="center"/>
          </w:tcPr>
          <w:p>
            <w:pPr>
              <w:snapToGrid w:val="0"/>
              <w:jc w:val="center"/>
              <w:rPr>
                <w:rFonts w:ascii="宋体" w:hAnsi="宋体"/>
                <w:color w:val="auto"/>
                <w:szCs w:val="21"/>
              </w:rPr>
            </w:pPr>
            <w:r>
              <w:rPr>
                <w:rFonts w:ascii="宋体" w:hAnsi="宋体"/>
                <w:color w:val="auto"/>
                <w:szCs w:val="21"/>
              </w:rPr>
              <w:t>2.2.3</w:t>
            </w:r>
          </w:p>
        </w:tc>
        <w:tc>
          <w:tcPr>
            <w:tcW w:w="2187" w:type="dxa"/>
            <w:vMerge w:val="restart"/>
            <w:vAlign w:val="center"/>
          </w:tcPr>
          <w:p>
            <w:pPr>
              <w:snapToGrid w:val="0"/>
              <w:jc w:val="center"/>
              <w:rPr>
                <w:rFonts w:ascii="宋体" w:hAnsi="宋体"/>
                <w:color w:val="auto"/>
                <w:szCs w:val="21"/>
              </w:rPr>
            </w:pPr>
            <w:r>
              <w:rPr>
                <w:rFonts w:ascii="宋体" w:hAnsi="宋体"/>
                <w:color w:val="auto"/>
                <w:szCs w:val="21"/>
              </w:rPr>
              <w:t>投标人确认收到招标文件澄清</w:t>
            </w:r>
          </w:p>
        </w:tc>
        <w:tc>
          <w:tcPr>
            <w:tcW w:w="6415" w:type="dxa"/>
            <w:vAlign w:val="center"/>
          </w:tcPr>
          <w:p>
            <w:pPr>
              <w:snapToGrid w:val="0"/>
              <w:rPr>
                <w:rFonts w:hint="eastAsia" w:ascii="宋体" w:hAnsi="宋体" w:eastAsia="宋体"/>
                <w:color w:val="auto"/>
                <w:szCs w:val="21"/>
                <w:lang w:eastAsia="zh-CN"/>
              </w:rPr>
            </w:pPr>
            <w:r>
              <w:rPr>
                <w:rFonts w:ascii="宋体" w:hAnsi="宋体"/>
                <w:color w:val="auto"/>
                <w:szCs w:val="21"/>
              </w:rPr>
              <w:t>时间：</w:t>
            </w:r>
            <w:r>
              <w:rPr>
                <w:rFonts w:hint="eastAsia" w:ascii="宋体" w:hAnsi="宋体"/>
                <w:color w:val="auto"/>
                <w:szCs w:val="21"/>
                <w:u w:val="single"/>
              </w:rPr>
              <w:t>招标文件澄清一经在广州公共资源交易中心网站发布，视作已发放给所有投标人</w:t>
            </w:r>
            <w:r>
              <w:rPr>
                <w:rFonts w:hint="eastAsia" w:ascii="宋体" w:hAnsi="宋体"/>
                <w:color w:val="auto"/>
                <w:szCs w:val="21"/>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1182" w:type="dxa"/>
            <w:vMerge w:val="continue"/>
            <w:vAlign w:val="center"/>
          </w:tcPr>
          <w:p>
            <w:pPr>
              <w:snapToGrid w:val="0"/>
              <w:ind w:firstLine="420" w:firstLineChars="200"/>
              <w:rPr>
                <w:rFonts w:ascii="宋体" w:hAnsi="宋体"/>
                <w:color w:val="auto"/>
                <w:szCs w:val="21"/>
              </w:rPr>
            </w:pPr>
          </w:p>
        </w:tc>
        <w:tc>
          <w:tcPr>
            <w:tcW w:w="2187" w:type="dxa"/>
            <w:vMerge w:val="continue"/>
            <w:vAlign w:val="center"/>
          </w:tcPr>
          <w:p>
            <w:pPr>
              <w:snapToGrid w:val="0"/>
              <w:ind w:firstLine="420" w:firstLineChars="200"/>
              <w:rPr>
                <w:rFonts w:ascii="宋体" w:hAnsi="宋体"/>
                <w:color w:val="auto"/>
                <w:szCs w:val="21"/>
              </w:rPr>
            </w:pPr>
          </w:p>
        </w:tc>
        <w:tc>
          <w:tcPr>
            <w:tcW w:w="6415" w:type="dxa"/>
            <w:vAlign w:val="center"/>
          </w:tcPr>
          <w:p>
            <w:pPr>
              <w:snapToGrid w:val="0"/>
              <w:rPr>
                <w:rFonts w:ascii="宋体" w:hAnsi="宋体"/>
                <w:color w:val="auto"/>
                <w:szCs w:val="21"/>
              </w:rPr>
            </w:pPr>
            <w:r>
              <w:rPr>
                <w:rFonts w:ascii="宋体" w:hAnsi="宋体"/>
                <w:color w:val="auto"/>
                <w:szCs w:val="21"/>
              </w:rPr>
              <w:t>形式：</w:t>
            </w:r>
            <w:r>
              <w:rPr>
                <w:rFonts w:hint="eastAsia" w:ascii="宋体" w:hAnsi="宋体"/>
                <w:color w:val="auto"/>
                <w:szCs w:val="21"/>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1" w:hRule="atLeast"/>
          <w:jc w:val="center"/>
        </w:trPr>
        <w:tc>
          <w:tcPr>
            <w:tcW w:w="1182" w:type="dxa"/>
            <w:vAlign w:val="center"/>
          </w:tcPr>
          <w:p>
            <w:pPr>
              <w:snapToGrid w:val="0"/>
              <w:jc w:val="center"/>
              <w:rPr>
                <w:rFonts w:ascii="宋体" w:hAnsi="宋体"/>
                <w:color w:val="auto"/>
                <w:szCs w:val="21"/>
              </w:rPr>
            </w:pPr>
            <w:r>
              <w:rPr>
                <w:rFonts w:ascii="宋体" w:hAnsi="宋体"/>
                <w:color w:val="auto"/>
                <w:szCs w:val="21"/>
              </w:rPr>
              <w:t>2.3.1</w:t>
            </w:r>
          </w:p>
        </w:tc>
        <w:tc>
          <w:tcPr>
            <w:tcW w:w="2187" w:type="dxa"/>
            <w:vAlign w:val="center"/>
          </w:tcPr>
          <w:p>
            <w:pPr>
              <w:snapToGrid w:val="0"/>
              <w:jc w:val="center"/>
              <w:rPr>
                <w:rFonts w:ascii="宋体" w:hAnsi="宋体"/>
                <w:color w:val="auto"/>
                <w:szCs w:val="21"/>
              </w:rPr>
            </w:pPr>
            <w:r>
              <w:rPr>
                <w:rFonts w:ascii="宋体" w:hAnsi="宋体"/>
                <w:color w:val="auto"/>
                <w:szCs w:val="21"/>
              </w:rPr>
              <w:t>招标文件修改发出的形式</w:t>
            </w:r>
          </w:p>
        </w:tc>
        <w:tc>
          <w:tcPr>
            <w:tcW w:w="6415" w:type="dxa"/>
            <w:vAlign w:val="center"/>
          </w:tcPr>
          <w:p>
            <w:pPr>
              <w:snapToGrid w:val="0"/>
              <w:rPr>
                <w:rFonts w:hint="eastAsia" w:ascii="宋体" w:hAnsi="宋体" w:eastAsia="宋体"/>
                <w:color w:val="auto"/>
                <w:szCs w:val="21"/>
                <w:lang w:eastAsia="zh-CN"/>
              </w:rPr>
            </w:pPr>
            <w:r>
              <w:rPr>
                <w:rFonts w:hint="eastAsia" w:ascii="宋体" w:hAnsi="宋体"/>
                <w:color w:val="auto"/>
                <w:szCs w:val="21"/>
                <w:u w:val="single"/>
              </w:rPr>
              <w:t>在广州公共资源交易中心网站项目答疑专区或以补充公告形式发布</w:t>
            </w:r>
            <w:r>
              <w:rPr>
                <w:rFonts w:hint="eastAsia" w:ascii="宋体" w:hAnsi="宋体"/>
                <w:color w:val="auto"/>
                <w:szCs w:val="21"/>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 w:hRule="atLeast"/>
          <w:jc w:val="center"/>
        </w:trPr>
        <w:tc>
          <w:tcPr>
            <w:tcW w:w="1182" w:type="dxa"/>
            <w:vMerge w:val="restart"/>
            <w:vAlign w:val="center"/>
          </w:tcPr>
          <w:p>
            <w:pPr>
              <w:snapToGrid w:val="0"/>
              <w:jc w:val="center"/>
              <w:rPr>
                <w:rFonts w:ascii="宋体" w:hAnsi="宋体"/>
                <w:color w:val="auto"/>
                <w:szCs w:val="21"/>
              </w:rPr>
            </w:pPr>
            <w:r>
              <w:rPr>
                <w:rFonts w:ascii="宋体" w:hAnsi="宋体"/>
                <w:color w:val="auto"/>
                <w:szCs w:val="21"/>
              </w:rPr>
              <w:t>2.3.2</w:t>
            </w:r>
          </w:p>
        </w:tc>
        <w:tc>
          <w:tcPr>
            <w:tcW w:w="2187" w:type="dxa"/>
            <w:vMerge w:val="restart"/>
            <w:vAlign w:val="center"/>
          </w:tcPr>
          <w:p>
            <w:pPr>
              <w:snapToGrid w:val="0"/>
              <w:jc w:val="center"/>
              <w:rPr>
                <w:rFonts w:ascii="宋体" w:hAnsi="宋体"/>
                <w:color w:val="auto"/>
                <w:szCs w:val="21"/>
              </w:rPr>
            </w:pPr>
            <w:r>
              <w:rPr>
                <w:rFonts w:ascii="宋体" w:hAnsi="宋体"/>
                <w:color w:val="auto"/>
                <w:szCs w:val="21"/>
              </w:rPr>
              <w:t>投标人确认收到招标文件修改</w:t>
            </w:r>
          </w:p>
        </w:tc>
        <w:tc>
          <w:tcPr>
            <w:tcW w:w="6415" w:type="dxa"/>
            <w:vAlign w:val="center"/>
          </w:tcPr>
          <w:p>
            <w:pPr>
              <w:snapToGrid w:val="0"/>
              <w:ind w:right="-101"/>
              <w:rPr>
                <w:rFonts w:hint="eastAsia" w:ascii="宋体" w:hAnsi="宋体" w:eastAsia="宋体"/>
                <w:color w:val="auto"/>
                <w:szCs w:val="21"/>
                <w:u w:val="single"/>
                <w:lang w:eastAsia="zh-CN"/>
              </w:rPr>
            </w:pPr>
            <w:r>
              <w:rPr>
                <w:rFonts w:ascii="宋体" w:hAnsi="宋体"/>
                <w:color w:val="auto"/>
                <w:szCs w:val="21"/>
              </w:rPr>
              <w:t>时间：</w:t>
            </w:r>
            <w:r>
              <w:rPr>
                <w:rFonts w:hint="eastAsia" w:ascii="宋体" w:hAnsi="宋体"/>
                <w:color w:val="auto"/>
                <w:szCs w:val="21"/>
                <w:u w:val="single"/>
              </w:rPr>
              <w:t>招标文件修改一经在广州公共资源交易中心网站发布，视作已发放给所有投标人</w:t>
            </w:r>
            <w:r>
              <w:rPr>
                <w:rFonts w:hint="eastAsia" w:ascii="宋体" w:hAnsi="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1182" w:type="dxa"/>
            <w:vMerge w:val="continue"/>
            <w:vAlign w:val="center"/>
          </w:tcPr>
          <w:p>
            <w:pPr>
              <w:snapToGrid w:val="0"/>
              <w:ind w:firstLine="420" w:firstLineChars="200"/>
              <w:rPr>
                <w:rFonts w:ascii="宋体" w:hAnsi="宋体"/>
                <w:color w:val="auto"/>
                <w:szCs w:val="21"/>
              </w:rPr>
            </w:pPr>
          </w:p>
        </w:tc>
        <w:tc>
          <w:tcPr>
            <w:tcW w:w="2187" w:type="dxa"/>
            <w:vMerge w:val="continue"/>
            <w:vAlign w:val="center"/>
          </w:tcPr>
          <w:p>
            <w:pPr>
              <w:snapToGrid w:val="0"/>
              <w:ind w:firstLine="420" w:firstLineChars="200"/>
              <w:rPr>
                <w:rFonts w:ascii="宋体" w:hAnsi="宋体"/>
                <w:color w:val="auto"/>
                <w:szCs w:val="21"/>
              </w:rPr>
            </w:pPr>
          </w:p>
        </w:tc>
        <w:tc>
          <w:tcPr>
            <w:tcW w:w="6415" w:type="dxa"/>
            <w:vAlign w:val="center"/>
          </w:tcPr>
          <w:p>
            <w:pPr>
              <w:snapToGrid w:val="0"/>
              <w:rPr>
                <w:rFonts w:ascii="宋体" w:hAnsi="宋体"/>
                <w:color w:val="auto"/>
                <w:szCs w:val="21"/>
              </w:rPr>
            </w:pPr>
            <w:r>
              <w:rPr>
                <w:rFonts w:ascii="宋体" w:hAnsi="宋体"/>
                <w:color w:val="auto"/>
                <w:szCs w:val="21"/>
              </w:rPr>
              <w:t>形式：</w:t>
            </w:r>
            <w:r>
              <w:rPr>
                <w:rFonts w:hint="eastAsia" w:ascii="宋体" w:hAnsi="宋体"/>
                <w:color w:val="auto"/>
                <w:szCs w:val="21"/>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1182" w:type="dxa"/>
            <w:vAlign w:val="center"/>
          </w:tcPr>
          <w:p>
            <w:pPr>
              <w:snapToGrid w:val="0"/>
              <w:jc w:val="center"/>
              <w:rPr>
                <w:rFonts w:ascii="宋体" w:hAnsi="宋体"/>
                <w:color w:val="auto"/>
                <w:szCs w:val="21"/>
              </w:rPr>
            </w:pPr>
            <w:r>
              <w:rPr>
                <w:rFonts w:ascii="宋体" w:hAnsi="宋体"/>
                <w:color w:val="auto"/>
                <w:szCs w:val="21"/>
              </w:rPr>
              <w:t>3.1.1</w:t>
            </w:r>
          </w:p>
        </w:tc>
        <w:tc>
          <w:tcPr>
            <w:tcW w:w="2187" w:type="dxa"/>
            <w:vAlign w:val="center"/>
          </w:tcPr>
          <w:p>
            <w:pPr>
              <w:snapToGrid w:val="0"/>
              <w:jc w:val="center"/>
              <w:rPr>
                <w:rFonts w:ascii="宋体" w:hAnsi="宋体"/>
                <w:color w:val="auto"/>
                <w:szCs w:val="21"/>
              </w:rPr>
            </w:pPr>
            <w:r>
              <w:rPr>
                <w:rFonts w:ascii="宋体" w:hAnsi="宋体"/>
                <w:color w:val="auto"/>
                <w:szCs w:val="21"/>
              </w:rPr>
              <w:t>构成投标文件的其他资料</w:t>
            </w:r>
          </w:p>
        </w:tc>
        <w:tc>
          <w:tcPr>
            <w:tcW w:w="6415" w:type="dxa"/>
            <w:vAlign w:val="center"/>
          </w:tcPr>
          <w:p>
            <w:pPr>
              <w:snapToGrid w:val="0"/>
              <w:rPr>
                <w:rFonts w:ascii="宋体" w:hAnsi="宋体"/>
                <w:color w:val="auto"/>
                <w:szCs w:val="21"/>
              </w:rPr>
            </w:pPr>
            <w:r>
              <w:rPr>
                <w:rFonts w:hint="eastAsia" w:ascii="宋体" w:hAnsi="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jc w:val="center"/>
        </w:trPr>
        <w:tc>
          <w:tcPr>
            <w:tcW w:w="1182" w:type="dxa"/>
            <w:vAlign w:val="center"/>
          </w:tcPr>
          <w:p>
            <w:pPr>
              <w:snapToGrid w:val="0"/>
              <w:jc w:val="center"/>
              <w:rPr>
                <w:rFonts w:ascii="宋体" w:hAnsi="宋体"/>
                <w:color w:val="auto"/>
                <w:szCs w:val="21"/>
              </w:rPr>
            </w:pPr>
            <w:r>
              <w:rPr>
                <w:rFonts w:ascii="宋体" w:hAnsi="宋体"/>
                <w:color w:val="auto"/>
                <w:szCs w:val="21"/>
              </w:rPr>
              <w:t>3.2.1</w:t>
            </w:r>
          </w:p>
        </w:tc>
        <w:tc>
          <w:tcPr>
            <w:tcW w:w="2187" w:type="dxa"/>
            <w:vAlign w:val="center"/>
          </w:tcPr>
          <w:p>
            <w:pPr>
              <w:snapToGrid w:val="0"/>
              <w:jc w:val="center"/>
              <w:rPr>
                <w:rFonts w:ascii="宋体" w:hAnsi="宋体"/>
                <w:color w:val="auto"/>
                <w:szCs w:val="21"/>
              </w:rPr>
            </w:pPr>
            <w:r>
              <w:rPr>
                <w:rFonts w:ascii="宋体" w:hAnsi="宋体"/>
                <w:color w:val="auto"/>
                <w:szCs w:val="21"/>
              </w:rPr>
              <w:t>增值税税金的计算方法</w:t>
            </w:r>
          </w:p>
        </w:tc>
        <w:tc>
          <w:tcPr>
            <w:tcW w:w="6415" w:type="dxa"/>
            <w:vAlign w:val="center"/>
          </w:tcPr>
          <w:p>
            <w:pPr>
              <w:snapToGrid w:val="0"/>
              <w:rPr>
                <w:rFonts w:ascii="宋体" w:hAnsi="宋体"/>
                <w:color w:val="auto"/>
                <w:szCs w:val="21"/>
              </w:rPr>
            </w:pPr>
            <w:r>
              <w:rPr>
                <w:rFonts w:hint="eastAsia" w:ascii="宋体" w:hAnsi="宋体"/>
                <w:color w:val="auto"/>
                <w:szCs w:val="21"/>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 w:hRule="atLeast"/>
          <w:jc w:val="center"/>
        </w:trPr>
        <w:tc>
          <w:tcPr>
            <w:tcW w:w="1182" w:type="dxa"/>
            <w:vAlign w:val="center"/>
          </w:tcPr>
          <w:p>
            <w:pPr>
              <w:snapToGrid w:val="0"/>
              <w:jc w:val="center"/>
              <w:rPr>
                <w:rFonts w:ascii="宋体" w:hAnsi="宋体"/>
                <w:color w:val="auto"/>
                <w:szCs w:val="21"/>
              </w:rPr>
            </w:pPr>
            <w:r>
              <w:rPr>
                <w:rFonts w:ascii="宋体" w:hAnsi="宋体"/>
                <w:color w:val="auto"/>
                <w:szCs w:val="21"/>
              </w:rPr>
              <w:t>3.2.3</w:t>
            </w:r>
          </w:p>
        </w:tc>
        <w:tc>
          <w:tcPr>
            <w:tcW w:w="2187" w:type="dxa"/>
            <w:vAlign w:val="center"/>
          </w:tcPr>
          <w:p>
            <w:pPr>
              <w:snapToGrid w:val="0"/>
              <w:jc w:val="center"/>
              <w:rPr>
                <w:rFonts w:ascii="宋体" w:hAnsi="宋体"/>
                <w:color w:val="auto"/>
                <w:szCs w:val="21"/>
              </w:rPr>
            </w:pPr>
            <w:r>
              <w:rPr>
                <w:rFonts w:ascii="宋体" w:hAnsi="宋体"/>
                <w:color w:val="auto"/>
                <w:szCs w:val="21"/>
              </w:rPr>
              <w:t>报价方式</w:t>
            </w:r>
          </w:p>
        </w:tc>
        <w:tc>
          <w:tcPr>
            <w:tcW w:w="6415" w:type="dxa"/>
            <w:vAlign w:val="center"/>
          </w:tcPr>
          <w:p>
            <w:pPr>
              <w:snapToGrid w:val="0"/>
              <w:rPr>
                <w:rFonts w:ascii="宋体" w:hAnsi="宋体"/>
                <w:color w:val="auto"/>
                <w:szCs w:val="21"/>
              </w:rPr>
            </w:pPr>
            <w:r>
              <w:rPr>
                <w:rFonts w:hint="eastAsia" w:ascii="宋体" w:cs="宋体"/>
                <w:color w:val="auto"/>
                <w:szCs w:val="21"/>
                <w:lang w:val="zh-CN"/>
              </w:rPr>
              <w:t>投标人结合招标文件规定自行报价（小数点后保留二位有效数字，第三位小数四舍五入）。投标报价超过最高投标限价的投标文件将被否决</w:t>
            </w:r>
            <w:r>
              <w:rPr>
                <w:rFonts w:hint="eastAsia" w:ascii="宋体" w:hAnsi="宋体"/>
                <w:color w:val="auto"/>
                <w:szCs w:val="21"/>
                <w:highlight w:val="none"/>
              </w:rPr>
              <w:t>。</w:t>
            </w:r>
            <w:r>
              <w:rPr>
                <w:rFonts w:hint="eastAsia" w:ascii="宋体" w:hAnsi="宋体"/>
                <w:color w:val="auto"/>
                <w:szCs w:val="21"/>
                <w:highlight w:val="none"/>
              </w:rPr>
              <w:t>（如下浮率报价和数值报价不一致时，以下浮率报价为准）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1182" w:type="dxa"/>
            <w:vAlign w:val="center"/>
          </w:tcPr>
          <w:p>
            <w:pPr>
              <w:snapToGrid w:val="0"/>
              <w:jc w:val="center"/>
              <w:rPr>
                <w:rFonts w:ascii="宋体" w:hAnsi="宋体"/>
                <w:color w:val="auto"/>
                <w:szCs w:val="21"/>
              </w:rPr>
            </w:pPr>
            <w:r>
              <w:rPr>
                <w:rFonts w:ascii="宋体" w:hAnsi="宋体"/>
                <w:color w:val="auto"/>
                <w:szCs w:val="21"/>
              </w:rPr>
              <w:t>3.2.4</w:t>
            </w:r>
          </w:p>
        </w:tc>
        <w:tc>
          <w:tcPr>
            <w:tcW w:w="2187" w:type="dxa"/>
            <w:vAlign w:val="center"/>
          </w:tcPr>
          <w:p>
            <w:pPr>
              <w:snapToGrid w:val="0"/>
              <w:jc w:val="center"/>
              <w:rPr>
                <w:rFonts w:ascii="宋体" w:hAnsi="宋体"/>
                <w:color w:val="auto"/>
                <w:szCs w:val="21"/>
              </w:rPr>
            </w:pPr>
            <w:r>
              <w:rPr>
                <w:rFonts w:ascii="宋体" w:hAnsi="宋体"/>
                <w:color w:val="auto"/>
                <w:szCs w:val="21"/>
              </w:rPr>
              <w:t>最高投标限价</w:t>
            </w:r>
          </w:p>
        </w:tc>
        <w:tc>
          <w:tcPr>
            <w:tcW w:w="6415" w:type="dxa"/>
            <w:vAlign w:val="center"/>
          </w:tcPr>
          <w:p>
            <w:pPr>
              <w:snapToGrid w:val="0"/>
              <w:rPr>
                <w:rFonts w:ascii="宋体" w:hAnsi="宋体"/>
                <w:color w:val="auto"/>
                <w:szCs w:val="21"/>
              </w:rPr>
            </w:pPr>
            <w:r>
              <w:rPr>
                <w:rFonts w:ascii="宋体" w:hAnsi="宋体"/>
                <w:color w:val="auto"/>
                <w:szCs w:val="21"/>
              </w:rPr>
              <w:sym w:font="Wingdings 2" w:char="00A3"/>
            </w:r>
            <w:r>
              <w:rPr>
                <w:rFonts w:ascii="宋体" w:hAnsi="宋体"/>
                <w:color w:val="auto"/>
                <w:szCs w:val="21"/>
              </w:rPr>
              <w:t>无</w:t>
            </w:r>
          </w:p>
          <w:p>
            <w:pPr>
              <w:snapToGrid w:val="0"/>
              <w:rPr>
                <w:rFonts w:ascii="宋体" w:hAnsi="宋体"/>
                <w:color w:val="auto"/>
                <w:szCs w:val="21"/>
                <w:u w:val="single"/>
              </w:rPr>
            </w:pPr>
            <w:r>
              <w:rPr>
                <w:rFonts w:hint="eastAsia"/>
                <w:color w:val="auto"/>
                <w:szCs w:val="21"/>
              </w:rPr>
              <w:t>■</w:t>
            </w:r>
            <w:r>
              <w:rPr>
                <w:rFonts w:ascii="宋体" w:hAnsi="宋体"/>
                <w:color w:val="auto"/>
                <w:szCs w:val="21"/>
              </w:rPr>
              <w:t>有，最高投标限价</w:t>
            </w:r>
            <w:r>
              <w:rPr>
                <w:rFonts w:hint="eastAsia" w:ascii="宋体" w:hAnsi="宋体"/>
                <w:color w:val="auto"/>
                <w:szCs w:val="21"/>
              </w:rPr>
              <w:t>：</w:t>
            </w:r>
            <w:r>
              <w:rPr>
                <w:rFonts w:hint="eastAsia" w:ascii="宋体" w:hAnsi="宋体"/>
                <w:color w:val="auto"/>
                <w:szCs w:val="21"/>
                <w:u w:val="single"/>
                <w:lang w:eastAsia="zh-CN"/>
              </w:rPr>
              <w:t>586.8</w:t>
            </w:r>
            <w:r>
              <w:rPr>
                <w:rFonts w:hint="eastAsia" w:ascii="宋体" w:hAnsi="宋体"/>
                <w:color w:val="auto"/>
                <w:szCs w:val="21"/>
              </w:rPr>
              <w:t>万元，投标报价不得超过最高投标限价。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182" w:type="dxa"/>
            <w:vAlign w:val="center"/>
          </w:tcPr>
          <w:p>
            <w:pPr>
              <w:snapToGrid w:val="0"/>
              <w:jc w:val="center"/>
              <w:rPr>
                <w:rFonts w:ascii="宋体" w:hAnsi="宋体"/>
                <w:color w:val="auto"/>
                <w:szCs w:val="21"/>
              </w:rPr>
            </w:pPr>
            <w:r>
              <w:rPr>
                <w:rFonts w:ascii="宋体" w:hAnsi="宋体"/>
                <w:color w:val="auto"/>
                <w:szCs w:val="21"/>
              </w:rPr>
              <w:t>3.2.5</w:t>
            </w:r>
          </w:p>
        </w:tc>
        <w:tc>
          <w:tcPr>
            <w:tcW w:w="2187" w:type="dxa"/>
            <w:vAlign w:val="center"/>
          </w:tcPr>
          <w:p>
            <w:pPr>
              <w:snapToGrid w:val="0"/>
              <w:jc w:val="center"/>
              <w:rPr>
                <w:rFonts w:ascii="宋体" w:hAnsi="宋体"/>
                <w:color w:val="auto"/>
                <w:szCs w:val="21"/>
              </w:rPr>
            </w:pPr>
            <w:r>
              <w:rPr>
                <w:rFonts w:ascii="宋体" w:hAnsi="宋体"/>
                <w:color w:val="auto"/>
                <w:szCs w:val="21"/>
              </w:rPr>
              <w:t>投标报价的其他要求</w:t>
            </w:r>
          </w:p>
        </w:tc>
        <w:tc>
          <w:tcPr>
            <w:tcW w:w="6415" w:type="dxa"/>
            <w:vAlign w:val="center"/>
          </w:tcPr>
          <w:p>
            <w:pPr>
              <w:snapToGrid w:val="0"/>
              <w:rPr>
                <w:rFonts w:ascii="宋体" w:hAnsi="宋体"/>
                <w:color w:val="auto"/>
                <w:szCs w:val="21"/>
              </w:rPr>
            </w:pPr>
            <w:r>
              <w:rPr>
                <w:rFonts w:hint="eastAsia" w:ascii="宋体" w:hAnsi="宋体"/>
                <w:color w:val="auto"/>
                <w:szCs w:val="21"/>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1182" w:type="dxa"/>
            <w:vAlign w:val="center"/>
          </w:tcPr>
          <w:p>
            <w:pPr>
              <w:snapToGrid w:val="0"/>
              <w:jc w:val="center"/>
              <w:rPr>
                <w:rFonts w:ascii="宋体" w:hAnsi="宋体"/>
                <w:color w:val="auto"/>
                <w:szCs w:val="21"/>
              </w:rPr>
            </w:pPr>
            <w:r>
              <w:rPr>
                <w:rFonts w:ascii="宋体" w:hAnsi="宋体"/>
                <w:color w:val="auto"/>
                <w:szCs w:val="21"/>
              </w:rPr>
              <w:t>3.3.1</w:t>
            </w:r>
          </w:p>
        </w:tc>
        <w:tc>
          <w:tcPr>
            <w:tcW w:w="2187" w:type="dxa"/>
            <w:vAlign w:val="center"/>
          </w:tcPr>
          <w:p>
            <w:pPr>
              <w:snapToGrid w:val="0"/>
              <w:jc w:val="center"/>
              <w:rPr>
                <w:rFonts w:ascii="宋体" w:hAnsi="宋体"/>
                <w:color w:val="auto"/>
                <w:szCs w:val="21"/>
              </w:rPr>
            </w:pPr>
            <w:r>
              <w:rPr>
                <w:rFonts w:ascii="宋体" w:hAnsi="宋体"/>
                <w:color w:val="auto"/>
                <w:szCs w:val="21"/>
              </w:rPr>
              <w:t>投标有效期</w:t>
            </w:r>
          </w:p>
        </w:tc>
        <w:tc>
          <w:tcPr>
            <w:tcW w:w="6415" w:type="dxa"/>
            <w:vAlign w:val="center"/>
          </w:tcPr>
          <w:p>
            <w:pPr>
              <w:snapToGrid w:val="0"/>
              <w:rPr>
                <w:rFonts w:ascii="宋体" w:hAnsi="宋体"/>
                <w:color w:val="auto"/>
                <w:szCs w:val="21"/>
              </w:rPr>
            </w:pPr>
            <w:bookmarkStart w:id="83" w:name="_Toc384308207"/>
            <w:bookmarkStart w:id="84" w:name="_Toc352691470"/>
            <w:bookmarkStart w:id="85" w:name="_Toc361508582"/>
            <w:bookmarkStart w:id="86" w:name="_Toc1789"/>
            <w:bookmarkStart w:id="87" w:name="_Toc369531512"/>
            <w:bookmarkStart w:id="88" w:name="_Toc300834946"/>
            <w:r>
              <w:rPr>
                <w:rFonts w:hint="eastAsia" w:ascii="宋体" w:hAnsi="宋体"/>
                <w:color w:val="auto"/>
                <w:szCs w:val="21"/>
                <w:u w:val="single"/>
              </w:rPr>
              <w:t>90</w:t>
            </w:r>
            <w:r>
              <w:rPr>
                <w:rFonts w:hint="eastAsia" w:ascii="宋体" w:hAnsi="宋体"/>
                <w:color w:val="auto"/>
                <w:szCs w:val="21"/>
              </w:rPr>
              <w:t>日历天（从投标截止之日算起）</w:t>
            </w:r>
          </w:p>
        </w:tc>
      </w:tr>
      <w:bookmarkEnd w:id="83"/>
      <w:bookmarkEnd w:id="84"/>
      <w:bookmarkEnd w:id="85"/>
      <w:bookmarkEnd w:id="86"/>
      <w:bookmarkEnd w:id="87"/>
      <w:bookmarkEnd w:id="88"/>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90" w:hRule="atLeast"/>
          <w:jc w:val="center"/>
        </w:trPr>
        <w:tc>
          <w:tcPr>
            <w:tcW w:w="1182" w:type="dxa"/>
            <w:vAlign w:val="center"/>
          </w:tcPr>
          <w:p>
            <w:pPr>
              <w:snapToGrid w:val="0"/>
              <w:jc w:val="center"/>
              <w:rPr>
                <w:rFonts w:ascii="宋体" w:hAnsi="宋体"/>
                <w:color w:val="auto"/>
                <w:szCs w:val="21"/>
              </w:rPr>
            </w:pPr>
            <w:r>
              <w:rPr>
                <w:rFonts w:ascii="宋体" w:hAnsi="宋体"/>
                <w:color w:val="auto"/>
                <w:szCs w:val="21"/>
              </w:rPr>
              <w:t>3.4.1</w:t>
            </w:r>
          </w:p>
        </w:tc>
        <w:tc>
          <w:tcPr>
            <w:tcW w:w="2187" w:type="dxa"/>
            <w:vAlign w:val="center"/>
          </w:tcPr>
          <w:p>
            <w:pPr>
              <w:snapToGrid w:val="0"/>
              <w:jc w:val="center"/>
              <w:rPr>
                <w:rFonts w:ascii="宋体" w:hAnsi="宋体"/>
                <w:color w:val="auto"/>
                <w:szCs w:val="21"/>
              </w:rPr>
            </w:pPr>
            <w:r>
              <w:rPr>
                <w:rFonts w:ascii="宋体" w:hAnsi="宋体"/>
                <w:color w:val="auto"/>
                <w:szCs w:val="21"/>
              </w:rPr>
              <w:t>投标保证金</w:t>
            </w:r>
          </w:p>
        </w:tc>
        <w:tc>
          <w:tcPr>
            <w:tcW w:w="6415" w:type="dxa"/>
            <w:vAlign w:val="center"/>
          </w:tcPr>
          <w:p>
            <w:pPr>
              <w:pStyle w:val="11"/>
              <w:topLinePunct/>
              <w:snapToGrid w:val="0"/>
              <w:rPr>
                <w:rFonts w:hAnsi="宋体"/>
                <w:color w:val="auto"/>
                <w:sz w:val="21"/>
                <w:szCs w:val="21"/>
              </w:rPr>
            </w:pPr>
            <w:r>
              <w:rPr>
                <w:rFonts w:hAnsi="宋体"/>
                <w:color w:val="auto"/>
                <w:sz w:val="21"/>
                <w:szCs w:val="21"/>
              </w:rPr>
              <w:t>是否要求投标人递交投标保证金：</w:t>
            </w:r>
          </w:p>
          <w:p>
            <w:pPr>
              <w:pStyle w:val="11"/>
              <w:topLinePunct/>
              <w:snapToGrid w:val="0"/>
              <w:rPr>
                <w:rFonts w:hAnsi="宋体"/>
                <w:color w:val="auto"/>
                <w:sz w:val="21"/>
                <w:szCs w:val="21"/>
              </w:rPr>
            </w:pPr>
            <w:r>
              <w:rPr>
                <w:rFonts w:hAnsi="宋体"/>
                <w:color w:val="auto"/>
                <w:sz w:val="21"/>
                <w:szCs w:val="21"/>
              </w:rPr>
              <w:sym w:font="Wingdings 2" w:char="00A3"/>
            </w:r>
            <w:r>
              <w:rPr>
                <w:rFonts w:hAnsi="宋体"/>
                <w:color w:val="auto"/>
                <w:sz w:val="21"/>
                <w:szCs w:val="21"/>
              </w:rPr>
              <w:t>不要求</w:t>
            </w:r>
          </w:p>
          <w:p>
            <w:pPr>
              <w:pStyle w:val="11"/>
              <w:topLinePunct/>
              <w:snapToGrid w:val="0"/>
              <w:rPr>
                <w:rFonts w:hAnsi="宋体"/>
                <w:color w:val="auto"/>
                <w:sz w:val="21"/>
                <w:szCs w:val="21"/>
              </w:rPr>
            </w:pPr>
            <w:r>
              <w:rPr>
                <w:rFonts w:hint="eastAsia"/>
                <w:color w:val="auto"/>
                <w:sz w:val="21"/>
                <w:szCs w:val="21"/>
              </w:rPr>
              <w:t>■</w:t>
            </w:r>
            <w:r>
              <w:rPr>
                <w:rFonts w:hAnsi="宋体"/>
                <w:color w:val="auto"/>
                <w:sz w:val="21"/>
                <w:szCs w:val="21"/>
              </w:rPr>
              <w:t>要求，</w:t>
            </w:r>
            <w:r>
              <w:rPr>
                <w:rFonts w:hAnsi="宋体"/>
                <w:b/>
                <w:color w:val="auto"/>
                <w:sz w:val="21"/>
                <w:szCs w:val="21"/>
              </w:rPr>
              <w:t>投标保证金的形式：</w:t>
            </w:r>
            <w:r>
              <w:rPr>
                <w:rFonts w:hint="eastAsia" w:hAnsi="宋体"/>
                <w:b/>
                <w:color w:val="auto"/>
                <w:sz w:val="21"/>
                <w:szCs w:val="21"/>
              </w:rPr>
              <w:t>投标保证金可采用现金、支票、</w:t>
            </w:r>
            <w:r>
              <w:rPr>
                <w:rFonts w:hint="eastAsia" w:hAnsi="宋体"/>
                <w:b/>
                <w:bCs/>
                <w:color w:val="auto"/>
                <w:sz w:val="21"/>
                <w:szCs w:val="21"/>
              </w:rPr>
              <w:t>银行保函、保证保险、专业工程担保公司担保</w:t>
            </w:r>
            <w:r>
              <w:rPr>
                <w:rFonts w:hint="eastAsia" w:hAnsi="宋体"/>
                <w:b/>
                <w:color w:val="auto"/>
                <w:sz w:val="21"/>
                <w:szCs w:val="21"/>
              </w:rPr>
              <w:t>形式，须在递交投标文件截止时间前完成缴纳。</w:t>
            </w:r>
          </w:p>
          <w:p>
            <w:pPr>
              <w:pStyle w:val="11"/>
              <w:topLinePunct/>
              <w:snapToGrid w:val="0"/>
              <w:rPr>
                <w:rFonts w:hAnsi="宋体"/>
                <w:color w:val="auto"/>
                <w:sz w:val="21"/>
                <w:szCs w:val="21"/>
              </w:rPr>
            </w:pPr>
            <w:r>
              <w:rPr>
                <w:rFonts w:hint="eastAsia" w:hAnsi="宋体"/>
                <w:color w:val="auto"/>
                <w:sz w:val="21"/>
                <w:szCs w:val="21"/>
              </w:rPr>
              <w:t>1、投标担保额度：人民币</w:t>
            </w:r>
            <w:r>
              <w:rPr>
                <w:rFonts w:hint="eastAsia" w:hAnsi="宋体"/>
                <w:color w:val="auto"/>
                <w:sz w:val="21"/>
                <w:szCs w:val="21"/>
                <w:u w:val="single"/>
              </w:rPr>
              <w:t>2</w:t>
            </w:r>
            <w:r>
              <w:rPr>
                <w:rFonts w:hint="eastAsia" w:hAnsi="宋体"/>
                <w:color w:val="auto"/>
                <w:sz w:val="21"/>
                <w:szCs w:val="21"/>
              </w:rPr>
              <w:t>万元。</w:t>
            </w:r>
          </w:p>
          <w:p>
            <w:pPr>
              <w:pStyle w:val="11"/>
              <w:topLinePunct/>
              <w:snapToGrid w:val="0"/>
              <w:rPr>
                <w:rFonts w:hAnsi="宋体"/>
                <w:color w:val="auto"/>
                <w:sz w:val="21"/>
                <w:szCs w:val="21"/>
              </w:rPr>
            </w:pPr>
            <w:r>
              <w:rPr>
                <w:rFonts w:hint="eastAsia" w:hAnsi="宋体"/>
                <w:color w:val="auto"/>
                <w:sz w:val="21"/>
                <w:szCs w:val="21"/>
              </w:rPr>
              <w:t xml:space="preserve">   投标保证金有效期：长于或等于投标有效期。</w:t>
            </w:r>
          </w:p>
          <w:p>
            <w:pPr>
              <w:pStyle w:val="11"/>
              <w:topLinePunct/>
              <w:snapToGrid w:val="0"/>
              <w:rPr>
                <w:rFonts w:hAnsi="宋体"/>
                <w:color w:val="auto"/>
                <w:sz w:val="21"/>
                <w:szCs w:val="21"/>
              </w:rPr>
            </w:pPr>
            <w:r>
              <w:rPr>
                <w:rFonts w:hint="eastAsia" w:hAnsi="宋体"/>
                <w:color w:val="auto"/>
                <w:sz w:val="21"/>
                <w:szCs w:val="21"/>
              </w:rPr>
              <w:t>2、收取方式：</w:t>
            </w:r>
          </w:p>
          <w:p>
            <w:pPr>
              <w:snapToGrid w:val="0"/>
              <w:ind w:firstLine="420" w:firstLineChars="200"/>
              <w:rPr>
                <w:rFonts w:ascii="宋体" w:hAnsi="宋体"/>
                <w:color w:val="auto"/>
                <w:u w:val="single"/>
              </w:rPr>
            </w:pPr>
            <w:r>
              <w:rPr>
                <w:rFonts w:hint="eastAsia" w:ascii="宋体" w:hAnsi="宋体"/>
                <w:color w:val="auto"/>
                <w:u w:val="single"/>
              </w:rPr>
              <w:t>（1）如采用现金或者支票形式提交的，投标保证金从投标人基本账户递交，由广州公共资源交易中心代收。具体操作要求详见广州公共资源交易中心有关指引，递交事宜请自行咨询交易中心；请各投标人在投标文件递交截止时间前按上述金额递交至广州公共资源交易中心，到账情况以开标时广州公共资源交易中心数据库查询的信息为准。</w:t>
            </w:r>
          </w:p>
          <w:p>
            <w:pPr>
              <w:snapToGrid w:val="0"/>
              <w:rPr>
                <w:rFonts w:ascii="宋体" w:hAnsi="宋体"/>
                <w:color w:val="auto"/>
                <w:u w:val="single"/>
              </w:rPr>
            </w:pPr>
            <w:r>
              <w:rPr>
                <w:rFonts w:hint="eastAsia" w:ascii="宋体" w:hAnsi="宋体"/>
                <w:color w:val="auto"/>
                <w:u w:val="single"/>
              </w:rPr>
              <w:t>投标人需在交易系统中将汇入投标保证金与投标项目进行绑定，绑定成功后才能被认定为完成缴交投标保证金义务。</w:t>
            </w:r>
          </w:p>
          <w:p>
            <w:pPr>
              <w:snapToGrid w:val="0"/>
              <w:ind w:firstLine="420" w:firstLineChars="200"/>
              <w:rPr>
                <w:rFonts w:ascii="宋体" w:hAnsi="宋体"/>
                <w:color w:val="auto"/>
                <w:u w:val="single"/>
              </w:rPr>
            </w:pPr>
            <w:r>
              <w:rPr>
                <w:rFonts w:hint="eastAsia" w:ascii="宋体" w:hAnsi="宋体"/>
                <w:color w:val="auto"/>
                <w:u w:val="single"/>
              </w:rPr>
              <w:t>（2）如采用非电子形式的银行保函、专业工程担保公司担保或保证保险等形式提交投标保证金的，银行保函需开具给招标人，银行保函有效期不少于投标有效期。专业工程担保公司担保或保证保险需开具给招标人（受益人也必须是招标人），有效期不少于投标有效期。在开标前不强制要求投标人提交纸质原件，由中标候选人在中标候选人公示前提交并在网上公示，但投标人应在投标文件中提交保函、担保或保证保险扫描件并加盖投标人电子印章。如投标人选择在开标前提交纸质原件的，可在投标截止时间前15分钟单独密封递交至开标室。</w:t>
            </w:r>
          </w:p>
          <w:p>
            <w:pPr>
              <w:snapToGrid w:val="0"/>
              <w:ind w:firstLine="420" w:firstLineChars="200"/>
              <w:rPr>
                <w:rFonts w:ascii="宋体" w:hAnsi="宋体"/>
                <w:color w:val="auto"/>
                <w:u w:val="single"/>
              </w:rPr>
            </w:pPr>
            <w:r>
              <w:rPr>
                <w:rFonts w:hint="eastAsia" w:ascii="宋体" w:hAnsi="宋体"/>
                <w:color w:val="auto"/>
                <w:u w:val="single"/>
              </w:rPr>
              <w:t>（3）如采用电子形式的保函、担保或保证保险提交投标保证金的，详见广州公共资源交易中心相关操作指引。（本条适用于交易中心系统支持采用电子保函方式递交的情形）</w:t>
            </w:r>
          </w:p>
          <w:p>
            <w:pPr>
              <w:snapToGrid w:val="0"/>
              <w:ind w:firstLine="422" w:firstLineChars="200"/>
              <w:rPr>
                <w:rFonts w:ascii="宋体" w:hAnsi="宋体"/>
                <w:b/>
                <w:color w:val="auto"/>
                <w:u w:val="single"/>
              </w:rPr>
            </w:pPr>
            <w:r>
              <w:rPr>
                <w:rFonts w:hint="eastAsia" w:ascii="宋体" w:hAnsi="宋体"/>
                <w:b/>
                <w:color w:val="auto"/>
                <w:u w:val="single"/>
              </w:rPr>
              <w:t>（4）为降低投标人的交易成本，扩大信用承诺制的应用范围，信用良好企业或中小企业在提供相关资料后可无需缴纳投标保证金：</w:t>
            </w:r>
          </w:p>
          <w:p>
            <w:pPr>
              <w:snapToGrid w:val="0"/>
              <w:ind w:firstLine="422" w:firstLineChars="200"/>
              <w:rPr>
                <w:rFonts w:ascii="宋体" w:hAnsi="宋体"/>
                <w:color w:val="auto"/>
                <w:u w:val="single"/>
              </w:rPr>
            </w:pPr>
            <w:r>
              <w:rPr>
                <w:rFonts w:hint="eastAsia" w:ascii="宋体" w:hAnsi="宋体"/>
                <w:b/>
                <w:color w:val="auto"/>
                <w:u w:val="single"/>
              </w:rPr>
              <w:t>1）信用良好的投标人需提供信用状况良好的相关证明：</w:t>
            </w:r>
            <w:r>
              <w:rPr>
                <w:rFonts w:hint="eastAsia" w:ascii="宋体" w:hAnsi="宋体"/>
                <w:color w:val="auto"/>
                <w:u w:val="single"/>
              </w:rPr>
              <w:t>证明以“信用中国”网站（https://www.creditchina.gov.cn）下载的、由国家公共信用信息中心出具的有效的《法人和其他组织信用信息概况》（以下简称“信用报告”）为准，信用报告的生成时间需在招标公告发布时间至递交投标文件截止时间段内，超出该时间段出具的信用报告无效。信用状况良好是指投标人信用报告中不存在重点关注信息、行政处罚信息、失信惩戒信息、风险提示信息。</w:t>
            </w:r>
          </w:p>
          <w:p>
            <w:pPr>
              <w:snapToGrid w:val="0"/>
              <w:ind w:firstLine="422" w:firstLineChars="200"/>
              <w:rPr>
                <w:rFonts w:ascii="宋体" w:hAnsi="宋体"/>
                <w:color w:val="auto"/>
                <w:u w:val="single"/>
              </w:rPr>
            </w:pPr>
            <w:r>
              <w:rPr>
                <w:rFonts w:hint="eastAsia" w:ascii="宋体" w:hAnsi="宋体"/>
                <w:b/>
                <w:color w:val="auto"/>
                <w:u w:val="single"/>
              </w:rPr>
              <w:t>2）属于中小企业（包括中型、小型和微型企业）的投标人需提供属于中小企业的资料：</w:t>
            </w:r>
            <w:r>
              <w:rPr>
                <w:rFonts w:hint="eastAsia" w:ascii="宋体" w:hAnsi="宋体"/>
                <w:color w:val="auto"/>
                <w:u w:val="single"/>
              </w:rPr>
              <w:t>要求投标人提供自行查询企业划型截图和《中小企业声明函》（详见“第六章  投标文件格式”）。中小企业的划型标准依据《关于印发中小企业划型标准规定的通知》（工信部联企业（2011）300号）执行，投标人提供以http://202.106.120.146/baosong/appweb/orgScale.html网址查询结果为准，网页截图需包含网址信息。没有按上述要求提供证明材料的投标人，不免于交纳投标保证金。</w:t>
            </w:r>
          </w:p>
          <w:p>
            <w:pPr>
              <w:pStyle w:val="11"/>
              <w:topLinePunct/>
              <w:snapToGrid w:val="0"/>
              <w:ind w:firstLine="422" w:firstLineChars="200"/>
              <w:rPr>
                <w:rFonts w:hAnsi="宋体"/>
                <w:color w:val="auto"/>
                <w:sz w:val="21"/>
                <w:szCs w:val="21"/>
              </w:rPr>
            </w:pPr>
            <w:r>
              <w:rPr>
                <w:rFonts w:hint="eastAsia" w:hAnsi="宋体"/>
                <w:b/>
                <w:color w:val="auto"/>
                <w:sz w:val="21"/>
                <w:szCs w:val="22"/>
                <w:u w:val="single"/>
              </w:rPr>
              <w:t>3）免交投标保证金的投标人还需同时提供《关于投标保证金的承诺》（详见“第六章  投标文件格式”）。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1182" w:type="dxa"/>
            <w:vAlign w:val="center"/>
          </w:tcPr>
          <w:p>
            <w:pPr>
              <w:snapToGrid w:val="0"/>
              <w:jc w:val="center"/>
              <w:rPr>
                <w:rFonts w:ascii="宋体" w:hAnsi="宋体"/>
                <w:color w:val="auto"/>
                <w:szCs w:val="21"/>
              </w:rPr>
            </w:pPr>
            <w:r>
              <w:rPr>
                <w:rFonts w:ascii="宋体" w:hAnsi="宋体"/>
                <w:color w:val="auto"/>
                <w:szCs w:val="21"/>
              </w:rPr>
              <w:t>3.4.4</w:t>
            </w:r>
          </w:p>
        </w:tc>
        <w:tc>
          <w:tcPr>
            <w:tcW w:w="2187" w:type="dxa"/>
            <w:vAlign w:val="center"/>
          </w:tcPr>
          <w:p>
            <w:pPr>
              <w:snapToGrid w:val="0"/>
              <w:jc w:val="center"/>
              <w:rPr>
                <w:rFonts w:ascii="宋体" w:hAnsi="宋体"/>
                <w:color w:val="auto"/>
                <w:szCs w:val="21"/>
              </w:rPr>
            </w:pPr>
            <w:r>
              <w:rPr>
                <w:rFonts w:ascii="宋体" w:hAnsi="宋体"/>
                <w:color w:val="auto"/>
                <w:szCs w:val="21"/>
              </w:rPr>
              <w:t>其他可以不予退还投标保证金的情形</w:t>
            </w:r>
          </w:p>
        </w:tc>
        <w:tc>
          <w:tcPr>
            <w:tcW w:w="6415" w:type="dxa"/>
            <w:vAlign w:val="center"/>
          </w:tcPr>
          <w:p>
            <w:pPr>
              <w:snapToGrid w:val="0"/>
              <w:rPr>
                <w:color w:val="auto"/>
              </w:rPr>
            </w:pPr>
            <w:r>
              <w:rPr>
                <w:rFonts w:hint="eastAsia"/>
                <w:color w:val="auto"/>
              </w:rPr>
              <w:t>1、投标人在招标文件规定的投标有效期内撤回其投标；中标人在规定期限内未能根据规定签订合同；或者根据规定接受对错误的修正；根据规定提交履约保证金；</w:t>
            </w:r>
          </w:p>
          <w:p>
            <w:pPr>
              <w:rPr>
                <w:color w:val="auto"/>
              </w:rPr>
            </w:pPr>
            <w:r>
              <w:rPr>
                <w:rFonts w:hint="eastAsia"/>
                <w:color w:val="auto"/>
              </w:rPr>
              <w:t>2、投标人采用不正当的手段骗取中标。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jc w:val="center"/>
        </w:trPr>
        <w:tc>
          <w:tcPr>
            <w:tcW w:w="1182" w:type="dxa"/>
            <w:vAlign w:val="center"/>
          </w:tcPr>
          <w:p>
            <w:pPr>
              <w:snapToGrid w:val="0"/>
              <w:jc w:val="center"/>
              <w:rPr>
                <w:rFonts w:ascii="宋体" w:hAnsi="宋体"/>
                <w:color w:val="auto"/>
                <w:szCs w:val="21"/>
              </w:rPr>
            </w:pPr>
            <w:r>
              <w:rPr>
                <w:rFonts w:ascii="宋体" w:hAnsi="宋体"/>
                <w:color w:val="auto"/>
                <w:szCs w:val="21"/>
              </w:rPr>
              <w:t>3.5</w:t>
            </w:r>
          </w:p>
        </w:tc>
        <w:tc>
          <w:tcPr>
            <w:tcW w:w="2187" w:type="dxa"/>
            <w:vAlign w:val="center"/>
          </w:tcPr>
          <w:p>
            <w:pPr>
              <w:snapToGrid w:val="0"/>
              <w:jc w:val="center"/>
              <w:rPr>
                <w:rFonts w:ascii="宋体" w:hAnsi="宋体"/>
                <w:color w:val="auto"/>
                <w:szCs w:val="21"/>
              </w:rPr>
            </w:pPr>
            <w:r>
              <w:rPr>
                <w:rFonts w:ascii="宋体" w:hAnsi="宋体"/>
                <w:color w:val="auto"/>
                <w:szCs w:val="21"/>
              </w:rPr>
              <w:t>资格审查资料的特殊要求</w:t>
            </w:r>
          </w:p>
        </w:tc>
        <w:tc>
          <w:tcPr>
            <w:tcW w:w="6415" w:type="dxa"/>
            <w:vAlign w:val="center"/>
          </w:tcPr>
          <w:p>
            <w:pPr>
              <w:pStyle w:val="11"/>
              <w:topLinePunct/>
              <w:snapToGrid w:val="0"/>
              <w:rPr>
                <w:rFonts w:hAnsi="宋体"/>
                <w:color w:val="auto"/>
                <w:sz w:val="21"/>
                <w:szCs w:val="21"/>
              </w:rPr>
            </w:pPr>
            <w:r>
              <w:rPr>
                <w:rFonts w:hint="eastAsia"/>
                <w:color w:val="auto"/>
                <w:sz w:val="21"/>
                <w:szCs w:val="21"/>
              </w:rPr>
              <w:t>■</w:t>
            </w:r>
            <w:r>
              <w:rPr>
                <w:rFonts w:hAnsi="宋体"/>
                <w:color w:val="auto"/>
                <w:sz w:val="21"/>
                <w:szCs w:val="21"/>
              </w:rPr>
              <w:t>无</w:t>
            </w:r>
          </w:p>
          <w:p>
            <w:pPr>
              <w:pStyle w:val="11"/>
              <w:topLinePunct/>
              <w:snapToGrid w:val="0"/>
              <w:rPr>
                <w:rFonts w:hAnsi="宋体"/>
                <w:color w:val="auto"/>
                <w:sz w:val="21"/>
                <w:szCs w:val="21"/>
              </w:rPr>
            </w:pPr>
            <w:r>
              <w:rPr>
                <w:rFonts w:hAnsi="宋体"/>
                <w:color w:val="auto"/>
                <w:sz w:val="21"/>
                <w:szCs w:val="21"/>
              </w:rPr>
              <w:sym w:font="Wingdings 2" w:char="00A3"/>
            </w:r>
            <w:r>
              <w:rPr>
                <w:rFonts w:hAnsi="宋体"/>
                <w:color w:val="auto"/>
                <w:sz w:val="21"/>
                <w:szCs w:val="21"/>
              </w:rPr>
              <w:t>有，具体要求：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1182" w:type="dxa"/>
            <w:vAlign w:val="center"/>
          </w:tcPr>
          <w:p>
            <w:pPr>
              <w:snapToGrid w:val="0"/>
              <w:jc w:val="center"/>
              <w:rPr>
                <w:rFonts w:ascii="宋体" w:hAnsi="宋体"/>
                <w:color w:val="auto"/>
                <w:szCs w:val="21"/>
              </w:rPr>
            </w:pPr>
            <w:r>
              <w:rPr>
                <w:rFonts w:ascii="宋体" w:hAnsi="宋体"/>
                <w:color w:val="auto"/>
                <w:szCs w:val="21"/>
              </w:rPr>
              <w:t>3.5.2</w:t>
            </w:r>
          </w:p>
        </w:tc>
        <w:tc>
          <w:tcPr>
            <w:tcW w:w="2187" w:type="dxa"/>
            <w:vAlign w:val="center"/>
          </w:tcPr>
          <w:p>
            <w:pPr>
              <w:snapToGrid w:val="0"/>
              <w:jc w:val="center"/>
              <w:rPr>
                <w:rFonts w:ascii="宋体" w:hAnsi="宋体"/>
                <w:color w:val="auto"/>
                <w:szCs w:val="21"/>
              </w:rPr>
            </w:pPr>
            <w:r>
              <w:rPr>
                <w:rFonts w:ascii="宋体" w:hAnsi="宋体"/>
                <w:color w:val="auto"/>
                <w:szCs w:val="21"/>
              </w:rPr>
              <w:t>近年财务状况的年份要求</w:t>
            </w:r>
          </w:p>
        </w:tc>
        <w:tc>
          <w:tcPr>
            <w:tcW w:w="6415" w:type="dxa"/>
            <w:vAlign w:val="center"/>
          </w:tcPr>
          <w:p>
            <w:pPr>
              <w:snapToGrid w:val="0"/>
              <w:rPr>
                <w:rFonts w:ascii="宋体" w:hAnsi="宋体"/>
                <w:color w:val="auto"/>
                <w:szCs w:val="21"/>
                <w:u w:val="single"/>
              </w:rPr>
            </w:pPr>
            <w:r>
              <w:rPr>
                <w:rFonts w:hint="eastAsia" w:ascii="宋体" w:hAnsi="宋体"/>
                <w:color w:val="auto"/>
                <w:szCs w:val="21"/>
                <w:u w:val="single"/>
              </w:rPr>
              <w:t xml:space="preserve"> / </w:t>
            </w:r>
            <w:r>
              <w:rPr>
                <w:rFonts w:ascii="宋体" w:hAnsi="宋体"/>
                <w:color w:val="auto"/>
                <w:szCs w:val="21"/>
              </w:rPr>
              <w:t>年至</w:t>
            </w:r>
            <w:r>
              <w:rPr>
                <w:rFonts w:hint="eastAsia" w:ascii="宋体" w:hAnsi="宋体"/>
                <w:color w:val="auto"/>
                <w:szCs w:val="21"/>
                <w:u w:val="single"/>
              </w:rPr>
              <w:t xml:space="preserve"> / </w:t>
            </w:r>
            <w:r>
              <w:rPr>
                <w:rFonts w:ascii="宋体" w:hAnsi="宋体"/>
                <w:color w:val="auto"/>
                <w:szCs w:val="21"/>
              </w:rPr>
              <w:t>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1182" w:type="dxa"/>
            <w:vAlign w:val="center"/>
          </w:tcPr>
          <w:p>
            <w:pPr>
              <w:snapToGrid w:val="0"/>
              <w:jc w:val="center"/>
              <w:rPr>
                <w:rFonts w:ascii="宋体" w:hAnsi="宋体"/>
                <w:color w:val="auto"/>
                <w:szCs w:val="21"/>
              </w:rPr>
            </w:pPr>
            <w:r>
              <w:rPr>
                <w:rFonts w:ascii="宋体" w:hAnsi="宋体"/>
                <w:color w:val="auto"/>
                <w:szCs w:val="21"/>
              </w:rPr>
              <w:t>3.5.3</w:t>
            </w:r>
          </w:p>
        </w:tc>
        <w:tc>
          <w:tcPr>
            <w:tcW w:w="2187" w:type="dxa"/>
            <w:vAlign w:val="center"/>
          </w:tcPr>
          <w:p>
            <w:pPr>
              <w:snapToGrid w:val="0"/>
              <w:jc w:val="center"/>
              <w:rPr>
                <w:rFonts w:ascii="宋体" w:hAnsi="宋体"/>
                <w:color w:val="auto"/>
                <w:szCs w:val="21"/>
              </w:rPr>
            </w:pPr>
            <w:r>
              <w:rPr>
                <w:rFonts w:ascii="宋体" w:hAnsi="宋体"/>
                <w:color w:val="auto"/>
                <w:szCs w:val="21"/>
              </w:rPr>
              <w:t>近年完成的类似项目情况</w:t>
            </w:r>
            <w:r>
              <w:rPr>
                <w:rFonts w:hint="eastAsia" w:ascii="宋体" w:hAnsi="宋体"/>
                <w:color w:val="auto"/>
                <w:szCs w:val="21"/>
              </w:rPr>
              <w:t>的</w:t>
            </w:r>
            <w:r>
              <w:rPr>
                <w:rFonts w:ascii="宋体" w:hAnsi="宋体"/>
                <w:color w:val="auto"/>
                <w:szCs w:val="21"/>
              </w:rPr>
              <w:t>时间要求</w:t>
            </w:r>
          </w:p>
        </w:tc>
        <w:tc>
          <w:tcPr>
            <w:tcW w:w="6415" w:type="dxa"/>
            <w:vAlign w:val="center"/>
          </w:tcPr>
          <w:p>
            <w:pPr>
              <w:snapToGrid w:val="0"/>
              <w:rPr>
                <w:rFonts w:ascii="宋体" w:hAnsi="宋体"/>
                <w:color w:val="auto"/>
                <w:szCs w:val="21"/>
              </w:rPr>
            </w:pPr>
            <w:r>
              <w:rPr>
                <w:rFonts w:hint="eastAsia" w:ascii="宋体" w:hAnsi="宋体"/>
                <w:color w:val="auto"/>
                <w:szCs w:val="21"/>
                <w:u w:val="single"/>
              </w:rPr>
              <w:t xml:space="preserve"> / </w:t>
            </w:r>
            <w:r>
              <w:rPr>
                <w:rFonts w:hint="eastAsia" w:ascii="宋体" w:hAnsi="宋体" w:cs="宋体"/>
                <w:color w:val="auto"/>
                <w:szCs w:val="21"/>
              </w:rPr>
              <w:t>年</w:t>
            </w:r>
            <w:r>
              <w:rPr>
                <w:rFonts w:hint="eastAsia" w:ascii="宋体" w:hAnsi="宋体"/>
                <w:color w:val="auto"/>
                <w:szCs w:val="21"/>
                <w:u w:val="single"/>
              </w:rPr>
              <w:t xml:space="preserve"> / </w:t>
            </w:r>
            <w:r>
              <w:rPr>
                <w:rFonts w:hint="eastAsia" w:ascii="宋体" w:hAnsi="宋体" w:cs="宋体"/>
                <w:color w:val="auto"/>
                <w:szCs w:val="21"/>
              </w:rPr>
              <w:t>月</w:t>
            </w:r>
            <w:r>
              <w:rPr>
                <w:rFonts w:hint="eastAsia" w:ascii="宋体" w:hAnsi="宋体"/>
                <w:color w:val="auto"/>
                <w:szCs w:val="21"/>
                <w:u w:val="single"/>
              </w:rPr>
              <w:t xml:space="preserve"> / </w:t>
            </w:r>
            <w:r>
              <w:rPr>
                <w:rFonts w:hint="eastAsia" w:ascii="宋体" w:hAnsi="宋体" w:cs="宋体"/>
                <w:color w:val="auto"/>
                <w:szCs w:val="21"/>
              </w:rPr>
              <w:t>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1182" w:type="dxa"/>
            <w:vAlign w:val="center"/>
          </w:tcPr>
          <w:p>
            <w:pPr>
              <w:snapToGrid w:val="0"/>
              <w:jc w:val="center"/>
              <w:rPr>
                <w:rFonts w:ascii="宋体" w:hAnsi="宋体"/>
                <w:color w:val="auto"/>
                <w:szCs w:val="21"/>
              </w:rPr>
            </w:pPr>
            <w:r>
              <w:rPr>
                <w:rFonts w:ascii="宋体" w:hAnsi="宋体"/>
                <w:color w:val="auto"/>
                <w:szCs w:val="21"/>
              </w:rPr>
              <w:t>3.5.5</w:t>
            </w:r>
          </w:p>
        </w:tc>
        <w:tc>
          <w:tcPr>
            <w:tcW w:w="2187" w:type="dxa"/>
            <w:vAlign w:val="center"/>
          </w:tcPr>
          <w:p>
            <w:pPr>
              <w:snapToGrid w:val="0"/>
              <w:jc w:val="center"/>
              <w:rPr>
                <w:rFonts w:ascii="宋体" w:hAnsi="宋体"/>
                <w:color w:val="auto"/>
                <w:szCs w:val="21"/>
              </w:rPr>
            </w:pPr>
            <w:r>
              <w:rPr>
                <w:rFonts w:ascii="宋体" w:hAnsi="宋体"/>
                <w:color w:val="auto"/>
                <w:szCs w:val="21"/>
              </w:rPr>
              <w:t>近年发生的诉讼及仲裁情况的时间要求</w:t>
            </w:r>
          </w:p>
        </w:tc>
        <w:tc>
          <w:tcPr>
            <w:tcW w:w="6415" w:type="dxa"/>
            <w:vAlign w:val="center"/>
          </w:tcPr>
          <w:p>
            <w:pPr>
              <w:snapToGrid w:val="0"/>
              <w:rPr>
                <w:rFonts w:ascii="宋体" w:hAnsi="宋体"/>
                <w:color w:val="auto"/>
                <w:szCs w:val="21"/>
              </w:rPr>
            </w:pPr>
            <w:r>
              <w:rPr>
                <w:rFonts w:hint="eastAsia" w:ascii="宋体" w:hAnsi="宋体"/>
                <w:color w:val="auto"/>
                <w:szCs w:val="21"/>
                <w:u w:val="single"/>
              </w:rPr>
              <w:t xml:space="preserve"> / </w:t>
            </w:r>
            <w:r>
              <w:rPr>
                <w:rFonts w:ascii="宋体" w:hAnsi="宋体"/>
                <w:color w:val="auto"/>
                <w:szCs w:val="21"/>
              </w:rPr>
              <w:t>年</w:t>
            </w:r>
            <w:r>
              <w:rPr>
                <w:rFonts w:hint="eastAsia" w:ascii="宋体" w:hAnsi="宋体"/>
                <w:color w:val="auto"/>
                <w:szCs w:val="21"/>
                <w:u w:val="single"/>
              </w:rPr>
              <w:t xml:space="preserve"> /</w:t>
            </w:r>
            <w:r>
              <w:rPr>
                <w:rFonts w:ascii="宋体" w:hAnsi="宋体"/>
                <w:color w:val="auto"/>
                <w:szCs w:val="21"/>
              </w:rPr>
              <w:t>月</w:t>
            </w:r>
            <w:r>
              <w:rPr>
                <w:rFonts w:hint="eastAsia" w:ascii="宋体" w:hAnsi="宋体"/>
                <w:color w:val="auto"/>
                <w:szCs w:val="21"/>
                <w:u w:val="single"/>
              </w:rPr>
              <w:t xml:space="preserve"> / </w:t>
            </w:r>
            <w:r>
              <w:rPr>
                <w:rFonts w:ascii="宋体" w:hAnsi="宋体"/>
                <w:color w:val="auto"/>
                <w:szCs w:val="21"/>
              </w:rPr>
              <w:t>日至</w:t>
            </w:r>
            <w:r>
              <w:rPr>
                <w:rFonts w:hint="eastAsia" w:ascii="宋体" w:hAnsi="宋体"/>
                <w:color w:val="auto"/>
                <w:szCs w:val="21"/>
                <w:u w:val="single"/>
              </w:rPr>
              <w:t xml:space="preserve"> / </w:t>
            </w:r>
            <w:r>
              <w:rPr>
                <w:rFonts w:ascii="宋体" w:hAnsi="宋体"/>
                <w:color w:val="auto"/>
                <w:szCs w:val="21"/>
              </w:rPr>
              <w:t>年</w:t>
            </w:r>
            <w:r>
              <w:rPr>
                <w:rFonts w:hint="eastAsia" w:ascii="宋体" w:hAnsi="宋体"/>
                <w:color w:val="auto"/>
                <w:szCs w:val="21"/>
                <w:u w:val="single"/>
              </w:rPr>
              <w:t xml:space="preserve"> / </w:t>
            </w:r>
            <w:r>
              <w:rPr>
                <w:rFonts w:ascii="宋体" w:hAnsi="宋体"/>
                <w:color w:val="auto"/>
                <w:szCs w:val="21"/>
              </w:rPr>
              <w:t>月</w:t>
            </w:r>
            <w:r>
              <w:rPr>
                <w:rFonts w:hint="eastAsia" w:ascii="宋体" w:hAnsi="宋体"/>
                <w:color w:val="auto"/>
                <w:szCs w:val="21"/>
                <w:u w:val="single"/>
              </w:rPr>
              <w:t xml:space="preserve"> / </w:t>
            </w:r>
            <w:r>
              <w:rPr>
                <w:rFonts w:ascii="宋体" w:hAnsi="宋体"/>
                <w:color w:val="auto"/>
                <w:szCs w:val="21"/>
              </w:rPr>
              <w:t>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3" w:hRule="atLeast"/>
          <w:jc w:val="center"/>
        </w:trPr>
        <w:tc>
          <w:tcPr>
            <w:tcW w:w="1182" w:type="dxa"/>
            <w:vAlign w:val="center"/>
          </w:tcPr>
          <w:p>
            <w:pPr>
              <w:snapToGrid w:val="0"/>
              <w:jc w:val="center"/>
              <w:rPr>
                <w:rFonts w:ascii="宋体" w:hAnsi="宋体"/>
                <w:color w:val="auto"/>
                <w:szCs w:val="21"/>
              </w:rPr>
            </w:pPr>
            <w:r>
              <w:rPr>
                <w:rFonts w:ascii="宋体" w:hAnsi="宋体"/>
                <w:color w:val="auto"/>
                <w:szCs w:val="21"/>
              </w:rPr>
              <w:t>3.6.1</w:t>
            </w:r>
          </w:p>
        </w:tc>
        <w:tc>
          <w:tcPr>
            <w:tcW w:w="2187" w:type="dxa"/>
            <w:vAlign w:val="center"/>
          </w:tcPr>
          <w:p>
            <w:pPr>
              <w:snapToGrid w:val="0"/>
              <w:jc w:val="center"/>
              <w:rPr>
                <w:rFonts w:ascii="宋体" w:hAnsi="宋体"/>
                <w:color w:val="auto"/>
                <w:szCs w:val="21"/>
              </w:rPr>
            </w:pPr>
            <w:r>
              <w:rPr>
                <w:rFonts w:ascii="宋体" w:hAnsi="宋体"/>
                <w:color w:val="auto"/>
                <w:szCs w:val="21"/>
              </w:rPr>
              <w:t>是否允许递交备选投标方案</w:t>
            </w:r>
          </w:p>
        </w:tc>
        <w:tc>
          <w:tcPr>
            <w:tcW w:w="6415" w:type="dxa"/>
            <w:vAlign w:val="center"/>
          </w:tcPr>
          <w:p>
            <w:pPr>
              <w:pStyle w:val="11"/>
              <w:topLinePunct/>
              <w:snapToGrid w:val="0"/>
              <w:rPr>
                <w:rFonts w:hAnsi="宋体"/>
                <w:color w:val="auto"/>
                <w:sz w:val="21"/>
                <w:szCs w:val="21"/>
              </w:rPr>
            </w:pPr>
            <w:r>
              <w:rPr>
                <w:rFonts w:hint="eastAsia"/>
                <w:color w:val="auto"/>
                <w:sz w:val="21"/>
                <w:szCs w:val="21"/>
              </w:rPr>
              <w:t>■</w:t>
            </w:r>
            <w:r>
              <w:rPr>
                <w:rFonts w:hAnsi="宋体"/>
                <w:color w:val="auto"/>
                <w:sz w:val="21"/>
                <w:szCs w:val="21"/>
              </w:rPr>
              <w:t>不允许</w:t>
            </w:r>
          </w:p>
          <w:p>
            <w:pPr>
              <w:snapToGrid w:val="0"/>
              <w:rPr>
                <w:rFonts w:ascii="宋体" w:hAnsi="宋体"/>
                <w:color w:val="auto"/>
                <w:szCs w:val="21"/>
              </w:rPr>
            </w:pPr>
            <w:r>
              <w:rPr>
                <w:rFonts w:ascii="宋体" w:hAnsi="宋体"/>
                <w:color w:val="auto"/>
                <w:szCs w:val="21"/>
              </w:rPr>
              <w:sym w:font="Wingdings 2" w:char="00A3"/>
            </w:r>
            <w:r>
              <w:rPr>
                <w:rFonts w:ascii="宋体" w:hAnsi="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6" w:hRule="atLeast"/>
          <w:jc w:val="center"/>
        </w:trPr>
        <w:tc>
          <w:tcPr>
            <w:tcW w:w="1182" w:type="dxa"/>
            <w:vAlign w:val="center"/>
          </w:tcPr>
          <w:p>
            <w:pPr>
              <w:snapToGrid w:val="0"/>
              <w:jc w:val="center"/>
              <w:rPr>
                <w:rFonts w:ascii="宋体" w:hAnsi="宋体"/>
                <w:color w:val="auto"/>
                <w:szCs w:val="21"/>
              </w:rPr>
            </w:pPr>
            <w:r>
              <w:rPr>
                <w:rFonts w:ascii="宋体" w:hAnsi="宋体"/>
                <w:color w:val="auto"/>
                <w:szCs w:val="21"/>
              </w:rPr>
              <w:t>3.7.3A（2）</w:t>
            </w:r>
          </w:p>
        </w:tc>
        <w:tc>
          <w:tcPr>
            <w:tcW w:w="2187" w:type="dxa"/>
            <w:vAlign w:val="center"/>
          </w:tcPr>
          <w:p>
            <w:pPr>
              <w:snapToGrid w:val="0"/>
              <w:jc w:val="center"/>
              <w:rPr>
                <w:rFonts w:ascii="宋体" w:hAnsi="宋体"/>
                <w:color w:val="auto"/>
                <w:szCs w:val="21"/>
              </w:rPr>
            </w:pPr>
            <w:r>
              <w:rPr>
                <w:rFonts w:hint="eastAsia" w:ascii="宋体" w:hAnsi="宋体"/>
                <w:color w:val="auto"/>
                <w:szCs w:val="21"/>
              </w:rPr>
              <w:t>投标文件副本份数及其他要求</w:t>
            </w:r>
          </w:p>
        </w:tc>
        <w:tc>
          <w:tcPr>
            <w:tcW w:w="6415" w:type="dxa"/>
            <w:vAlign w:val="center"/>
          </w:tcPr>
          <w:p>
            <w:pPr>
              <w:snapToGrid w:val="0"/>
              <w:rPr>
                <w:rFonts w:ascii="宋体" w:hAnsi="宋体"/>
                <w:color w:val="auto"/>
                <w:szCs w:val="21"/>
                <w:u w:val="single"/>
              </w:rPr>
            </w:pPr>
            <w:r>
              <w:rPr>
                <w:rFonts w:hint="eastAsia" w:ascii="宋体" w:hAnsi="宋体"/>
                <w:color w:val="auto"/>
                <w:szCs w:val="21"/>
                <w:u w:val="single"/>
              </w:rPr>
              <w:t>中标单位在发放中标通知书后三日内提供三套与电子投标文件相符的纸质版投标文件给招标人。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182" w:type="dxa"/>
            <w:vAlign w:val="center"/>
          </w:tcPr>
          <w:p>
            <w:pPr>
              <w:snapToGrid w:val="0"/>
              <w:jc w:val="center"/>
              <w:rPr>
                <w:rFonts w:ascii="宋体" w:hAnsi="宋体"/>
                <w:color w:val="auto"/>
                <w:szCs w:val="21"/>
              </w:rPr>
            </w:pPr>
            <w:r>
              <w:rPr>
                <w:rFonts w:ascii="宋体" w:hAnsi="宋体"/>
                <w:color w:val="auto"/>
                <w:szCs w:val="21"/>
              </w:rPr>
              <w:t>3.7.3A（3）</w:t>
            </w:r>
          </w:p>
        </w:tc>
        <w:tc>
          <w:tcPr>
            <w:tcW w:w="2187" w:type="dxa"/>
            <w:vAlign w:val="center"/>
          </w:tcPr>
          <w:p>
            <w:pPr>
              <w:snapToGrid w:val="0"/>
              <w:jc w:val="center"/>
              <w:rPr>
                <w:rFonts w:ascii="宋体" w:hAnsi="宋体"/>
                <w:color w:val="auto"/>
                <w:szCs w:val="21"/>
              </w:rPr>
            </w:pPr>
            <w:r>
              <w:rPr>
                <w:rFonts w:ascii="宋体" w:hAnsi="宋体"/>
                <w:color w:val="auto"/>
                <w:szCs w:val="21"/>
              </w:rPr>
              <w:t>投标文件是否需分册装订</w:t>
            </w:r>
          </w:p>
        </w:tc>
        <w:tc>
          <w:tcPr>
            <w:tcW w:w="6415" w:type="dxa"/>
            <w:vAlign w:val="center"/>
          </w:tcPr>
          <w:p>
            <w:pPr>
              <w:snapToGrid w:val="0"/>
              <w:rPr>
                <w:rFonts w:ascii="宋体" w:hAnsi="宋体"/>
                <w:color w:val="auto"/>
                <w:szCs w:val="21"/>
                <w:u w:val="single"/>
              </w:rPr>
            </w:pPr>
            <w:r>
              <w:rPr>
                <w:rFonts w:hint="eastAsia" w:ascii="宋体" w:hAnsi="宋体"/>
                <w:color w:val="auto"/>
                <w:szCs w:val="21"/>
                <w:u w:val="single"/>
              </w:rPr>
              <w:t>本项目不适用。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7" w:hRule="atLeast"/>
          <w:jc w:val="center"/>
        </w:trPr>
        <w:tc>
          <w:tcPr>
            <w:tcW w:w="1182" w:type="dxa"/>
            <w:vAlign w:val="center"/>
          </w:tcPr>
          <w:p>
            <w:pPr>
              <w:snapToGrid w:val="0"/>
              <w:jc w:val="center"/>
              <w:rPr>
                <w:rFonts w:ascii="宋体" w:hAnsi="宋体"/>
                <w:color w:val="auto"/>
                <w:szCs w:val="21"/>
              </w:rPr>
            </w:pPr>
            <w:r>
              <w:rPr>
                <w:rFonts w:ascii="宋体" w:hAnsi="宋体"/>
                <w:color w:val="auto"/>
                <w:szCs w:val="21"/>
              </w:rPr>
              <w:t>3.7.3（B）</w:t>
            </w:r>
          </w:p>
        </w:tc>
        <w:tc>
          <w:tcPr>
            <w:tcW w:w="2187" w:type="dxa"/>
            <w:vAlign w:val="center"/>
          </w:tcPr>
          <w:p>
            <w:pPr>
              <w:snapToGrid w:val="0"/>
              <w:jc w:val="center"/>
              <w:rPr>
                <w:rFonts w:ascii="宋体" w:hAnsi="宋体"/>
                <w:color w:val="auto"/>
                <w:szCs w:val="21"/>
              </w:rPr>
            </w:pPr>
            <w:r>
              <w:rPr>
                <w:rFonts w:ascii="宋体" w:hAnsi="宋体"/>
                <w:color w:val="auto"/>
                <w:szCs w:val="21"/>
              </w:rPr>
              <w:t>投标文件所附证书证件要求</w:t>
            </w:r>
          </w:p>
        </w:tc>
        <w:tc>
          <w:tcPr>
            <w:tcW w:w="6415" w:type="dxa"/>
            <w:vAlign w:val="center"/>
          </w:tcPr>
          <w:p>
            <w:pPr>
              <w:pStyle w:val="11"/>
              <w:topLinePunct/>
              <w:snapToGrid w:val="0"/>
              <w:rPr>
                <w:rFonts w:hAnsi="宋体"/>
                <w:color w:val="auto"/>
                <w:sz w:val="21"/>
                <w:szCs w:val="21"/>
              </w:rPr>
            </w:pPr>
            <w:r>
              <w:rPr>
                <w:rFonts w:hint="eastAsia" w:hAnsi="宋体"/>
                <w:color w:val="auto"/>
                <w:sz w:val="21"/>
                <w:szCs w:val="21"/>
                <w:u w:val="single"/>
              </w:rPr>
              <w:t>证书证件需为原件清晰扫描件，并采用单位数字证书，按照招标文件要求在相应位置加盖电子印章。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48" w:hRule="atLeast"/>
          <w:jc w:val="center"/>
        </w:trPr>
        <w:tc>
          <w:tcPr>
            <w:tcW w:w="1182" w:type="dxa"/>
            <w:vAlign w:val="center"/>
          </w:tcPr>
          <w:p>
            <w:pPr>
              <w:snapToGrid w:val="0"/>
              <w:jc w:val="center"/>
              <w:rPr>
                <w:rFonts w:ascii="宋体" w:hAnsi="宋体"/>
                <w:color w:val="auto"/>
                <w:szCs w:val="21"/>
              </w:rPr>
            </w:pPr>
            <w:r>
              <w:rPr>
                <w:rFonts w:ascii="宋体" w:hAnsi="宋体"/>
                <w:color w:val="auto"/>
                <w:szCs w:val="21"/>
              </w:rPr>
              <w:t>3.7.3（B）</w:t>
            </w:r>
          </w:p>
        </w:tc>
        <w:tc>
          <w:tcPr>
            <w:tcW w:w="2187" w:type="dxa"/>
            <w:vAlign w:val="center"/>
          </w:tcPr>
          <w:p>
            <w:pPr>
              <w:snapToGrid w:val="0"/>
              <w:jc w:val="center"/>
              <w:rPr>
                <w:rFonts w:ascii="宋体" w:hAnsi="宋体"/>
                <w:color w:val="auto"/>
                <w:szCs w:val="21"/>
              </w:rPr>
            </w:pPr>
            <w:r>
              <w:rPr>
                <w:rFonts w:ascii="宋体" w:hAnsi="宋体"/>
                <w:color w:val="auto"/>
                <w:szCs w:val="21"/>
              </w:rPr>
              <w:t>投标文件签字或盖章要求</w:t>
            </w:r>
          </w:p>
        </w:tc>
        <w:tc>
          <w:tcPr>
            <w:tcW w:w="6415" w:type="dxa"/>
            <w:vAlign w:val="center"/>
          </w:tcPr>
          <w:p>
            <w:pPr>
              <w:pStyle w:val="11"/>
              <w:topLinePunct/>
              <w:snapToGrid w:val="0"/>
              <w:rPr>
                <w:color w:val="auto"/>
                <w:sz w:val="21"/>
                <w:szCs w:val="21"/>
                <w:u w:val="single"/>
              </w:rPr>
            </w:pPr>
            <w:r>
              <w:rPr>
                <w:rFonts w:hint="eastAsia"/>
                <w:color w:val="auto"/>
                <w:sz w:val="21"/>
                <w:szCs w:val="21"/>
                <w:u w:val="single"/>
              </w:rPr>
              <w:t>取消在招标文件中采用个人数字证书和加盖个人电子印章要求，投标文件中需个人签字或盖章的，应手签或盖章后扫描上传。投标文件按招标文件要求加盖单位电子印章。具体操作详见广州公共资源交易中心发布的最新版本《房屋建筑和市政基础设施工程全流程电子化项目专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74" w:hRule="atLeast"/>
          <w:jc w:val="center"/>
        </w:trPr>
        <w:tc>
          <w:tcPr>
            <w:tcW w:w="1182" w:type="dxa"/>
            <w:vAlign w:val="center"/>
          </w:tcPr>
          <w:p>
            <w:pPr>
              <w:snapToGrid w:val="0"/>
              <w:jc w:val="center"/>
              <w:rPr>
                <w:rFonts w:ascii="宋体" w:hAnsi="宋体"/>
                <w:color w:val="auto"/>
                <w:szCs w:val="21"/>
              </w:rPr>
            </w:pPr>
            <w:r>
              <w:rPr>
                <w:rFonts w:ascii="宋体" w:hAnsi="宋体"/>
                <w:color w:val="auto"/>
                <w:szCs w:val="21"/>
              </w:rPr>
              <w:t>4.1.1（B）</w:t>
            </w:r>
          </w:p>
        </w:tc>
        <w:tc>
          <w:tcPr>
            <w:tcW w:w="2187" w:type="dxa"/>
            <w:vAlign w:val="center"/>
          </w:tcPr>
          <w:p>
            <w:pPr>
              <w:snapToGrid w:val="0"/>
              <w:jc w:val="center"/>
              <w:rPr>
                <w:rFonts w:ascii="宋体" w:hAnsi="宋体"/>
                <w:color w:val="auto"/>
                <w:szCs w:val="21"/>
              </w:rPr>
            </w:pPr>
            <w:r>
              <w:rPr>
                <w:rFonts w:ascii="宋体" w:hAnsi="宋体"/>
                <w:color w:val="auto"/>
                <w:szCs w:val="21"/>
              </w:rPr>
              <w:t>投标文件加密要求</w:t>
            </w:r>
          </w:p>
        </w:tc>
        <w:tc>
          <w:tcPr>
            <w:tcW w:w="6415" w:type="dxa"/>
            <w:vAlign w:val="center"/>
          </w:tcPr>
          <w:p>
            <w:pPr>
              <w:pStyle w:val="11"/>
              <w:topLinePunct/>
              <w:snapToGrid w:val="0"/>
              <w:rPr>
                <w:rFonts w:hint="eastAsia" w:hAnsi="宋体" w:eastAsia="宋体"/>
                <w:color w:val="auto"/>
                <w:szCs w:val="21"/>
                <w:u w:val="single"/>
                <w:lang w:eastAsia="zh-CN"/>
              </w:rPr>
            </w:pPr>
            <w:r>
              <w:rPr>
                <w:rFonts w:hint="eastAsia"/>
                <w:color w:val="auto"/>
                <w:sz w:val="21"/>
                <w:szCs w:val="21"/>
              </w:rPr>
              <w:t>网上递交的电子投标文件须进行加密。具体操作详见广州公共资源交易中心发布的最新版本《房屋建筑和市政基础设施工程全流程电子化项目专章》</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89" w:hRule="atLeast"/>
          <w:jc w:val="center"/>
        </w:trPr>
        <w:tc>
          <w:tcPr>
            <w:tcW w:w="1182" w:type="dxa"/>
            <w:vAlign w:val="center"/>
          </w:tcPr>
          <w:p>
            <w:pPr>
              <w:snapToGrid w:val="0"/>
              <w:jc w:val="center"/>
              <w:rPr>
                <w:rFonts w:ascii="宋体" w:hAnsi="宋体"/>
                <w:color w:val="auto"/>
                <w:szCs w:val="21"/>
              </w:rPr>
            </w:pPr>
            <w:r>
              <w:rPr>
                <w:rFonts w:ascii="宋体" w:hAnsi="宋体"/>
                <w:color w:val="auto"/>
                <w:szCs w:val="21"/>
              </w:rPr>
              <w:t>4.1.2</w:t>
            </w:r>
          </w:p>
        </w:tc>
        <w:tc>
          <w:tcPr>
            <w:tcW w:w="2187" w:type="dxa"/>
            <w:vAlign w:val="center"/>
          </w:tcPr>
          <w:p>
            <w:pPr>
              <w:snapToGrid w:val="0"/>
              <w:jc w:val="center"/>
              <w:rPr>
                <w:rFonts w:ascii="宋体" w:hAnsi="宋体"/>
                <w:color w:val="auto"/>
                <w:szCs w:val="21"/>
                <w:shd w:val="clear" w:color="FFFFFF" w:fill="D9D9D9"/>
              </w:rPr>
            </w:pPr>
            <w:r>
              <w:rPr>
                <w:rFonts w:hint="eastAsia" w:ascii="宋体" w:hAnsi="宋体"/>
                <w:color w:val="auto"/>
                <w:szCs w:val="21"/>
              </w:rPr>
              <w:t>封套上应载明的信息</w:t>
            </w:r>
          </w:p>
        </w:tc>
        <w:tc>
          <w:tcPr>
            <w:tcW w:w="6415" w:type="dxa"/>
            <w:vAlign w:val="center"/>
          </w:tcPr>
          <w:p>
            <w:pPr>
              <w:pStyle w:val="11"/>
              <w:topLinePunct/>
              <w:snapToGrid w:val="0"/>
              <w:rPr>
                <w:rFonts w:hAnsi="宋体"/>
                <w:color w:val="auto"/>
                <w:sz w:val="21"/>
                <w:szCs w:val="21"/>
              </w:rPr>
            </w:pPr>
            <w:r>
              <w:rPr>
                <w:rFonts w:hint="eastAsia" w:hAnsi="宋体"/>
                <w:color w:val="auto"/>
                <w:sz w:val="21"/>
                <w:szCs w:val="21"/>
              </w:rPr>
              <w:t>如有提交投标文件光盘备用，封套上应注明如下信息：</w:t>
            </w:r>
          </w:p>
          <w:p>
            <w:pPr>
              <w:pStyle w:val="11"/>
              <w:topLinePunct/>
              <w:snapToGrid w:val="0"/>
              <w:rPr>
                <w:color w:val="auto"/>
                <w:sz w:val="21"/>
                <w:szCs w:val="21"/>
              </w:rPr>
            </w:pPr>
            <w:r>
              <w:rPr>
                <w:rFonts w:hint="eastAsia" w:hAnsi="宋体"/>
                <w:color w:val="auto"/>
                <w:sz w:val="21"/>
                <w:szCs w:val="21"/>
              </w:rPr>
              <w:t>招标人名称：</w:t>
            </w:r>
            <w:r>
              <w:rPr>
                <w:rFonts w:hint="eastAsia"/>
                <w:color w:val="auto"/>
                <w:sz w:val="21"/>
                <w:szCs w:val="21"/>
              </w:rPr>
              <w:t>广州增城区东进供水有限公司</w:t>
            </w:r>
          </w:p>
          <w:p>
            <w:pPr>
              <w:pStyle w:val="11"/>
              <w:rPr>
                <w:color w:val="auto"/>
                <w:sz w:val="21"/>
                <w:szCs w:val="21"/>
              </w:rPr>
            </w:pPr>
            <w:r>
              <w:rPr>
                <w:rFonts w:hint="eastAsia"/>
                <w:color w:val="auto"/>
                <w:sz w:val="21"/>
                <w:szCs w:val="21"/>
              </w:rPr>
              <w:t>招标人地址：广州市增城区荔城街民乐路20号阳光国际商务大厦801房</w:t>
            </w:r>
          </w:p>
          <w:p>
            <w:pPr>
              <w:pStyle w:val="11"/>
              <w:topLinePunct/>
              <w:snapToGrid w:val="0"/>
              <w:rPr>
                <w:rFonts w:hAnsi="宋体"/>
                <w:color w:val="auto"/>
                <w:sz w:val="21"/>
                <w:szCs w:val="21"/>
              </w:rPr>
            </w:pPr>
            <w:r>
              <w:rPr>
                <w:rFonts w:hint="eastAsia" w:hAnsi="宋体"/>
                <w:color w:val="auto"/>
                <w:sz w:val="21"/>
                <w:szCs w:val="21"/>
                <w:u w:val="single"/>
              </w:rPr>
              <w:t>增城区农村供水改造工程（第二批）监理投标文件</w:t>
            </w:r>
          </w:p>
          <w:p>
            <w:pPr>
              <w:pStyle w:val="11"/>
              <w:topLinePunct/>
              <w:snapToGrid w:val="0"/>
              <w:rPr>
                <w:rFonts w:hAnsi="宋体"/>
                <w:color w:val="auto"/>
                <w:sz w:val="21"/>
                <w:szCs w:val="21"/>
              </w:rPr>
            </w:pPr>
            <w:r>
              <w:rPr>
                <w:rFonts w:hint="eastAsia" w:hAnsi="宋体"/>
                <w:color w:val="auto"/>
                <w:sz w:val="21"/>
                <w:szCs w:val="21"/>
              </w:rPr>
              <w:t xml:space="preserve">招标项目编号：              </w:t>
            </w:r>
          </w:p>
          <w:p>
            <w:pPr>
              <w:pStyle w:val="11"/>
              <w:topLinePunct/>
              <w:snapToGrid w:val="0"/>
              <w:rPr>
                <w:rFonts w:hAnsi="宋体"/>
                <w:color w:val="auto"/>
                <w:szCs w:val="21"/>
              </w:rPr>
            </w:pPr>
            <w:r>
              <w:rPr>
                <w:rFonts w:hint="eastAsia" w:hAnsi="宋体"/>
                <w:color w:val="auto"/>
                <w:sz w:val="21"/>
                <w:szCs w:val="21"/>
              </w:rPr>
              <w:t>在</w:t>
            </w:r>
            <w:r>
              <w:rPr>
                <w:rFonts w:hint="eastAsia" w:hAnsi="宋体"/>
                <w:color w:val="auto"/>
                <w:szCs w:val="21"/>
                <w:u w:val="single"/>
              </w:rPr>
              <w:t xml:space="preserve">   </w:t>
            </w:r>
            <w:r>
              <w:rPr>
                <w:rFonts w:hint="eastAsia" w:hAnsi="宋体"/>
                <w:color w:val="auto"/>
                <w:sz w:val="21"/>
                <w:szCs w:val="21"/>
              </w:rPr>
              <w:t>年</w:t>
            </w:r>
            <w:r>
              <w:rPr>
                <w:rFonts w:hint="eastAsia" w:hAnsi="宋体"/>
                <w:color w:val="auto"/>
                <w:szCs w:val="21"/>
                <w:u w:val="single"/>
              </w:rPr>
              <w:t xml:space="preserve">  </w:t>
            </w:r>
            <w:r>
              <w:rPr>
                <w:rFonts w:hint="eastAsia" w:hAnsi="宋体"/>
                <w:color w:val="auto"/>
                <w:sz w:val="21"/>
                <w:szCs w:val="21"/>
              </w:rPr>
              <w:t>月</w:t>
            </w:r>
            <w:r>
              <w:rPr>
                <w:rFonts w:hint="eastAsia" w:hAnsi="宋体"/>
                <w:color w:val="auto"/>
                <w:szCs w:val="21"/>
                <w:u w:val="single"/>
              </w:rPr>
              <w:t xml:space="preserve">  </w:t>
            </w:r>
            <w:r>
              <w:rPr>
                <w:rFonts w:hint="eastAsia" w:hAnsi="宋体"/>
                <w:color w:val="auto"/>
                <w:sz w:val="21"/>
                <w:szCs w:val="21"/>
              </w:rPr>
              <w:t>日</w:t>
            </w:r>
            <w:r>
              <w:rPr>
                <w:rFonts w:hint="eastAsia" w:hAnsi="宋体"/>
                <w:color w:val="auto"/>
                <w:szCs w:val="21"/>
                <w:u w:val="single"/>
              </w:rPr>
              <w:t xml:space="preserve">  </w:t>
            </w:r>
            <w:r>
              <w:rPr>
                <w:rFonts w:hint="eastAsia" w:hAnsi="宋体"/>
                <w:color w:val="auto"/>
                <w:sz w:val="21"/>
                <w:szCs w:val="21"/>
              </w:rPr>
              <w:t>时前不得开启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1182" w:type="dxa"/>
            <w:vAlign w:val="center"/>
          </w:tcPr>
          <w:p>
            <w:pPr>
              <w:snapToGrid w:val="0"/>
              <w:jc w:val="center"/>
              <w:rPr>
                <w:rFonts w:ascii="宋体" w:hAnsi="宋体"/>
                <w:color w:val="auto"/>
                <w:szCs w:val="21"/>
              </w:rPr>
            </w:pPr>
            <w:r>
              <w:rPr>
                <w:rFonts w:ascii="宋体" w:hAnsi="宋体"/>
                <w:color w:val="auto"/>
                <w:szCs w:val="21"/>
              </w:rPr>
              <w:t>4.2.1</w:t>
            </w:r>
          </w:p>
        </w:tc>
        <w:tc>
          <w:tcPr>
            <w:tcW w:w="2187" w:type="dxa"/>
            <w:vAlign w:val="center"/>
          </w:tcPr>
          <w:p>
            <w:pPr>
              <w:snapToGrid w:val="0"/>
              <w:jc w:val="center"/>
              <w:rPr>
                <w:rFonts w:ascii="宋体" w:hAnsi="宋体"/>
                <w:color w:val="auto"/>
                <w:szCs w:val="21"/>
              </w:rPr>
            </w:pPr>
            <w:r>
              <w:rPr>
                <w:rFonts w:ascii="宋体" w:hAnsi="宋体"/>
                <w:color w:val="auto"/>
                <w:szCs w:val="21"/>
              </w:rPr>
              <w:t>投标截止时间</w:t>
            </w:r>
          </w:p>
        </w:tc>
        <w:tc>
          <w:tcPr>
            <w:tcW w:w="6415" w:type="dxa"/>
            <w:vAlign w:val="center"/>
          </w:tcPr>
          <w:p>
            <w:pPr>
              <w:snapToGrid w:val="0"/>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r>
              <w:rPr>
                <w:rFonts w:hint="eastAsia" w:ascii="宋体" w:hAnsi="宋体"/>
                <w:color w:val="auto"/>
                <w:szCs w:val="21"/>
                <w:u w:val="single"/>
              </w:rPr>
              <w:t xml:space="preserve">  </w:t>
            </w:r>
            <w:r>
              <w:rPr>
                <w:rFonts w:hint="eastAsia" w:ascii="宋体" w:hAnsi="宋体"/>
                <w:color w:val="auto"/>
                <w:szCs w:val="21"/>
              </w:rPr>
              <w:t>时</w:t>
            </w:r>
            <w:r>
              <w:rPr>
                <w:rFonts w:hint="eastAsia" w:ascii="宋体" w:hAnsi="宋体"/>
                <w:color w:val="auto"/>
                <w:szCs w:val="21"/>
                <w:u w:val="single"/>
              </w:rPr>
              <w:t xml:space="preserve">  </w:t>
            </w:r>
            <w:r>
              <w:rPr>
                <w:rFonts w:hint="eastAsia" w:ascii="宋体" w:hAnsi="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62" w:hRule="atLeast"/>
          <w:jc w:val="center"/>
        </w:trPr>
        <w:tc>
          <w:tcPr>
            <w:tcW w:w="1182" w:type="dxa"/>
            <w:vAlign w:val="center"/>
          </w:tcPr>
          <w:p>
            <w:pPr>
              <w:snapToGrid w:val="0"/>
              <w:jc w:val="center"/>
              <w:rPr>
                <w:rFonts w:ascii="宋体" w:hAnsi="宋体"/>
                <w:color w:val="auto"/>
                <w:szCs w:val="21"/>
              </w:rPr>
            </w:pPr>
            <w:r>
              <w:rPr>
                <w:rFonts w:ascii="宋体" w:hAnsi="宋体"/>
                <w:color w:val="auto"/>
                <w:szCs w:val="21"/>
              </w:rPr>
              <w:t>4.2.2（A）</w:t>
            </w:r>
          </w:p>
        </w:tc>
        <w:tc>
          <w:tcPr>
            <w:tcW w:w="2187" w:type="dxa"/>
            <w:vAlign w:val="center"/>
          </w:tcPr>
          <w:p>
            <w:pPr>
              <w:snapToGrid w:val="0"/>
              <w:jc w:val="center"/>
              <w:rPr>
                <w:rFonts w:ascii="宋体" w:hAnsi="宋体"/>
                <w:color w:val="auto"/>
                <w:szCs w:val="21"/>
              </w:rPr>
            </w:pPr>
            <w:r>
              <w:rPr>
                <w:rFonts w:ascii="宋体" w:hAnsi="宋体"/>
                <w:color w:val="auto"/>
                <w:szCs w:val="21"/>
              </w:rPr>
              <w:t>递交投标文件</w:t>
            </w:r>
            <w:r>
              <w:rPr>
                <w:rFonts w:hint="eastAsia" w:ascii="宋体" w:hAnsi="宋体"/>
                <w:color w:val="auto"/>
                <w:szCs w:val="21"/>
              </w:rPr>
              <w:t>时间和</w:t>
            </w:r>
            <w:r>
              <w:rPr>
                <w:rFonts w:ascii="宋体" w:hAnsi="宋体"/>
                <w:color w:val="auto"/>
                <w:szCs w:val="21"/>
              </w:rPr>
              <w:t>地点</w:t>
            </w:r>
          </w:p>
        </w:tc>
        <w:tc>
          <w:tcPr>
            <w:tcW w:w="6415" w:type="dxa"/>
            <w:vAlign w:val="center"/>
          </w:tcPr>
          <w:p>
            <w:pPr>
              <w:snapToGrid w:val="0"/>
              <w:jc w:val="left"/>
              <w:rPr>
                <w:color w:val="auto"/>
              </w:rPr>
            </w:pPr>
            <w:r>
              <w:rPr>
                <w:rFonts w:hint="eastAsia" w:ascii="宋体" w:hAnsi="宋体"/>
                <w:color w:val="auto"/>
                <w:szCs w:val="21"/>
                <w:u w:val="single"/>
              </w:rPr>
              <w:t>1.递交方式：网上递交投标文件</w:t>
            </w:r>
          </w:p>
          <w:p>
            <w:pPr>
              <w:snapToGrid w:val="0"/>
              <w:jc w:val="left"/>
              <w:rPr>
                <w:rFonts w:ascii="宋体" w:hAnsi="宋体"/>
                <w:color w:val="auto"/>
                <w:szCs w:val="21"/>
                <w:u w:val="single"/>
              </w:rPr>
            </w:pPr>
            <w:r>
              <w:rPr>
                <w:rFonts w:hint="eastAsia" w:ascii="宋体" w:hAnsi="宋体"/>
                <w:color w:val="auto"/>
                <w:szCs w:val="21"/>
                <w:u w:val="single"/>
              </w:rPr>
              <w:t>2.文件的递交截止时间：同投标截止时间。</w:t>
            </w:r>
          </w:p>
          <w:p>
            <w:pPr>
              <w:snapToGrid w:val="0"/>
              <w:jc w:val="left"/>
              <w:rPr>
                <w:rFonts w:ascii="宋体" w:hAnsi="宋体"/>
                <w:color w:val="auto"/>
                <w:szCs w:val="21"/>
                <w:u w:val="single"/>
              </w:rPr>
            </w:pPr>
            <w:r>
              <w:rPr>
                <w:rFonts w:hint="eastAsia" w:ascii="宋体" w:hAnsi="宋体"/>
                <w:color w:val="auto"/>
                <w:szCs w:val="21"/>
                <w:u w:val="single"/>
              </w:rPr>
              <w:t>3.地点：广州公共资源交易中心网站。</w:t>
            </w:r>
          </w:p>
          <w:p>
            <w:pPr>
              <w:snapToGrid w:val="0"/>
              <w:jc w:val="left"/>
              <w:rPr>
                <w:rFonts w:ascii="宋体" w:hAnsi="宋体"/>
                <w:color w:val="auto"/>
                <w:szCs w:val="21"/>
                <w:u w:val="single"/>
              </w:rPr>
            </w:pPr>
            <w:r>
              <w:rPr>
                <w:rFonts w:hint="eastAsia" w:ascii="宋体" w:hAnsi="宋体"/>
                <w:color w:val="auto"/>
                <w:szCs w:val="21"/>
                <w:u w:val="single"/>
              </w:rPr>
              <w:t>4.上述时间及地点是否有改变，请密切留意招标答疑纪要的相关信息。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9" w:hRule="atLeast"/>
          <w:jc w:val="center"/>
        </w:trPr>
        <w:tc>
          <w:tcPr>
            <w:tcW w:w="1182" w:type="dxa"/>
            <w:vAlign w:val="center"/>
          </w:tcPr>
          <w:p>
            <w:pPr>
              <w:snapToGrid w:val="0"/>
              <w:jc w:val="center"/>
              <w:rPr>
                <w:rFonts w:ascii="宋体" w:hAnsi="宋体"/>
                <w:color w:val="auto"/>
                <w:szCs w:val="21"/>
              </w:rPr>
            </w:pPr>
            <w:r>
              <w:rPr>
                <w:rFonts w:ascii="宋体" w:hAnsi="宋体"/>
                <w:color w:val="auto"/>
                <w:szCs w:val="21"/>
              </w:rPr>
              <w:t>4.2.3</w:t>
            </w:r>
          </w:p>
        </w:tc>
        <w:tc>
          <w:tcPr>
            <w:tcW w:w="2187" w:type="dxa"/>
            <w:vAlign w:val="center"/>
          </w:tcPr>
          <w:p>
            <w:pPr>
              <w:snapToGrid w:val="0"/>
              <w:jc w:val="center"/>
              <w:rPr>
                <w:rFonts w:ascii="宋体" w:hAnsi="宋体"/>
                <w:color w:val="auto"/>
                <w:szCs w:val="21"/>
              </w:rPr>
            </w:pPr>
            <w:r>
              <w:rPr>
                <w:rFonts w:ascii="宋体" w:hAnsi="宋体"/>
                <w:color w:val="auto"/>
                <w:szCs w:val="21"/>
              </w:rPr>
              <w:t>投标文件是否退还</w:t>
            </w:r>
          </w:p>
        </w:tc>
        <w:tc>
          <w:tcPr>
            <w:tcW w:w="6415" w:type="dxa"/>
            <w:vAlign w:val="center"/>
          </w:tcPr>
          <w:p>
            <w:pPr>
              <w:pStyle w:val="11"/>
              <w:topLinePunct/>
              <w:snapToGrid w:val="0"/>
              <w:rPr>
                <w:rFonts w:hAnsi="宋体"/>
                <w:color w:val="auto"/>
                <w:sz w:val="21"/>
                <w:szCs w:val="21"/>
              </w:rPr>
            </w:pPr>
            <w:r>
              <w:rPr>
                <w:rFonts w:hint="eastAsia"/>
                <w:color w:val="auto"/>
                <w:sz w:val="21"/>
                <w:szCs w:val="21"/>
              </w:rPr>
              <w:t>■</w:t>
            </w:r>
            <w:r>
              <w:rPr>
                <w:rFonts w:hAnsi="宋体"/>
                <w:color w:val="auto"/>
                <w:sz w:val="21"/>
                <w:szCs w:val="21"/>
              </w:rPr>
              <w:t>否</w:t>
            </w:r>
          </w:p>
          <w:p>
            <w:pPr>
              <w:pStyle w:val="11"/>
              <w:topLinePunct/>
              <w:snapToGrid w:val="0"/>
              <w:rPr>
                <w:rFonts w:hAnsi="宋体"/>
                <w:color w:val="auto"/>
                <w:sz w:val="21"/>
                <w:szCs w:val="21"/>
              </w:rPr>
            </w:pPr>
            <w:r>
              <w:rPr>
                <w:rFonts w:hAnsi="宋体"/>
                <w:color w:val="auto"/>
                <w:sz w:val="21"/>
                <w:szCs w:val="21"/>
              </w:rPr>
              <w:sym w:font="Wingdings 2" w:char="00A3"/>
            </w:r>
            <w:r>
              <w:rPr>
                <w:rFonts w:hAnsi="宋体"/>
                <w:color w:val="auto"/>
                <w:sz w:val="21"/>
                <w:szCs w:val="21"/>
              </w:rPr>
              <w:t>是，退还时间：</w:t>
            </w:r>
            <w:r>
              <w:rPr>
                <w:rFonts w:hint="eastAsia" w:hAnsi="宋体"/>
                <w:color w:val="auto"/>
                <w:sz w:val="21"/>
                <w:szCs w:val="21"/>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182" w:type="dxa"/>
            <w:vAlign w:val="center"/>
          </w:tcPr>
          <w:p>
            <w:pPr>
              <w:snapToGrid w:val="0"/>
              <w:jc w:val="center"/>
              <w:rPr>
                <w:rFonts w:ascii="宋体" w:hAnsi="宋体"/>
                <w:color w:val="auto"/>
                <w:szCs w:val="21"/>
              </w:rPr>
            </w:pPr>
            <w:r>
              <w:rPr>
                <w:rFonts w:ascii="宋体" w:hAnsi="宋体"/>
                <w:color w:val="auto"/>
                <w:szCs w:val="21"/>
              </w:rPr>
              <w:t>5.1（</w:t>
            </w:r>
            <w:r>
              <w:rPr>
                <w:rFonts w:hint="eastAsia" w:ascii="宋体" w:hAnsi="宋体"/>
                <w:color w:val="auto"/>
                <w:szCs w:val="21"/>
              </w:rPr>
              <w:t>B</w:t>
            </w:r>
            <w:r>
              <w:rPr>
                <w:rFonts w:ascii="宋体" w:hAnsi="宋体"/>
                <w:color w:val="auto"/>
                <w:szCs w:val="21"/>
              </w:rPr>
              <w:t>）</w:t>
            </w:r>
          </w:p>
        </w:tc>
        <w:tc>
          <w:tcPr>
            <w:tcW w:w="2187" w:type="dxa"/>
            <w:vAlign w:val="center"/>
          </w:tcPr>
          <w:p>
            <w:pPr>
              <w:snapToGrid w:val="0"/>
              <w:jc w:val="center"/>
              <w:rPr>
                <w:rFonts w:ascii="宋体" w:hAnsi="宋体"/>
                <w:color w:val="auto"/>
                <w:szCs w:val="21"/>
              </w:rPr>
            </w:pPr>
            <w:r>
              <w:rPr>
                <w:rFonts w:ascii="宋体" w:hAnsi="宋体"/>
                <w:color w:val="auto"/>
                <w:szCs w:val="21"/>
              </w:rPr>
              <w:t>开标时间和地点</w:t>
            </w:r>
          </w:p>
        </w:tc>
        <w:tc>
          <w:tcPr>
            <w:tcW w:w="6415" w:type="dxa"/>
            <w:vAlign w:val="center"/>
          </w:tcPr>
          <w:p>
            <w:pPr>
              <w:pStyle w:val="11"/>
              <w:topLinePunct/>
              <w:snapToGrid w:val="0"/>
              <w:rPr>
                <w:color w:val="auto"/>
                <w:sz w:val="21"/>
                <w:szCs w:val="21"/>
                <w:u w:val="single"/>
              </w:rPr>
            </w:pPr>
            <w:r>
              <w:rPr>
                <w:rFonts w:hint="eastAsia"/>
                <w:color w:val="auto"/>
                <w:sz w:val="21"/>
                <w:szCs w:val="21"/>
              </w:rPr>
              <w:t>开标时间：</w:t>
            </w:r>
            <w:r>
              <w:rPr>
                <w:rFonts w:hint="eastAsia"/>
                <w:color w:val="auto"/>
                <w:sz w:val="21"/>
                <w:szCs w:val="21"/>
                <w:u w:val="single"/>
              </w:rPr>
              <w:t>同投标截止时间</w:t>
            </w:r>
          </w:p>
          <w:p>
            <w:pPr>
              <w:pStyle w:val="11"/>
              <w:topLinePunct/>
              <w:snapToGrid w:val="0"/>
              <w:rPr>
                <w:color w:val="auto"/>
                <w:sz w:val="21"/>
                <w:szCs w:val="21"/>
              </w:rPr>
            </w:pPr>
            <w:r>
              <w:rPr>
                <w:rFonts w:hint="eastAsia"/>
                <w:color w:val="auto"/>
                <w:sz w:val="21"/>
                <w:szCs w:val="21"/>
              </w:rPr>
              <w:t>开标地点：本项目具体的招投标活动日程安排及场地安排以广州市公共资源交易中心网站公布的为准。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40" w:hRule="atLeast"/>
          <w:jc w:val="center"/>
        </w:trPr>
        <w:tc>
          <w:tcPr>
            <w:tcW w:w="1182" w:type="dxa"/>
            <w:vAlign w:val="center"/>
          </w:tcPr>
          <w:p>
            <w:pPr>
              <w:snapToGrid w:val="0"/>
              <w:jc w:val="center"/>
              <w:rPr>
                <w:rFonts w:ascii="宋体" w:hAnsi="宋体"/>
                <w:color w:val="auto"/>
                <w:szCs w:val="21"/>
              </w:rPr>
            </w:pPr>
            <w:r>
              <w:rPr>
                <w:rFonts w:ascii="宋体" w:hAnsi="宋体"/>
                <w:color w:val="auto"/>
                <w:szCs w:val="21"/>
              </w:rPr>
              <w:t>5.2（</w:t>
            </w:r>
            <w:r>
              <w:rPr>
                <w:rFonts w:hint="eastAsia" w:ascii="宋体" w:hAnsi="宋体"/>
                <w:color w:val="auto"/>
                <w:szCs w:val="21"/>
              </w:rPr>
              <w:t>B</w:t>
            </w:r>
            <w:r>
              <w:rPr>
                <w:rFonts w:ascii="宋体" w:hAnsi="宋体"/>
                <w:color w:val="auto"/>
                <w:szCs w:val="21"/>
              </w:rPr>
              <w:t>）</w:t>
            </w:r>
          </w:p>
        </w:tc>
        <w:tc>
          <w:tcPr>
            <w:tcW w:w="2187" w:type="dxa"/>
            <w:vAlign w:val="center"/>
          </w:tcPr>
          <w:p>
            <w:pPr>
              <w:snapToGrid w:val="0"/>
              <w:jc w:val="center"/>
              <w:rPr>
                <w:rFonts w:ascii="宋体" w:hAnsi="宋体"/>
                <w:color w:val="auto"/>
                <w:szCs w:val="21"/>
              </w:rPr>
            </w:pPr>
            <w:r>
              <w:rPr>
                <w:rFonts w:ascii="宋体" w:hAnsi="宋体"/>
                <w:color w:val="auto"/>
                <w:szCs w:val="21"/>
              </w:rPr>
              <w:t>开标程序</w:t>
            </w:r>
          </w:p>
        </w:tc>
        <w:tc>
          <w:tcPr>
            <w:tcW w:w="6415" w:type="dxa"/>
            <w:vAlign w:val="center"/>
          </w:tcPr>
          <w:p>
            <w:pPr>
              <w:pStyle w:val="11"/>
              <w:topLinePunct/>
              <w:snapToGrid w:val="0"/>
              <w:rPr>
                <w:color w:val="auto"/>
                <w:sz w:val="21"/>
                <w:szCs w:val="21"/>
              </w:rPr>
            </w:pPr>
            <w:r>
              <w:rPr>
                <w:rFonts w:hint="eastAsia"/>
                <w:color w:val="auto"/>
                <w:sz w:val="21"/>
                <w:szCs w:val="21"/>
              </w:rPr>
              <w:t>电子招投标项目开标按下列程序进行：</w:t>
            </w:r>
          </w:p>
          <w:p>
            <w:pPr>
              <w:pStyle w:val="11"/>
              <w:topLinePunct/>
              <w:snapToGrid w:val="0"/>
              <w:rPr>
                <w:color w:val="auto"/>
                <w:sz w:val="21"/>
                <w:szCs w:val="21"/>
              </w:rPr>
            </w:pPr>
            <w:r>
              <w:rPr>
                <w:color w:val="auto"/>
                <w:sz w:val="21"/>
                <w:szCs w:val="21"/>
              </w:rPr>
              <w:t>5.2.1</w:t>
            </w:r>
            <w:r>
              <w:rPr>
                <w:rFonts w:hint="eastAsia"/>
                <w:color w:val="auto"/>
                <w:sz w:val="21"/>
                <w:szCs w:val="21"/>
              </w:rPr>
              <w:t>主持人按下列程序进行开标：</w:t>
            </w:r>
          </w:p>
          <w:p>
            <w:pPr>
              <w:pStyle w:val="11"/>
              <w:topLinePunct/>
              <w:snapToGrid w:val="0"/>
              <w:rPr>
                <w:color w:val="auto"/>
                <w:sz w:val="21"/>
                <w:szCs w:val="21"/>
              </w:rPr>
            </w:pPr>
            <w:r>
              <w:rPr>
                <w:rFonts w:hint="eastAsia"/>
                <w:color w:val="auto"/>
                <w:sz w:val="21"/>
                <w:szCs w:val="21"/>
              </w:rPr>
              <w:t>（</w:t>
            </w:r>
            <w:r>
              <w:rPr>
                <w:color w:val="auto"/>
                <w:sz w:val="21"/>
                <w:szCs w:val="21"/>
              </w:rPr>
              <w:t>1</w:t>
            </w:r>
            <w:r>
              <w:rPr>
                <w:rFonts w:hint="eastAsia"/>
                <w:color w:val="auto"/>
                <w:sz w:val="21"/>
                <w:szCs w:val="21"/>
              </w:rPr>
              <w:t>）宣布开标纪律；</w:t>
            </w:r>
          </w:p>
          <w:p>
            <w:pPr>
              <w:pStyle w:val="11"/>
              <w:topLinePunct/>
              <w:snapToGrid w:val="0"/>
              <w:rPr>
                <w:color w:val="auto"/>
                <w:sz w:val="21"/>
                <w:szCs w:val="21"/>
              </w:rPr>
            </w:pPr>
            <w:r>
              <w:rPr>
                <w:rFonts w:hint="eastAsia"/>
                <w:color w:val="auto"/>
                <w:sz w:val="21"/>
                <w:szCs w:val="21"/>
              </w:rPr>
              <w:t>（</w:t>
            </w:r>
            <w:r>
              <w:rPr>
                <w:color w:val="auto"/>
                <w:sz w:val="21"/>
                <w:szCs w:val="21"/>
              </w:rPr>
              <w:t>2</w:t>
            </w:r>
            <w:r>
              <w:rPr>
                <w:rFonts w:hint="eastAsia"/>
                <w:color w:val="auto"/>
                <w:sz w:val="21"/>
                <w:szCs w:val="21"/>
              </w:rPr>
              <w:t>）公布在投标截止时间前递交投标文件的投标人名称；</w:t>
            </w:r>
          </w:p>
          <w:p>
            <w:pPr>
              <w:pStyle w:val="11"/>
              <w:topLinePunct/>
              <w:snapToGrid w:val="0"/>
              <w:rPr>
                <w:color w:val="auto"/>
                <w:sz w:val="21"/>
                <w:szCs w:val="21"/>
              </w:rPr>
            </w:pPr>
            <w:r>
              <w:rPr>
                <w:rFonts w:hint="eastAsia"/>
                <w:color w:val="auto"/>
                <w:sz w:val="21"/>
                <w:szCs w:val="21"/>
              </w:rPr>
              <w:t>（</w:t>
            </w:r>
            <w:r>
              <w:rPr>
                <w:color w:val="auto"/>
                <w:sz w:val="21"/>
                <w:szCs w:val="21"/>
              </w:rPr>
              <w:t>3</w:t>
            </w:r>
            <w:r>
              <w:rPr>
                <w:rFonts w:hint="eastAsia"/>
                <w:color w:val="auto"/>
                <w:sz w:val="21"/>
                <w:szCs w:val="21"/>
              </w:rPr>
              <w:t>）宣布开标人、唱标人、记录人、监标人等有关人员姓名；</w:t>
            </w:r>
          </w:p>
          <w:p>
            <w:pPr>
              <w:pStyle w:val="11"/>
              <w:topLinePunct/>
              <w:snapToGrid w:val="0"/>
              <w:rPr>
                <w:color w:val="auto"/>
                <w:sz w:val="21"/>
                <w:szCs w:val="21"/>
              </w:rPr>
            </w:pPr>
            <w:r>
              <w:rPr>
                <w:rFonts w:hint="eastAsia"/>
                <w:color w:val="auto"/>
                <w:sz w:val="21"/>
                <w:szCs w:val="21"/>
              </w:rPr>
              <w:t>（</w:t>
            </w:r>
            <w:r>
              <w:rPr>
                <w:color w:val="auto"/>
                <w:sz w:val="21"/>
                <w:szCs w:val="21"/>
              </w:rPr>
              <w:t>4</w:t>
            </w:r>
            <w:r>
              <w:rPr>
                <w:rFonts w:hint="eastAsia"/>
                <w:color w:val="auto"/>
                <w:sz w:val="21"/>
                <w:szCs w:val="21"/>
              </w:rPr>
              <w:t>）（</w:t>
            </w:r>
            <w:r>
              <w:rPr>
                <w:color w:val="auto"/>
                <w:sz w:val="21"/>
                <w:szCs w:val="21"/>
              </w:rPr>
              <w:t>B</w:t>
            </w:r>
            <w:r>
              <w:rPr>
                <w:rFonts w:hint="eastAsia"/>
                <w:color w:val="auto"/>
                <w:sz w:val="21"/>
                <w:szCs w:val="21"/>
              </w:rPr>
              <w:t>）投标人通过电子招标投标交易平台对已递交的电子投标文件进行解密，公布招标项目名称、投标人名称、投标保证金的递交情况、投标报价、监理服务期限及其他内容，并记录在案；</w:t>
            </w:r>
          </w:p>
          <w:p>
            <w:pPr>
              <w:pStyle w:val="11"/>
              <w:topLinePunct/>
              <w:snapToGrid w:val="0"/>
              <w:rPr>
                <w:color w:val="auto"/>
                <w:sz w:val="21"/>
                <w:szCs w:val="21"/>
              </w:rPr>
            </w:pPr>
            <w:r>
              <w:rPr>
                <w:rFonts w:hint="eastAsia"/>
                <w:color w:val="auto"/>
                <w:sz w:val="21"/>
                <w:szCs w:val="21"/>
              </w:rPr>
              <w:t>（</w:t>
            </w:r>
            <w:r>
              <w:rPr>
                <w:color w:val="auto"/>
                <w:sz w:val="21"/>
                <w:szCs w:val="21"/>
              </w:rPr>
              <w:t>5</w:t>
            </w:r>
            <w:r>
              <w:rPr>
                <w:rFonts w:hint="eastAsia"/>
                <w:color w:val="auto"/>
                <w:sz w:val="21"/>
                <w:szCs w:val="21"/>
              </w:rPr>
              <w:t>）（</w:t>
            </w:r>
            <w:r>
              <w:rPr>
                <w:color w:val="auto"/>
                <w:sz w:val="21"/>
                <w:szCs w:val="21"/>
              </w:rPr>
              <w:t>B</w:t>
            </w:r>
            <w:r>
              <w:rPr>
                <w:rFonts w:hint="eastAsia"/>
                <w:color w:val="auto"/>
                <w:sz w:val="21"/>
                <w:szCs w:val="21"/>
              </w:rPr>
              <w:t>）投标人代表、招标人代表、监标人、记录人等有关人员在开标记录上签字确认；若有关人员不签字的，不影响开标程序；</w:t>
            </w:r>
          </w:p>
          <w:p>
            <w:pPr>
              <w:pStyle w:val="11"/>
              <w:topLinePunct/>
              <w:snapToGrid w:val="0"/>
              <w:rPr>
                <w:color w:val="auto"/>
                <w:sz w:val="21"/>
                <w:szCs w:val="21"/>
              </w:rPr>
            </w:pPr>
            <w:r>
              <w:rPr>
                <w:rFonts w:hint="eastAsia"/>
                <w:color w:val="auto"/>
                <w:sz w:val="21"/>
                <w:szCs w:val="21"/>
              </w:rPr>
              <w:t>（</w:t>
            </w:r>
            <w:r>
              <w:rPr>
                <w:color w:val="auto"/>
                <w:sz w:val="21"/>
                <w:szCs w:val="21"/>
              </w:rPr>
              <w:t>6</w:t>
            </w:r>
            <w:r>
              <w:rPr>
                <w:rFonts w:hint="eastAsia"/>
                <w:color w:val="auto"/>
                <w:sz w:val="21"/>
                <w:szCs w:val="21"/>
              </w:rPr>
              <w:t>）开标结束。</w:t>
            </w:r>
          </w:p>
          <w:p>
            <w:pPr>
              <w:pStyle w:val="11"/>
              <w:topLinePunct/>
              <w:snapToGrid w:val="0"/>
              <w:rPr>
                <w:color w:val="auto"/>
                <w:sz w:val="21"/>
                <w:szCs w:val="21"/>
              </w:rPr>
            </w:pPr>
            <w:r>
              <w:rPr>
                <w:color w:val="auto"/>
                <w:sz w:val="21"/>
                <w:szCs w:val="21"/>
              </w:rPr>
              <w:t>5.2.2</w:t>
            </w:r>
            <w:r>
              <w:rPr>
                <w:rFonts w:hint="eastAsia"/>
                <w:color w:val="auto"/>
                <w:sz w:val="21"/>
                <w:szCs w:val="21"/>
              </w:rPr>
              <w:t>投标截止时间前未完成投标文件传输的或因投标人之外的原因造成投标文件未解密的，视为投标人撤回投标文件。因投标人原因造成投标文件未解密的或未在投标截止时间后</w:t>
            </w:r>
            <w:r>
              <w:rPr>
                <w:color w:val="auto"/>
                <w:sz w:val="21"/>
                <w:szCs w:val="21"/>
              </w:rPr>
              <w:t>1</w:t>
            </w:r>
            <w:r>
              <w:rPr>
                <w:rFonts w:hint="eastAsia"/>
                <w:color w:val="auto"/>
                <w:sz w:val="21"/>
                <w:szCs w:val="21"/>
              </w:rPr>
              <w:t>小时解密的，视为撤销其投标文件。</w:t>
            </w:r>
          </w:p>
          <w:p>
            <w:pPr>
              <w:pStyle w:val="11"/>
              <w:topLinePunct/>
              <w:snapToGrid w:val="0"/>
              <w:rPr>
                <w:color w:val="auto"/>
                <w:sz w:val="21"/>
                <w:szCs w:val="21"/>
              </w:rPr>
            </w:pPr>
            <w:r>
              <w:rPr>
                <w:color w:val="auto"/>
                <w:sz w:val="21"/>
                <w:szCs w:val="21"/>
              </w:rPr>
              <w:t>5.2.3</w:t>
            </w:r>
            <w:r>
              <w:rPr>
                <w:rFonts w:hint="eastAsia"/>
                <w:color w:val="auto"/>
                <w:sz w:val="21"/>
                <w:szCs w:val="21"/>
              </w:rPr>
              <w:t>开标时，两个（含两个）以上的投标人加密打包投标文件电脑机器特征码一致的，不参与下一程序，并由评标委员会否决其投标。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93" w:hRule="atLeast"/>
          <w:jc w:val="center"/>
        </w:trPr>
        <w:tc>
          <w:tcPr>
            <w:tcW w:w="1182" w:type="dxa"/>
            <w:vAlign w:val="center"/>
          </w:tcPr>
          <w:p>
            <w:pPr>
              <w:snapToGrid w:val="0"/>
              <w:jc w:val="center"/>
              <w:rPr>
                <w:rFonts w:ascii="宋体" w:hAnsi="宋体"/>
                <w:color w:val="auto"/>
                <w:szCs w:val="21"/>
              </w:rPr>
            </w:pPr>
            <w:r>
              <w:rPr>
                <w:rFonts w:ascii="宋体" w:hAnsi="宋体"/>
                <w:color w:val="auto"/>
                <w:szCs w:val="21"/>
              </w:rPr>
              <w:t>6.1.1</w:t>
            </w:r>
          </w:p>
        </w:tc>
        <w:tc>
          <w:tcPr>
            <w:tcW w:w="2187" w:type="dxa"/>
            <w:vAlign w:val="center"/>
          </w:tcPr>
          <w:p>
            <w:pPr>
              <w:snapToGrid w:val="0"/>
              <w:jc w:val="center"/>
              <w:rPr>
                <w:rFonts w:ascii="宋体" w:hAnsi="宋体"/>
                <w:color w:val="auto"/>
                <w:szCs w:val="21"/>
              </w:rPr>
            </w:pPr>
            <w:r>
              <w:rPr>
                <w:rFonts w:ascii="宋体" w:hAnsi="宋体"/>
                <w:color w:val="auto"/>
                <w:szCs w:val="21"/>
              </w:rPr>
              <w:t>评标委员会的组建</w:t>
            </w:r>
          </w:p>
        </w:tc>
        <w:tc>
          <w:tcPr>
            <w:tcW w:w="6415" w:type="dxa"/>
            <w:vAlign w:val="center"/>
          </w:tcPr>
          <w:p>
            <w:pPr>
              <w:snapToGrid w:val="0"/>
              <w:rPr>
                <w:rFonts w:hint="eastAsia" w:ascii="宋体" w:hAnsi="宋体" w:eastAsia="宋体"/>
                <w:color w:val="auto"/>
                <w:szCs w:val="21"/>
                <w:lang w:eastAsia="zh-CN"/>
              </w:rPr>
            </w:pPr>
            <w:r>
              <w:rPr>
                <w:rFonts w:ascii="宋体" w:hAnsi="宋体"/>
                <w:color w:val="auto"/>
                <w:szCs w:val="21"/>
              </w:rPr>
              <w:t>评标委员会构成：</w:t>
            </w:r>
            <w:r>
              <w:rPr>
                <w:rFonts w:hint="eastAsia" w:ascii="宋体" w:hAnsi="宋体"/>
                <w:color w:val="auto"/>
                <w:szCs w:val="21"/>
                <w:u w:val="single"/>
              </w:rPr>
              <w:t xml:space="preserve">   </w:t>
            </w:r>
            <w:r>
              <w:rPr>
                <w:rFonts w:ascii="宋体" w:hAnsi="宋体"/>
                <w:color w:val="auto"/>
                <w:szCs w:val="21"/>
              </w:rPr>
              <w:t>人</w:t>
            </w:r>
            <w:r>
              <w:rPr>
                <w:rFonts w:hint="eastAsia" w:ascii="宋体" w:hAnsi="宋体"/>
                <w:color w:val="auto"/>
                <w:szCs w:val="21"/>
                <w:lang w:eastAsia="zh-CN"/>
              </w:rPr>
              <w:t>。</w:t>
            </w:r>
          </w:p>
          <w:p>
            <w:pPr>
              <w:snapToGrid w:val="0"/>
              <w:rPr>
                <w:rFonts w:ascii="宋体" w:hAnsi="宋体"/>
                <w:color w:val="auto"/>
                <w:szCs w:val="21"/>
              </w:rPr>
            </w:pPr>
            <w:r>
              <w:rPr>
                <w:rFonts w:ascii="宋体" w:hAnsi="宋体"/>
                <w:color w:val="auto"/>
                <w:szCs w:val="21"/>
              </w:rPr>
              <w:t>其中招标人代表</w:t>
            </w:r>
            <w:r>
              <w:rPr>
                <w:rFonts w:hint="eastAsia" w:ascii="宋体" w:hAnsi="宋体"/>
                <w:color w:val="auto"/>
                <w:szCs w:val="21"/>
                <w:u w:val="single"/>
              </w:rPr>
              <w:t xml:space="preserve">   </w:t>
            </w:r>
            <w:r>
              <w:rPr>
                <w:rFonts w:ascii="宋体" w:hAnsi="宋体"/>
                <w:color w:val="auto"/>
                <w:szCs w:val="21"/>
              </w:rPr>
              <w:t>人，专家</w:t>
            </w:r>
            <w:r>
              <w:rPr>
                <w:rFonts w:hint="eastAsia" w:ascii="宋体" w:hAnsi="宋体"/>
                <w:color w:val="auto"/>
                <w:szCs w:val="21"/>
                <w:u w:val="single"/>
              </w:rPr>
              <w:t xml:space="preserve">   </w:t>
            </w:r>
            <w:r>
              <w:rPr>
                <w:rFonts w:ascii="宋体" w:hAnsi="宋体"/>
                <w:color w:val="auto"/>
                <w:szCs w:val="21"/>
              </w:rPr>
              <w:t>人；</w:t>
            </w:r>
          </w:p>
          <w:p>
            <w:pPr>
              <w:snapToGrid w:val="0"/>
              <w:rPr>
                <w:rFonts w:ascii="宋体" w:hAnsi="宋体"/>
                <w:color w:val="auto"/>
                <w:szCs w:val="21"/>
              </w:rPr>
            </w:pPr>
            <w:r>
              <w:rPr>
                <w:rFonts w:hint="eastAsia" w:ascii="宋体" w:hAnsi="宋体"/>
                <w:color w:val="auto"/>
                <w:szCs w:val="21"/>
              </w:rPr>
              <w:t>评标专家确定方式：由招标人在开标前按照有关规定依法组建评标委员会。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1182" w:type="dxa"/>
            <w:vAlign w:val="center"/>
          </w:tcPr>
          <w:p>
            <w:pPr>
              <w:snapToGrid w:val="0"/>
              <w:jc w:val="center"/>
              <w:rPr>
                <w:rFonts w:ascii="宋体" w:hAnsi="宋体"/>
                <w:color w:val="auto"/>
                <w:szCs w:val="21"/>
              </w:rPr>
            </w:pPr>
            <w:r>
              <w:rPr>
                <w:rFonts w:ascii="宋体" w:hAnsi="宋体"/>
                <w:color w:val="auto"/>
                <w:szCs w:val="21"/>
              </w:rPr>
              <w:t>6.3.2</w:t>
            </w:r>
          </w:p>
        </w:tc>
        <w:tc>
          <w:tcPr>
            <w:tcW w:w="2187" w:type="dxa"/>
            <w:vAlign w:val="center"/>
          </w:tcPr>
          <w:p>
            <w:pPr>
              <w:snapToGrid w:val="0"/>
              <w:jc w:val="center"/>
              <w:rPr>
                <w:rFonts w:ascii="宋体" w:hAnsi="宋体"/>
                <w:color w:val="auto"/>
                <w:szCs w:val="21"/>
              </w:rPr>
            </w:pPr>
            <w:r>
              <w:rPr>
                <w:rFonts w:ascii="宋体" w:hAnsi="宋体"/>
                <w:color w:val="auto"/>
                <w:szCs w:val="21"/>
              </w:rPr>
              <w:t>评标委员会推荐中标候选人的人数</w:t>
            </w:r>
          </w:p>
        </w:tc>
        <w:tc>
          <w:tcPr>
            <w:tcW w:w="6415" w:type="dxa"/>
            <w:vAlign w:val="center"/>
          </w:tcPr>
          <w:p>
            <w:pPr>
              <w:snapToGrid w:val="0"/>
              <w:rPr>
                <w:rFonts w:ascii="宋体" w:hAnsi="宋体"/>
                <w:color w:val="auto"/>
                <w:szCs w:val="21"/>
              </w:rPr>
            </w:pPr>
            <w:r>
              <w:rPr>
                <w:rFonts w:hint="eastAsia" w:ascii="宋体" w:hAnsi="宋体"/>
                <w:color w:val="auto"/>
                <w:szCs w:val="21"/>
              </w:rPr>
              <w:t>推荐的中标候选人数：</w:t>
            </w:r>
            <w:r>
              <w:rPr>
                <w:rFonts w:hint="eastAsia" w:ascii="宋体" w:hAnsi="宋体"/>
                <w:color w:val="auto"/>
                <w:szCs w:val="21"/>
                <w:u w:val="single"/>
              </w:rPr>
              <w:t xml:space="preserve"> 3 </w:t>
            </w:r>
            <w:r>
              <w:rPr>
                <w:rFonts w:hint="eastAsia" w:ascii="宋体" w:hAnsi="宋体"/>
                <w:color w:val="auto"/>
                <w:szCs w:val="21"/>
              </w:rPr>
              <w:t>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1182" w:type="dxa"/>
            <w:vAlign w:val="center"/>
          </w:tcPr>
          <w:p>
            <w:pPr>
              <w:snapToGrid w:val="0"/>
              <w:jc w:val="center"/>
              <w:rPr>
                <w:rFonts w:ascii="宋体" w:hAnsi="宋体"/>
                <w:color w:val="auto"/>
                <w:szCs w:val="21"/>
              </w:rPr>
            </w:pPr>
            <w:r>
              <w:rPr>
                <w:rFonts w:ascii="宋体" w:hAnsi="宋体"/>
                <w:color w:val="auto"/>
                <w:szCs w:val="21"/>
              </w:rPr>
              <w:t>7.1</w:t>
            </w:r>
          </w:p>
        </w:tc>
        <w:tc>
          <w:tcPr>
            <w:tcW w:w="2187" w:type="dxa"/>
            <w:vAlign w:val="center"/>
          </w:tcPr>
          <w:p>
            <w:pPr>
              <w:snapToGrid w:val="0"/>
              <w:jc w:val="center"/>
              <w:rPr>
                <w:rFonts w:ascii="宋体" w:hAnsi="宋体"/>
                <w:color w:val="auto"/>
                <w:szCs w:val="21"/>
              </w:rPr>
            </w:pPr>
            <w:r>
              <w:rPr>
                <w:rFonts w:ascii="宋体" w:hAnsi="宋体"/>
                <w:color w:val="auto"/>
                <w:szCs w:val="21"/>
              </w:rPr>
              <w:t>中标候选人公示媒介及期限</w:t>
            </w:r>
          </w:p>
        </w:tc>
        <w:tc>
          <w:tcPr>
            <w:tcW w:w="6415" w:type="dxa"/>
            <w:vAlign w:val="center"/>
          </w:tcPr>
          <w:p>
            <w:pPr>
              <w:snapToGrid w:val="0"/>
              <w:ind w:right="106"/>
              <w:rPr>
                <w:rFonts w:ascii="宋体" w:hAnsi="宋体"/>
                <w:color w:val="auto"/>
                <w:szCs w:val="21"/>
                <w:u w:val="single"/>
              </w:rPr>
            </w:pPr>
            <w:r>
              <w:rPr>
                <w:rFonts w:ascii="宋体" w:hAnsi="宋体"/>
                <w:color w:val="auto"/>
                <w:szCs w:val="21"/>
              </w:rPr>
              <w:t>公示媒介：</w:t>
            </w:r>
            <w:r>
              <w:rPr>
                <w:rFonts w:hint="eastAsia" w:ascii="宋体" w:hAnsi="宋体"/>
                <w:color w:val="auto"/>
                <w:szCs w:val="21"/>
                <w:u w:val="single"/>
              </w:rPr>
              <w:t>广州公共资源交易中心网站、广东省招标投标监管网、中国招标投标公共服务平台和广州市增城区人民政府门户网站（</w:t>
            </w:r>
            <w:r>
              <w:rPr>
                <w:rFonts w:ascii="宋体" w:hAnsi="宋体"/>
                <w:color w:val="auto"/>
                <w:szCs w:val="21"/>
                <w:u w:val="single"/>
              </w:rPr>
              <w:t>http://www.zc.gov.cn/的“首页&gt;</w:t>
            </w:r>
            <w:r>
              <w:rPr>
                <w:rFonts w:hint="eastAsia" w:ascii="宋体" w:hAnsi="宋体"/>
                <w:color w:val="auto"/>
                <w:szCs w:val="21"/>
                <w:u w:val="single"/>
              </w:rPr>
              <w:t>公开</w:t>
            </w:r>
            <w:r>
              <w:rPr>
                <w:rFonts w:ascii="宋体" w:hAnsi="宋体"/>
                <w:color w:val="auto"/>
                <w:szCs w:val="21"/>
                <w:u w:val="single"/>
              </w:rPr>
              <w:t>&gt;</w:t>
            </w:r>
            <w:r>
              <w:rPr>
                <w:rFonts w:hint="eastAsia" w:ascii="宋体" w:hAnsi="宋体"/>
                <w:color w:val="auto"/>
                <w:szCs w:val="21"/>
                <w:u w:val="single"/>
              </w:rPr>
              <w:t>公共资源配置领域</w:t>
            </w:r>
            <w:r>
              <w:rPr>
                <w:rFonts w:ascii="宋体" w:hAnsi="宋体"/>
                <w:color w:val="auto"/>
                <w:szCs w:val="21"/>
                <w:u w:val="single"/>
              </w:rPr>
              <w:t>&gt;</w:t>
            </w:r>
            <w:r>
              <w:rPr>
                <w:rFonts w:hint="eastAsia" w:ascii="宋体" w:hAnsi="宋体"/>
                <w:color w:val="auto"/>
                <w:szCs w:val="21"/>
                <w:u w:val="single"/>
              </w:rPr>
              <w:t>工程建设项目招投标”栏目）公示。</w:t>
            </w:r>
          </w:p>
          <w:p>
            <w:pPr>
              <w:snapToGrid w:val="0"/>
              <w:ind w:right="106"/>
              <w:rPr>
                <w:rFonts w:ascii="宋体" w:hAnsi="宋体"/>
                <w:color w:val="auto"/>
                <w:szCs w:val="21"/>
              </w:rPr>
            </w:pPr>
            <w:r>
              <w:rPr>
                <w:rFonts w:ascii="宋体" w:hAnsi="宋体"/>
                <w:color w:val="auto"/>
                <w:szCs w:val="21"/>
              </w:rPr>
              <w:t>公示期限：</w:t>
            </w:r>
            <w:r>
              <w:rPr>
                <w:rFonts w:hint="eastAsia" w:ascii="宋体" w:hAnsi="宋体"/>
                <w:color w:val="auto"/>
                <w:szCs w:val="21"/>
              </w:rPr>
              <w:t>自发布公示之日起</w:t>
            </w:r>
            <w:r>
              <w:rPr>
                <w:rFonts w:hint="eastAsia" w:ascii="宋体" w:hAnsi="宋体"/>
                <w:color w:val="auto"/>
                <w:szCs w:val="21"/>
                <w:u w:val="single"/>
              </w:rPr>
              <w:t>3</w:t>
            </w:r>
            <w:r>
              <w:rPr>
                <w:rFonts w:hint="eastAsia" w:ascii="宋体" w:hAnsi="宋体"/>
                <w:color w:val="auto"/>
                <w:szCs w:val="21"/>
              </w:rPr>
              <w:t>天（最后一天需为工作日，如非工作日则顺延至下个工作日）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5" w:hRule="atLeast"/>
          <w:jc w:val="center"/>
        </w:trPr>
        <w:tc>
          <w:tcPr>
            <w:tcW w:w="1182" w:type="dxa"/>
            <w:vAlign w:val="center"/>
          </w:tcPr>
          <w:p>
            <w:pPr>
              <w:snapToGrid w:val="0"/>
              <w:jc w:val="center"/>
              <w:rPr>
                <w:rFonts w:ascii="宋体" w:hAnsi="宋体"/>
                <w:color w:val="auto"/>
                <w:szCs w:val="21"/>
              </w:rPr>
            </w:pPr>
            <w:r>
              <w:rPr>
                <w:rFonts w:ascii="宋体" w:hAnsi="宋体"/>
                <w:color w:val="auto"/>
                <w:szCs w:val="21"/>
              </w:rPr>
              <w:t>7.4</w:t>
            </w:r>
          </w:p>
        </w:tc>
        <w:tc>
          <w:tcPr>
            <w:tcW w:w="2187" w:type="dxa"/>
            <w:vAlign w:val="center"/>
          </w:tcPr>
          <w:p>
            <w:pPr>
              <w:snapToGrid w:val="0"/>
              <w:jc w:val="center"/>
              <w:rPr>
                <w:rFonts w:ascii="宋体" w:hAnsi="宋体"/>
                <w:color w:val="auto"/>
                <w:szCs w:val="21"/>
              </w:rPr>
            </w:pPr>
            <w:r>
              <w:rPr>
                <w:rFonts w:ascii="宋体" w:hAnsi="宋体"/>
                <w:color w:val="auto"/>
                <w:szCs w:val="21"/>
              </w:rPr>
              <w:t>是否授权评标委员会确定中标人</w:t>
            </w:r>
          </w:p>
        </w:tc>
        <w:tc>
          <w:tcPr>
            <w:tcW w:w="6415" w:type="dxa"/>
            <w:vAlign w:val="center"/>
          </w:tcPr>
          <w:p>
            <w:pPr>
              <w:snapToGrid w:val="0"/>
              <w:ind w:left="108" w:right="106"/>
              <w:rPr>
                <w:color w:val="auto"/>
              </w:rPr>
            </w:pPr>
            <w:r>
              <w:rPr>
                <w:color w:val="auto"/>
              </w:rPr>
              <w:sym w:font="Wingdings 2" w:char="00A3"/>
            </w:r>
            <w:r>
              <w:rPr>
                <w:color w:val="auto"/>
              </w:rPr>
              <w:t>是</w:t>
            </w:r>
          </w:p>
          <w:p>
            <w:pPr>
              <w:snapToGrid w:val="0"/>
              <w:ind w:left="108" w:right="106"/>
              <w:rPr>
                <w:color w:val="auto"/>
              </w:rPr>
            </w:pPr>
            <w:r>
              <w:rPr>
                <w:rFonts w:hint="eastAsia"/>
                <w:color w:val="auto"/>
              </w:rPr>
              <w:t>■</w:t>
            </w:r>
            <w:r>
              <w:rPr>
                <w:color w:val="auto"/>
              </w:rPr>
              <w:t>否</w:t>
            </w:r>
          </w:p>
          <w:p>
            <w:pPr>
              <w:snapToGrid w:val="0"/>
              <w:ind w:left="108" w:right="106"/>
              <w:rPr>
                <w:rFonts w:ascii="宋体" w:hAnsi="宋体"/>
                <w:color w:val="auto"/>
                <w:szCs w:val="21"/>
              </w:rPr>
            </w:pPr>
            <w:r>
              <w:rPr>
                <w:rFonts w:hint="eastAsia" w:ascii="宋体" w:hAnsi="宋体"/>
                <w:color w:val="auto"/>
                <w:szCs w:val="21"/>
              </w:rPr>
              <w:t>1、</w:t>
            </w:r>
            <w:r>
              <w:rPr>
                <w:rFonts w:ascii="宋体" w:hAnsi="宋体"/>
                <w:color w:val="auto"/>
                <w:szCs w:val="21"/>
              </w:rPr>
              <w:t>招标人依据评标委员会推荐的中标候选人确定中标人。</w:t>
            </w:r>
          </w:p>
          <w:p>
            <w:pPr>
              <w:snapToGrid w:val="0"/>
              <w:ind w:left="108" w:right="106"/>
              <w:rPr>
                <w:rFonts w:ascii="宋体" w:hAnsi="宋体"/>
                <w:color w:val="auto"/>
                <w:szCs w:val="21"/>
              </w:rPr>
            </w:pPr>
            <w:r>
              <w:rPr>
                <w:rFonts w:hint="eastAsia" w:ascii="宋体" w:hAnsi="宋体"/>
                <w:color w:val="auto"/>
                <w:szCs w:val="21"/>
              </w:rPr>
              <w:t>2、</w:t>
            </w:r>
            <w:r>
              <w:rPr>
                <w:rFonts w:ascii="宋体" w:hAnsi="宋体"/>
                <w:color w:val="auto"/>
                <w:szCs w:val="21"/>
              </w:rPr>
              <w:t>依法必须进行公开招标的项目，招标人确定排名第一的中标候选人为中标人。</w:t>
            </w:r>
          </w:p>
          <w:p>
            <w:pPr>
              <w:snapToGrid w:val="0"/>
              <w:ind w:left="108" w:right="106"/>
              <w:rPr>
                <w:color w:val="auto"/>
              </w:rPr>
            </w:pPr>
            <w:r>
              <w:rPr>
                <w:rFonts w:hint="eastAsia" w:ascii="宋体" w:hAnsi="宋体"/>
                <w:color w:val="auto"/>
                <w:szCs w:val="21"/>
              </w:rPr>
              <w:t>3、</w:t>
            </w:r>
            <w:r>
              <w:rPr>
                <w:rFonts w:ascii="宋体" w:hAnsi="宋体"/>
                <w:color w:val="auto"/>
                <w:szCs w:val="21"/>
              </w:rPr>
              <w:t>排名第一的中标候选人放弃中标、或被取消中标资格，或因不可抗力提出不能履行合同，或者招标文件规定应当提交履约担保而在规定的期限内未能提交的，或经核查发现委派的总监理工程师不符合任职数量规定的，招标人可以按照中标候选人顺序依次上升替补定标，以此类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82" w:hRule="atLeast"/>
          <w:jc w:val="center"/>
        </w:trPr>
        <w:tc>
          <w:tcPr>
            <w:tcW w:w="1182" w:type="dxa"/>
            <w:vAlign w:val="center"/>
          </w:tcPr>
          <w:p>
            <w:pPr>
              <w:snapToGrid w:val="0"/>
              <w:jc w:val="center"/>
              <w:rPr>
                <w:rFonts w:ascii="宋体" w:hAnsi="宋体"/>
                <w:color w:val="auto"/>
                <w:szCs w:val="21"/>
              </w:rPr>
            </w:pPr>
            <w:r>
              <w:rPr>
                <w:rFonts w:ascii="宋体" w:hAnsi="宋体"/>
                <w:color w:val="auto"/>
                <w:szCs w:val="21"/>
              </w:rPr>
              <w:t>7.6.1</w:t>
            </w:r>
          </w:p>
        </w:tc>
        <w:tc>
          <w:tcPr>
            <w:tcW w:w="2187" w:type="dxa"/>
            <w:vAlign w:val="center"/>
          </w:tcPr>
          <w:p>
            <w:pPr>
              <w:snapToGrid w:val="0"/>
              <w:jc w:val="center"/>
              <w:rPr>
                <w:rFonts w:ascii="宋体" w:hAnsi="宋体"/>
                <w:color w:val="auto"/>
                <w:szCs w:val="21"/>
              </w:rPr>
            </w:pPr>
            <w:r>
              <w:rPr>
                <w:rFonts w:ascii="宋体" w:hAnsi="宋体"/>
                <w:color w:val="auto"/>
                <w:szCs w:val="21"/>
              </w:rPr>
              <w:t>履约保证金</w:t>
            </w:r>
          </w:p>
        </w:tc>
        <w:tc>
          <w:tcPr>
            <w:tcW w:w="6415" w:type="dxa"/>
            <w:vAlign w:val="center"/>
          </w:tcPr>
          <w:p>
            <w:pPr>
              <w:pStyle w:val="11"/>
              <w:topLinePunct/>
              <w:snapToGrid w:val="0"/>
              <w:rPr>
                <w:rFonts w:hAnsi="宋体"/>
                <w:color w:val="auto"/>
                <w:sz w:val="21"/>
                <w:szCs w:val="21"/>
              </w:rPr>
            </w:pPr>
            <w:r>
              <w:rPr>
                <w:rFonts w:hAnsi="宋体"/>
                <w:color w:val="auto"/>
                <w:sz w:val="21"/>
                <w:szCs w:val="21"/>
              </w:rPr>
              <w:t>是否要求中标人提交履约保证金：</w:t>
            </w:r>
          </w:p>
          <w:p>
            <w:pPr>
              <w:pStyle w:val="11"/>
              <w:topLinePunct/>
              <w:snapToGrid w:val="0"/>
              <w:rPr>
                <w:rFonts w:hAnsi="宋体"/>
                <w:color w:val="auto"/>
                <w:sz w:val="21"/>
                <w:szCs w:val="21"/>
              </w:rPr>
            </w:pPr>
            <w:r>
              <w:rPr>
                <w:color w:val="auto"/>
              </w:rPr>
              <w:sym w:font="Wingdings 2" w:char="00A3"/>
            </w:r>
            <w:r>
              <w:rPr>
                <w:rFonts w:hAnsi="宋体"/>
                <w:color w:val="auto"/>
                <w:sz w:val="21"/>
                <w:szCs w:val="21"/>
              </w:rPr>
              <w:t>要求</w:t>
            </w:r>
            <w:r>
              <w:rPr>
                <w:rFonts w:hint="eastAsia" w:hAnsi="宋体"/>
                <w:color w:val="auto"/>
                <w:sz w:val="21"/>
                <w:szCs w:val="21"/>
              </w:rPr>
              <w:t>：投标人提供的履约保证金额为中标价款（人民币）的10%，以银行保函形式提供，履约保函有效期至项目竣工验收为止。</w:t>
            </w:r>
          </w:p>
          <w:p>
            <w:pPr>
              <w:pStyle w:val="11"/>
              <w:topLinePunct/>
              <w:snapToGrid w:val="0"/>
              <w:rPr>
                <w:rFonts w:hAnsi="宋体"/>
                <w:color w:val="auto"/>
                <w:sz w:val="21"/>
                <w:szCs w:val="21"/>
              </w:rPr>
            </w:pPr>
            <w:r>
              <w:rPr>
                <w:rFonts w:hint="eastAsia"/>
                <w:color w:val="auto"/>
                <w:sz w:val="21"/>
                <w:szCs w:val="21"/>
              </w:rPr>
              <w:t>■</w:t>
            </w:r>
            <w:r>
              <w:rPr>
                <w:rFonts w:hAnsi="宋体"/>
                <w:color w:val="auto"/>
                <w:sz w:val="21"/>
                <w:szCs w:val="21"/>
              </w:rPr>
              <w:t>不要求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36" w:hRule="atLeast"/>
          <w:jc w:val="center"/>
        </w:trPr>
        <w:tc>
          <w:tcPr>
            <w:tcW w:w="1182" w:type="dxa"/>
            <w:vAlign w:val="center"/>
          </w:tcPr>
          <w:p>
            <w:pPr>
              <w:snapToGrid w:val="0"/>
              <w:jc w:val="center"/>
              <w:rPr>
                <w:rFonts w:ascii="宋体" w:hAnsi="宋体"/>
                <w:color w:val="auto"/>
                <w:szCs w:val="21"/>
              </w:rPr>
            </w:pPr>
            <w:r>
              <w:rPr>
                <w:rFonts w:ascii="宋体" w:hAnsi="宋体"/>
                <w:color w:val="auto"/>
                <w:szCs w:val="21"/>
              </w:rPr>
              <w:t>9</w:t>
            </w:r>
          </w:p>
        </w:tc>
        <w:tc>
          <w:tcPr>
            <w:tcW w:w="2187" w:type="dxa"/>
            <w:vAlign w:val="center"/>
          </w:tcPr>
          <w:p>
            <w:pPr>
              <w:snapToGrid w:val="0"/>
              <w:jc w:val="center"/>
              <w:rPr>
                <w:rFonts w:ascii="宋体" w:hAnsi="宋体"/>
                <w:color w:val="auto"/>
                <w:szCs w:val="21"/>
              </w:rPr>
            </w:pPr>
            <w:r>
              <w:rPr>
                <w:rFonts w:ascii="宋体" w:hAnsi="宋体"/>
                <w:color w:val="auto"/>
                <w:szCs w:val="21"/>
              </w:rPr>
              <w:t>是否采用电子招标投标</w:t>
            </w:r>
          </w:p>
        </w:tc>
        <w:tc>
          <w:tcPr>
            <w:tcW w:w="6415" w:type="dxa"/>
            <w:vAlign w:val="center"/>
          </w:tcPr>
          <w:p>
            <w:pPr>
              <w:rPr>
                <w:color w:val="auto"/>
              </w:rPr>
            </w:pPr>
          </w:p>
          <w:p>
            <w:pPr>
              <w:pStyle w:val="11"/>
              <w:topLinePunct/>
              <w:snapToGrid w:val="0"/>
              <w:rPr>
                <w:color w:val="auto"/>
                <w:sz w:val="21"/>
                <w:szCs w:val="21"/>
              </w:rPr>
            </w:pPr>
            <w:r>
              <w:rPr>
                <w:color w:val="auto"/>
                <w:sz w:val="21"/>
                <w:szCs w:val="21"/>
              </w:rPr>
              <w:sym w:font="Wingdings 2" w:char="00A3"/>
            </w:r>
            <w:r>
              <w:rPr>
                <w:rFonts w:hint="eastAsia"/>
                <w:color w:val="auto"/>
                <w:sz w:val="21"/>
                <w:szCs w:val="21"/>
              </w:rPr>
              <w:t>否</w:t>
            </w:r>
          </w:p>
          <w:p>
            <w:pPr>
              <w:pStyle w:val="11"/>
              <w:topLinePunct/>
              <w:snapToGrid w:val="0"/>
              <w:rPr>
                <w:color w:val="auto"/>
                <w:sz w:val="21"/>
                <w:szCs w:val="21"/>
              </w:rPr>
            </w:pPr>
            <w:r>
              <w:rPr>
                <w:rFonts w:hint="eastAsia"/>
                <w:color w:val="auto"/>
                <w:sz w:val="21"/>
                <w:szCs w:val="21"/>
              </w:rPr>
              <w:t>■是，具体要求：</w:t>
            </w:r>
          </w:p>
          <w:p>
            <w:pPr>
              <w:pStyle w:val="11"/>
              <w:topLinePunct/>
              <w:snapToGrid w:val="0"/>
              <w:rPr>
                <w:color w:val="auto"/>
                <w:sz w:val="21"/>
                <w:szCs w:val="21"/>
              </w:rPr>
            </w:pPr>
            <w:r>
              <w:rPr>
                <w:rFonts w:hint="eastAsia"/>
                <w:color w:val="auto"/>
                <w:sz w:val="21"/>
                <w:szCs w:val="21"/>
              </w:rPr>
              <w:t>1、具体操作详见广州公共资源交易中心发布的最新版本《房屋建筑和市政基础设施工程全流程电子化项目专章》。</w:t>
            </w:r>
          </w:p>
          <w:p>
            <w:pPr>
              <w:pStyle w:val="11"/>
              <w:topLinePunct/>
              <w:snapToGrid w:val="0"/>
              <w:rPr>
                <w:color w:val="auto"/>
                <w:sz w:val="21"/>
                <w:szCs w:val="21"/>
              </w:rPr>
            </w:pPr>
            <w:r>
              <w:rPr>
                <w:rFonts w:hint="eastAsia"/>
                <w:color w:val="auto"/>
                <w:sz w:val="21"/>
                <w:szCs w:val="21"/>
              </w:rPr>
              <w:t>2、提交投标文件光盘备用</w:t>
            </w:r>
          </w:p>
          <w:p>
            <w:pPr>
              <w:pStyle w:val="11"/>
              <w:topLinePunct/>
              <w:snapToGrid w:val="0"/>
              <w:rPr>
                <w:color w:val="auto"/>
                <w:sz w:val="21"/>
                <w:szCs w:val="21"/>
              </w:rPr>
            </w:pPr>
            <w:r>
              <w:rPr>
                <w:rFonts w:hint="eastAsia"/>
                <w:color w:val="auto"/>
                <w:sz w:val="21"/>
                <w:szCs w:val="21"/>
              </w:rPr>
              <w:t>投标人将按广州公共资源交易中心发布的最新版本《房屋建筑和市政基础设施工程全流程电子化项目专章》的操作方法制作的非加密的电子投标文件刻入光盘（1份），在规定的时间、地点提交备用。刻录好的投标文件光盘密封在密封袋中，并在封口处加盖投标人单位公章。密封袋上应写明的内容见投标人须知前附表要求4.1.2。现场递交的投标文件（光盘）不得加密。光盘（投标文件）无法读取或导入的，则视为未提交备用投标文件光盘。如果投标人没有按规定通过交易平台网上递交电子投标文件的，不再接受现场提交的光盘。</w:t>
            </w:r>
          </w:p>
          <w:p>
            <w:pPr>
              <w:pStyle w:val="11"/>
              <w:topLinePunct/>
              <w:snapToGrid w:val="0"/>
              <w:rPr>
                <w:color w:val="auto"/>
                <w:sz w:val="21"/>
                <w:szCs w:val="21"/>
              </w:rPr>
            </w:pPr>
            <w:r>
              <w:rPr>
                <w:rFonts w:hint="eastAsia"/>
                <w:color w:val="auto"/>
                <w:sz w:val="21"/>
                <w:szCs w:val="21"/>
              </w:rPr>
              <w:t>3、补救方案</w:t>
            </w:r>
          </w:p>
          <w:p>
            <w:pPr>
              <w:pStyle w:val="11"/>
              <w:topLinePunct/>
              <w:snapToGrid w:val="0"/>
              <w:rPr>
                <w:color w:val="auto"/>
                <w:sz w:val="21"/>
                <w:szCs w:val="21"/>
              </w:rPr>
            </w:pPr>
            <w:r>
              <w:rPr>
                <w:rFonts w:hint="eastAsia"/>
                <w:color w:val="auto"/>
                <w:sz w:val="21"/>
                <w:szCs w:val="21"/>
              </w:rPr>
              <w:t>（1）投标文件解密失败的补救方案</w:t>
            </w:r>
          </w:p>
          <w:p>
            <w:pPr>
              <w:pStyle w:val="11"/>
              <w:topLinePunct/>
              <w:snapToGrid w:val="0"/>
              <w:rPr>
                <w:color w:val="auto"/>
                <w:sz w:val="21"/>
                <w:szCs w:val="21"/>
              </w:rPr>
            </w:pPr>
            <w:r>
              <w:rPr>
                <w:rFonts w:hint="eastAsia"/>
                <w:color w:val="auto"/>
                <w:sz w:val="21"/>
                <w:szCs w:val="21"/>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pStyle w:val="11"/>
              <w:topLinePunct/>
              <w:snapToGrid w:val="0"/>
              <w:rPr>
                <w:color w:val="auto"/>
                <w:sz w:val="21"/>
                <w:szCs w:val="21"/>
              </w:rPr>
            </w:pPr>
            <w:r>
              <w:rPr>
                <w:rFonts w:hint="eastAsia"/>
                <w:color w:val="auto"/>
                <w:sz w:val="21"/>
                <w:szCs w:val="21"/>
              </w:rPr>
              <w:t>（2）评标时突发情况的补救方案</w:t>
            </w:r>
          </w:p>
          <w:p>
            <w:pPr>
              <w:pStyle w:val="11"/>
              <w:topLinePunct/>
              <w:snapToGrid w:val="0"/>
              <w:rPr>
                <w:color w:val="auto"/>
                <w:sz w:val="21"/>
                <w:szCs w:val="21"/>
              </w:rPr>
            </w:pPr>
            <w:r>
              <w:rPr>
                <w:rFonts w:hint="eastAsia"/>
                <w:color w:val="auto"/>
                <w:sz w:val="21"/>
                <w:szCs w:val="21"/>
              </w:rPr>
              <w:t>若遇不可抗力发生（如：网络瘫痪、服务器损坏、交易系统故障短期无法恢复等因素），由评标委员会开启现场递交的全部投标文件光盘，并按光盘内容进行评审。</w:t>
            </w:r>
          </w:p>
          <w:p>
            <w:pPr>
              <w:pStyle w:val="11"/>
              <w:topLinePunct/>
              <w:snapToGrid w:val="0"/>
              <w:rPr>
                <w:rFonts w:hAnsi="宋体"/>
                <w:color w:val="auto"/>
                <w:szCs w:val="21"/>
              </w:rPr>
            </w:pPr>
            <w:r>
              <w:rPr>
                <w:rFonts w:hint="eastAsia"/>
                <w:color w:val="auto"/>
                <w:sz w:val="21"/>
                <w:szCs w:val="21"/>
              </w:rPr>
              <w:t>（3）除发生上述情况外，开标评标均以投标人通过交易平台网上递交的电子投标文件为准。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1182" w:type="dxa"/>
            <w:vAlign w:val="center"/>
          </w:tcPr>
          <w:p>
            <w:pPr>
              <w:snapToGrid w:val="0"/>
              <w:jc w:val="center"/>
              <w:rPr>
                <w:rFonts w:ascii="宋体" w:hAnsi="宋体"/>
                <w:color w:val="auto"/>
                <w:szCs w:val="21"/>
              </w:rPr>
            </w:pPr>
            <w:r>
              <w:rPr>
                <w:rFonts w:ascii="宋体" w:hAnsi="宋体"/>
                <w:color w:val="auto"/>
                <w:szCs w:val="21"/>
              </w:rPr>
              <w:t>10</w:t>
            </w:r>
          </w:p>
        </w:tc>
        <w:tc>
          <w:tcPr>
            <w:tcW w:w="2187" w:type="dxa"/>
            <w:vAlign w:val="center"/>
          </w:tcPr>
          <w:p>
            <w:pPr>
              <w:snapToGrid w:val="0"/>
              <w:jc w:val="center"/>
              <w:rPr>
                <w:rFonts w:ascii="宋体" w:hAnsi="宋体"/>
                <w:color w:val="auto"/>
                <w:szCs w:val="21"/>
              </w:rPr>
            </w:pPr>
            <w:r>
              <w:rPr>
                <w:rFonts w:ascii="宋体" w:hAnsi="宋体"/>
                <w:color w:val="auto"/>
                <w:szCs w:val="21"/>
              </w:rPr>
              <w:t>需要补充的其他内容</w:t>
            </w:r>
          </w:p>
        </w:tc>
        <w:tc>
          <w:tcPr>
            <w:tcW w:w="6415" w:type="dxa"/>
            <w:vAlign w:val="center"/>
          </w:tcPr>
          <w:p>
            <w:pPr>
              <w:snapToGrid w:val="0"/>
              <w:rPr>
                <w:rFonts w:ascii="宋体" w:hAnsi="宋体"/>
                <w:color w:val="auto"/>
                <w:szCs w:val="21"/>
              </w:rPr>
            </w:pPr>
            <w:r>
              <w:rPr>
                <w:rFonts w:hint="eastAsia" w:ascii="宋体" w:hAnsi="宋体" w:cs="宋体"/>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1182" w:type="dxa"/>
            <w:vAlign w:val="center"/>
          </w:tcPr>
          <w:p>
            <w:pPr>
              <w:snapToGrid w:val="0"/>
              <w:jc w:val="center"/>
              <w:rPr>
                <w:rFonts w:ascii="宋体" w:hAnsi="宋体"/>
                <w:color w:val="auto"/>
                <w:szCs w:val="21"/>
              </w:rPr>
            </w:pPr>
            <w:r>
              <w:rPr>
                <w:rFonts w:hint="eastAsia" w:ascii="宋体" w:hAnsi="宋体"/>
                <w:color w:val="auto"/>
                <w:szCs w:val="21"/>
              </w:rPr>
              <w:t>10.1</w:t>
            </w:r>
          </w:p>
        </w:tc>
        <w:tc>
          <w:tcPr>
            <w:tcW w:w="2187" w:type="dxa"/>
            <w:vAlign w:val="center"/>
          </w:tcPr>
          <w:p>
            <w:pPr>
              <w:snapToGrid w:val="0"/>
              <w:jc w:val="center"/>
              <w:rPr>
                <w:rFonts w:ascii="宋体" w:hAnsi="宋体"/>
                <w:color w:val="auto"/>
                <w:szCs w:val="21"/>
              </w:rPr>
            </w:pPr>
            <w:r>
              <w:rPr>
                <w:rFonts w:hint="eastAsia" w:ascii="宋体" w:hAnsi="宋体"/>
                <w:color w:val="auto"/>
                <w:szCs w:val="21"/>
              </w:rPr>
              <w:t>监理费支付</w:t>
            </w:r>
          </w:p>
        </w:tc>
        <w:tc>
          <w:tcPr>
            <w:tcW w:w="6415" w:type="dxa"/>
            <w:vAlign w:val="center"/>
          </w:tcPr>
          <w:p>
            <w:pPr>
              <w:snapToGrid w:val="0"/>
              <w:jc w:val="left"/>
              <w:rPr>
                <w:rFonts w:ascii="宋体" w:hAnsi="宋体"/>
                <w:color w:val="auto"/>
                <w:szCs w:val="21"/>
              </w:rPr>
            </w:pPr>
            <w:r>
              <w:rPr>
                <w:rFonts w:hint="eastAsia" w:ascii="宋体" w:hAnsi="宋体"/>
                <w:color w:val="auto"/>
                <w:szCs w:val="21"/>
              </w:rPr>
              <w:t>监理费由招标人支付。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1182" w:type="dxa"/>
            <w:vAlign w:val="center"/>
          </w:tcPr>
          <w:p>
            <w:pPr>
              <w:snapToGrid w:val="0"/>
              <w:jc w:val="center"/>
              <w:rPr>
                <w:rFonts w:ascii="宋体" w:hAnsi="宋体"/>
                <w:color w:val="auto"/>
                <w:szCs w:val="21"/>
              </w:rPr>
            </w:pPr>
            <w:r>
              <w:rPr>
                <w:rFonts w:hint="eastAsia" w:ascii="宋体" w:hAnsi="宋体"/>
                <w:color w:val="auto"/>
                <w:szCs w:val="21"/>
              </w:rPr>
              <w:t>10.2</w:t>
            </w:r>
          </w:p>
        </w:tc>
        <w:tc>
          <w:tcPr>
            <w:tcW w:w="2187" w:type="dxa"/>
            <w:vAlign w:val="center"/>
          </w:tcPr>
          <w:p>
            <w:pPr>
              <w:snapToGrid w:val="0"/>
              <w:jc w:val="center"/>
              <w:rPr>
                <w:rFonts w:ascii="宋体" w:hAnsi="宋体"/>
                <w:color w:val="auto"/>
                <w:szCs w:val="21"/>
              </w:rPr>
            </w:pPr>
            <w:r>
              <w:rPr>
                <w:rFonts w:ascii="宋体" w:hAnsi="宋体"/>
                <w:color w:val="auto"/>
                <w:szCs w:val="21"/>
              </w:rPr>
              <w:t>其他费用</w:t>
            </w:r>
          </w:p>
        </w:tc>
        <w:tc>
          <w:tcPr>
            <w:tcW w:w="6415" w:type="dxa"/>
            <w:vAlign w:val="center"/>
          </w:tcPr>
          <w:p>
            <w:pPr>
              <w:snapToGrid w:val="0"/>
              <w:jc w:val="left"/>
              <w:rPr>
                <w:rFonts w:ascii="宋体" w:hAnsi="宋体"/>
                <w:color w:val="auto"/>
                <w:szCs w:val="21"/>
              </w:rPr>
            </w:pPr>
            <w:r>
              <w:rPr>
                <w:rFonts w:hint="eastAsia" w:ascii="宋体" w:hAnsi="宋体"/>
                <w:color w:val="auto"/>
                <w:szCs w:val="21"/>
              </w:rPr>
              <w:t>交易服务费：根据政府相关文件规定缴纳。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65" w:hRule="atLeast"/>
          <w:jc w:val="center"/>
        </w:trPr>
        <w:tc>
          <w:tcPr>
            <w:tcW w:w="1182" w:type="dxa"/>
            <w:vAlign w:val="center"/>
          </w:tcPr>
          <w:p>
            <w:pPr>
              <w:snapToGrid w:val="0"/>
              <w:jc w:val="center"/>
              <w:rPr>
                <w:rFonts w:ascii="宋体" w:hAnsi="宋体"/>
                <w:color w:val="auto"/>
                <w:szCs w:val="21"/>
              </w:rPr>
            </w:pPr>
            <w:r>
              <w:rPr>
                <w:rFonts w:hint="eastAsia" w:ascii="宋体" w:hAnsi="宋体"/>
                <w:color w:val="auto"/>
                <w:szCs w:val="21"/>
              </w:rPr>
              <w:t>10.3</w:t>
            </w:r>
          </w:p>
        </w:tc>
        <w:tc>
          <w:tcPr>
            <w:tcW w:w="2187" w:type="dxa"/>
            <w:vAlign w:val="center"/>
          </w:tcPr>
          <w:p>
            <w:pPr>
              <w:snapToGrid w:val="0"/>
              <w:jc w:val="center"/>
              <w:rPr>
                <w:rFonts w:ascii="宋体" w:hAnsi="宋体"/>
                <w:color w:val="auto"/>
                <w:szCs w:val="21"/>
              </w:rPr>
            </w:pPr>
            <w:r>
              <w:rPr>
                <w:rFonts w:hint="eastAsia" w:ascii="宋体" w:hAnsi="宋体"/>
                <w:color w:val="auto"/>
                <w:szCs w:val="21"/>
              </w:rPr>
              <w:t>潜在投标人或利害关系人对本招标公告及招标文件内容异议的，向招标人书面提出。</w:t>
            </w:r>
          </w:p>
        </w:tc>
        <w:tc>
          <w:tcPr>
            <w:tcW w:w="6415" w:type="dxa"/>
            <w:vAlign w:val="center"/>
          </w:tcPr>
          <w:p>
            <w:pPr>
              <w:snapToGrid w:val="0"/>
              <w:jc w:val="left"/>
              <w:rPr>
                <w:rFonts w:ascii="宋体" w:hAnsi="宋体"/>
                <w:color w:val="auto"/>
                <w:szCs w:val="21"/>
              </w:rPr>
            </w:pPr>
            <w:r>
              <w:rPr>
                <w:rFonts w:hint="eastAsia" w:ascii="宋体" w:hAnsi="宋体"/>
                <w:color w:val="auto"/>
                <w:szCs w:val="21"/>
              </w:rPr>
              <w:t>1）异议受理部门：</w:t>
            </w:r>
            <w:r>
              <w:rPr>
                <w:rFonts w:hint="eastAsia" w:ascii="宋体" w:hAnsi="宋体"/>
                <w:color w:val="auto"/>
                <w:szCs w:val="21"/>
                <w:u w:val="single"/>
              </w:rPr>
              <w:t>广州增城区东进供水有限公司</w:t>
            </w:r>
            <w:r>
              <w:rPr>
                <w:rFonts w:hint="eastAsia" w:ascii="宋体" w:hAnsi="宋体"/>
                <w:color w:val="auto"/>
                <w:szCs w:val="21"/>
              </w:rPr>
              <w:t>；</w:t>
            </w:r>
          </w:p>
          <w:p>
            <w:pPr>
              <w:snapToGrid w:val="0"/>
              <w:jc w:val="left"/>
              <w:rPr>
                <w:rFonts w:ascii="宋体" w:hAnsi="宋体"/>
                <w:color w:val="auto"/>
                <w:szCs w:val="21"/>
              </w:rPr>
            </w:pPr>
            <w:r>
              <w:rPr>
                <w:rFonts w:ascii="宋体" w:hAnsi="宋体"/>
                <w:color w:val="auto"/>
                <w:szCs w:val="21"/>
              </w:rPr>
              <w:t>2）联系电话：</w:t>
            </w:r>
            <w:r>
              <w:rPr>
                <w:rFonts w:hint="eastAsia" w:ascii="宋体" w:hAnsi="宋体"/>
                <w:color w:val="auto"/>
                <w:szCs w:val="21"/>
                <w:u w:val="single"/>
              </w:rPr>
              <w:t>020-82622803</w:t>
            </w:r>
            <w:r>
              <w:rPr>
                <w:rFonts w:hint="eastAsia" w:ascii="宋体" w:hAnsi="宋体"/>
                <w:color w:val="auto"/>
                <w:szCs w:val="21"/>
              </w:rPr>
              <w:t>；</w:t>
            </w:r>
          </w:p>
          <w:p>
            <w:pPr>
              <w:snapToGrid w:val="0"/>
              <w:jc w:val="left"/>
              <w:rPr>
                <w:rFonts w:ascii="宋体" w:hAnsi="宋体"/>
                <w:color w:val="auto"/>
                <w:szCs w:val="21"/>
              </w:rPr>
            </w:pPr>
            <w:r>
              <w:rPr>
                <w:rFonts w:ascii="宋体" w:hAnsi="宋体"/>
                <w:color w:val="auto"/>
                <w:szCs w:val="21"/>
              </w:rPr>
              <w:t>3）地址：</w:t>
            </w:r>
            <w:r>
              <w:rPr>
                <w:rFonts w:hint="eastAsia" w:ascii="宋体" w:hAnsi="宋体"/>
                <w:color w:val="auto"/>
                <w:szCs w:val="21"/>
                <w:u w:val="single"/>
              </w:rPr>
              <w:t>广州市增城区荔城街民乐路20号阳光国际大厦801房。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182" w:type="dxa"/>
            <w:vAlign w:val="center"/>
          </w:tcPr>
          <w:p>
            <w:pPr>
              <w:snapToGrid w:val="0"/>
              <w:jc w:val="center"/>
              <w:rPr>
                <w:rFonts w:ascii="宋体" w:hAnsi="宋体"/>
                <w:color w:val="auto"/>
                <w:szCs w:val="21"/>
              </w:rPr>
            </w:pPr>
            <w:r>
              <w:rPr>
                <w:rFonts w:hint="eastAsia" w:ascii="宋体" w:hAnsi="宋体"/>
                <w:color w:val="auto"/>
                <w:szCs w:val="21"/>
              </w:rPr>
              <w:t>10.4</w:t>
            </w:r>
          </w:p>
        </w:tc>
        <w:tc>
          <w:tcPr>
            <w:tcW w:w="2187" w:type="dxa"/>
            <w:vAlign w:val="center"/>
          </w:tcPr>
          <w:p>
            <w:pPr>
              <w:snapToGrid w:val="0"/>
              <w:jc w:val="left"/>
              <w:rPr>
                <w:rFonts w:ascii="宋体" w:hAnsi="宋体"/>
                <w:color w:val="auto"/>
                <w:szCs w:val="21"/>
              </w:rPr>
            </w:pPr>
            <w:r>
              <w:rPr>
                <w:rFonts w:hint="eastAsia" w:ascii="宋体" w:hAnsi="宋体"/>
                <w:color w:val="auto"/>
                <w:szCs w:val="21"/>
              </w:rPr>
              <w:t>招标监督机构</w:t>
            </w:r>
          </w:p>
        </w:tc>
        <w:tc>
          <w:tcPr>
            <w:tcW w:w="6415" w:type="dxa"/>
            <w:vAlign w:val="center"/>
          </w:tcPr>
          <w:p>
            <w:pPr>
              <w:snapToGrid w:val="0"/>
              <w:jc w:val="left"/>
              <w:rPr>
                <w:rFonts w:ascii="宋体" w:hAnsi="宋体"/>
                <w:color w:val="auto"/>
                <w:szCs w:val="21"/>
              </w:rPr>
            </w:pPr>
            <w:r>
              <w:rPr>
                <w:rFonts w:hint="eastAsia" w:ascii="宋体" w:hAnsi="宋体"/>
                <w:color w:val="auto"/>
                <w:szCs w:val="21"/>
              </w:rPr>
              <w:t>招标监督机构：广州市增城区水务局</w:t>
            </w:r>
          </w:p>
          <w:p>
            <w:pPr>
              <w:snapToGrid w:val="0"/>
              <w:jc w:val="left"/>
              <w:rPr>
                <w:rFonts w:ascii="宋体" w:hAnsi="宋体"/>
                <w:color w:val="auto"/>
                <w:szCs w:val="21"/>
              </w:rPr>
            </w:pPr>
            <w:r>
              <w:rPr>
                <w:rFonts w:hint="eastAsia" w:ascii="宋体" w:hAnsi="宋体"/>
                <w:color w:val="auto"/>
                <w:szCs w:val="21"/>
              </w:rPr>
              <w:t>监管电话：</w:t>
            </w:r>
            <w:r>
              <w:rPr>
                <w:rFonts w:ascii="宋体" w:hAnsi="宋体"/>
                <w:color w:val="auto"/>
                <w:szCs w:val="21"/>
              </w:rPr>
              <w:t>020-82639502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69" w:hRule="atLeast"/>
          <w:jc w:val="center"/>
        </w:trPr>
        <w:tc>
          <w:tcPr>
            <w:tcW w:w="1182" w:type="dxa"/>
            <w:vAlign w:val="center"/>
          </w:tcPr>
          <w:p>
            <w:pPr>
              <w:snapToGrid w:val="0"/>
              <w:jc w:val="center"/>
              <w:rPr>
                <w:rFonts w:ascii="宋体" w:hAnsi="宋体"/>
                <w:color w:val="auto"/>
                <w:szCs w:val="21"/>
              </w:rPr>
            </w:pPr>
            <w:r>
              <w:rPr>
                <w:rFonts w:hint="eastAsia" w:ascii="宋体" w:hAnsi="宋体"/>
                <w:color w:val="auto"/>
                <w:szCs w:val="21"/>
              </w:rPr>
              <w:t>10.5</w:t>
            </w:r>
          </w:p>
        </w:tc>
        <w:tc>
          <w:tcPr>
            <w:tcW w:w="2187" w:type="dxa"/>
            <w:vAlign w:val="center"/>
          </w:tcPr>
          <w:p>
            <w:pPr>
              <w:snapToGrid w:val="0"/>
              <w:jc w:val="center"/>
              <w:rPr>
                <w:rFonts w:ascii="宋体" w:hAnsi="宋体"/>
                <w:color w:val="auto"/>
                <w:szCs w:val="21"/>
              </w:rPr>
            </w:pPr>
            <w:r>
              <w:rPr>
                <w:rFonts w:hint="eastAsia" w:ascii="宋体" w:hAnsi="宋体"/>
                <w:color w:val="auto"/>
                <w:szCs w:val="21"/>
              </w:rPr>
              <w:t>资格审查方式</w:t>
            </w:r>
          </w:p>
        </w:tc>
        <w:tc>
          <w:tcPr>
            <w:tcW w:w="6415" w:type="dxa"/>
            <w:vAlign w:val="center"/>
          </w:tcPr>
          <w:p>
            <w:pPr>
              <w:snapToGrid w:val="0"/>
              <w:rPr>
                <w:rFonts w:ascii="宋体" w:hAnsi="宋体"/>
                <w:color w:val="auto"/>
                <w:szCs w:val="21"/>
              </w:rPr>
            </w:pPr>
            <w:r>
              <w:rPr>
                <w:rFonts w:hint="eastAsia" w:ascii="宋体" w:hAnsi="宋体"/>
                <w:color w:val="auto"/>
                <w:szCs w:val="21"/>
              </w:rPr>
              <w:t>1）本项目采用资格后审方式，满足资格审查合格条件的投标申请人不足3名时为招标失败。招标人分析招标失败原因，修正招标方案，报有关管理部门核准后，重新组织招标。</w:t>
            </w:r>
          </w:p>
          <w:p>
            <w:pPr>
              <w:snapToGrid w:val="0"/>
              <w:rPr>
                <w:rFonts w:ascii="宋体" w:hAnsi="宋体"/>
                <w:color w:val="auto"/>
                <w:szCs w:val="21"/>
              </w:rPr>
            </w:pPr>
            <w:r>
              <w:rPr>
                <w:rFonts w:hint="eastAsia" w:ascii="宋体" w:hAnsi="宋体"/>
                <w:color w:val="auto"/>
                <w:szCs w:val="21"/>
              </w:rPr>
              <w:t>2）招标人因两次或多次招标失败，需申请改变招标方式或不招标的，应按《广东省实施〈中华人民共和国招标投标法〉办法》（省第十届人大常委会第二次会议通过2003.4.2）的第四十条规定执行。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54" w:hRule="atLeast"/>
          <w:jc w:val="center"/>
        </w:trPr>
        <w:tc>
          <w:tcPr>
            <w:tcW w:w="1182" w:type="dxa"/>
            <w:vAlign w:val="center"/>
          </w:tcPr>
          <w:p>
            <w:pPr>
              <w:snapToGrid w:val="0"/>
              <w:jc w:val="center"/>
              <w:rPr>
                <w:rFonts w:ascii="宋体" w:hAnsi="宋体"/>
                <w:color w:val="auto"/>
                <w:szCs w:val="21"/>
              </w:rPr>
            </w:pPr>
            <w:r>
              <w:rPr>
                <w:rFonts w:hint="eastAsia" w:ascii="宋体" w:hAnsi="宋体"/>
                <w:color w:val="auto"/>
                <w:szCs w:val="21"/>
              </w:rPr>
              <w:t>10.6</w:t>
            </w:r>
          </w:p>
        </w:tc>
        <w:tc>
          <w:tcPr>
            <w:tcW w:w="2187" w:type="dxa"/>
            <w:vAlign w:val="center"/>
          </w:tcPr>
          <w:p>
            <w:pPr>
              <w:snapToGrid w:val="0"/>
              <w:jc w:val="center"/>
              <w:rPr>
                <w:rFonts w:ascii="宋体" w:hAnsi="宋体"/>
                <w:color w:val="auto"/>
                <w:szCs w:val="21"/>
              </w:rPr>
            </w:pPr>
            <w:r>
              <w:rPr>
                <w:rFonts w:hint="eastAsia" w:ascii="宋体" w:hAnsi="宋体"/>
                <w:color w:val="auto"/>
                <w:szCs w:val="21"/>
              </w:rPr>
              <w:t>特别提示</w:t>
            </w:r>
          </w:p>
        </w:tc>
        <w:tc>
          <w:tcPr>
            <w:tcW w:w="6415" w:type="dxa"/>
            <w:vAlign w:val="center"/>
          </w:tcPr>
          <w:p>
            <w:pPr>
              <w:snapToGrid w:val="0"/>
              <w:jc w:val="left"/>
              <w:rPr>
                <w:rFonts w:ascii="宋体" w:hAnsi="宋体"/>
                <w:color w:val="auto"/>
                <w:szCs w:val="21"/>
              </w:rPr>
            </w:pPr>
            <w:r>
              <w:rPr>
                <w:rFonts w:hint="eastAsia" w:ascii="宋体" w:hAnsi="宋体"/>
                <w:color w:val="auto"/>
                <w:szCs w:val="21"/>
              </w:rPr>
              <w:t>1）《投诉处理决定书》和《行政处理决定书》在广州市住房和城乡建设局网站上公布的，视为送达其他与决定书有关的当事人。</w:t>
            </w:r>
          </w:p>
          <w:p>
            <w:pPr>
              <w:snapToGrid w:val="0"/>
              <w:jc w:val="left"/>
              <w:rPr>
                <w:rFonts w:ascii="宋体" w:hAnsi="宋体"/>
                <w:color w:val="auto"/>
                <w:szCs w:val="21"/>
              </w:rPr>
            </w:pPr>
            <w:r>
              <w:rPr>
                <w:rFonts w:hint="eastAsia" w:ascii="宋体" w:hAnsi="宋体"/>
                <w:color w:val="auto"/>
                <w:szCs w:val="21"/>
              </w:rPr>
              <w:t>2）投标人在本项目招标人的工程项目中存在下列行为的，将被拒绝一年内参与我单位后续工程投标。</w:t>
            </w:r>
          </w:p>
          <w:p>
            <w:pPr>
              <w:snapToGrid w:val="0"/>
              <w:jc w:val="left"/>
              <w:rPr>
                <w:rFonts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将中标工程转包或者违法分包的</w:t>
            </w:r>
            <w:r>
              <w:rPr>
                <w:rFonts w:hint="eastAsia" w:ascii="宋体" w:hAnsi="宋体"/>
                <w:color w:val="auto"/>
                <w:szCs w:val="21"/>
                <w:lang w:eastAsia="zh-CN"/>
              </w:rPr>
              <w:t>。</w:t>
            </w:r>
          </w:p>
          <w:p>
            <w:pPr>
              <w:snapToGrid w:val="0"/>
              <w:jc w:val="left"/>
              <w:rPr>
                <w:rFonts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在中标工程中不执行质量、安全生产相关规定的，造成质量或安全事故的</w:t>
            </w:r>
            <w:r>
              <w:rPr>
                <w:rFonts w:hint="eastAsia" w:ascii="宋体" w:hAnsi="宋体"/>
                <w:color w:val="auto"/>
                <w:szCs w:val="21"/>
                <w:lang w:eastAsia="zh-CN"/>
              </w:rPr>
              <w:t>。</w:t>
            </w:r>
          </w:p>
          <w:p>
            <w:pPr>
              <w:snapToGrid w:val="0"/>
              <w:jc w:val="left"/>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存在围标或串标情形的</w:t>
            </w:r>
            <w:r>
              <w:rPr>
                <w:rFonts w:hint="eastAsia" w:ascii="宋体" w:hAnsi="宋体"/>
                <w:color w:val="auto"/>
                <w:szCs w:val="21"/>
                <w:lang w:eastAsia="zh-CN"/>
              </w:rPr>
              <w:t>。</w:t>
            </w:r>
          </w:p>
          <w:p>
            <w:pPr>
              <w:snapToGrid w:val="0"/>
              <w:jc w:val="left"/>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存在弄虚作假骗取中标情形的</w:t>
            </w:r>
            <w:r>
              <w:rPr>
                <w:rFonts w:hint="eastAsia" w:ascii="宋体" w:hAnsi="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19" w:hRule="atLeast"/>
          <w:jc w:val="center"/>
        </w:trPr>
        <w:tc>
          <w:tcPr>
            <w:tcW w:w="1182" w:type="dxa"/>
            <w:vAlign w:val="center"/>
          </w:tcPr>
          <w:p>
            <w:pPr>
              <w:snapToGrid w:val="0"/>
              <w:jc w:val="center"/>
              <w:rPr>
                <w:rFonts w:ascii="宋体" w:hAnsi="宋体"/>
                <w:color w:val="auto"/>
                <w:szCs w:val="21"/>
              </w:rPr>
            </w:pPr>
            <w:r>
              <w:rPr>
                <w:rFonts w:hint="eastAsia" w:ascii="宋体" w:hAnsi="宋体"/>
                <w:color w:val="auto"/>
                <w:szCs w:val="21"/>
              </w:rPr>
              <w:t>10.7</w:t>
            </w:r>
          </w:p>
        </w:tc>
        <w:tc>
          <w:tcPr>
            <w:tcW w:w="2187" w:type="dxa"/>
            <w:vAlign w:val="center"/>
          </w:tcPr>
          <w:p>
            <w:pPr>
              <w:snapToGrid w:val="0"/>
              <w:jc w:val="center"/>
              <w:rPr>
                <w:rFonts w:ascii="宋体" w:hAnsi="宋体"/>
                <w:color w:val="auto"/>
                <w:szCs w:val="21"/>
              </w:rPr>
            </w:pPr>
            <w:r>
              <w:rPr>
                <w:rFonts w:hint="eastAsia" w:ascii="宋体" w:hAnsi="宋体"/>
                <w:color w:val="auto"/>
                <w:szCs w:val="21"/>
              </w:rPr>
              <w:t>其他</w:t>
            </w:r>
          </w:p>
        </w:tc>
        <w:tc>
          <w:tcPr>
            <w:tcW w:w="6415" w:type="dxa"/>
            <w:vAlign w:val="center"/>
          </w:tcPr>
          <w:p>
            <w:pPr>
              <w:snapToGrid w:val="0"/>
              <w:jc w:val="left"/>
              <w:rPr>
                <w:rFonts w:ascii="宋体" w:hAnsi="宋体"/>
                <w:color w:val="auto"/>
                <w:szCs w:val="21"/>
              </w:rPr>
            </w:pPr>
            <w:r>
              <w:rPr>
                <w:rFonts w:hint="eastAsia" w:ascii="宋体" w:hAnsi="宋体"/>
                <w:color w:val="auto"/>
                <w:szCs w:val="21"/>
              </w:rPr>
              <w:t>1）在产生中标候选人后，招标人将中标候选人的投标文件商务部分的电子版（报价清单、方案等涉及商业秘密的内容除外）在广州公共资源交易中心网站公开。</w:t>
            </w:r>
          </w:p>
          <w:p>
            <w:pPr>
              <w:snapToGrid w:val="0"/>
              <w:jc w:val="left"/>
              <w:rPr>
                <w:color w:val="auto"/>
              </w:rPr>
            </w:pPr>
            <w:r>
              <w:rPr>
                <w:rFonts w:hint="eastAsia" w:ascii="宋体" w:hAnsi="宋体"/>
                <w:color w:val="auto"/>
                <w:szCs w:val="21"/>
              </w:rPr>
              <w:t>2）</w:t>
            </w:r>
            <w:r>
              <w:rPr>
                <w:rFonts w:hint="eastAsia"/>
                <w:color w:val="auto"/>
                <w:szCs w:val="21"/>
              </w:rPr>
              <w:t>本项目招标代理报酬由中标单位按照招标人与招标代理单位签订的招标代理合同的约定支付。</w:t>
            </w:r>
          </w:p>
        </w:tc>
      </w:tr>
    </w:tbl>
    <w:p>
      <w:pPr>
        <w:snapToGrid w:val="0"/>
        <w:spacing w:line="360" w:lineRule="auto"/>
        <w:rPr>
          <w:rFonts w:ascii="Times New Roman" w:hAnsi="Times New Roman"/>
          <w:color w:val="auto"/>
        </w:rPr>
      </w:pPr>
      <w:r>
        <w:rPr>
          <w:rFonts w:hint="eastAsia" w:ascii="宋体" w:hAnsi="宋体"/>
          <w:color w:val="auto"/>
          <w:sz w:val="24"/>
          <w:szCs w:val="24"/>
        </w:rPr>
        <w:br w:type="page"/>
      </w:r>
      <w:bookmarkStart w:id="89" w:name="_Toc20742"/>
      <w:bookmarkStart w:id="90" w:name="_Toc527028679"/>
      <w:bookmarkStart w:id="91" w:name="_Toc520310853"/>
      <w:bookmarkStart w:id="92" w:name="_Toc527028502"/>
      <w:bookmarkStart w:id="93" w:name="_Toc527028850"/>
      <w:r>
        <w:rPr>
          <w:rFonts w:hint="eastAsia" w:ascii="宋体" w:hAnsi="宋体"/>
          <w:color w:val="auto"/>
          <w:sz w:val="24"/>
          <w:szCs w:val="24"/>
        </w:rPr>
        <w:t xml:space="preserve">    </w:t>
      </w:r>
      <w:r>
        <w:rPr>
          <w:rFonts w:ascii="Times New Roman" w:hAnsi="Times New Roman"/>
          <w:b/>
          <w:color w:val="auto"/>
          <w:kern w:val="44"/>
          <w:sz w:val="44"/>
          <w:szCs w:val="20"/>
        </w:rPr>
        <w:t>1. 总则</w:t>
      </w:r>
      <w:bookmarkEnd w:id="89"/>
    </w:p>
    <w:p>
      <w:pPr>
        <w:pStyle w:val="6"/>
        <w:keepNext w:val="0"/>
        <w:keepLines w:val="0"/>
        <w:spacing w:before="0" w:after="0" w:line="360" w:lineRule="auto"/>
        <w:ind w:firstLine="480" w:firstLineChars="200"/>
        <w:rPr>
          <w:rFonts w:ascii="Times New Roman" w:hAnsi="Times New Roman"/>
          <w:color w:val="auto"/>
          <w:sz w:val="24"/>
          <w:szCs w:val="24"/>
        </w:rPr>
      </w:pPr>
      <w:bookmarkStart w:id="94" w:name="_Toc24358"/>
      <w:bookmarkStart w:id="95" w:name="_Toc89870550"/>
      <w:r>
        <w:rPr>
          <w:rFonts w:ascii="Times New Roman" w:hAnsi="Times New Roman"/>
          <w:color w:val="auto"/>
          <w:sz w:val="24"/>
          <w:szCs w:val="24"/>
        </w:rPr>
        <w:t>1.1 招标项目概况</w:t>
      </w:r>
      <w:bookmarkEnd w:id="94"/>
      <w:bookmarkEnd w:id="95"/>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1.1.1根据《中华人民共和国招标投标法》、《中华人民共和国招标投标法实施条例》等有关法律、法规和规章的规定，本招标项目已具备招标条件，现对监理进行招标。</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1.1.2 招标人：见投标人须知前附表。</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1.1.3 招标代理机构：见投标人须知前附表。</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1.1.4 招标项目名称：见投标人须知前附表。</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1.1.5 项目建设地点：见投标人须知前附表。</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1.1.6 项目建设规模：见投标人须知前附表。</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 xml:space="preserve">1.1.7 </w:t>
      </w:r>
      <w:r>
        <w:rPr>
          <w:rFonts w:hint="eastAsia" w:ascii="Times New Roman" w:hAnsi="Times New Roman"/>
          <w:color w:val="auto"/>
          <w:sz w:val="24"/>
          <w:szCs w:val="24"/>
        </w:rPr>
        <w:t>工程项目施工预计开工日期和建设周期：见投标人须知前附表。</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 xml:space="preserve">1.1.8 </w:t>
      </w:r>
      <w:r>
        <w:rPr>
          <w:rFonts w:hint="eastAsia" w:ascii="Times New Roman" w:hAnsi="Times New Roman"/>
          <w:color w:val="auto"/>
          <w:sz w:val="24"/>
          <w:szCs w:val="24"/>
        </w:rPr>
        <w:t>建筑安装工程费</w:t>
      </w:r>
      <w:r>
        <w:rPr>
          <w:rFonts w:ascii="Times New Roman" w:hAnsi="Times New Roman"/>
          <w:color w:val="auto"/>
          <w:sz w:val="24"/>
          <w:szCs w:val="24"/>
        </w:rPr>
        <w:t>/</w:t>
      </w:r>
      <w:r>
        <w:rPr>
          <w:rFonts w:hint="eastAsia" w:ascii="Times New Roman" w:hAnsi="Times New Roman"/>
          <w:color w:val="auto"/>
          <w:sz w:val="24"/>
          <w:szCs w:val="24"/>
        </w:rPr>
        <w:t>工程概算：见投标人须知前附表。</w:t>
      </w:r>
    </w:p>
    <w:p>
      <w:pPr>
        <w:pStyle w:val="6"/>
        <w:keepNext w:val="0"/>
        <w:keepLines w:val="0"/>
        <w:spacing w:before="0" w:after="0" w:line="360" w:lineRule="auto"/>
        <w:ind w:firstLine="480" w:firstLineChars="200"/>
        <w:rPr>
          <w:rFonts w:ascii="Times New Roman" w:hAnsi="Times New Roman"/>
          <w:color w:val="auto"/>
          <w:sz w:val="24"/>
          <w:szCs w:val="24"/>
        </w:rPr>
      </w:pPr>
      <w:bookmarkStart w:id="96" w:name="_Toc89870551"/>
      <w:bookmarkStart w:id="97" w:name="_Toc3884"/>
      <w:r>
        <w:rPr>
          <w:rFonts w:ascii="Times New Roman" w:hAnsi="Times New Roman"/>
          <w:color w:val="auto"/>
          <w:sz w:val="24"/>
          <w:szCs w:val="24"/>
        </w:rPr>
        <w:t>1.2 招标项目的资金来源和落实情况</w:t>
      </w:r>
      <w:bookmarkEnd w:id="96"/>
      <w:bookmarkEnd w:id="97"/>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1.2.1 资金来源及比例：见投标人须知前附表。</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1.2.2 资金落实情况：见投标人须知前附表。</w:t>
      </w:r>
    </w:p>
    <w:p>
      <w:pPr>
        <w:pStyle w:val="6"/>
        <w:keepNext w:val="0"/>
        <w:keepLines w:val="0"/>
        <w:spacing w:before="0" w:after="0" w:line="360" w:lineRule="auto"/>
        <w:ind w:firstLine="480" w:firstLineChars="200"/>
        <w:rPr>
          <w:rFonts w:ascii="Times New Roman" w:hAnsi="Times New Roman"/>
          <w:color w:val="auto"/>
          <w:sz w:val="24"/>
          <w:szCs w:val="24"/>
        </w:rPr>
      </w:pPr>
      <w:bookmarkStart w:id="98" w:name="_Toc89870552"/>
      <w:bookmarkStart w:id="99" w:name="_Toc18715"/>
      <w:r>
        <w:rPr>
          <w:rFonts w:ascii="Times New Roman" w:hAnsi="Times New Roman"/>
          <w:color w:val="auto"/>
          <w:sz w:val="24"/>
          <w:szCs w:val="24"/>
        </w:rPr>
        <w:t>1.3招标范围、监理服务期限和质量标准</w:t>
      </w:r>
      <w:bookmarkEnd w:id="98"/>
      <w:bookmarkEnd w:id="99"/>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1.3.1 招标范围：见投标人须知前附表。</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1.3.2 监理服务期限：见投标人须知前附表。</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1.3.3 质量标准：见投标人须知前附表。</w:t>
      </w:r>
    </w:p>
    <w:p>
      <w:pPr>
        <w:pStyle w:val="6"/>
        <w:keepNext w:val="0"/>
        <w:keepLines w:val="0"/>
        <w:spacing w:before="0" w:after="0" w:line="360" w:lineRule="auto"/>
        <w:ind w:firstLine="480" w:firstLineChars="200"/>
        <w:rPr>
          <w:rFonts w:ascii="Times New Roman" w:hAnsi="Times New Roman"/>
          <w:color w:val="auto"/>
          <w:sz w:val="24"/>
          <w:szCs w:val="24"/>
        </w:rPr>
      </w:pPr>
      <w:bookmarkStart w:id="100" w:name="_Toc29112"/>
      <w:bookmarkStart w:id="101" w:name="_Toc89870553"/>
      <w:r>
        <w:rPr>
          <w:rFonts w:ascii="Times New Roman" w:hAnsi="Times New Roman"/>
          <w:color w:val="auto"/>
          <w:sz w:val="24"/>
          <w:szCs w:val="24"/>
        </w:rPr>
        <w:t>1.4投标人资格要求</w:t>
      </w:r>
      <w:bookmarkEnd w:id="100"/>
      <w:bookmarkEnd w:id="101"/>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1.4.1 投标人应具备承担本招标项目资质条件、能力和信誉：</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（1）资质要求：见投标人须知前附表；</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（2）财务要求：见投标人须知前附表；</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（3）业绩要求：见投标人须知前附表；</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（4）信誉要求：见投标人须知前附表；</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（5）总监理工程师的资格要求：应当具备工程注册监理工程师执业资格</w:t>
      </w:r>
      <w:r>
        <w:rPr>
          <w:rFonts w:hint="eastAsia" w:ascii="Times New Roman" w:hAnsi="Times New Roman"/>
          <w:color w:val="auto"/>
          <w:sz w:val="24"/>
          <w:szCs w:val="24"/>
        </w:rPr>
        <w:t>（如有）</w:t>
      </w:r>
      <w:r>
        <w:rPr>
          <w:rFonts w:ascii="Times New Roman" w:hAnsi="Times New Roman"/>
          <w:color w:val="auto"/>
          <w:sz w:val="24"/>
          <w:szCs w:val="24"/>
        </w:rPr>
        <w:t>，具体要求见投标人须知前附表；</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（6）其他主要人员要求：见投标人须知前附表</w:t>
      </w:r>
      <w:r>
        <w:rPr>
          <w:rFonts w:hint="eastAsia" w:ascii="Times New Roman" w:hAnsi="Times New Roman"/>
          <w:color w:val="auto"/>
          <w:sz w:val="24"/>
          <w:szCs w:val="24"/>
          <w:lang w:eastAsia="zh-CN"/>
        </w:rPr>
        <w:t>；</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（7）试验检测仪器设备要求：见投标人须知前附表</w:t>
      </w:r>
      <w:r>
        <w:rPr>
          <w:rFonts w:hint="eastAsia" w:ascii="Times New Roman" w:hAnsi="Times New Roman"/>
          <w:color w:val="auto"/>
          <w:sz w:val="24"/>
          <w:szCs w:val="24"/>
          <w:lang w:eastAsia="zh-CN"/>
        </w:rPr>
        <w:t>；</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（8）其他要求：见投标人须知前附表。</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需要提交的相关证明材料见本章第3.5款的规定。</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1.4.2</w:t>
      </w:r>
      <w:r>
        <w:rPr>
          <w:rFonts w:hint="eastAsia" w:ascii="Times New Roman" w:hAnsi="Times New Roman"/>
          <w:color w:val="auto"/>
          <w:sz w:val="24"/>
          <w:szCs w:val="24"/>
        </w:rPr>
        <w:t>投标人须知前附表规定接受联合体投标的，联合体除应符合本章第</w:t>
      </w:r>
      <w:r>
        <w:rPr>
          <w:rFonts w:ascii="Times New Roman" w:hAnsi="Times New Roman"/>
          <w:color w:val="auto"/>
          <w:sz w:val="24"/>
          <w:szCs w:val="24"/>
        </w:rPr>
        <w:t>1.4.1</w:t>
      </w:r>
      <w:r>
        <w:rPr>
          <w:rFonts w:hint="eastAsia" w:ascii="Times New Roman" w:hAnsi="Times New Roman"/>
          <w:color w:val="auto"/>
          <w:sz w:val="24"/>
          <w:szCs w:val="24"/>
        </w:rPr>
        <w:t>项和投标人须知前附表的要求外，还应遵守以下规定：</w:t>
      </w:r>
    </w:p>
    <w:p>
      <w:pPr>
        <w:spacing w:line="360" w:lineRule="auto"/>
        <w:ind w:firstLine="480" w:firstLineChars="200"/>
        <w:rPr>
          <w:rFonts w:ascii="Times New Roman" w:hAnsi="Times New Roman"/>
          <w:color w:val="auto"/>
          <w:sz w:val="24"/>
          <w:szCs w:val="24"/>
        </w:rPr>
      </w:pPr>
      <w:r>
        <w:rPr>
          <w:rFonts w:hint="eastAsia" w:ascii="Times New Roman" w:hAnsi="Times New Roman"/>
          <w:color w:val="auto"/>
          <w:sz w:val="24"/>
          <w:szCs w:val="24"/>
        </w:rPr>
        <w:t>（</w:t>
      </w:r>
      <w:r>
        <w:rPr>
          <w:rFonts w:ascii="Times New Roman" w:hAnsi="Times New Roman"/>
          <w:color w:val="auto"/>
          <w:sz w:val="24"/>
          <w:szCs w:val="24"/>
        </w:rPr>
        <w:t>1</w:t>
      </w:r>
      <w:r>
        <w:rPr>
          <w:rFonts w:hint="eastAsia" w:ascii="Times New Roman" w:hAnsi="Times New Roman"/>
          <w:color w:val="auto"/>
          <w:sz w:val="24"/>
          <w:szCs w:val="24"/>
        </w:rPr>
        <w:t>）联合体各方应按招标文件提供的格式签订联合体协议书，明确联合体牵头人和各方权利义务，并承诺就中标项目向招标人承担连带责任；</w:t>
      </w:r>
    </w:p>
    <w:p>
      <w:pPr>
        <w:spacing w:line="360" w:lineRule="auto"/>
        <w:ind w:firstLine="480" w:firstLineChars="200"/>
        <w:rPr>
          <w:rFonts w:ascii="Times New Roman" w:hAnsi="Times New Roman"/>
          <w:color w:val="auto"/>
          <w:sz w:val="24"/>
          <w:szCs w:val="24"/>
        </w:rPr>
      </w:pPr>
      <w:r>
        <w:rPr>
          <w:rFonts w:hint="eastAsia" w:ascii="Times New Roman" w:hAnsi="Times New Roman"/>
          <w:color w:val="auto"/>
          <w:sz w:val="24"/>
          <w:szCs w:val="24"/>
        </w:rPr>
        <w:t>（</w:t>
      </w:r>
      <w:r>
        <w:rPr>
          <w:rFonts w:ascii="Times New Roman" w:hAnsi="Times New Roman"/>
          <w:color w:val="auto"/>
          <w:sz w:val="24"/>
          <w:szCs w:val="24"/>
        </w:rPr>
        <w:t>2</w:t>
      </w:r>
      <w:r>
        <w:rPr>
          <w:rFonts w:hint="eastAsia" w:ascii="Times New Roman" w:hAnsi="Times New Roman"/>
          <w:color w:val="auto"/>
          <w:sz w:val="24"/>
          <w:szCs w:val="24"/>
        </w:rPr>
        <w:t>）由同一专业的单位组成的联合体，按照资质等级较低的单位确定资质等级；</w:t>
      </w:r>
    </w:p>
    <w:p>
      <w:pPr>
        <w:spacing w:line="360" w:lineRule="auto"/>
        <w:ind w:firstLine="480" w:firstLineChars="200"/>
        <w:rPr>
          <w:rFonts w:ascii="Times New Roman" w:hAnsi="Times New Roman"/>
          <w:color w:val="auto"/>
          <w:sz w:val="24"/>
          <w:szCs w:val="24"/>
        </w:rPr>
      </w:pPr>
      <w:r>
        <w:rPr>
          <w:rFonts w:hint="eastAsia" w:ascii="Times New Roman" w:hAnsi="Times New Roman"/>
          <w:color w:val="auto"/>
          <w:sz w:val="24"/>
          <w:szCs w:val="24"/>
        </w:rPr>
        <w:t>（</w:t>
      </w:r>
      <w:r>
        <w:rPr>
          <w:rFonts w:ascii="Times New Roman" w:hAnsi="Times New Roman"/>
          <w:color w:val="auto"/>
          <w:sz w:val="24"/>
          <w:szCs w:val="24"/>
        </w:rPr>
        <w:t>3</w:t>
      </w:r>
      <w:r>
        <w:rPr>
          <w:rFonts w:hint="eastAsia" w:ascii="Times New Roman" w:hAnsi="Times New Roman"/>
          <w:color w:val="auto"/>
          <w:sz w:val="24"/>
          <w:szCs w:val="24"/>
        </w:rPr>
        <w:t>）联合体各方不得再以自己名义单独或参加其他联合体在本招标项目中投标，否则各相关投标均无效。</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1.4.3 投标人不得存在下列情形之一：</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（1）为招标人不具有独立法人资格的附属机构（单位）；</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（2）与招标人存在利害关系且可能影响招标公正性；</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（3）与本招标项目的其他投标人为同一个单位负责人；</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（4）与本招标项目的其他投标人存在控股、管理关系；</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（5）为本招标项目的代建人；</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（6）为本招标项目的招标代理机构；</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（7）与本招标项目的代建人或招标代理机构同为一个法定代表人；</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（8）与本招标项目的代建人或招标代理机构存在控股或参股关系；</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（9）</w:t>
      </w:r>
      <w:r>
        <w:rPr>
          <w:rFonts w:hint="eastAsia" w:ascii="Times New Roman" w:hAnsi="Times New Roman"/>
          <w:color w:val="auto"/>
          <w:sz w:val="24"/>
          <w:szCs w:val="24"/>
        </w:rPr>
        <w:t>与</w:t>
      </w:r>
      <w:r>
        <w:rPr>
          <w:rFonts w:ascii="Times New Roman" w:hAnsi="Times New Roman"/>
          <w:color w:val="auto"/>
          <w:sz w:val="24"/>
          <w:szCs w:val="24"/>
        </w:rPr>
        <w:t>本招标项目</w:t>
      </w:r>
      <w:r>
        <w:rPr>
          <w:rFonts w:hint="eastAsia" w:ascii="Times New Roman" w:hAnsi="Times New Roman"/>
          <w:color w:val="auto"/>
          <w:sz w:val="24"/>
          <w:szCs w:val="24"/>
        </w:rPr>
        <w:t>的施工承包人以</w:t>
      </w:r>
      <w:r>
        <w:rPr>
          <w:rFonts w:ascii="Times New Roman" w:hAnsi="Times New Roman"/>
          <w:color w:val="auto"/>
          <w:sz w:val="24"/>
          <w:szCs w:val="24"/>
        </w:rPr>
        <w:t>及建筑材料、建筑构配件和设备供应商有隶属关系或者其他利害关系；</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（10）被依法暂停或者取消投标资格；</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（11）被责令停产停业、暂扣或者吊销许可证、暂扣或者吊销执照；</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（12）进入清算程序，或被宣告破产，或其他丧失履约能力的情形；</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（13）在最近三年内发生重大监理质量问题（以相关行业主管部门的行政处罚决定或司法机关出具的有关法律文书为准）；</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（14）被工商行政管理机关在全国企业信用信息公示系统中列入严重违法失信企业名单；</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（15）被最高人民法院在</w:t>
      </w:r>
      <w:r>
        <w:rPr>
          <w:rFonts w:hint="eastAsia" w:ascii="Times New Roman" w:hAnsi="Times New Roman"/>
          <w:color w:val="auto"/>
          <w:sz w:val="24"/>
          <w:szCs w:val="24"/>
        </w:rPr>
        <w:t>“</w:t>
      </w:r>
      <w:r>
        <w:rPr>
          <w:rFonts w:ascii="Times New Roman" w:hAnsi="Times New Roman"/>
          <w:color w:val="auto"/>
          <w:sz w:val="24"/>
          <w:szCs w:val="24"/>
        </w:rPr>
        <w:t>信用中国</w:t>
      </w:r>
      <w:r>
        <w:rPr>
          <w:rFonts w:hint="eastAsia" w:ascii="Times New Roman" w:hAnsi="Times New Roman"/>
          <w:color w:val="auto"/>
          <w:sz w:val="24"/>
          <w:szCs w:val="24"/>
        </w:rPr>
        <w:t>”</w:t>
      </w:r>
      <w:r>
        <w:rPr>
          <w:rFonts w:ascii="Times New Roman" w:hAnsi="Times New Roman"/>
          <w:color w:val="auto"/>
          <w:sz w:val="24"/>
          <w:szCs w:val="24"/>
        </w:rPr>
        <w:t>网站（www.creditchina.gov.cn）或各级信用信息共享平台中列入失信被执行人名单；</w:t>
      </w:r>
    </w:p>
    <w:p>
      <w:pPr>
        <w:spacing w:line="360" w:lineRule="auto"/>
        <w:ind w:firstLine="480" w:firstLineChars="200"/>
        <w:rPr>
          <w:rFonts w:ascii="Times New Roman" w:hAnsi="Times New Roman"/>
          <w:color w:val="auto"/>
          <w:sz w:val="24"/>
          <w:szCs w:val="24"/>
        </w:rPr>
      </w:pPr>
      <w:r>
        <w:rPr>
          <w:rFonts w:hint="eastAsia" w:ascii="Times New Roman" w:hAnsi="Times New Roman"/>
          <w:color w:val="auto"/>
          <w:sz w:val="24"/>
          <w:szCs w:val="24"/>
        </w:rPr>
        <w:t>（16） 在近三年内投标人或其法定代表人、拟委任的总监理工程师有行贿犯罪行为的；</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（1</w:t>
      </w:r>
      <w:r>
        <w:rPr>
          <w:rFonts w:hint="eastAsia" w:ascii="Times New Roman" w:hAnsi="Times New Roman"/>
          <w:color w:val="auto"/>
          <w:sz w:val="24"/>
          <w:szCs w:val="24"/>
        </w:rPr>
        <w:t>7</w:t>
      </w:r>
      <w:r>
        <w:rPr>
          <w:rFonts w:ascii="Times New Roman" w:hAnsi="Times New Roman"/>
          <w:color w:val="auto"/>
          <w:sz w:val="24"/>
          <w:szCs w:val="24"/>
        </w:rPr>
        <w:t>）法律法规或投标人须知前附表规定的其他情形。</w:t>
      </w:r>
    </w:p>
    <w:p>
      <w:pPr>
        <w:pStyle w:val="6"/>
        <w:keepNext w:val="0"/>
        <w:keepLines w:val="0"/>
        <w:spacing w:before="0" w:after="0" w:line="360" w:lineRule="auto"/>
        <w:ind w:firstLine="480" w:firstLineChars="200"/>
        <w:rPr>
          <w:rFonts w:ascii="Times New Roman" w:hAnsi="Times New Roman"/>
          <w:color w:val="auto"/>
          <w:sz w:val="24"/>
          <w:szCs w:val="24"/>
        </w:rPr>
      </w:pPr>
      <w:bookmarkStart w:id="102" w:name="_Toc89870554"/>
      <w:bookmarkStart w:id="103" w:name="_Toc5975"/>
      <w:r>
        <w:rPr>
          <w:rFonts w:ascii="Times New Roman" w:hAnsi="Times New Roman"/>
          <w:color w:val="auto"/>
          <w:sz w:val="24"/>
          <w:szCs w:val="24"/>
        </w:rPr>
        <w:t xml:space="preserve">1.5 </w:t>
      </w:r>
      <w:r>
        <w:rPr>
          <w:rFonts w:hint="eastAsia" w:ascii="Times New Roman" w:hAnsi="Times New Roman"/>
          <w:color w:val="auto"/>
          <w:sz w:val="24"/>
          <w:szCs w:val="24"/>
        </w:rPr>
        <w:t>费用承担</w:t>
      </w:r>
      <w:bookmarkEnd w:id="102"/>
      <w:bookmarkEnd w:id="103"/>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投标人准备和参加投标活动发生的费用自理。</w:t>
      </w:r>
    </w:p>
    <w:p>
      <w:pPr>
        <w:pStyle w:val="6"/>
        <w:keepNext w:val="0"/>
        <w:keepLines w:val="0"/>
        <w:spacing w:before="0" w:after="0" w:line="360" w:lineRule="auto"/>
        <w:ind w:firstLine="480" w:firstLineChars="200"/>
        <w:rPr>
          <w:rFonts w:ascii="Times New Roman" w:hAnsi="Times New Roman"/>
          <w:color w:val="auto"/>
          <w:sz w:val="24"/>
          <w:szCs w:val="24"/>
        </w:rPr>
      </w:pPr>
      <w:bookmarkStart w:id="104" w:name="_Toc89870555"/>
      <w:bookmarkStart w:id="105" w:name="_Toc8200"/>
      <w:r>
        <w:rPr>
          <w:rFonts w:ascii="Times New Roman" w:hAnsi="Times New Roman"/>
          <w:color w:val="auto"/>
          <w:sz w:val="24"/>
          <w:szCs w:val="24"/>
        </w:rPr>
        <w:t>1.6</w:t>
      </w:r>
      <w:r>
        <w:rPr>
          <w:rFonts w:hint="eastAsia" w:ascii="Times New Roman" w:hAnsi="Times New Roman"/>
          <w:color w:val="auto"/>
          <w:sz w:val="24"/>
          <w:szCs w:val="24"/>
        </w:rPr>
        <w:t>保密</w:t>
      </w:r>
      <w:bookmarkEnd w:id="104"/>
      <w:bookmarkEnd w:id="105"/>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参与招标投标活动的各方应对招标文件和投标文件中</w:t>
      </w:r>
      <w:bookmarkStart w:id="106" w:name="_Toc352691477"/>
      <w:bookmarkStart w:id="107" w:name="_Toc5326"/>
      <w:bookmarkStart w:id="108" w:name="_Toc361508589"/>
      <w:bookmarkStart w:id="109" w:name="_Toc369531519"/>
      <w:bookmarkStart w:id="110" w:name="_Toc384308214"/>
      <w:r>
        <w:rPr>
          <w:rFonts w:ascii="Times New Roman" w:hAnsi="Times New Roman"/>
          <w:color w:val="auto"/>
          <w:sz w:val="24"/>
          <w:szCs w:val="24"/>
        </w:rPr>
        <w:t>的商业和技术等秘密保密</w:t>
      </w:r>
      <w:bookmarkEnd w:id="106"/>
      <w:bookmarkEnd w:id="107"/>
      <w:bookmarkEnd w:id="108"/>
      <w:bookmarkEnd w:id="109"/>
      <w:bookmarkEnd w:id="110"/>
      <w:r>
        <w:rPr>
          <w:rFonts w:ascii="Times New Roman" w:hAnsi="Times New Roman"/>
          <w:color w:val="auto"/>
          <w:sz w:val="24"/>
          <w:szCs w:val="24"/>
        </w:rPr>
        <w:t>，否则应承担相应的法律责任。</w:t>
      </w:r>
    </w:p>
    <w:p>
      <w:pPr>
        <w:pStyle w:val="6"/>
        <w:keepNext w:val="0"/>
        <w:keepLines w:val="0"/>
        <w:spacing w:before="0" w:after="0" w:line="360" w:lineRule="auto"/>
        <w:ind w:firstLine="480" w:firstLineChars="200"/>
        <w:rPr>
          <w:rFonts w:ascii="Times New Roman" w:hAnsi="Times New Roman"/>
          <w:color w:val="auto"/>
          <w:sz w:val="24"/>
          <w:szCs w:val="24"/>
        </w:rPr>
      </w:pPr>
      <w:bookmarkStart w:id="111" w:name="_Toc20852"/>
      <w:bookmarkStart w:id="112" w:name="_Toc89870556"/>
      <w:r>
        <w:rPr>
          <w:rFonts w:ascii="Times New Roman" w:hAnsi="Times New Roman"/>
          <w:color w:val="auto"/>
          <w:sz w:val="24"/>
          <w:szCs w:val="24"/>
        </w:rPr>
        <w:t>1.7 语言文字</w:t>
      </w:r>
      <w:bookmarkEnd w:id="111"/>
      <w:bookmarkEnd w:id="112"/>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招标投标文件使用的语言文字为中文。专用术语使用外文的，应附有中文注释。</w:t>
      </w:r>
    </w:p>
    <w:p>
      <w:pPr>
        <w:pStyle w:val="6"/>
        <w:keepNext w:val="0"/>
        <w:keepLines w:val="0"/>
        <w:spacing w:before="0" w:after="0" w:line="360" w:lineRule="auto"/>
        <w:ind w:firstLine="480" w:firstLineChars="200"/>
        <w:rPr>
          <w:rFonts w:ascii="Times New Roman" w:hAnsi="Times New Roman"/>
          <w:color w:val="auto"/>
          <w:sz w:val="24"/>
          <w:szCs w:val="24"/>
        </w:rPr>
      </w:pPr>
      <w:bookmarkStart w:id="113" w:name="_Toc29220"/>
      <w:bookmarkStart w:id="114" w:name="_Toc89870557"/>
      <w:r>
        <w:rPr>
          <w:rFonts w:ascii="Times New Roman" w:hAnsi="Times New Roman"/>
          <w:color w:val="auto"/>
          <w:sz w:val="24"/>
          <w:szCs w:val="24"/>
        </w:rPr>
        <w:t>1.8计量单位</w:t>
      </w:r>
      <w:bookmarkEnd w:id="113"/>
      <w:bookmarkEnd w:id="114"/>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所有计量均采用中华人民共和国法定计量单位。</w:t>
      </w:r>
    </w:p>
    <w:p>
      <w:pPr>
        <w:pStyle w:val="6"/>
        <w:keepNext w:val="0"/>
        <w:keepLines w:val="0"/>
        <w:spacing w:before="0" w:after="0" w:line="360" w:lineRule="auto"/>
        <w:ind w:firstLine="480" w:firstLineChars="200"/>
        <w:rPr>
          <w:rFonts w:ascii="Times New Roman" w:hAnsi="Times New Roman"/>
          <w:color w:val="auto"/>
          <w:sz w:val="24"/>
          <w:szCs w:val="24"/>
        </w:rPr>
      </w:pPr>
      <w:bookmarkStart w:id="115" w:name="_Toc391393967"/>
      <w:bookmarkStart w:id="116" w:name="_Toc89870558"/>
      <w:bookmarkStart w:id="117" w:name="_Toc152045539"/>
      <w:bookmarkStart w:id="118" w:name="_Toc384308219"/>
      <w:bookmarkStart w:id="119" w:name="_Toc152042315"/>
      <w:bookmarkStart w:id="120" w:name="_Toc482188480"/>
      <w:bookmarkStart w:id="121" w:name="_Toc247527563"/>
      <w:bookmarkStart w:id="122" w:name="_Toc247513962"/>
      <w:bookmarkStart w:id="123" w:name="_Toc144974507"/>
      <w:bookmarkStart w:id="124" w:name="_Toc361508594"/>
      <w:bookmarkStart w:id="125" w:name="_Toc300834959"/>
      <w:bookmarkStart w:id="126" w:name="_Toc370676289"/>
      <w:bookmarkStart w:id="127" w:name="_Toc27371"/>
      <w:r>
        <w:rPr>
          <w:rFonts w:ascii="Times New Roman" w:hAnsi="Times New Roman"/>
          <w:color w:val="auto"/>
          <w:sz w:val="24"/>
          <w:szCs w:val="24"/>
        </w:rPr>
        <w:t xml:space="preserve">1.9 </w:t>
      </w:r>
      <w:r>
        <w:rPr>
          <w:rFonts w:hint="eastAsia" w:ascii="Times New Roman" w:hAnsi="Times New Roman"/>
          <w:color w:val="auto"/>
          <w:sz w:val="24"/>
          <w:szCs w:val="24"/>
        </w:rPr>
        <w:t>踏勘现场</w:t>
      </w:r>
      <w:bookmarkEnd w:id="115"/>
      <w:bookmarkEnd w:id="116"/>
      <w:bookmarkEnd w:id="117"/>
      <w:bookmarkEnd w:id="118"/>
      <w:bookmarkEnd w:id="119"/>
      <w:bookmarkEnd w:id="120"/>
      <w:bookmarkEnd w:id="121"/>
      <w:bookmarkEnd w:id="122"/>
      <w:bookmarkEnd w:id="123"/>
      <w:bookmarkEnd w:id="124"/>
      <w:bookmarkEnd w:id="125"/>
      <w:bookmarkEnd w:id="126"/>
      <w:bookmarkEnd w:id="127"/>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1.9.1 投标人须知前附表规定组织踏勘现场的，招标人按投标人须知前附表规定的时间、地点组织投标人踏勘项目现场。部分投标人未按时参加踏勘现场的，不影响踏勘现场的正常进行。</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1.9.2 投标人踏勘现场发生的费用自理。</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1.9.3 除招标人的原因外，投标人自行负责在踏勘现场中所发生的人员伤亡和财产损失。</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1.9.4 招标人在踏勘现场中介绍的工程场地和相关的周边环境情况，供投标人在编制投标文件时参考，招标人不对投标人据此作出的判断和决策负责。</w:t>
      </w:r>
    </w:p>
    <w:p>
      <w:pPr>
        <w:pStyle w:val="6"/>
        <w:keepNext w:val="0"/>
        <w:keepLines w:val="0"/>
        <w:spacing w:before="0" w:after="0" w:line="360" w:lineRule="auto"/>
        <w:ind w:firstLine="480" w:firstLineChars="200"/>
        <w:rPr>
          <w:rFonts w:ascii="Times New Roman" w:hAnsi="Times New Roman"/>
          <w:color w:val="auto"/>
          <w:sz w:val="24"/>
          <w:szCs w:val="24"/>
        </w:rPr>
      </w:pPr>
      <w:bookmarkStart w:id="128" w:name="_Toc89870559"/>
      <w:bookmarkStart w:id="129" w:name="_Toc17151"/>
      <w:r>
        <w:rPr>
          <w:rFonts w:ascii="Times New Roman" w:hAnsi="Times New Roman"/>
          <w:color w:val="auto"/>
          <w:sz w:val="24"/>
          <w:szCs w:val="24"/>
        </w:rPr>
        <w:t>1.10投标预备会</w:t>
      </w:r>
      <w:bookmarkEnd w:id="128"/>
      <w:bookmarkEnd w:id="129"/>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1.10.1 投标人须知前附表规定召开投标预备会的，招标人按投标人须知前附表规定的时间和地点召开投标预备会，澄清投标人提出的问题。</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1.10.2 投标人应按投标人须知前附表规定的时间和形式将提出的问题送达招标人，以便招标人在会议期间澄清。</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1.10.3 投标预备会后，招标人将对投标人所提问题的澄清，以投标人须知前附表规定的形式通知所有购买招标文件的投标人。该澄清内容为招标文件的组成部分。</w:t>
      </w:r>
    </w:p>
    <w:p>
      <w:pPr>
        <w:pStyle w:val="6"/>
        <w:keepNext w:val="0"/>
        <w:keepLines w:val="0"/>
        <w:spacing w:before="0" w:after="0" w:line="360" w:lineRule="auto"/>
        <w:ind w:firstLine="480" w:firstLineChars="200"/>
        <w:rPr>
          <w:rFonts w:ascii="Times New Roman" w:hAnsi="Times New Roman"/>
          <w:color w:val="auto"/>
          <w:sz w:val="24"/>
          <w:szCs w:val="24"/>
        </w:rPr>
      </w:pPr>
      <w:bookmarkStart w:id="130" w:name="_Toc15034"/>
      <w:bookmarkStart w:id="131" w:name="_Toc89870560"/>
      <w:r>
        <w:rPr>
          <w:rFonts w:ascii="Times New Roman" w:hAnsi="Times New Roman"/>
          <w:color w:val="auto"/>
          <w:sz w:val="24"/>
          <w:szCs w:val="24"/>
        </w:rPr>
        <w:t>1.11 分包</w:t>
      </w:r>
      <w:bookmarkEnd w:id="130"/>
      <w:bookmarkEnd w:id="131"/>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本项目严禁分包。</w:t>
      </w:r>
    </w:p>
    <w:p>
      <w:pPr>
        <w:pStyle w:val="6"/>
        <w:keepNext w:val="0"/>
        <w:keepLines w:val="0"/>
        <w:spacing w:before="0" w:after="0" w:line="360" w:lineRule="auto"/>
        <w:ind w:firstLine="480" w:firstLineChars="200"/>
        <w:rPr>
          <w:rFonts w:ascii="Times New Roman" w:hAnsi="Times New Roman"/>
          <w:color w:val="auto"/>
          <w:sz w:val="24"/>
          <w:szCs w:val="24"/>
        </w:rPr>
      </w:pPr>
      <w:bookmarkStart w:id="132" w:name="_Toc89870561"/>
      <w:bookmarkStart w:id="133" w:name="_Toc15891"/>
      <w:r>
        <w:rPr>
          <w:rFonts w:ascii="Times New Roman" w:hAnsi="Times New Roman"/>
          <w:color w:val="auto"/>
          <w:sz w:val="24"/>
          <w:szCs w:val="24"/>
        </w:rPr>
        <w:t>1.12响应和偏差</w:t>
      </w:r>
      <w:bookmarkEnd w:id="132"/>
      <w:bookmarkEnd w:id="133"/>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1.12.1投标文件应当对招标文件的实质性要求和条件作出满足性或更有利于招标人的响应，否则，投标人的投标将被否决。实质性要求和条件见投标人须知前附表。</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1.12.2 投标人应根据招标文件的要求提供投标监理大纲等内容以对招标文件作出响应。</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1.12.3投标人须知前附表允许投标文件偏离招标文件某些要求的，偏差应当符合招标文件规定的偏差范围和幅度。</w:t>
      </w:r>
    </w:p>
    <w:p>
      <w:pPr>
        <w:pStyle w:val="5"/>
        <w:keepNext w:val="0"/>
        <w:keepLines w:val="0"/>
        <w:spacing w:before="0" w:after="0" w:line="360" w:lineRule="auto"/>
        <w:ind w:firstLine="643" w:firstLineChars="200"/>
        <w:rPr>
          <w:rFonts w:ascii="Times New Roman" w:hAnsi="Times New Roman"/>
          <w:color w:val="auto"/>
        </w:rPr>
      </w:pPr>
      <w:bookmarkStart w:id="134" w:name="_Toc29981"/>
      <w:bookmarkStart w:id="135" w:name="_Toc89870562"/>
      <w:r>
        <w:rPr>
          <w:rFonts w:ascii="Times New Roman" w:hAnsi="Times New Roman"/>
          <w:color w:val="auto"/>
        </w:rPr>
        <w:t>2. 招标文件</w:t>
      </w:r>
      <w:bookmarkEnd w:id="134"/>
      <w:bookmarkEnd w:id="135"/>
    </w:p>
    <w:p>
      <w:pPr>
        <w:pStyle w:val="6"/>
        <w:keepNext w:val="0"/>
        <w:keepLines w:val="0"/>
        <w:spacing w:before="0" w:after="0" w:line="360" w:lineRule="auto"/>
        <w:ind w:firstLine="480" w:firstLineChars="200"/>
        <w:rPr>
          <w:rFonts w:ascii="Times New Roman" w:hAnsi="Times New Roman"/>
          <w:color w:val="auto"/>
          <w:sz w:val="24"/>
          <w:szCs w:val="24"/>
        </w:rPr>
      </w:pPr>
      <w:bookmarkStart w:id="136" w:name="_Toc89870563"/>
      <w:bookmarkStart w:id="137" w:name="_Toc19114"/>
      <w:r>
        <w:rPr>
          <w:rFonts w:ascii="Times New Roman" w:hAnsi="Times New Roman"/>
          <w:color w:val="auto"/>
          <w:sz w:val="24"/>
          <w:szCs w:val="24"/>
        </w:rPr>
        <w:t>2.1 招标文件的组成</w:t>
      </w:r>
      <w:bookmarkEnd w:id="136"/>
      <w:bookmarkEnd w:id="137"/>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本招标文件包括：</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（1）招标公告（或投标邀请书）；</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（2）投标人须知；</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（3）评标办法；</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（4）合同条款及格式；</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（5）委托人要求；</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（6）投标文件格式；</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（7）投标人须知前附表规定的其他资料。</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根据本章第1.10款、第2.2款和第2.3款对招标文件所作的澄清、修改，构成招标文件的组成部分。</w:t>
      </w:r>
    </w:p>
    <w:p>
      <w:pPr>
        <w:pStyle w:val="6"/>
        <w:keepNext w:val="0"/>
        <w:keepLines w:val="0"/>
        <w:spacing w:before="0" w:after="0" w:line="360" w:lineRule="auto"/>
        <w:ind w:firstLine="480" w:firstLineChars="200"/>
        <w:rPr>
          <w:rFonts w:ascii="Times New Roman" w:hAnsi="Times New Roman"/>
          <w:color w:val="auto"/>
          <w:sz w:val="24"/>
          <w:szCs w:val="24"/>
        </w:rPr>
      </w:pPr>
      <w:bookmarkStart w:id="138" w:name="_Toc24624"/>
      <w:bookmarkStart w:id="139" w:name="_Toc89870564"/>
      <w:r>
        <w:rPr>
          <w:rFonts w:ascii="Times New Roman" w:hAnsi="Times New Roman"/>
          <w:color w:val="auto"/>
          <w:sz w:val="24"/>
          <w:szCs w:val="24"/>
        </w:rPr>
        <w:t>2.2 招标文件的澄清</w:t>
      </w:r>
      <w:bookmarkEnd w:id="138"/>
      <w:bookmarkEnd w:id="139"/>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2.2.3 除非招标人认为确有必要答复，否则，招标人有权拒绝回复投标人在</w:t>
      </w:r>
      <w:r>
        <w:rPr>
          <w:rFonts w:hint="eastAsia" w:ascii="Times New Roman" w:hAnsi="Times New Roman"/>
          <w:color w:val="auto"/>
          <w:sz w:val="24"/>
          <w:szCs w:val="24"/>
        </w:rPr>
        <w:t>本章第2.2.1项</w:t>
      </w:r>
      <w:r>
        <w:rPr>
          <w:rFonts w:ascii="Times New Roman" w:hAnsi="Times New Roman"/>
          <w:color w:val="auto"/>
          <w:sz w:val="24"/>
          <w:szCs w:val="24"/>
        </w:rPr>
        <w:t>规定的时间后的任何澄清要求。</w:t>
      </w:r>
    </w:p>
    <w:p>
      <w:pPr>
        <w:pStyle w:val="6"/>
        <w:keepNext w:val="0"/>
        <w:keepLines w:val="0"/>
        <w:spacing w:before="0" w:after="0" w:line="360" w:lineRule="auto"/>
        <w:ind w:firstLine="480" w:firstLineChars="200"/>
        <w:rPr>
          <w:rFonts w:ascii="Times New Roman" w:hAnsi="Times New Roman"/>
          <w:color w:val="auto"/>
          <w:sz w:val="24"/>
          <w:szCs w:val="24"/>
        </w:rPr>
      </w:pPr>
      <w:bookmarkStart w:id="140" w:name="_Toc2698"/>
      <w:bookmarkStart w:id="141" w:name="_Toc89870565"/>
      <w:bookmarkStart w:id="142" w:name="_Toc352691479"/>
      <w:r>
        <w:rPr>
          <w:rFonts w:ascii="Times New Roman" w:hAnsi="Times New Roman"/>
          <w:color w:val="auto"/>
          <w:sz w:val="24"/>
          <w:szCs w:val="24"/>
        </w:rPr>
        <w:t>2.3 招标文件的修</w:t>
      </w:r>
      <w:bookmarkStart w:id="143" w:name="_Toc369531521"/>
      <w:bookmarkStart w:id="144" w:name="_Toc16514"/>
      <w:r>
        <w:rPr>
          <w:rFonts w:ascii="Times New Roman" w:hAnsi="Times New Roman"/>
          <w:color w:val="auto"/>
          <w:sz w:val="24"/>
          <w:szCs w:val="24"/>
        </w:rPr>
        <w:t>改</w:t>
      </w:r>
      <w:bookmarkEnd w:id="140"/>
      <w:bookmarkEnd w:id="141"/>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2.3.1招标人以投标人须知前附表规定的形式修改招标文件，并由潜在投标人自行下载。修改招标文件的时间距本章第4.2.1项规定的投标截止时间不足15日的，并且修改内容可能影响投标文件编制的，将相应延长投标截止时间。</w:t>
      </w:r>
    </w:p>
    <w:bookmarkEnd w:id="142"/>
    <w:bookmarkEnd w:id="143"/>
    <w:bookmarkEnd w:id="144"/>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2.3.2 投标人收到修改内容</w:t>
      </w:r>
      <w:bookmarkStart w:id="145" w:name="_Toc247513961"/>
      <w:bookmarkStart w:id="146" w:name="_Toc300834958"/>
      <w:bookmarkStart w:id="147" w:name="_Toc247527562"/>
      <w:bookmarkStart w:id="148" w:name="_Toc24632"/>
      <w:bookmarkStart w:id="149" w:name="_Toc144974506"/>
      <w:bookmarkStart w:id="150" w:name="_Toc152045538"/>
      <w:bookmarkStart w:id="151" w:name="_Toc352691482"/>
      <w:bookmarkStart w:id="152" w:name="_Toc369531524"/>
      <w:bookmarkStart w:id="153" w:name="_Toc384308218"/>
      <w:bookmarkStart w:id="154" w:name="_Toc361508593"/>
      <w:bookmarkStart w:id="155" w:name="_Toc152042314"/>
      <w:r>
        <w:rPr>
          <w:rFonts w:ascii="Times New Roman" w:hAnsi="Times New Roman"/>
          <w:color w:val="auto"/>
          <w:sz w:val="24"/>
          <w:szCs w:val="24"/>
        </w:rPr>
        <w:t>后，</w:t>
      </w:r>
      <w:bookmarkEnd w:id="145"/>
      <w:bookmarkEnd w:id="146"/>
      <w:bookmarkEnd w:id="147"/>
      <w:bookmarkEnd w:id="148"/>
      <w:bookmarkEnd w:id="149"/>
      <w:bookmarkEnd w:id="150"/>
      <w:bookmarkEnd w:id="151"/>
      <w:bookmarkEnd w:id="152"/>
      <w:bookmarkEnd w:id="153"/>
      <w:bookmarkEnd w:id="154"/>
      <w:bookmarkEnd w:id="155"/>
      <w:bookmarkStart w:id="156" w:name="_Toc247513963"/>
      <w:bookmarkStart w:id="157" w:name="_Toc352691484"/>
      <w:bookmarkStart w:id="158" w:name="_Toc247527564"/>
      <w:bookmarkStart w:id="159" w:name="_Toc152042316"/>
      <w:bookmarkStart w:id="160" w:name="_Toc369531526"/>
      <w:bookmarkStart w:id="161" w:name="_Toc16623"/>
      <w:bookmarkStart w:id="162" w:name="_Toc384308220"/>
      <w:bookmarkStart w:id="163" w:name="_Toc361508595"/>
      <w:bookmarkStart w:id="164" w:name="_Toc152045540"/>
      <w:bookmarkStart w:id="165" w:name="_Toc144974508"/>
      <w:bookmarkStart w:id="166" w:name="_Toc300834960"/>
      <w:r>
        <w:rPr>
          <w:rFonts w:ascii="Times New Roman" w:hAnsi="Times New Roman"/>
          <w:color w:val="auto"/>
          <w:sz w:val="24"/>
          <w:szCs w:val="24"/>
        </w:rPr>
        <w:t>应按投标人须知前附表规定的时间和形式通知招标人，确认已收到该修改。</w:t>
      </w:r>
    </w:p>
    <w:p>
      <w:pPr>
        <w:pStyle w:val="6"/>
        <w:keepNext w:val="0"/>
        <w:keepLines w:val="0"/>
        <w:spacing w:before="0" w:after="0" w:line="360" w:lineRule="auto"/>
        <w:ind w:firstLine="480" w:firstLineChars="200"/>
        <w:rPr>
          <w:rFonts w:ascii="Times New Roman" w:hAnsi="Times New Roman"/>
          <w:color w:val="auto"/>
          <w:sz w:val="24"/>
          <w:szCs w:val="24"/>
        </w:rPr>
      </w:pPr>
      <w:bookmarkStart w:id="167" w:name="_Toc622"/>
      <w:bookmarkStart w:id="168" w:name="_Toc89870566"/>
      <w:r>
        <w:rPr>
          <w:rFonts w:ascii="Times New Roman" w:hAnsi="Times New Roman"/>
          <w:color w:val="auto"/>
          <w:sz w:val="24"/>
          <w:szCs w:val="24"/>
        </w:rPr>
        <w:t>2.</w:t>
      </w:r>
      <w:bookmarkEnd w:id="156"/>
      <w:bookmarkEnd w:id="157"/>
      <w:bookmarkEnd w:id="158"/>
      <w:bookmarkEnd w:id="159"/>
      <w:bookmarkEnd w:id="160"/>
      <w:bookmarkEnd w:id="161"/>
      <w:bookmarkEnd w:id="162"/>
      <w:bookmarkEnd w:id="163"/>
      <w:bookmarkEnd w:id="164"/>
      <w:bookmarkEnd w:id="165"/>
      <w:bookmarkEnd w:id="166"/>
      <w:r>
        <w:rPr>
          <w:rFonts w:ascii="Times New Roman" w:hAnsi="Times New Roman"/>
          <w:color w:val="auto"/>
          <w:sz w:val="24"/>
          <w:szCs w:val="24"/>
        </w:rPr>
        <w:t>4 招标文件的异议</w:t>
      </w:r>
      <w:bookmarkEnd w:id="167"/>
      <w:bookmarkEnd w:id="168"/>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投标人或者其他利害关系人对招标文件有异议的，应当在投标截止时间10日前以书面形式提出。招标人将在收到异议之日起3日内作出答复；作出答复前，将暂停招标投标活动。</w:t>
      </w:r>
    </w:p>
    <w:p>
      <w:pPr>
        <w:pStyle w:val="5"/>
        <w:keepNext w:val="0"/>
        <w:keepLines w:val="0"/>
        <w:spacing w:before="0" w:after="0" w:line="360" w:lineRule="auto"/>
        <w:ind w:firstLine="643" w:firstLineChars="200"/>
        <w:rPr>
          <w:rFonts w:ascii="Times New Roman" w:hAnsi="Times New Roman"/>
          <w:color w:val="auto"/>
        </w:rPr>
      </w:pPr>
      <w:bookmarkStart w:id="169" w:name="_Toc89870567"/>
      <w:bookmarkStart w:id="170" w:name="_Toc20188"/>
      <w:r>
        <w:rPr>
          <w:rFonts w:ascii="Times New Roman" w:hAnsi="Times New Roman"/>
          <w:color w:val="auto"/>
        </w:rPr>
        <w:t>3. 投标文件</w:t>
      </w:r>
      <w:bookmarkEnd w:id="169"/>
      <w:bookmarkEnd w:id="170"/>
    </w:p>
    <w:p>
      <w:pPr>
        <w:pStyle w:val="6"/>
        <w:keepNext w:val="0"/>
        <w:keepLines w:val="0"/>
        <w:spacing w:before="0" w:after="0" w:line="360" w:lineRule="auto"/>
        <w:ind w:firstLine="480" w:firstLineChars="200"/>
        <w:rPr>
          <w:rFonts w:ascii="Times New Roman" w:hAnsi="Times New Roman"/>
          <w:color w:val="auto"/>
          <w:sz w:val="24"/>
          <w:szCs w:val="24"/>
        </w:rPr>
      </w:pPr>
      <w:bookmarkStart w:id="171" w:name="_Toc89870568"/>
      <w:bookmarkStart w:id="172" w:name="_Toc17006"/>
      <w:r>
        <w:rPr>
          <w:rFonts w:ascii="Times New Roman" w:hAnsi="Times New Roman"/>
          <w:color w:val="auto"/>
          <w:sz w:val="24"/>
          <w:szCs w:val="24"/>
        </w:rPr>
        <w:t>3.1 投标文件的组成</w:t>
      </w:r>
      <w:bookmarkEnd w:id="171"/>
      <w:bookmarkEnd w:id="172"/>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　　3.1.1 投标文件应包括下列内容：</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（1）投标函及投标函附录、</w:t>
      </w:r>
      <w:r>
        <w:rPr>
          <w:rFonts w:ascii="Times New Roman" w:hAnsi="Times New Roman"/>
          <w:color w:val="auto"/>
        </w:rPr>
        <w:t>投标报价书</w:t>
      </w:r>
      <w:r>
        <w:rPr>
          <w:rFonts w:ascii="Times New Roman" w:hAnsi="Times New Roman"/>
          <w:color w:val="auto"/>
          <w:sz w:val="24"/>
          <w:szCs w:val="24"/>
        </w:rPr>
        <w:t>；</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（2）法定代表人身份证明或授权委托书；</w:t>
      </w:r>
    </w:p>
    <w:p>
      <w:pPr>
        <w:spacing w:line="360" w:lineRule="auto"/>
        <w:ind w:firstLine="480" w:firstLineChars="200"/>
        <w:rPr>
          <w:rFonts w:ascii="Times New Roman" w:hAnsi="Times New Roman"/>
          <w:color w:val="auto"/>
          <w:sz w:val="24"/>
          <w:szCs w:val="24"/>
        </w:rPr>
      </w:pPr>
      <w:r>
        <w:rPr>
          <w:rFonts w:hint="eastAsia" w:ascii="Times New Roman" w:hAnsi="Times New Roman"/>
          <w:color w:val="auto"/>
          <w:sz w:val="24"/>
          <w:szCs w:val="24"/>
        </w:rPr>
        <w:t>（</w:t>
      </w:r>
      <w:r>
        <w:rPr>
          <w:rFonts w:ascii="Times New Roman" w:hAnsi="Times New Roman"/>
          <w:color w:val="auto"/>
          <w:sz w:val="24"/>
          <w:szCs w:val="24"/>
        </w:rPr>
        <w:t>3</w:t>
      </w:r>
      <w:r>
        <w:rPr>
          <w:rFonts w:hint="eastAsia" w:ascii="Times New Roman" w:hAnsi="Times New Roman"/>
          <w:color w:val="auto"/>
          <w:sz w:val="24"/>
          <w:szCs w:val="24"/>
        </w:rPr>
        <w:t>）联合体协议书</w:t>
      </w:r>
      <w:r>
        <w:rPr>
          <w:rFonts w:ascii="Times New Roman" w:hAnsi="Times New Roman"/>
          <w:color w:val="auto"/>
          <w:sz w:val="24"/>
          <w:szCs w:val="24"/>
        </w:rPr>
        <w:t>（本项目不接受联合体投标，无需提供）；</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w:t>
      </w:r>
      <w:r>
        <w:rPr>
          <w:rFonts w:hint="eastAsia" w:ascii="Times New Roman" w:hAnsi="Times New Roman"/>
          <w:color w:val="auto"/>
          <w:sz w:val="24"/>
          <w:szCs w:val="24"/>
        </w:rPr>
        <w:t>4</w:t>
      </w:r>
      <w:r>
        <w:rPr>
          <w:rFonts w:ascii="Times New Roman" w:hAnsi="Times New Roman"/>
          <w:color w:val="auto"/>
          <w:sz w:val="24"/>
          <w:szCs w:val="24"/>
        </w:rPr>
        <w:t>）投标保证金；</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w:t>
      </w:r>
      <w:r>
        <w:rPr>
          <w:rFonts w:hint="eastAsia" w:ascii="Times New Roman" w:hAnsi="Times New Roman"/>
          <w:color w:val="auto"/>
          <w:sz w:val="24"/>
          <w:szCs w:val="24"/>
        </w:rPr>
        <w:t>5</w:t>
      </w:r>
      <w:r>
        <w:rPr>
          <w:rFonts w:ascii="Times New Roman" w:hAnsi="Times New Roman"/>
          <w:color w:val="auto"/>
          <w:sz w:val="24"/>
          <w:szCs w:val="24"/>
        </w:rPr>
        <w:t>）</w:t>
      </w:r>
      <w:r>
        <w:rPr>
          <w:rFonts w:hint="eastAsia" w:ascii="Times New Roman" w:hAnsi="Times New Roman"/>
          <w:color w:val="auto"/>
          <w:sz w:val="24"/>
          <w:szCs w:val="24"/>
        </w:rPr>
        <w:t>广州建设工程监理投标书</w:t>
      </w:r>
      <w:r>
        <w:rPr>
          <w:rFonts w:ascii="Times New Roman" w:hAnsi="Times New Roman"/>
          <w:color w:val="auto"/>
          <w:sz w:val="24"/>
          <w:szCs w:val="24"/>
        </w:rPr>
        <w:t>；</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w:t>
      </w:r>
      <w:r>
        <w:rPr>
          <w:rFonts w:hint="eastAsia" w:ascii="Times New Roman" w:hAnsi="Times New Roman"/>
          <w:color w:val="auto"/>
          <w:sz w:val="24"/>
          <w:szCs w:val="24"/>
        </w:rPr>
        <w:t>6</w:t>
      </w:r>
      <w:r>
        <w:rPr>
          <w:rFonts w:ascii="Times New Roman" w:hAnsi="Times New Roman"/>
          <w:color w:val="auto"/>
          <w:sz w:val="24"/>
          <w:szCs w:val="24"/>
        </w:rPr>
        <w:t>）资格审查资料；</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w:t>
      </w:r>
      <w:r>
        <w:rPr>
          <w:rFonts w:hint="eastAsia" w:ascii="Times New Roman" w:hAnsi="Times New Roman"/>
          <w:color w:val="auto"/>
          <w:sz w:val="24"/>
          <w:szCs w:val="24"/>
        </w:rPr>
        <w:t>7</w:t>
      </w:r>
      <w:r>
        <w:rPr>
          <w:rFonts w:ascii="Times New Roman" w:hAnsi="Times New Roman"/>
          <w:color w:val="auto"/>
          <w:sz w:val="24"/>
          <w:szCs w:val="24"/>
        </w:rPr>
        <w:t>）监理大纲；</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w:t>
      </w:r>
      <w:r>
        <w:rPr>
          <w:rFonts w:hint="eastAsia" w:ascii="Times New Roman" w:hAnsi="Times New Roman"/>
          <w:color w:val="auto"/>
          <w:sz w:val="24"/>
          <w:szCs w:val="24"/>
        </w:rPr>
        <w:t>8</w:t>
      </w:r>
      <w:r>
        <w:rPr>
          <w:rFonts w:ascii="Times New Roman" w:hAnsi="Times New Roman"/>
          <w:color w:val="auto"/>
          <w:sz w:val="24"/>
          <w:szCs w:val="24"/>
        </w:rPr>
        <w:t>）投标人须知前附表规定的其他资料。</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投标人在评标过程中作出的符合法律法规和招标文件规定的澄清确认，构成投标文件的组成部分。</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3.1.2 投标人须知前附表规定不接受联合体投标的，或投标人没有组成联合体的，投标文件不包括本章第3.1.1（3）目所指的联合体协议书。</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3.1.3 投标人须知前附表未要求提交投标保证金的，投标文件不包括本章第3.1.1（4）目所指的投标保证金。</w:t>
      </w:r>
    </w:p>
    <w:p>
      <w:pPr>
        <w:pStyle w:val="6"/>
        <w:keepNext w:val="0"/>
        <w:keepLines w:val="0"/>
        <w:spacing w:before="0" w:after="0" w:line="360" w:lineRule="auto"/>
        <w:ind w:firstLine="480" w:firstLineChars="200"/>
        <w:rPr>
          <w:rFonts w:ascii="Times New Roman" w:hAnsi="Times New Roman"/>
          <w:color w:val="auto"/>
          <w:sz w:val="24"/>
          <w:szCs w:val="24"/>
        </w:rPr>
      </w:pPr>
      <w:bookmarkStart w:id="173" w:name="_Toc89870569"/>
      <w:bookmarkStart w:id="174" w:name="_Toc15761"/>
      <w:r>
        <w:rPr>
          <w:rFonts w:ascii="Times New Roman" w:hAnsi="Times New Roman"/>
          <w:color w:val="auto"/>
          <w:sz w:val="24"/>
          <w:szCs w:val="24"/>
        </w:rPr>
        <w:t>3.2 投标报价</w:t>
      </w:r>
      <w:bookmarkEnd w:id="173"/>
      <w:bookmarkEnd w:id="174"/>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3.2.1</w:t>
      </w:r>
      <w:r>
        <w:rPr>
          <w:rFonts w:hint="eastAsia" w:ascii="Times New Roman" w:hAnsi="Times New Roman"/>
          <w:color w:val="auto"/>
          <w:sz w:val="24"/>
          <w:szCs w:val="24"/>
        </w:rPr>
        <w:t>投标报价应包括国家规定的增值税税金，除投标人须知前附表另有规定外，增值税税金按一般计税方法计算。投标人应按第六章“投标文件格式”的要求在投标函及投标函附录、</w:t>
      </w:r>
      <w:r>
        <w:rPr>
          <w:rFonts w:ascii="Times New Roman" w:hAnsi="Times New Roman"/>
          <w:color w:val="auto"/>
          <w:sz w:val="24"/>
        </w:rPr>
        <w:t>投标报价书</w:t>
      </w:r>
      <w:r>
        <w:rPr>
          <w:rFonts w:hint="eastAsia" w:ascii="Times New Roman" w:hAnsi="Times New Roman"/>
          <w:color w:val="auto"/>
          <w:sz w:val="24"/>
          <w:szCs w:val="24"/>
        </w:rPr>
        <w:t>中进行报价</w:t>
      </w:r>
      <w:r>
        <w:rPr>
          <w:rFonts w:ascii="Times New Roman" w:hAnsi="Times New Roman"/>
          <w:color w:val="auto"/>
          <w:sz w:val="24"/>
          <w:szCs w:val="24"/>
        </w:rPr>
        <w:t>。</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3.2.2 投标人应充分了解该项目的总体情况以及影响投标报价的其他要素。</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3.2.3</w:t>
      </w:r>
      <w:bookmarkStart w:id="175" w:name="_Toc384308224"/>
      <w:bookmarkEnd w:id="175"/>
      <w:bookmarkStart w:id="176" w:name="_Toc300834964"/>
      <w:bookmarkEnd w:id="176"/>
      <w:bookmarkStart w:id="177" w:name="_Toc15242"/>
      <w:bookmarkEnd w:id="177"/>
      <w:bookmarkStart w:id="178" w:name="_Toc369531530"/>
      <w:bookmarkEnd w:id="178"/>
      <w:bookmarkStart w:id="179" w:name="_Toc152042319"/>
      <w:bookmarkEnd w:id="179"/>
      <w:bookmarkStart w:id="180" w:name="_Toc247527568"/>
      <w:bookmarkEnd w:id="180"/>
      <w:bookmarkStart w:id="181" w:name="_Toc144974511"/>
      <w:bookmarkEnd w:id="181"/>
      <w:bookmarkStart w:id="182" w:name="_Toc152045543"/>
      <w:bookmarkEnd w:id="182"/>
      <w:bookmarkStart w:id="183" w:name="_Toc352691487"/>
      <w:bookmarkEnd w:id="183"/>
      <w:bookmarkStart w:id="184" w:name="_Toc247513967"/>
      <w:bookmarkEnd w:id="184"/>
      <w:bookmarkStart w:id="185" w:name="_Toc361508599"/>
      <w:bookmarkEnd w:id="185"/>
      <w:r>
        <w:rPr>
          <w:rFonts w:hint="eastAsia" w:ascii="Times New Roman" w:hAnsi="Times New Roman"/>
          <w:color w:val="auto"/>
          <w:sz w:val="24"/>
          <w:szCs w:val="24"/>
        </w:rPr>
        <w:t xml:space="preserve"> </w:t>
      </w:r>
      <w:r>
        <w:rPr>
          <w:rFonts w:hint="eastAsia" w:ascii="宋体" w:hAnsi="宋体" w:cs="宋体"/>
          <w:color w:val="auto"/>
          <w:kern w:val="0"/>
          <w:sz w:val="24"/>
          <w:szCs w:val="24"/>
        </w:rPr>
        <w:t>本项目的报价方式见投标人须知前附表。投标人在投标截止时间前修改投标函中的投标报价总额须符合本章第4.3款的有关要求</w:t>
      </w:r>
      <w:r>
        <w:rPr>
          <w:rFonts w:ascii="Times New Roman" w:hAnsi="Times New Roman"/>
          <w:color w:val="auto"/>
          <w:sz w:val="24"/>
          <w:szCs w:val="24"/>
        </w:rPr>
        <w:t>。</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3.2.4 招标人设有最高投标限价的，投标人的投标报价不得超过最高投标限价，最高投标限价在投标</w:t>
      </w:r>
      <w:bookmarkStart w:id="186" w:name="_Toc10429"/>
      <w:bookmarkStart w:id="187" w:name="_Toc361508600"/>
      <w:bookmarkStart w:id="188" w:name="_Toc247527569"/>
      <w:bookmarkStart w:id="189" w:name="_Toc152045544"/>
      <w:bookmarkStart w:id="190" w:name="_Toc369531531"/>
      <w:bookmarkStart w:id="191" w:name="_Toc300834965"/>
      <w:bookmarkStart w:id="192" w:name="_Toc352691488"/>
      <w:bookmarkStart w:id="193" w:name="_Toc152042320"/>
      <w:bookmarkStart w:id="194" w:name="_Toc384308225"/>
      <w:bookmarkStart w:id="195" w:name="_Toc247513968"/>
      <w:bookmarkStart w:id="196" w:name="_Toc144974512"/>
      <w:r>
        <w:rPr>
          <w:rFonts w:ascii="Times New Roman" w:hAnsi="Times New Roman"/>
          <w:color w:val="auto"/>
          <w:sz w:val="24"/>
          <w:szCs w:val="24"/>
        </w:rPr>
        <w:t>人须知前附表中载明。</w:t>
      </w:r>
      <w:bookmarkEnd w:id="186"/>
      <w:bookmarkEnd w:id="187"/>
      <w:bookmarkEnd w:id="188"/>
      <w:bookmarkEnd w:id="189"/>
      <w:bookmarkEnd w:id="190"/>
      <w:bookmarkEnd w:id="191"/>
      <w:bookmarkEnd w:id="192"/>
      <w:bookmarkEnd w:id="193"/>
      <w:bookmarkEnd w:id="194"/>
      <w:bookmarkEnd w:id="195"/>
      <w:bookmarkEnd w:id="196"/>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3.2.5 投标报价的其他要求见投标人须知前附表。</w:t>
      </w:r>
    </w:p>
    <w:p>
      <w:pPr>
        <w:pStyle w:val="6"/>
        <w:keepNext w:val="0"/>
        <w:keepLines w:val="0"/>
        <w:spacing w:before="0" w:after="0" w:line="360" w:lineRule="auto"/>
        <w:ind w:firstLine="480" w:firstLineChars="200"/>
        <w:rPr>
          <w:rFonts w:ascii="Times New Roman" w:hAnsi="Times New Roman"/>
          <w:color w:val="auto"/>
          <w:sz w:val="24"/>
          <w:szCs w:val="24"/>
        </w:rPr>
      </w:pPr>
      <w:bookmarkStart w:id="197" w:name="_Toc89870570"/>
      <w:bookmarkStart w:id="198" w:name="_Toc26962"/>
      <w:r>
        <w:rPr>
          <w:rFonts w:ascii="Times New Roman" w:hAnsi="Times New Roman"/>
          <w:color w:val="auto"/>
          <w:sz w:val="24"/>
          <w:szCs w:val="24"/>
        </w:rPr>
        <w:t>3.3 投标有效期</w:t>
      </w:r>
      <w:bookmarkEnd w:id="197"/>
      <w:bookmarkEnd w:id="198"/>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3.3.1 除投标人须知前附表另有规定外，投标有效期为</w:t>
      </w:r>
      <w:r>
        <w:rPr>
          <w:rFonts w:hint="eastAsia" w:ascii="Times New Roman" w:hAnsi="Times New Roman"/>
          <w:color w:val="auto"/>
          <w:sz w:val="24"/>
          <w:szCs w:val="24"/>
        </w:rPr>
        <w:t>90</w:t>
      </w:r>
      <w:r>
        <w:rPr>
          <w:rFonts w:ascii="Times New Roman" w:hAnsi="Times New Roman"/>
          <w:color w:val="auto"/>
          <w:sz w:val="24"/>
          <w:szCs w:val="24"/>
        </w:rPr>
        <w:t>天。</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3.3.2 在投标有效期内，投标人撤销投标文件的，应承担招标文件和法律规定的责任。</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pStyle w:val="6"/>
        <w:keepNext w:val="0"/>
        <w:keepLines w:val="0"/>
        <w:spacing w:before="0" w:after="0" w:line="360" w:lineRule="auto"/>
        <w:ind w:firstLine="480" w:firstLineChars="200"/>
        <w:rPr>
          <w:rFonts w:ascii="Times New Roman" w:hAnsi="Times New Roman"/>
          <w:color w:val="auto"/>
          <w:sz w:val="24"/>
          <w:szCs w:val="24"/>
        </w:rPr>
      </w:pPr>
      <w:bookmarkStart w:id="199" w:name="_Toc89870571"/>
      <w:bookmarkStart w:id="200" w:name="_Toc29318"/>
      <w:r>
        <w:rPr>
          <w:rFonts w:ascii="Times New Roman" w:hAnsi="Times New Roman"/>
          <w:color w:val="auto"/>
          <w:sz w:val="24"/>
          <w:szCs w:val="24"/>
        </w:rPr>
        <w:t>3.4 投标保证金</w:t>
      </w:r>
      <w:bookmarkEnd w:id="199"/>
      <w:bookmarkEnd w:id="200"/>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3.4.1 投标人在递交投标文件的同时，应按投标人须知前附表规定的金额</w:t>
      </w:r>
      <w:bookmarkStart w:id="201" w:name="_Toc300834966"/>
      <w:bookmarkStart w:id="202" w:name="_Toc384308226"/>
      <w:bookmarkStart w:id="203" w:name="_Toc369531532"/>
      <w:bookmarkStart w:id="204" w:name="_Toc247527570"/>
      <w:bookmarkStart w:id="205" w:name="_Toc361508601"/>
      <w:bookmarkStart w:id="206" w:name="_Toc152045545"/>
      <w:bookmarkStart w:id="207" w:name="_Toc144974513"/>
      <w:bookmarkStart w:id="208" w:name="_Toc352691489"/>
      <w:bookmarkStart w:id="209" w:name="_Toc152042321"/>
      <w:bookmarkStart w:id="210" w:name="_Toc4592"/>
      <w:bookmarkStart w:id="211" w:name="_Toc247513969"/>
      <w:r>
        <w:rPr>
          <w:rFonts w:ascii="Times New Roman" w:hAnsi="Times New Roman"/>
          <w:color w:val="auto"/>
          <w:sz w:val="24"/>
          <w:szCs w:val="24"/>
        </w:rPr>
        <w:t>、形式和第六章</w:t>
      </w:r>
      <w:r>
        <w:rPr>
          <w:rFonts w:hint="eastAsia" w:ascii="Times New Roman" w:hAnsi="Times New Roman"/>
          <w:color w:val="auto"/>
          <w:sz w:val="24"/>
          <w:szCs w:val="24"/>
        </w:rPr>
        <w:t>“</w:t>
      </w:r>
      <w:r>
        <w:rPr>
          <w:rFonts w:ascii="Times New Roman" w:hAnsi="Times New Roman"/>
          <w:color w:val="auto"/>
          <w:sz w:val="24"/>
          <w:szCs w:val="24"/>
        </w:rPr>
        <w:t>投标文</w:t>
      </w:r>
      <w:bookmarkEnd w:id="201"/>
      <w:bookmarkEnd w:id="202"/>
      <w:bookmarkEnd w:id="203"/>
      <w:bookmarkEnd w:id="204"/>
      <w:bookmarkEnd w:id="205"/>
      <w:bookmarkEnd w:id="206"/>
      <w:bookmarkEnd w:id="207"/>
      <w:bookmarkEnd w:id="208"/>
      <w:bookmarkEnd w:id="209"/>
      <w:bookmarkEnd w:id="210"/>
      <w:bookmarkEnd w:id="211"/>
      <w:r>
        <w:rPr>
          <w:rFonts w:ascii="Times New Roman" w:hAnsi="Times New Roman"/>
          <w:color w:val="auto"/>
          <w:sz w:val="24"/>
          <w:szCs w:val="24"/>
        </w:rPr>
        <w:t>件格式</w:t>
      </w:r>
      <w:r>
        <w:rPr>
          <w:rFonts w:hint="eastAsia" w:ascii="Times New Roman" w:hAnsi="Times New Roman"/>
          <w:color w:val="auto"/>
          <w:sz w:val="24"/>
          <w:szCs w:val="24"/>
        </w:rPr>
        <w:t>”</w:t>
      </w:r>
      <w:r>
        <w:rPr>
          <w:rFonts w:ascii="Times New Roman" w:hAnsi="Times New Roman"/>
          <w:color w:val="auto"/>
          <w:sz w:val="24"/>
          <w:szCs w:val="24"/>
        </w:rPr>
        <w:t>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3.4.2 投标人不按本章第3.4.1项</w:t>
      </w:r>
      <w:bookmarkStart w:id="212" w:name="_Toc369531533"/>
      <w:bookmarkStart w:id="213" w:name="_Toc29025"/>
      <w:bookmarkStart w:id="214" w:name="_Toc361508602"/>
      <w:bookmarkStart w:id="215" w:name="_Toc384308227"/>
      <w:bookmarkStart w:id="216" w:name="_Toc352691490"/>
      <w:r>
        <w:rPr>
          <w:rFonts w:ascii="Times New Roman" w:hAnsi="Times New Roman"/>
          <w:color w:val="auto"/>
          <w:sz w:val="24"/>
          <w:szCs w:val="24"/>
        </w:rPr>
        <w:t>要求提交投标保证金的，</w:t>
      </w:r>
      <w:bookmarkEnd w:id="212"/>
      <w:bookmarkEnd w:id="213"/>
      <w:bookmarkEnd w:id="214"/>
      <w:bookmarkEnd w:id="215"/>
      <w:bookmarkEnd w:id="216"/>
      <w:r>
        <w:rPr>
          <w:rFonts w:ascii="Times New Roman" w:hAnsi="Times New Roman"/>
          <w:color w:val="auto"/>
          <w:sz w:val="24"/>
          <w:szCs w:val="24"/>
        </w:rPr>
        <w:t>评标委员会将否决其投标。</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3.4.3 招标人最迟将在与中标人</w:t>
      </w:r>
      <w:bookmarkStart w:id="217" w:name="_Toc152045546"/>
      <w:bookmarkStart w:id="218" w:name="_Toc152042322"/>
      <w:bookmarkStart w:id="219" w:name="_Toc361508603"/>
      <w:bookmarkStart w:id="220" w:name="_Toc247527571"/>
      <w:bookmarkStart w:id="221" w:name="_Toc14751"/>
      <w:bookmarkStart w:id="222" w:name="_Toc352691491"/>
      <w:bookmarkStart w:id="223" w:name="_Toc247513970"/>
      <w:bookmarkStart w:id="224" w:name="_Toc384308228"/>
      <w:bookmarkStart w:id="225" w:name="_Toc144974514"/>
      <w:bookmarkStart w:id="226" w:name="_Toc369531534"/>
      <w:bookmarkStart w:id="227" w:name="_Toc300834967"/>
      <w:r>
        <w:rPr>
          <w:rFonts w:ascii="Times New Roman" w:hAnsi="Times New Roman"/>
          <w:color w:val="auto"/>
          <w:sz w:val="24"/>
          <w:szCs w:val="24"/>
        </w:rPr>
        <w:t>签订合同后5日</w:t>
      </w:r>
      <w:bookmarkEnd w:id="217"/>
      <w:bookmarkEnd w:id="218"/>
      <w:bookmarkEnd w:id="219"/>
      <w:bookmarkEnd w:id="220"/>
      <w:bookmarkEnd w:id="221"/>
      <w:bookmarkEnd w:id="222"/>
      <w:bookmarkEnd w:id="223"/>
      <w:bookmarkEnd w:id="224"/>
      <w:bookmarkEnd w:id="225"/>
      <w:bookmarkEnd w:id="226"/>
      <w:bookmarkEnd w:id="227"/>
      <w:r>
        <w:rPr>
          <w:rFonts w:ascii="Times New Roman" w:hAnsi="Times New Roman"/>
          <w:color w:val="auto"/>
          <w:sz w:val="24"/>
          <w:szCs w:val="24"/>
        </w:rPr>
        <w:t>内</w:t>
      </w:r>
      <w:bookmarkStart w:id="228" w:name="_Toc17952"/>
      <w:bookmarkStart w:id="229" w:name="_Toc144974515"/>
      <w:bookmarkStart w:id="230" w:name="_Toc247513971"/>
      <w:bookmarkStart w:id="231" w:name="_Toc384308229"/>
      <w:bookmarkStart w:id="232" w:name="_Toc361508604"/>
      <w:bookmarkStart w:id="233" w:name="_Toc152045547"/>
      <w:bookmarkStart w:id="234" w:name="_Toc369531535"/>
      <w:bookmarkStart w:id="235" w:name="_Toc352691492"/>
      <w:bookmarkStart w:id="236" w:name="_Toc247527572"/>
      <w:bookmarkStart w:id="237" w:name="_Toc300834968"/>
      <w:bookmarkStart w:id="238" w:name="_Toc152042323"/>
      <w:r>
        <w:rPr>
          <w:rFonts w:ascii="Times New Roman" w:hAnsi="Times New Roman"/>
          <w:color w:val="auto"/>
          <w:sz w:val="24"/>
          <w:szCs w:val="24"/>
        </w:rPr>
        <w:t>，向未中标的投标人和中</w:t>
      </w:r>
      <w:bookmarkEnd w:id="228"/>
      <w:bookmarkEnd w:id="229"/>
      <w:bookmarkEnd w:id="230"/>
      <w:bookmarkEnd w:id="231"/>
      <w:bookmarkEnd w:id="232"/>
      <w:bookmarkEnd w:id="233"/>
      <w:bookmarkEnd w:id="234"/>
      <w:bookmarkEnd w:id="235"/>
      <w:bookmarkEnd w:id="236"/>
      <w:bookmarkEnd w:id="237"/>
      <w:bookmarkEnd w:id="238"/>
      <w:r>
        <w:rPr>
          <w:rFonts w:ascii="Times New Roman" w:hAnsi="Times New Roman"/>
          <w:color w:val="auto"/>
          <w:sz w:val="24"/>
          <w:szCs w:val="24"/>
        </w:rPr>
        <w:t>标人退还投标保证金。投标保证金以现金或者支票形式递交的，还应退还银行同期存款利息。</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3.4.4 有下列情形之一的，投标保证金将不予退还：</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（1）投标人在投标有效期内撤销投标文件；</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（2）中标人在收到中标通知书后，无正当理由不与招标人订立合同，在签订合同时向招标人提出附加条件，或者不按照招标文件要求提交履约保证金；</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（3）发生投标人须知前附表规定的其他可以不予退还投标保证金的情形。</w:t>
      </w:r>
    </w:p>
    <w:p>
      <w:pPr>
        <w:pStyle w:val="6"/>
        <w:keepNext w:val="0"/>
        <w:keepLines w:val="0"/>
        <w:spacing w:before="0" w:after="0" w:line="360" w:lineRule="auto"/>
        <w:ind w:firstLine="480" w:firstLineChars="200"/>
        <w:rPr>
          <w:rFonts w:ascii="Times New Roman" w:hAnsi="Times New Roman"/>
          <w:color w:val="auto"/>
          <w:sz w:val="24"/>
          <w:szCs w:val="24"/>
        </w:rPr>
      </w:pPr>
      <w:bookmarkStart w:id="239" w:name="_Toc89870572"/>
      <w:bookmarkStart w:id="240" w:name="_Toc17845"/>
      <w:r>
        <w:rPr>
          <w:rFonts w:ascii="Times New Roman" w:hAnsi="Times New Roman"/>
          <w:color w:val="auto"/>
          <w:sz w:val="24"/>
          <w:szCs w:val="24"/>
        </w:rPr>
        <w:t>3.5 资格审查资料（适用于未进行资格预审的）</w:t>
      </w:r>
      <w:bookmarkEnd w:id="239"/>
      <w:bookmarkEnd w:id="240"/>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除投标人须知前附表另有规定外，投标人应按下列规定提供资格审查资料，以证明其满足本章第1.4款规定的资质、财务、业绩、信誉等要求。</w:t>
      </w:r>
    </w:p>
    <w:p>
      <w:pPr>
        <w:spacing w:line="360" w:lineRule="auto"/>
        <w:ind w:firstLine="480" w:firstLineChars="200"/>
        <w:rPr>
          <w:rFonts w:ascii="Times New Roman" w:hAnsi="Times New Roman"/>
          <w:color w:val="auto"/>
          <w:sz w:val="24"/>
          <w:szCs w:val="24"/>
        </w:rPr>
      </w:pPr>
      <w:r>
        <w:rPr>
          <w:rFonts w:hint="eastAsia" w:ascii="Times New Roman" w:hAnsi="Times New Roman"/>
          <w:color w:val="auto"/>
          <w:sz w:val="24"/>
          <w:szCs w:val="24"/>
        </w:rPr>
        <w:t>3.5.1</w:t>
      </w:r>
      <w:r>
        <w:rPr>
          <w:rFonts w:hint="eastAsia" w:ascii="宋体" w:hAnsi="宋体" w:cs="宋体"/>
          <w:color w:val="auto"/>
          <w:sz w:val="24"/>
        </w:rPr>
        <w:t>投标人参加投标的意思表达清楚，投标人代表被授权有效。</w:t>
      </w:r>
      <w:r>
        <w:rPr>
          <w:rFonts w:hint="eastAsia" w:ascii="Times New Roman" w:hAnsi="Times New Roman"/>
          <w:color w:val="auto"/>
          <w:sz w:val="24"/>
          <w:szCs w:val="24"/>
        </w:rPr>
        <w:t xml:space="preserve"> </w:t>
      </w:r>
    </w:p>
    <w:p>
      <w:pPr>
        <w:spacing w:line="360" w:lineRule="auto"/>
        <w:ind w:firstLine="480" w:firstLineChars="200"/>
        <w:rPr>
          <w:rFonts w:ascii="Times New Roman" w:hAnsi="Times New Roman"/>
          <w:color w:val="auto"/>
          <w:sz w:val="24"/>
          <w:szCs w:val="24"/>
        </w:rPr>
      </w:pPr>
      <w:r>
        <w:rPr>
          <w:rFonts w:hint="eastAsia" w:ascii="Times New Roman" w:hAnsi="Times New Roman"/>
          <w:color w:val="auto"/>
          <w:sz w:val="24"/>
          <w:szCs w:val="24"/>
        </w:rPr>
        <w:t>3.5.2</w:t>
      </w:r>
      <w:r>
        <w:rPr>
          <w:rFonts w:hint="eastAsia" w:ascii="宋体" w:hAnsi="宋体" w:cs="宋体"/>
          <w:color w:val="auto"/>
          <w:sz w:val="24"/>
        </w:rPr>
        <w:t>投标人均具有独立法人资格，持有工商行政管理部门核发的法人营业执照，按国家法律经营。</w:t>
      </w:r>
    </w:p>
    <w:p>
      <w:pPr>
        <w:adjustRightInd w:val="0"/>
        <w:snapToGrid w:val="0"/>
        <w:spacing w:line="360" w:lineRule="auto"/>
        <w:ind w:firstLine="480" w:firstLineChars="200"/>
        <w:rPr>
          <w:color w:val="auto"/>
          <w:sz w:val="24"/>
        </w:rPr>
      </w:pPr>
      <w:r>
        <w:rPr>
          <w:rFonts w:hint="eastAsia" w:ascii="Times New Roman" w:hAnsi="Times New Roman"/>
          <w:color w:val="auto"/>
          <w:sz w:val="24"/>
          <w:szCs w:val="24"/>
        </w:rPr>
        <w:t>3.5.3</w:t>
      </w:r>
      <w:r>
        <w:rPr>
          <w:rFonts w:hint="eastAsia" w:ascii="宋体" w:hAnsi="宋体" w:cs="宋体"/>
          <w:color w:val="auto"/>
          <w:sz w:val="24"/>
        </w:rPr>
        <w:t>投标人须具备建设行政主管部门颁发的</w:t>
      </w:r>
      <w:r>
        <w:rPr>
          <w:rFonts w:hint="eastAsia" w:ascii="宋体" w:hAnsi="宋体" w:cs="宋体"/>
          <w:color w:val="auto"/>
          <w:sz w:val="24"/>
          <w:u w:val="single"/>
        </w:rPr>
        <w:t>工程监理综合资质或市政公用工程监理丙级或以上资质。</w:t>
      </w:r>
    </w:p>
    <w:p>
      <w:pPr>
        <w:adjustRightInd w:val="0"/>
        <w:snapToGrid w:val="0"/>
        <w:spacing w:line="360" w:lineRule="auto"/>
        <w:ind w:firstLine="480" w:firstLineChars="200"/>
        <w:rPr>
          <w:rFonts w:ascii="宋体" w:hAnsi="宋体" w:cs="宋体"/>
          <w:color w:val="auto"/>
          <w:sz w:val="24"/>
          <w:u w:val="single"/>
        </w:rPr>
      </w:pPr>
      <w:r>
        <w:rPr>
          <w:rFonts w:hint="eastAsia" w:ascii="宋体" w:hAnsi="宋体" w:cs="宋体"/>
          <w:color w:val="auto"/>
          <w:sz w:val="24"/>
          <w:u w:val="single"/>
        </w:rPr>
        <w:t>注：依据《广东省住房和城乡建设厅关于印发香港工程建设咨询企业和专业人士在粤港澳大湾区内地城市开业执业试点管理暂行办法的通知》（粤建规范〔</w:t>
      </w:r>
      <w:r>
        <w:rPr>
          <w:rFonts w:ascii="宋体" w:hAnsi="宋体" w:cs="宋体"/>
          <w:color w:val="auto"/>
          <w:sz w:val="24"/>
          <w:u w:val="single"/>
        </w:rPr>
        <w:t>2020〕1号，详见链接：</w:t>
      </w:r>
      <w:r>
        <w:rPr>
          <w:rFonts w:ascii="Times New Roman" w:hAnsi="Times New Roman" w:cs="Times New Roman"/>
          <w:color w:val="auto"/>
          <w:sz w:val="24"/>
          <w:u w:val="single"/>
        </w:rPr>
        <w:t>http://zfcxjst.gd.gov.cn/xxgk/wjtz/content/post_3137220.html）</w:t>
      </w:r>
      <w:r>
        <w:rPr>
          <w:rFonts w:ascii="宋体" w:hAnsi="宋体" w:cs="宋体"/>
          <w:color w:val="auto"/>
          <w:sz w:val="24"/>
          <w:u w:val="single"/>
        </w:rPr>
        <w:t>，自2021年1月1日起，允许经备案且备案的业务范围满足招标文件要求的香港企业参加勘察、设计和监理项目的投标，允许经备案且备案的业务范围满足招标文件要求的香港专业人士担任勘察、设计和监理项目管理团队中的相应职务。满足前述内容的香港企业参与本次投标的，应按招标文件要求提供满足评审的相关证明文件。</w:t>
      </w:r>
    </w:p>
    <w:p>
      <w:pPr>
        <w:adjustRightInd w:val="0"/>
        <w:snapToGrid w:val="0"/>
        <w:spacing w:line="360" w:lineRule="auto"/>
        <w:ind w:firstLine="480" w:firstLineChars="200"/>
        <w:rPr>
          <w:rFonts w:ascii="宋体" w:hAnsi="宋体" w:cs="宋体"/>
          <w:color w:val="auto"/>
          <w:sz w:val="24"/>
          <w:u w:val="single"/>
        </w:rPr>
      </w:pPr>
      <w:r>
        <w:rPr>
          <w:rFonts w:ascii="Times New Roman" w:hAnsi="Times New Roman"/>
          <w:color w:val="auto"/>
          <w:sz w:val="24"/>
          <w:szCs w:val="24"/>
          <w:u w:val="single"/>
        </w:rPr>
        <w:t>3.5.4</w:t>
      </w:r>
      <w:r>
        <w:rPr>
          <w:rFonts w:hint="eastAsia" w:ascii="宋体" w:hAnsi="宋体" w:cs="宋体"/>
          <w:color w:val="auto"/>
          <w:sz w:val="24"/>
          <w:u w:val="single"/>
        </w:rPr>
        <w:t>项目总监理工程师须具有建设部</w:t>
      </w:r>
      <w:r>
        <w:rPr>
          <w:rFonts w:ascii="宋体" w:hAnsi="宋体" w:cs="宋体"/>
          <w:color w:val="auto"/>
          <w:sz w:val="24"/>
          <w:u w:val="single"/>
        </w:rPr>
        <w:t>2006年4月1日后颁发的中华人民共和国注册监理工程师注册执业证书，</w:t>
      </w:r>
      <w:r>
        <w:rPr>
          <w:rFonts w:hint="eastAsia" w:ascii="宋体" w:hAnsi="宋体" w:cs="宋体"/>
          <w:color w:val="auto"/>
          <w:sz w:val="24"/>
          <w:u w:val="single"/>
        </w:rPr>
        <w:t>且其注册证书专业为市政公用工程并具备本科或以上学历，注册执业单位为本公司，或在广东省住房和城乡建设主管部门备案且备案的业务范围符合本招标项目对总监理工程师要求的香港专业人士。</w:t>
      </w:r>
    </w:p>
    <w:p>
      <w:pPr>
        <w:adjustRightInd w:val="0"/>
        <w:snapToGrid w:val="0"/>
        <w:spacing w:line="360" w:lineRule="auto"/>
        <w:ind w:firstLine="480" w:firstLineChars="200"/>
        <w:rPr>
          <w:rFonts w:ascii="宋体" w:hAnsi="宋体" w:cs="宋体"/>
          <w:color w:val="auto"/>
          <w:sz w:val="24"/>
          <w:u w:val="single"/>
        </w:rPr>
      </w:pPr>
      <w:r>
        <w:rPr>
          <w:rFonts w:hint="eastAsia" w:ascii="宋体" w:hAnsi="宋体" w:cs="宋体"/>
          <w:color w:val="auto"/>
          <w:sz w:val="24"/>
          <w:u w:val="single"/>
        </w:rPr>
        <w:t>注：香港专业人士的备案业务范围依据《广东省住房和城乡建设厅关于印发香港工程建设咨询企业和专业人士在粤港澳大湾区内地城市开业执业试点管理暂行办法的通知》（粤建规范〔</w:t>
      </w:r>
      <w:r>
        <w:rPr>
          <w:rFonts w:ascii="宋体" w:hAnsi="宋体" w:cs="宋体"/>
          <w:color w:val="auto"/>
          <w:sz w:val="24"/>
          <w:u w:val="single"/>
        </w:rPr>
        <w:t>2020〕1号）确定。</w:t>
      </w:r>
    </w:p>
    <w:p>
      <w:pPr>
        <w:spacing w:line="360" w:lineRule="auto"/>
        <w:ind w:firstLine="480" w:firstLineChars="200"/>
        <w:rPr>
          <w:rFonts w:ascii="Times New Roman" w:hAnsi="Times New Roman"/>
          <w:color w:val="auto"/>
          <w:sz w:val="24"/>
          <w:szCs w:val="24"/>
        </w:rPr>
      </w:pPr>
      <w:r>
        <w:rPr>
          <w:rFonts w:hint="eastAsia" w:ascii="Times New Roman" w:hAnsi="Times New Roman"/>
          <w:color w:val="auto"/>
          <w:sz w:val="24"/>
          <w:szCs w:val="24"/>
        </w:rPr>
        <w:t>3.5.5投标登记前，投标人已在广州公共资源交易中心办理企业信息登记及拟担任本工程总监理工程师须是本单位在企业库中的在册人员。</w:t>
      </w:r>
    </w:p>
    <w:p>
      <w:pPr>
        <w:spacing w:line="360" w:lineRule="auto"/>
        <w:ind w:firstLine="480" w:firstLineChars="200"/>
        <w:rPr>
          <w:rFonts w:ascii="宋体" w:hAnsi="宋体" w:cs="宋体"/>
          <w:color w:val="auto"/>
          <w:sz w:val="24"/>
        </w:rPr>
      </w:pPr>
      <w:r>
        <w:rPr>
          <w:rFonts w:hint="eastAsia" w:ascii="Times New Roman" w:hAnsi="Times New Roman"/>
          <w:color w:val="auto"/>
          <w:sz w:val="24"/>
          <w:szCs w:val="24"/>
        </w:rPr>
        <w:t>3.5.6</w:t>
      </w:r>
      <w:r>
        <w:rPr>
          <w:rFonts w:hint="eastAsia" w:ascii="宋体" w:hAnsi="宋体" w:cs="宋体"/>
          <w:color w:val="auto"/>
          <w:sz w:val="24"/>
        </w:rPr>
        <w:t xml:space="preserve"> 投标人已按规定格式签名盖章《投标人声明》（格式详见招标公告附件一）。</w:t>
      </w:r>
    </w:p>
    <w:p>
      <w:pPr>
        <w:spacing w:line="360" w:lineRule="auto"/>
        <w:ind w:firstLine="480" w:firstLineChars="200"/>
        <w:rPr>
          <w:rFonts w:ascii="宋体" w:hAnsi="宋体" w:cs="宋体"/>
          <w:color w:val="auto"/>
          <w:sz w:val="24"/>
          <w:u w:val="single"/>
        </w:rPr>
      </w:pPr>
      <w:r>
        <w:rPr>
          <w:rFonts w:hint="eastAsia" w:ascii="Times New Roman" w:hAnsi="Times New Roman"/>
          <w:color w:val="auto"/>
          <w:sz w:val="24"/>
          <w:szCs w:val="24"/>
        </w:rPr>
        <w:t>3.5.7</w:t>
      </w:r>
      <w:r>
        <w:rPr>
          <w:rFonts w:hint="eastAsia" w:ascii="宋体" w:hAnsi="宋体" w:cs="宋体"/>
          <w:color w:val="auto"/>
          <w:sz w:val="24"/>
        </w:rPr>
        <w:t>投标人应未被纳入国家、市、区的失信联合惩戒名单且被限制参加</w:t>
      </w:r>
      <w:r>
        <w:rPr>
          <w:rFonts w:hint="eastAsia" w:ascii="宋体" w:hAnsi="宋体" w:cs="宋体"/>
          <w:color w:val="auto"/>
          <w:sz w:val="24"/>
          <w:lang w:val="en-US" w:eastAsia="zh-CN"/>
        </w:rPr>
        <w:t>财政投资工程或政府投资工程或</w:t>
      </w:r>
      <w:r>
        <w:rPr>
          <w:rFonts w:hint="eastAsia" w:ascii="宋体" w:hAnsi="宋体" w:cs="宋体"/>
          <w:color w:val="auto"/>
          <w:sz w:val="24"/>
        </w:rPr>
        <w:t>建设工程投标（具体名单以递交投标文件截止时间“信用广州”https://credit1.gz.gov.cn/sgs/sgsXkNew公布的“失信黑名单”为准）</w:t>
      </w:r>
      <w:r>
        <w:rPr>
          <w:rFonts w:hint="eastAsia" w:ascii="宋体" w:hAnsi="宋体" w:cs="宋体"/>
          <w:color w:val="auto"/>
          <w:sz w:val="24"/>
          <w:u w:val="single"/>
        </w:rPr>
        <w:t>。</w:t>
      </w:r>
    </w:p>
    <w:p>
      <w:pPr>
        <w:spacing w:line="360" w:lineRule="auto"/>
        <w:ind w:firstLine="480" w:firstLineChars="200"/>
        <w:rPr>
          <w:rFonts w:ascii="宋体" w:hAnsi="宋体" w:cs="宋体"/>
          <w:color w:val="auto"/>
          <w:sz w:val="24"/>
        </w:rPr>
      </w:pPr>
      <w:r>
        <w:rPr>
          <w:rFonts w:hint="eastAsia" w:ascii="Times New Roman" w:hAnsi="Times New Roman"/>
          <w:color w:val="auto"/>
          <w:sz w:val="24"/>
          <w:szCs w:val="24"/>
        </w:rPr>
        <w:t>3.5.8</w:t>
      </w:r>
      <w:r>
        <w:rPr>
          <w:rFonts w:hint="eastAsia" w:ascii="宋体" w:hAnsi="宋体" w:cs="宋体"/>
          <w:color w:val="auto"/>
          <w:sz w:val="24"/>
        </w:rPr>
        <w:t>本项目</w:t>
      </w:r>
      <w:r>
        <w:rPr>
          <w:rFonts w:hint="eastAsia" w:ascii="宋体" w:hAnsi="宋体" w:cs="宋体"/>
          <w:color w:val="auto"/>
          <w:sz w:val="24"/>
          <w:u w:val="single"/>
        </w:rPr>
        <w:t>不接受</w:t>
      </w:r>
      <w:r>
        <w:rPr>
          <w:rFonts w:hint="eastAsia" w:ascii="宋体" w:hAnsi="宋体" w:cs="宋体"/>
          <w:color w:val="auto"/>
          <w:sz w:val="24"/>
        </w:rPr>
        <w:t>联合体投标。</w:t>
      </w:r>
    </w:p>
    <w:p>
      <w:pPr>
        <w:wordWrap w:val="0"/>
        <w:topLinePunct/>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注：未在招标公告第三条单列的投标人资格要求条件，不作为资审不合格的依据。</w:t>
      </w:r>
    </w:p>
    <w:p>
      <w:pPr>
        <w:pStyle w:val="6"/>
        <w:keepNext w:val="0"/>
        <w:keepLines w:val="0"/>
        <w:spacing w:before="0" w:after="0" w:line="360" w:lineRule="auto"/>
        <w:ind w:firstLine="480" w:firstLineChars="200"/>
        <w:rPr>
          <w:rFonts w:ascii="Times New Roman" w:hAnsi="Times New Roman"/>
          <w:color w:val="auto"/>
          <w:sz w:val="24"/>
          <w:szCs w:val="24"/>
        </w:rPr>
      </w:pPr>
      <w:bookmarkStart w:id="241" w:name="_Toc89870573"/>
      <w:bookmarkStart w:id="242" w:name="_Toc824"/>
      <w:r>
        <w:rPr>
          <w:rFonts w:ascii="Times New Roman" w:hAnsi="Times New Roman"/>
          <w:color w:val="auto"/>
          <w:sz w:val="24"/>
          <w:szCs w:val="24"/>
        </w:rPr>
        <w:t>3.6 备选投标方案</w:t>
      </w:r>
      <w:bookmarkEnd w:id="241"/>
      <w:bookmarkEnd w:id="242"/>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3.6.1 除投标人须知前附表规定允许外，投标人不得递交备选投标方案，否则其投标将被否决。</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3.6.3 投标人提供两个或两个以上投标报价，或者在投标文件中提供一个报价，但同时提供两个或两个以上</w:t>
      </w:r>
      <w:bookmarkStart w:id="243" w:name="_Toc384308232"/>
      <w:bookmarkStart w:id="244" w:name="_Toc144974518"/>
      <w:bookmarkStart w:id="245" w:name="_Toc361508607"/>
      <w:bookmarkStart w:id="246" w:name="_Toc152045550"/>
      <w:bookmarkStart w:id="247" w:name="_Toc152042326"/>
      <w:bookmarkStart w:id="248" w:name="_Toc29902"/>
      <w:bookmarkStart w:id="249" w:name="_Toc247527575"/>
      <w:bookmarkStart w:id="250" w:name="_Toc300834971"/>
      <w:bookmarkStart w:id="251" w:name="_Toc369531538"/>
      <w:bookmarkStart w:id="252" w:name="_Toc247513974"/>
      <w:bookmarkStart w:id="253" w:name="_Toc352691495"/>
      <w:r>
        <w:rPr>
          <w:rFonts w:ascii="Times New Roman" w:hAnsi="Times New Roman"/>
          <w:color w:val="auto"/>
          <w:sz w:val="24"/>
          <w:szCs w:val="24"/>
        </w:rPr>
        <w:t>监理方案的</w:t>
      </w:r>
      <w:bookmarkEnd w:id="243"/>
      <w:bookmarkEnd w:id="244"/>
      <w:bookmarkEnd w:id="245"/>
      <w:bookmarkEnd w:id="246"/>
      <w:bookmarkEnd w:id="247"/>
      <w:bookmarkEnd w:id="248"/>
      <w:bookmarkEnd w:id="249"/>
      <w:bookmarkEnd w:id="250"/>
      <w:bookmarkEnd w:id="251"/>
      <w:bookmarkEnd w:id="252"/>
      <w:bookmarkEnd w:id="253"/>
      <w:r>
        <w:rPr>
          <w:rFonts w:ascii="Times New Roman" w:hAnsi="Times New Roman"/>
          <w:color w:val="auto"/>
          <w:sz w:val="24"/>
          <w:szCs w:val="24"/>
        </w:rPr>
        <w:t>，视为提供备选方案。</w:t>
      </w:r>
    </w:p>
    <w:p>
      <w:pPr>
        <w:pStyle w:val="6"/>
        <w:keepNext w:val="0"/>
        <w:keepLines w:val="0"/>
        <w:spacing w:before="0" w:after="0" w:line="360" w:lineRule="auto"/>
        <w:ind w:firstLine="480" w:firstLineChars="200"/>
        <w:rPr>
          <w:rFonts w:ascii="Times New Roman" w:hAnsi="Times New Roman"/>
          <w:color w:val="auto"/>
          <w:sz w:val="24"/>
          <w:szCs w:val="24"/>
        </w:rPr>
      </w:pPr>
      <w:bookmarkStart w:id="254" w:name="_Toc23337"/>
      <w:bookmarkStart w:id="255" w:name="_Toc89870574"/>
      <w:r>
        <w:rPr>
          <w:rFonts w:ascii="Times New Roman" w:hAnsi="Times New Roman"/>
          <w:color w:val="auto"/>
          <w:sz w:val="24"/>
          <w:szCs w:val="24"/>
        </w:rPr>
        <w:t>3.7 投标文件的编制</w:t>
      </w:r>
      <w:bookmarkEnd w:id="254"/>
      <w:bookmarkEnd w:id="255"/>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3.7.1 投标文件应按第六章</w:t>
      </w:r>
      <w:r>
        <w:rPr>
          <w:rFonts w:hint="eastAsia" w:ascii="Times New Roman" w:hAnsi="Times New Roman"/>
          <w:color w:val="auto"/>
          <w:sz w:val="24"/>
          <w:szCs w:val="24"/>
          <w:lang w:eastAsia="zh-CN"/>
        </w:rPr>
        <w:t>“</w:t>
      </w:r>
      <w:r>
        <w:rPr>
          <w:rFonts w:ascii="Times New Roman" w:hAnsi="Times New Roman"/>
          <w:color w:val="auto"/>
          <w:sz w:val="24"/>
          <w:szCs w:val="24"/>
        </w:rPr>
        <w:t>投标文件格式</w:t>
      </w:r>
      <w:r>
        <w:rPr>
          <w:rFonts w:hint="eastAsia" w:ascii="Times New Roman" w:hAnsi="Times New Roman"/>
          <w:color w:val="auto"/>
          <w:sz w:val="24"/>
          <w:szCs w:val="24"/>
          <w:lang w:eastAsia="zh-CN"/>
        </w:rPr>
        <w:t>”</w:t>
      </w:r>
      <w:r>
        <w:rPr>
          <w:rFonts w:ascii="Times New Roman" w:hAnsi="Times New Roman"/>
          <w:color w:val="auto"/>
          <w:sz w:val="24"/>
          <w:szCs w:val="24"/>
        </w:rPr>
        <w:t>进行编写，如有必要，可以增加附页，作为投标文件的组成部分。其中，投标函附录在满足招标文件实质性要求的基础上，可以提出比招标文件要求更有利于招标人的承诺。</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3.7.2 投标文件应当对招标文件有关监理服务期限、投标有效期、委托人要求、招标范围等实质性内容作出响应。</w:t>
      </w:r>
    </w:p>
    <w:p>
      <w:pPr>
        <w:spacing w:line="360" w:lineRule="auto"/>
        <w:ind w:firstLine="480" w:firstLineChars="200"/>
        <w:rPr>
          <w:rFonts w:ascii="Times New Roman" w:hAnsi="Times New Roman"/>
          <w:strike/>
          <w:color w:val="auto"/>
          <w:sz w:val="24"/>
          <w:szCs w:val="24"/>
        </w:rPr>
      </w:pPr>
      <w:r>
        <w:rPr>
          <w:rFonts w:ascii="Times New Roman" w:hAnsi="Times New Roman"/>
          <w:strike/>
          <w:color w:val="auto"/>
          <w:sz w:val="24"/>
          <w:szCs w:val="24"/>
        </w:rPr>
        <w:t>3.7.3（A）（1）投标文件应用不褪色的材料书写或打印，投标函</w:t>
      </w:r>
      <w:r>
        <w:rPr>
          <w:rFonts w:hint="eastAsia" w:ascii="Times New Roman" w:hAnsi="Times New Roman"/>
          <w:strike/>
          <w:color w:val="auto"/>
          <w:sz w:val="24"/>
          <w:szCs w:val="24"/>
        </w:rPr>
        <w:t>、投标函附录</w:t>
      </w:r>
      <w:r>
        <w:rPr>
          <w:rFonts w:ascii="Times New Roman" w:hAnsi="Times New Roman"/>
          <w:strike/>
          <w:color w:val="auto"/>
          <w:sz w:val="24"/>
          <w:szCs w:val="24"/>
        </w:rPr>
        <w:t>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w:t>
      </w:r>
      <w:r>
        <w:rPr>
          <w:rFonts w:hint="eastAsia" w:ascii="Times New Roman" w:hAnsi="Times New Roman"/>
          <w:strike/>
          <w:color w:val="auto"/>
          <w:sz w:val="24"/>
          <w:szCs w:val="24"/>
          <w:lang w:eastAsia="zh-CN"/>
        </w:rPr>
        <w:t>“</w:t>
      </w:r>
      <w:r>
        <w:rPr>
          <w:rFonts w:ascii="Times New Roman" w:hAnsi="Times New Roman"/>
          <w:strike/>
          <w:color w:val="auto"/>
          <w:sz w:val="24"/>
          <w:szCs w:val="24"/>
        </w:rPr>
        <w:t>投标文件格式</w:t>
      </w:r>
      <w:r>
        <w:rPr>
          <w:rFonts w:hint="eastAsia" w:ascii="Times New Roman" w:hAnsi="Times New Roman"/>
          <w:strike/>
          <w:color w:val="auto"/>
          <w:sz w:val="24"/>
          <w:szCs w:val="24"/>
          <w:lang w:eastAsia="zh-CN"/>
        </w:rPr>
        <w:t>”</w:t>
      </w:r>
      <w:r>
        <w:rPr>
          <w:rFonts w:ascii="Times New Roman" w:hAnsi="Times New Roman"/>
          <w:strike/>
          <w:color w:val="auto"/>
          <w:sz w:val="24"/>
          <w:szCs w:val="24"/>
        </w:rPr>
        <w:t>的要求。投标文件应尽量避免涂改、行间插字或删除。如果出现上述情况，改动之处应由投标人的法定代表人或其授权的代理人签字或盖单位章。</w:t>
      </w:r>
    </w:p>
    <w:p>
      <w:pPr>
        <w:spacing w:line="360" w:lineRule="auto"/>
        <w:ind w:firstLine="480" w:firstLineChars="200"/>
        <w:rPr>
          <w:rFonts w:ascii="Times New Roman" w:hAnsi="Times New Roman"/>
          <w:strike/>
          <w:color w:val="auto"/>
          <w:sz w:val="24"/>
          <w:szCs w:val="24"/>
        </w:rPr>
      </w:pPr>
      <w:r>
        <w:rPr>
          <w:rFonts w:ascii="Times New Roman" w:hAnsi="Times New Roman"/>
          <w:strike/>
          <w:color w:val="auto"/>
          <w:sz w:val="24"/>
          <w:szCs w:val="24"/>
        </w:rPr>
        <w:t>（2）投标文件正本一份，副本份数见投标人须知前附表。正本和副本的封面</w:t>
      </w:r>
      <w:r>
        <w:rPr>
          <w:rStyle w:val="27"/>
          <w:rFonts w:ascii="Times New Roman" w:hAnsi="Times New Roman"/>
          <w:strike/>
          <w:color w:val="auto"/>
          <w:kern w:val="0"/>
          <w:sz w:val="24"/>
          <w:szCs w:val="24"/>
        </w:rPr>
        <w:t>右上角</w:t>
      </w:r>
      <w:r>
        <w:rPr>
          <w:rFonts w:ascii="Times New Roman" w:hAnsi="Times New Roman"/>
          <w:strike/>
          <w:color w:val="auto"/>
          <w:sz w:val="24"/>
          <w:szCs w:val="24"/>
        </w:rPr>
        <w:t>上应清楚地标记</w:t>
      </w:r>
      <w:r>
        <w:rPr>
          <w:rFonts w:hint="eastAsia" w:ascii="Times New Roman" w:hAnsi="Times New Roman"/>
          <w:strike/>
          <w:color w:val="auto"/>
          <w:sz w:val="24"/>
          <w:szCs w:val="24"/>
          <w:lang w:eastAsia="zh-CN"/>
        </w:rPr>
        <w:t>“</w:t>
      </w:r>
      <w:r>
        <w:rPr>
          <w:rFonts w:ascii="Times New Roman" w:hAnsi="Times New Roman"/>
          <w:strike/>
          <w:color w:val="auto"/>
          <w:sz w:val="24"/>
          <w:szCs w:val="24"/>
        </w:rPr>
        <w:t>正本</w:t>
      </w:r>
      <w:r>
        <w:rPr>
          <w:rFonts w:hint="eastAsia" w:ascii="Times New Roman" w:hAnsi="Times New Roman"/>
          <w:strike/>
          <w:color w:val="auto"/>
          <w:sz w:val="24"/>
          <w:szCs w:val="24"/>
          <w:lang w:eastAsia="zh-CN"/>
        </w:rPr>
        <w:t>”</w:t>
      </w:r>
      <w:r>
        <w:rPr>
          <w:rFonts w:ascii="Times New Roman" w:hAnsi="Times New Roman"/>
          <w:strike/>
          <w:color w:val="auto"/>
          <w:sz w:val="24"/>
          <w:szCs w:val="24"/>
        </w:rPr>
        <w:t>或</w:t>
      </w:r>
      <w:r>
        <w:rPr>
          <w:rFonts w:hint="eastAsia" w:ascii="Times New Roman" w:hAnsi="Times New Roman"/>
          <w:strike/>
          <w:color w:val="auto"/>
          <w:sz w:val="24"/>
          <w:szCs w:val="24"/>
          <w:lang w:eastAsia="zh-CN"/>
        </w:rPr>
        <w:t>“</w:t>
      </w:r>
      <w:r>
        <w:rPr>
          <w:rFonts w:ascii="Times New Roman" w:hAnsi="Times New Roman"/>
          <w:strike/>
          <w:color w:val="auto"/>
          <w:sz w:val="24"/>
          <w:szCs w:val="24"/>
        </w:rPr>
        <w:t>副本</w:t>
      </w:r>
      <w:r>
        <w:rPr>
          <w:rFonts w:hint="eastAsia" w:ascii="Times New Roman" w:hAnsi="Times New Roman"/>
          <w:strike/>
          <w:color w:val="auto"/>
          <w:sz w:val="24"/>
          <w:szCs w:val="24"/>
          <w:lang w:eastAsia="zh-CN"/>
        </w:rPr>
        <w:t>”</w:t>
      </w:r>
      <w:r>
        <w:rPr>
          <w:rFonts w:ascii="Times New Roman" w:hAnsi="Times New Roman"/>
          <w:strike/>
          <w:color w:val="auto"/>
          <w:sz w:val="24"/>
          <w:szCs w:val="24"/>
        </w:rPr>
        <w:t>的字样。投标人应根据投标人须知前附表要求提供电子版文件。当副本和正本不一致或电子版文件和纸质正本文件不一致时，以纸质正本文件为准。</w:t>
      </w:r>
    </w:p>
    <w:p>
      <w:pPr>
        <w:spacing w:line="360" w:lineRule="auto"/>
        <w:ind w:firstLine="480" w:firstLineChars="200"/>
        <w:rPr>
          <w:rFonts w:ascii="Times New Roman" w:hAnsi="Times New Roman"/>
          <w:strike/>
          <w:color w:val="auto"/>
          <w:sz w:val="24"/>
          <w:szCs w:val="24"/>
        </w:rPr>
      </w:pPr>
      <w:r>
        <w:rPr>
          <w:rFonts w:ascii="Times New Roman" w:hAnsi="Times New Roman"/>
          <w:strike/>
          <w:color w:val="auto"/>
          <w:sz w:val="24"/>
          <w:szCs w:val="24"/>
        </w:rPr>
        <w:t>（3）投标文件的正本与副本应分别装订，并编制目录，投标文件需分册装订的，具体分册装订要求见投标人须知前附表规定。</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3.7.3（B）投标文件全部采用电子文档，除投标人须知前附表另有规定外，投标文件所附证书证件均为</w:t>
      </w:r>
      <w:r>
        <w:rPr>
          <w:rFonts w:hint="eastAsia" w:ascii="Times New Roman" w:hAnsi="Times New Roman"/>
          <w:b/>
          <w:color w:val="auto"/>
          <w:sz w:val="24"/>
          <w:szCs w:val="24"/>
        </w:rPr>
        <w:t>原件清晰彩色扫描件</w:t>
      </w:r>
      <w:r>
        <w:rPr>
          <w:rFonts w:ascii="Times New Roman" w:hAnsi="Times New Roman"/>
          <w:color w:val="auto"/>
          <w:sz w:val="24"/>
          <w:szCs w:val="24"/>
        </w:rPr>
        <w:t>，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pPr>
        <w:pStyle w:val="5"/>
        <w:keepNext w:val="0"/>
        <w:keepLines w:val="0"/>
        <w:spacing w:before="0" w:after="0" w:line="360" w:lineRule="auto"/>
        <w:ind w:firstLine="643" w:firstLineChars="200"/>
        <w:rPr>
          <w:rFonts w:ascii="Times New Roman" w:hAnsi="Times New Roman"/>
          <w:color w:val="auto"/>
        </w:rPr>
      </w:pPr>
      <w:bookmarkStart w:id="256" w:name="_Toc89870575"/>
      <w:bookmarkStart w:id="257" w:name="_Toc16599"/>
      <w:r>
        <w:rPr>
          <w:rFonts w:ascii="Times New Roman" w:hAnsi="Times New Roman"/>
          <w:color w:val="auto"/>
        </w:rPr>
        <w:t>4. 投标</w:t>
      </w:r>
      <w:bookmarkEnd w:id="256"/>
      <w:bookmarkEnd w:id="257"/>
    </w:p>
    <w:p>
      <w:pPr>
        <w:pStyle w:val="6"/>
        <w:keepNext w:val="0"/>
        <w:keepLines w:val="0"/>
        <w:spacing w:before="0" w:after="0" w:line="360" w:lineRule="auto"/>
        <w:ind w:firstLine="480" w:firstLineChars="200"/>
        <w:rPr>
          <w:rFonts w:ascii="Times New Roman" w:hAnsi="Times New Roman"/>
          <w:color w:val="auto"/>
          <w:sz w:val="24"/>
          <w:szCs w:val="24"/>
        </w:rPr>
      </w:pPr>
      <w:bookmarkStart w:id="258" w:name="_Toc89870576"/>
      <w:bookmarkStart w:id="259" w:name="_Toc10880"/>
      <w:r>
        <w:rPr>
          <w:rFonts w:ascii="Times New Roman" w:hAnsi="Times New Roman"/>
          <w:color w:val="auto"/>
          <w:sz w:val="24"/>
          <w:szCs w:val="24"/>
        </w:rPr>
        <w:t>4.1 投标文件的密封和标记</w:t>
      </w:r>
      <w:bookmarkEnd w:id="258"/>
      <w:bookmarkEnd w:id="259"/>
    </w:p>
    <w:p>
      <w:pPr>
        <w:spacing w:line="360" w:lineRule="auto"/>
        <w:ind w:firstLine="480" w:firstLineChars="200"/>
        <w:rPr>
          <w:rFonts w:ascii="Times New Roman" w:hAnsi="Times New Roman"/>
          <w:strike/>
          <w:color w:val="auto"/>
          <w:sz w:val="24"/>
          <w:szCs w:val="24"/>
        </w:rPr>
      </w:pPr>
      <w:r>
        <w:rPr>
          <w:rFonts w:ascii="Times New Roman" w:hAnsi="Times New Roman"/>
          <w:strike/>
          <w:color w:val="auto"/>
          <w:sz w:val="24"/>
          <w:szCs w:val="24"/>
        </w:rPr>
        <w:t>4.1.1 （A）投标文件应密封包装，并在封套的封口处加盖投标人单位章或由投标人的法定代表人或其授权的代理人签字。</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4.1.1 （B）投标人应当按照招标文件和电子招标投标交易平台的要求加密投标文件，具体要求见投标人须知前附表。</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4.1.2 投标文件封套上应写明的内容见投标人须知前附表。</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4.1.3 未按本章第4.1.1项要求密封的投标文件，招标人将予以拒收。</w:t>
      </w:r>
    </w:p>
    <w:p>
      <w:pPr>
        <w:pStyle w:val="6"/>
        <w:keepNext w:val="0"/>
        <w:keepLines w:val="0"/>
        <w:spacing w:before="0" w:after="0" w:line="360" w:lineRule="auto"/>
        <w:ind w:firstLine="480" w:firstLineChars="200"/>
        <w:rPr>
          <w:rFonts w:ascii="Times New Roman" w:hAnsi="Times New Roman"/>
          <w:color w:val="auto"/>
          <w:sz w:val="24"/>
          <w:szCs w:val="24"/>
        </w:rPr>
      </w:pPr>
      <w:bookmarkStart w:id="260" w:name="_Toc89870577"/>
      <w:bookmarkStart w:id="261" w:name="_Toc13276"/>
      <w:r>
        <w:rPr>
          <w:rFonts w:ascii="Times New Roman" w:hAnsi="Times New Roman"/>
          <w:color w:val="auto"/>
          <w:sz w:val="24"/>
          <w:szCs w:val="24"/>
        </w:rPr>
        <w:t>4.2 投标文件的递交</w:t>
      </w:r>
      <w:bookmarkEnd w:id="260"/>
      <w:bookmarkEnd w:id="261"/>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4.2.1 投标人应在投标人须知前附表规定的投标截止时间前递交投标文件。</w:t>
      </w:r>
    </w:p>
    <w:p>
      <w:pPr>
        <w:spacing w:line="360" w:lineRule="auto"/>
        <w:ind w:firstLine="480" w:firstLineChars="200"/>
        <w:rPr>
          <w:rFonts w:ascii="Times New Roman" w:hAnsi="Times New Roman"/>
          <w:strike/>
          <w:color w:val="auto"/>
          <w:sz w:val="24"/>
          <w:szCs w:val="24"/>
        </w:rPr>
      </w:pPr>
      <w:r>
        <w:rPr>
          <w:rFonts w:ascii="Times New Roman" w:hAnsi="Times New Roman"/>
          <w:strike/>
          <w:color w:val="auto"/>
          <w:sz w:val="24"/>
          <w:szCs w:val="24"/>
        </w:rPr>
        <w:t>4.2.2 （A）投标人递交投标文件的地点：见投标人须知前附表。</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4.2.2 （B）</w:t>
      </w:r>
      <w:r>
        <w:rPr>
          <w:rFonts w:ascii="Times New Roman" w:hAnsi="Times New Roman"/>
          <w:bCs/>
          <w:iCs/>
          <w:color w:val="auto"/>
          <w:sz w:val="24"/>
          <w:szCs w:val="24"/>
        </w:rPr>
        <w:t>投标人通过下载招标文件的电子招标投标交易平台递交电子投标文件。</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4.2.3 除投标人须知前附表另有规定外，投标人所递交的投标文件不予退还。</w:t>
      </w:r>
    </w:p>
    <w:p>
      <w:pPr>
        <w:spacing w:line="360" w:lineRule="auto"/>
        <w:ind w:firstLine="480" w:firstLineChars="200"/>
        <w:rPr>
          <w:rFonts w:ascii="Times New Roman" w:hAnsi="Times New Roman"/>
          <w:strike/>
          <w:color w:val="auto"/>
          <w:sz w:val="24"/>
          <w:szCs w:val="24"/>
        </w:rPr>
      </w:pPr>
      <w:r>
        <w:rPr>
          <w:rFonts w:ascii="Times New Roman" w:hAnsi="Times New Roman"/>
          <w:strike/>
          <w:color w:val="auto"/>
          <w:sz w:val="24"/>
          <w:szCs w:val="24"/>
        </w:rPr>
        <w:t>4.2.4 （A）招标人收到投标文件后，向投标人出具签收凭证。</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4.2.4 （B）投标人完成电子投标文件上传后，</w:t>
      </w:r>
      <w:r>
        <w:rPr>
          <w:rFonts w:ascii="Times New Roman" w:hAnsi="Times New Roman"/>
          <w:bCs/>
          <w:iCs/>
          <w:color w:val="auto"/>
          <w:sz w:val="24"/>
          <w:szCs w:val="24"/>
        </w:rPr>
        <w:t>电子招标投标交易平台</w:t>
      </w:r>
      <w:r>
        <w:rPr>
          <w:rFonts w:ascii="Times New Roman" w:hAnsi="Times New Roman"/>
          <w:color w:val="auto"/>
          <w:sz w:val="24"/>
          <w:szCs w:val="24"/>
        </w:rPr>
        <w:t>即时向投标人发出递交回执通知。递交时间以递交回执通知载明的传输完成时间为准。</w:t>
      </w:r>
    </w:p>
    <w:p>
      <w:pPr>
        <w:spacing w:line="360" w:lineRule="auto"/>
        <w:ind w:firstLine="480" w:firstLineChars="200"/>
        <w:rPr>
          <w:rFonts w:ascii="Times New Roman" w:hAnsi="Times New Roman"/>
          <w:strike/>
          <w:color w:val="auto"/>
          <w:sz w:val="24"/>
          <w:szCs w:val="24"/>
        </w:rPr>
      </w:pPr>
      <w:r>
        <w:rPr>
          <w:rFonts w:ascii="Times New Roman" w:hAnsi="Times New Roman"/>
          <w:strike/>
          <w:color w:val="auto"/>
          <w:sz w:val="24"/>
          <w:szCs w:val="24"/>
        </w:rPr>
        <w:t>4.2.5 （A）逾期送达的投标文件，招标人将予以拒收。</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4.2.5 （B）逾期送达的投标文件，电子招标投标交易平台将予以拒收。</w:t>
      </w:r>
    </w:p>
    <w:p>
      <w:pPr>
        <w:pStyle w:val="6"/>
        <w:keepNext w:val="0"/>
        <w:keepLines w:val="0"/>
        <w:spacing w:before="0" w:after="0" w:line="360" w:lineRule="auto"/>
        <w:ind w:firstLine="480" w:firstLineChars="200"/>
        <w:rPr>
          <w:rFonts w:ascii="Times New Roman" w:hAnsi="Times New Roman"/>
          <w:color w:val="auto"/>
          <w:sz w:val="24"/>
          <w:szCs w:val="24"/>
        </w:rPr>
      </w:pPr>
      <w:bookmarkStart w:id="262" w:name="_Toc16752"/>
      <w:bookmarkStart w:id="263" w:name="_Toc89870578"/>
      <w:r>
        <w:rPr>
          <w:rFonts w:ascii="Times New Roman" w:hAnsi="Times New Roman"/>
          <w:color w:val="auto"/>
          <w:sz w:val="24"/>
          <w:szCs w:val="24"/>
        </w:rPr>
        <w:t>4.3 投标文件的修改与撤回</w:t>
      </w:r>
      <w:bookmarkEnd w:id="262"/>
      <w:bookmarkEnd w:id="263"/>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4.3.1 在本章第4.2.1项规定的投标截止时间前，投标人可以修改或撤回已递交的投标文件，但应以书面形式通知招标人。</w:t>
      </w:r>
    </w:p>
    <w:p>
      <w:pPr>
        <w:spacing w:line="360" w:lineRule="auto"/>
        <w:ind w:firstLine="480" w:firstLineChars="200"/>
        <w:rPr>
          <w:rFonts w:ascii="Times New Roman" w:hAnsi="Times New Roman"/>
          <w:strike/>
          <w:color w:val="auto"/>
          <w:sz w:val="24"/>
          <w:szCs w:val="24"/>
        </w:rPr>
      </w:pPr>
      <w:r>
        <w:rPr>
          <w:rFonts w:ascii="Times New Roman" w:hAnsi="Times New Roman"/>
          <w:strike/>
          <w:color w:val="auto"/>
          <w:sz w:val="24"/>
          <w:szCs w:val="24"/>
        </w:rPr>
        <w:t>4.3.2 （A）投标人修改或撤回已递交投标文件的书面通知应按照本章第3.7.3（A）项的要求签字或盖章。招标人收到书面通知后，向投标人出具签收凭证。</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4.3.2 （B）投标人修改或撤回已递交投标文件的通知，应按照本章第3.7.3（B）项的要求加盖电子印章。</w:t>
      </w:r>
      <w:r>
        <w:rPr>
          <w:rFonts w:ascii="Times New Roman" w:hAnsi="Times New Roman"/>
          <w:bCs/>
          <w:iCs/>
          <w:color w:val="auto"/>
          <w:sz w:val="24"/>
          <w:szCs w:val="24"/>
        </w:rPr>
        <w:t>电子招标投标交易平台收到通知后，</w:t>
      </w:r>
      <w:r>
        <w:rPr>
          <w:rFonts w:ascii="Times New Roman" w:hAnsi="Times New Roman"/>
          <w:color w:val="auto"/>
          <w:sz w:val="24"/>
          <w:szCs w:val="24"/>
        </w:rPr>
        <w:t>即时向投标人发出确认回执通知。</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4.3.3 投标人撤回投标文件的，招标人自收到投标人书面撤回通知之日起5日内退还已收取的投标保证金。</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4.3.</w:t>
      </w:r>
      <w:bookmarkStart w:id="264" w:name="_Toc247527578"/>
      <w:bookmarkStart w:id="265" w:name="_Toc152045553"/>
      <w:bookmarkStart w:id="266" w:name="_Toc19203"/>
      <w:bookmarkStart w:id="267" w:name="_Toc152042329"/>
      <w:bookmarkStart w:id="268" w:name="_Toc369531541"/>
      <w:bookmarkStart w:id="269" w:name="_Toc352691497"/>
      <w:bookmarkStart w:id="270" w:name="_Toc144974521"/>
      <w:bookmarkStart w:id="271" w:name="_Toc247513977"/>
      <w:bookmarkStart w:id="272" w:name="_Toc384308235"/>
      <w:bookmarkStart w:id="273" w:name="_Toc361508610"/>
      <w:bookmarkStart w:id="274" w:name="_Toc300834974"/>
      <w:r>
        <w:rPr>
          <w:rFonts w:ascii="Times New Roman" w:hAnsi="Times New Roman"/>
          <w:color w:val="auto"/>
          <w:sz w:val="24"/>
          <w:szCs w:val="24"/>
        </w:rPr>
        <w:t>4 修改的内容为投标</w:t>
      </w:r>
      <w:bookmarkEnd w:id="264"/>
      <w:bookmarkEnd w:id="265"/>
      <w:bookmarkEnd w:id="266"/>
      <w:bookmarkEnd w:id="267"/>
      <w:bookmarkEnd w:id="268"/>
      <w:bookmarkEnd w:id="269"/>
      <w:bookmarkEnd w:id="270"/>
      <w:bookmarkEnd w:id="271"/>
      <w:bookmarkEnd w:id="272"/>
      <w:bookmarkEnd w:id="273"/>
      <w:bookmarkEnd w:id="274"/>
      <w:r>
        <w:rPr>
          <w:rFonts w:ascii="Times New Roman" w:hAnsi="Times New Roman"/>
          <w:color w:val="auto"/>
          <w:sz w:val="24"/>
          <w:szCs w:val="24"/>
        </w:rPr>
        <w:t>文件的组成部分。修改的投标文件应按照本章第3条、第4条的规定进行编制、密封、标记和递交，并标明</w:t>
      </w:r>
      <w:r>
        <w:rPr>
          <w:rFonts w:hint="eastAsia" w:ascii="Times New Roman" w:hAnsi="Times New Roman"/>
          <w:color w:val="auto"/>
          <w:sz w:val="24"/>
          <w:szCs w:val="24"/>
        </w:rPr>
        <w:t>“修</w:t>
      </w:r>
      <w:r>
        <w:rPr>
          <w:rFonts w:ascii="Times New Roman" w:hAnsi="Times New Roman"/>
          <w:color w:val="auto"/>
          <w:sz w:val="24"/>
          <w:szCs w:val="24"/>
        </w:rPr>
        <w:t>改</w:t>
      </w:r>
      <w:r>
        <w:rPr>
          <w:rFonts w:hint="eastAsia" w:ascii="Times New Roman" w:hAnsi="Times New Roman"/>
          <w:color w:val="auto"/>
          <w:sz w:val="24"/>
          <w:szCs w:val="24"/>
        </w:rPr>
        <w:t>”</w:t>
      </w:r>
      <w:r>
        <w:rPr>
          <w:rFonts w:ascii="Times New Roman" w:hAnsi="Times New Roman"/>
          <w:color w:val="auto"/>
          <w:sz w:val="24"/>
          <w:szCs w:val="24"/>
        </w:rPr>
        <w:t>字样。</w:t>
      </w:r>
    </w:p>
    <w:p>
      <w:pPr>
        <w:pStyle w:val="5"/>
        <w:keepNext w:val="0"/>
        <w:keepLines w:val="0"/>
        <w:spacing w:before="0" w:after="0" w:line="360" w:lineRule="auto"/>
        <w:ind w:firstLine="643" w:firstLineChars="200"/>
        <w:rPr>
          <w:rFonts w:ascii="Times New Roman" w:hAnsi="Times New Roman"/>
          <w:color w:val="auto"/>
        </w:rPr>
      </w:pPr>
      <w:bookmarkStart w:id="275" w:name="_Toc89870579"/>
      <w:bookmarkStart w:id="276" w:name="_Toc26023"/>
      <w:r>
        <w:rPr>
          <w:rFonts w:ascii="Times New Roman" w:hAnsi="Times New Roman"/>
          <w:color w:val="auto"/>
        </w:rPr>
        <w:t>5. 开标</w:t>
      </w:r>
      <w:bookmarkEnd w:id="275"/>
      <w:bookmarkEnd w:id="276"/>
    </w:p>
    <w:p>
      <w:pPr>
        <w:pStyle w:val="6"/>
        <w:keepNext w:val="0"/>
        <w:keepLines w:val="0"/>
        <w:spacing w:before="0" w:after="0" w:line="490" w:lineRule="exact"/>
        <w:ind w:firstLine="480" w:firstLineChars="200"/>
        <w:rPr>
          <w:rFonts w:ascii="Times New Roman" w:hAnsi="Times New Roman"/>
          <w:strike/>
          <w:color w:val="auto"/>
          <w:sz w:val="24"/>
          <w:szCs w:val="24"/>
        </w:rPr>
      </w:pPr>
      <w:bookmarkStart w:id="277" w:name="_Toc29787"/>
      <w:bookmarkStart w:id="278" w:name="_Toc89870580"/>
      <w:r>
        <w:rPr>
          <w:rFonts w:ascii="Times New Roman" w:hAnsi="Times New Roman"/>
          <w:strike/>
          <w:color w:val="auto"/>
          <w:sz w:val="24"/>
          <w:szCs w:val="24"/>
        </w:rPr>
        <w:t>5.1 开标时间和地点（A）</w:t>
      </w:r>
      <w:bookmarkEnd w:id="277"/>
      <w:bookmarkEnd w:id="278"/>
    </w:p>
    <w:p>
      <w:pPr>
        <w:spacing w:line="490" w:lineRule="exact"/>
        <w:ind w:firstLine="480" w:firstLineChars="200"/>
        <w:rPr>
          <w:rFonts w:ascii="Times New Roman" w:hAnsi="Times New Roman"/>
          <w:strike/>
          <w:color w:val="auto"/>
          <w:sz w:val="24"/>
          <w:szCs w:val="24"/>
        </w:rPr>
      </w:pPr>
      <w:r>
        <w:rPr>
          <w:rFonts w:ascii="Times New Roman" w:hAnsi="Times New Roman"/>
          <w:strike/>
          <w:color w:val="auto"/>
          <w:sz w:val="24"/>
          <w:szCs w:val="24"/>
        </w:rPr>
        <w:t>招标人在本章第4.2.1项规定的投标截止时间（开标时间）和投标人须知前附表规定的地点公开开标，并邀请所有投标人的法定代表人或其委托代理人准时参加。</w:t>
      </w:r>
    </w:p>
    <w:p>
      <w:pPr>
        <w:pStyle w:val="6"/>
        <w:keepNext w:val="0"/>
        <w:keepLines w:val="0"/>
        <w:spacing w:before="0" w:after="0" w:line="490" w:lineRule="exact"/>
        <w:ind w:firstLine="480" w:firstLineChars="200"/>
        <w:rPr>
          <w:rFonts w:ascii="Times New Roman" w:hAnsi="Times New Roman"/>
          <w:color w:val="auto"/>
          <w:sz w:val="24"/>
          <w:szCs w:val="24"/>
        </w:rPr>
      </w:pPr>
      <w:bookmarkStart w:id="279" w:name="_Toc28583"/>
      <w:bookmarkStart w:id="280" w:name="_Toc89870581"/>
      <w:r>
        <w:rPr>
          <w:rFonts w:ascii="Times New Roman" w:hAnsi="Times New Roman"/>
          <w:color w:val="auto"/>
          <w:sz w:val="24"/>
          <w:szCs w:val="24"/>
        </w:rPr>
        <w:t>5.1 开标时间和地点（B）</w:t>
      </w:r>
      <w:bookmarkEnd w:id="279"/>
      <w:bookmarkEnd w:id="280"/>
    </w:p>
    <w:p>
      <w:pPr>
        <w:pStyle w:val="14"/>
        <w:spacing w:line="490" w:lineRule="exact"/>
        <w:rPr>
          <w:color w:val="auto"/>
        </w:rPr>
      </w:pPr>
      <w:r>
        <w:rPr>
          <w:rFonts w:ascii="Times New Roman" w:hAnsi="Times New Roman"/>
          <w:color w:val="auto"/>
          <w:sz w:val="24"/>
          <w:szCs w:val="24"/>
        </w:rPr>
        <w:t>招标人在本章第4.2.1项规定的投标截止时间（开标时间）</w:t>
      </w:r>
      <w:r>
        <w:rPr>
          <w:rFonts w:hint="eastAsia" w:ascii="Times New Roman" w:hAnsi="Times New Roman"/>
          <w:color w:val="auto"/>
          <w:sz w:val="24"/>
          <w:szCs w:val="24"/>
        </w:rPr>
        <w:t>，</w:t>
      </w:r>
      <w:r>
        <w:rPr>
          <w:rFonts w:ascii="Times New Roman" w:hAnsi="Times New Roman"/>
          <w:color w:val="auto"/>
          <w:sz w:val="24"/>
          <w:szCs w:val="24"/>
        </w:rPr>
        <w:t>通过电子招标投标交易平台公开开标，所有投标人的法定代表人或其委托代理人应当准时参加。如未按规定时间参加的，视为默认其开标结果。</w:t>
      </w:r>
    </w:p>
    <w:p>
      <w:pPr>
        <w:pStyle w:val="6"/>
        <w:keepNext w:val="0"/>
        <w:keepLines w:val="0"/>
        <w:spacing w:before="0" w:after="0" w:line="490" w:lineRule="exact"/>
        <w:ind w:firstLine="480" w:firstLineChars="200"/>
        <w:rPr>
          <w:rFonts w:ascii="Times New Roman" w:hAnsi="Times New Roman"/>
          <w:color w:val="auto"/>
          <w:sz w:val="24"/>
          <w:szCs w:val="24"/>
        </w:rPr>
      </w:pPr>
      <w:bookmarkStart w:id="281" w:name="_Toc31545"/>
      <w:bookmarkStart w:id="282" w:name="_Toc89870582"/>
      <w:r>
        <w:rPr>
          <w:rFonts w:ascii="Times New Roman" w:hAnsi="Times New Roman"/>
          <w:color w:val="auto"/>
          <w:sz w:val="24"/>
          <w:szCs w:val="24"/>
        </w:rPr>
        <w:t>5.2 开标程序</w:t>
      </w:r>
      <w:bookmarkEnd w:id="281"/>
      <w:bookmarkEnd w:id="282"/>
    </w:p>
    <w:p>
      <w:pPr>
        <w:spacing w:line="490" w:lineRule="exact"/>
        <w:ind w:firstLine="480" w:firstLineChars="200"/>
        <w:rPr>
          <w:rFonts w:ascii="Times New Roman" w:hAnsi="Times New Roman"/>
          <w:color w:val="auto"/>
          <w:sz w:val="24"/>
          <w:szCs w:val="24"/>
        </w:rPr>
      </w:pPr>
      <w:r>
        <w:rPr>
          <w:rFonts w:ascii="Times New Roman" w:hAnsi="Times New Roman"/>
          <w:color w:val="auto"/>
          <w:sz w:val="24"/>
          <w:szCs w:val="24"/>
        </w:rPr>
        <w:t>主持人按下列程序进行开标：</w:t>
      </w:r>
    </w:p>
    <w:p>
      <w:pPr>
        <w:spacing w:line="490" w:lineRule="exact"/>
        <w:ind w:firstLine="480" w:firstLineChars="200"/>
        <w:rPr>
          <w:rFonts w:ascii="Times New Roman" w:hAnsi="Times New Roman"/>
          <w:color w:val="auto"/>
          <w:sz w:val="24"/>
          <w:szCs w:val="24"/>
        </w:rPr>
      </w:pPr>
      <w:r>
        <w:rPr>
          <w:rFonts w:ascii="Times New Roman" w:hAnsi="Times New Roman"/>
          <w:color w:val="auto"/>
          <w:sz w:val="24"/>
          <w:szCs w:val="24"/>
        </w:rPr>
        <w:t>（1）宣布开标纪律；</w:t>
      </w:r>
    </w:p>
    <w:p>
      <w:pPr>
        <w:spacing w:line="490" w:lineRule="exact"/>
        <w:ind w:firstLine="480" w:firstLineChars="200"/>
        <w:rPr>
          <w:rFonts w:ascii="Times New Roman" w:hAnsi="Times New Roman"/>
          <w:color w:val="auto"/>
          <w:sz w:val="24"/>
          <w:szCs w:val="24"/>
        </w:rPr>
      </w:pPr>
      <w:r>
        <w:rPr>
          <w:rFonts w:ascii="Times New Roman" w:hAnsi="Times New Roman"/>
          <w:color w:val="auto"/>
          <w:sz w:val="24"/>
          <w:szCs w:val="24"/>
        </w:rPr>
        <w:t>（2）公布在投标截止时间前递交投标文件的投标人名称；</w:t>
      </w:r>
    </w:p>
    <w:p>
      <w:pPr>
        <w:spacing w:line="490" w:lineRule="exact"/>
        <w:ind w:firstLine="480" w:firstLineChars="200"/>
        <w:rPr>
          <w:rFonts w:ascii="Times New Roman" w:hAnsi="Times New Roman"/>
          <w:color w:val="auto"/>
          <w:sz w:val="24"/>
          <w:szCs w:val="24"/>
        </w:rPr>
      </w:pPr>
      <w:r>
        <w:rPr>
          <w:rFonts w:ascii="Times New Roman" w:hAnsi="Times New Roman"/>
          <w:color w:val="auto"/>
          <w:sz w:val="24"/>
          <w:szCs w:val="24"/>
        </w:rPr>
        <w:t>（3）宣布</w:t>
      </w:r>
      <w:bookmarkStart w:id="283" w:name="_Toc384308236"/>
      <w:bookmarkStart w:id="284" w:name="_Toc152045554"/>
      <w:bookmarkStart w:id="285" w:name="_Toc300834975"/>
      <w:bookmarkStart w:id="286" w:name="_Toc22119"/>
      <w:bookmarkStart w:id="287" w:name="_Toc144974522"/>
      <w:bookmarkStart w:id="288" w:name="_Toc369531542"/>
      <w:bookmarkStart w:id="289" w:name="_Toc352691498"/>
      <w:bookmarkStart w:id="290" w:name="_Toc247527579"/>
      <w:bookmarkStart w:id="291" w:name="_Toc361508611"/>
      <w:bookmarkStart w:id="292" w:name="_Toc152042330"/>
      <w:bookmarkStart w:id="293" w:name="_Toc247513978"/>
      <w:r>
        <w:rPr>
          <w:rFonts w:ascii="Times New Roman" w:hAnsi="Times New Roman"/>
          <w:color w:val="auto"/>
          <w:sz w:val="24"/>
          <w:szCs w:val="24"/>
        </w:rPr>
        <w:t>开标人、唱标人、记录人</w:t>
      </w:r>
      <w:bookmarkEnd w:id="283"/>
      <w:bookmarkEnd w:id="284"/>
      <w:bookmarkEnd w:id="285"/>
      <w:bookmarkEnd w:id="286"/>
      <w:bookmarkEnd w:id="287"/>
      <w:bookmarkEnd w:id="288"/>
      <w:bookmarkEnd w:id="289"/>
      <w:bookmarkEnd w:id="290"/>
      <w:bookmarkEnd w:id="291"/>
      <w:bookmarkEnd w:id="292"/>
      <w:bookmarkEnd w:id="293"/>
      <w:r>
        <w:rPr>
          <w:rFonts w:ascii="Times New Roman" w:hAnsi="Times New Roman"/>
          <w:color w:val="auto"/>
          <w:sz w:val="24"/>
          <w:szCs w:val="24"/>
        </w:rPr>
        <w:t>、监标人等有关人员姓名；</w:t>
      </w:r>
    </w:p>
    <w:p>
      <w:pPr>
        <w:spacing w:line="490" w:lineRule="exact"/>
        <w:ind w:firstLine="480" w:firstLineChars="200"/>
        <w:rPr>
          <w:rFonts w:ascii="Times New Roman" w:hAnsi="Times New Roman"/>
          <w:strike/>
          <w:color w:val="auto"/>
          <w:sz w:val="24"/>
          <w:szCs w:val="24"/>
        </w:rPr>
      </w:pPr>
      <w:r>
        <w:rPr>
          <w:rFonts w:ascii="Times New Roman" w:hAnsi="Times New Roman"/>
          <w:strike/>
          <w:color w:val="auto"/>
          <w:sz w:val="24"/>
          <w:szCs w:val="24"/>
        </w:rPr>
        <w:t>（4）（A）检查投标文件的密封情况，按照投标人须知前附表规定的开标顺序当众开标，公布招标项目名称、投标人名称、投标保证金的递交情况、投标报价、监理服务期限及其他内容，并记录在案；</w:t>
      </w:r>
    </w:p>
    <w:p>
      <w:pPr>
        <w:spacing w:line="490" w:lineRule="exact"/>
        <w:ind w:firstLine="480" w:firstLineChars="200"/>
        <w:rPr>
          <w:rFonts w:ascii="Times New Roman" w:hAnsi="Times New Roman"/>
          <w:color w:val="auto"/>
          <w:sz w:val="24"/>
          <w:szCs w:val="24"/>
        </w:rPr>
      </w:pPr>
      <w:r>
        <w:rPr>
          <w:rFonts w:ascii="Times New Roman" w:hAnsi="Times New Roman"/>
          <w:color w:val="auto"/>
          <w:sz w:val="24"/>
          <w:szCs w:val="24"/>
        </w:rPr>
        <w:t>（4）（B）投标人通过电子招标投标交易平台对已递交的电子投标文件进行解密，公布招标项目名称、投标人名称、投标保证金的递交情况、投标报价、监理服务期限及其他内容，并记录在案；</w:t>
      </w:r>
    </w:p>
    <w:p>
      <w:pPr>
        <w:spacing w:line="360" w:lineRule="auto"/>
        <w:ind w:firstLine="480" w:firstLineChars="200"/>
        <w:rPr>
          <w:rFonts w:ascii="Times New Roman" w:hAnsi="Times New Roman"/>
          <w:strike/>
          <w:color w:val="auto"/>
          <w:sz w:val="24"/>
          <w:szCs w:val="24"/>
        </w:rPr>
      </w:pPr>
      <w:r>
        <w:rPr>
          <w:rFonts w:ascii="Times New Roman" w:hAnsi="Times New Roman"/>
          <w:strike/>
          <w:color w:val="auto"/>
          <w:sz w:val="24"/>
          <w:szCs w:val="24"/>
        </w:rPr>
        <w:t>（5）（A）投标人代表、招标人代表、监标人、记录人等有关人员在开标记录上签字确认；</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（5）（B）投标人代表、招标人代表、监标人、记录人等有关人员使用本人的电子印章在开标记录上签字确认；</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（6）开标结束。</w:t>
      </w:r>
    </w:p>
    <w:p>
      <w:pPr>
        <w:pStyle w:val="6"/>
        <w:keepNext w:val="0"/>
        <w:keepLines w:val="0"/>
        <w:spacing w:before="0" w:after="0" w:line="360" w:lineRule="auto"/>
        <w:ind w:firstLine="480" w:firstLineChars="200"/>
        <w:rPr>
          <w:rFonts w:ascii="Times New Roman" w:hAnsi="Times New Roman"/>
          <w:color w:val="auto"/>
          <w:sz w:val="24"/>
          <w:szCs w:val="24"/>
        </w:rPr>
      </w:pPr>
      <w:bookmarkStart w:id="294" w:name="_Toc17685"/>
      <w:bookmarkStart w:id="295" w:name="_Toc89870583"/>
      <w:r>
        <w:rPr>
          <w:rFonts w:ascii="Times New Roman" w:hAnsi="Times New Roman"/>
          <w:color w:val="auto"/>
          <w:sz w:val="24"/>
          <w:szCs w:val="24"/>
        </w:rPr>
        <w:t>5.3 开标异议</w:t>
      </w:r>
      <w:bookmarkEnd w:id="294"/>
      <w:bookmarkEnd w:id="295"/>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投标人对开标有异议的，应当在开标现场提出，招标人当场作出答复，并制作记录。</w:t>
      </w:r>
    </w:p>
    <w:p>
      <w:pPr>
        <w:pStyle w:val="5"/>
        <w:keepNext w:val="0"/>
        <w:keepLines w:val="0"/>
        <w:spacing w:before="0" w:after="0" w:line="360" w:lineRule="auto"/>
        <w:ind w:firstLine="643" w:firstLineChars="200"/>
        <w:rPr>
          <w:rFonts w:ascii="Times New Roman" w:hAnsi="Times New Roman"/>
          <w:color w:val="auto"/>
        </w:rPr>
      </w:pPr>
      <w:bookmarkStart w:id="296" w:name="_Toc89870584"/>
      <w:bookmarkStart w:id="297" w:name="_Toc13048"/>
      <w:r>
        <w:rPr>
          <w:rFonts w:ascii="Times New Roman" w:hAnsi="Times New Roman"/>
          <w:color w:val="auto"/>
        </w:rPr>
        <w:t>6. 评标</w:t>
      </w:r>
      <w:bookmarkEnd w:id="296"/>
      <w:bookmarkEnd w:id="297"/>
    </w:p>
    <w:p>
      <w:pPr>
        <w:pStyle w:val="6"/>
        <w:keepNext w:val="0"/>
        <w:keepLines w:val="0"/>
        <w:spacing w:before="0" w:after="0" w:line="360" w:lineRule="auto"/>
        <w:ind w:firstLine="480" w:firstLineChars="200"/>
        <w:rPr>
          <w:rFonts w:ascii="Times New Roman" w:hAnsi="Times New Roman"/>
          <w:color w:val="auto"/>
          <w:sz w:val="24"/>
          <w:szCs w:val="24"/>
        </w:rPr>
      </w:pPr>
      <w:bookmarkStart w:id="298" w:name="_Toc89870585"/>
      <w:bookmarkStart w:id="299" w:name="_Toc4950"/>
      <w:r>
        <w:rPr>
          <w:rFonts w:ascii="Times New Roman" w:hAnsi="Times New Roman"/>
          <w:color w:val="auto"/>
          <w:sz w:val="24"/>
          <w:szCs w:val="24"/>
        </w:rPr>
        <w:t>6.1 评标委员会</w:t>
      </w:r>
      <w:bookmarkEnd w:id="298"/>
      <w:bookmarkEnd w:id="299"/>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6.1.2 评标委员会成员有下列情形之一的，应当回避：</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（1）投标人或投标人主要负责人的近亲属；</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（2）项目主管部门或者行政监督部门的人员；</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（3）与投标人有经济利益关系，可能影响对投标公正评审的；</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（4）曾因在招标、评</w:t>
      </w:r>
      <w:bookmarkStart w:id="300" w:name="_Toc247527580"/>
      <w:bookmarkStart w:id="301" w:name="_Toc384308237"/>
      <w:bookmarkStart w:id="302" w:name="_Toc6230"/>
      <w:bookmarkStart w:id="303" w:name="_Toc369531543"/>
      <w:bookmarkStart w:id="304" w:name="_Toc152042331"/>
      <w:bookmarkStart w:id="305" w:name="_Toc144974523"/>
      <w:bookmarkStart w:id="306" w:name="_Toc247513979"/>
      <w:bookmarkStart w:id="307" w:name="_Toc361508612"/>
      <w:bookmarkStart w:id="308" w:name="_Toc152045555"/>
      <w:bookmarkStart w:id="309" w:name="_Toc300834976"/>
      <w:bookmarkStart w:id="310" w:name="_Toc352691499"/>
      <w:r>
        <w:rPr>
          <w:rFonts w:ascii="Times New Roman" w:hAnsi="Times New Roman"/>
          <w:color w:val="auto"/>
          <w:sz w:val="24"/>
          <w:szCs w:val="24"/>
        </w:rPr>
        <w:t>标以及其他</w:t>
      </w:r>
      <w:bookmarkEnd w:id="300"/>
      <w:bookmarkEnd w:id="301"/>
      <w:bookmarkEnd w:id="302"/>
      <w:bookmarkEnd w:id="303"/>
      <w:bookmarkEnd w:id="304"/>
      <w:bookmarkEnd w:id="305"/>
      <w:bookmarkEnd w:id="306"/>
      <w:bookmarkEnd w:id="307"/>
      <w:bookmarkEnd w:id="308"/>
      <w:bookmarkEnd w:id="309"/>
      <w:bookmarkEnd w:id="310"/>
      <w:r>
        <w:rPr>
          <w:rFonts w:ascii="Times New Roman" w:hAnsi="Times New Roman"/>
          <w:color w:val="auto"/>
          <w:sz w:val="24"/>
          <w:szCs w:val="24"/>
        </w:rPr>
        <w:t>与</w:t>
      </w:r>
      <w:bookmarkStart w:id="311" w:name="_Toc369531544"/>
      <w:bookmarkStart w:id="312" w:name="_Toc352691500"/>
      <w:bookmarkStart w:id="313" w:name="_Toc17703"/>
      <w:bookmarkStart w:id="314" w:name="_Toc300834977"/>
      <w:bookmarkStart w:id="315" w:name="_Toc152045556"/>
      <w:bookmarkStart w:id="316" w:name="_Toc361508613"/>
      <w:bookmarkStart w:id="317" w:name="_Toc152042332"/>
      <w:bookmarkStart w:id="318" w:name="_Toc144974524"/>
      <w:bookmarkStart w:id="319" w:name="_Toc247513980"/>
      <w:bookmarkStart w:id="320" w:name="_Toc247527581"/>
      <w:bookmarkStart w:id="321" w:name="_Toc384308238"/>
      <w:r>
        <w:rPr>
          <w:rFonts w:ascii="Times New Roman" w:hAnsi="Times New Roman"/>
          <w:color w:val="auto"/>
          <w:sz w:val="24"/>
          <w:szCs w:val="24"/>
        </w:rPr>
        <w:t>招标投标有关活动中从事违法行</w:t>
      </w:r>
      <w:bookmarkEnd w:id="311"/>
      <w:bookmarkEnd w:id="312"/>
      <w:bookmarkEnd w:id="313"/>
      <w:bookmarkEnd w:id="314"/>
      <w:bookmarkEnd w:id="315"/>
      <w:bookmarkEnd w:id="316"/>
      <w:bookmarkEnd w:id="317"/>
      <w:bookmarkEnd w:id="318"/>
      <w:bookmarkEnd w:id="319"/>
      <w:bookmarkEnd w:id="320"/>
      <w:bookmarkEnd w:id="321"/>
      <w:r>
        <w:rPr>
          <w:rFonts w:ascii="Times New Roman" w:hAnsi="Times New Roman"/>
          <w:color w:val="auto"/>
          <w:sz w:val="24"/>
          <w:szCs w:val="24"/>
        </w:rPr>
        <w:t>为而受过行政处罚或刑事处罚的；</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（5）与投标人有其他利害关系。</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6.1.3 评标过程中，评标委员会成员有回避事由、擅离职守或者因健康等原因不能继续评标的，招标人有权更换。被更换的评标委员会成员作出的评审结论无效，由更换后的评标委员会成员重新进行评审。</w:t>
      </w:r>
    </w:p>
    <w:p>
      <w:pPr>
        <w:pStyle w:val="6"/>
        <w:keepNext w:val="0"/>
        <w:keepLines w:val="0"/>
        <w:spacing w:before="0" w:after="0" w:line="360" w:lineRule="auto"/>
        <w:ind w:firstLine="480" w:firstLineChars="200"/>
        <w:rPr>
          <w:rFonts w:ascii="Times New Roman" w:hAnsi="Times New Roman"/>
          <w:color w:val="auto"/>
          <w:sz w:val="24"/>
          <w:szCs w:val="24"/>
        </w:rPr>
      </w:pPr>
      <w:bookmarkStart w:id="322" w:name="_Toc89870586"/>
      <w:bookmarkStart w:id="323" w:name="_Toc3800"/>
      <w:r>
        <w:rPr>
          <w:rFonts w:ascii="Times New Roman" w:hAnsi="Times New Roman"/>
          <w:color w:val="auto"/>
          <w:sz w:val="24"/>
          <w:szCs w:val="24"/>
        </w:rPr>
        <w:t>6.2 评标原则</w:t>
      </w:r>
      <w:bookmarkEnd w:id="322"/>
      <w:bookmarkEnd w:id="323"/>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评标活动遵循公平、公正、科学和择优的原</w:t>
      </w:r>
      <w:bookmarkStart w:id="324" w:name="_Toc18949"/>
      <w:bookmarkStart w:id="325" w:name="_Toc352691501"/>
      <w:bookmarkStart w:id="326" w:name="_Toc144974525"/>
      <w:bookmarkStart w:id="327" w:name="_Toc247513981"/>
      <w:bookmarkStart w:id="328" w:name="_Toc247527582"/>
      <w:bookmarkStart w:id="329" w:name="_Toc384308239"/>
      <w:bookmarkStart w:id="330" w:name="_Toc152045557"/>
      <w:bookmarkStart w:id="331" w:name="_Toc152042333"/>
      <w:bookmarkStart w:id="332" w:name="_Toc369531545"/>
      <w:bookmarkStart w:id="333" w:name="_Toc361508614"/>
      <w:bookmarkStart w:id="334" w:name="_Toc300834978"/>
      <w:r>
        <w:rPr>
          <w:rFonts w:ascii="Times New Roman" w:hAnsi="Times New Roman"/>
          <w:color w:val="auto"/>
          <w:sz w:val="24"/>
          <w:szCs w:val="24"/>
        </w:rPr>
        <w:t>则。</w:t>
      </w:r>
    </w:p>
    <w:p>
      <w:pPr>
        <w:pStyle w:val="6"/>
        <w:keepNext w:val="0"/>
        <w:keepLines w:val="0"/>
        <w:spacing w:before="0" w:after="0" w:line="360" w:lineRule="auto"/>
        <w:ind w:firstLine="480" w:firstLineChars="200"/>
        <w:rPr>
          <w:rFonts w:ascii="Times New Roman" w:hAnsi="Times New Roman"/>
          <w:color w:val="auto"/>
          <w:sz w:val="24"/>
          <w:szCs w:val="24"/>
        </w:rPr>
      </w:pPr>
      <w:bookmarkStart w:id="335" w:name="_Toc89870587"/>
      <w:bookmarkStart w:id="336" w:name="_Toc13935"/>
      <w:r>
        <w:rPr>
          <w:rFonts w:ascii="Times New Roman" w:hAnsi="Times New Roman"/>
          <w:color w:val="auto"/>
          <w:sz w:val="24"/>
          <w:szCs w:val="24"/>
        </w:rPr>
        <w:t>6.3 评标</w:t>
      </w:r>
      <w:bookmarkEnd w:id="335"/>
      <w:bookmarkEnd w:id="336"/>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6</w:t>
      </w:r>
      <w:bookmarkEnd w:id="324"/>
      <w:bookmarkEnd w:id="325"/>
      <w:bookmarkEnd w:id="326"/>
      <w:bookmarkEnd w:id="327"/>
      <w:bookmarkEnd w:id="328"/>
      <w:bookmarkEnd w:id="329"/>
      <w:bookmarkEnd w:id="330"/>
      <w:bookmarkEnd w:id="331"/>
      <w:bookmarkEnd w:id="332"/>
      <w:bookmarkEnd w:id="333"/>
      <w:bookmarkEnd w:id="334"/>
      <w:r>
        <w:rPr>
          <w:rFonts w:ascii="Times New Roman" w:hAnsi="Times New Roman"/>
          <w:color w:val="auto"/>
          <w:sz w:val="24"/>
          <w:szCs w:val="24"/>
        </w:rPr>
        <w:t>.3.1评标委员会按照第三章</w:t>
      </w:r>
      <w:r>
        <w:rPr>
          <w:rFonts w:hint="eastAsia" w:ascii="Times New Roman" w:hAnsi="Times New Roman"/>
          <w:color w:val="auto"/>
          <w:sz w:val="24"/>
          <w:szCs w:val="24"/>
        </w:rPr>
        <w:t>“</w:t>
      </w:r>
      <w:r>
        <w:rPr>
          <w:rFonts w:ascii="Times New Roman" w:hAnsi="Times New Roman"/>
          <w:color w:val="auto"/>
          <w:sz w:val="24"/>
          <w:szCs w:val="24"/>
        </w:rPr>
        <w:t>评标办法</w:t>
      </w:r>
      <w:r>
        <w:rPr>
          <w:rFonts w:hint="eastAsia" w:ascii="Times New Roman" w:hAnsi="Times New Roman"/>
          <w:color w:val="auto"/>
          <w:sz w:val="24"/>
          <w:szCs w:val="24"/>
        </w:rPr>
        <w:t>”</w:t>
      </w:r>
      <w:r>
        <w:rPr>
          <w:rFonts w:ascii="Times New Roman" w:hAnsi="Times New Roman"/>
          <w:color w:val="auto"/>
          <w:sz w:val="24"/>
          <w:szCs w:val="24"/>
        </w:rPr>
        <w:t>规定的方法、评审因素、标准和程序对投标文件进行评审。第三章</w:t>
      </w:r>
      <w:r>
        <w:rPr>
          <w:rFonts w:hint="eastAsia" w:ascii="Times New Roman" w:hAnsi="Times New Roman"/>
          <w:color w:val="auto"/>
          <w:sz w:val="24"/>
          <w:szCs w:val="24"/>
          <w:lang w:eastAsia="zh-CN"/>
        </w:rPr>
        <w:t>“</w:t>
      </w:r>
      <w:r>
        <w:rPr>
          <w:rFonts w:ascii="Times New Roman" w:hAnsi="Times New Roman"/>
          <w:color w:val="auto"/>
          <w:sz w:val="24"/>
          <w:szCs w:val="24"/>
        </w:rPr>
        <w:t>评标办法</w:t>
      </w:r>
      <w:r>
        <w:rPr>
          <w:rFonts w:hint="eastAsia" w:ascii="Times New Roman" w:hAnsi="Times New Roman"/>
          <w:color w:val="auto"/>
          <w:sz w:val="24"/>
          <w:szCs w:val="24"/>
          <w:lang w:eastAsia="zh-CN"/>
        </w:rPr>
        <w:t>”</w:t>
      </w:r>
      <w:r>
        <w:rPr>
          <w:rFonts w:ascii="Times New Roman" w:hAnsi="Times New Roman"/>
          <w:color w:val="auto"/>
          <w:sz w:val="24"/>
          <w:szCs w:val="24"/>
        </w:rPr>
        <w:t>没有规定的方法、评审因素和标准，不作为评标依据。</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6.3.2评标完成后，评标委员会应当向招标人提交书面评标报告和中标候选人名单。评标委员会推荐中标</w:t>
      </w:r>
      <w:bookmarkStart w:id="337" w:name="_Toc247527583"/>
      <w:bookmarkStart w:id="338" w:name="_Toc352691502"/>
      <w:bookmarkStart w:id="339" w:name="_Toc384308240"/>
      <w:bookmarkStart w:id="340" w:name="_Toc361508615"/>
      <w:bookmarkStart w:id="341" w:name="_Toc144974526"/>
      <w:bookmarkStart w:id="342" w:name="_Toc152042334"/>
      <w:bookmarkStart w:id="343" w:name="_Toc152045558"/>
      <w:bookmarkStart w:id="344" w:name="_Toc300834979"/>
      <w:bookmarkStart w:id="345" w:name="_Toc12259"/>
      <w:bookmarkStart w:id="346" w:name="_Toc247513982"/>
      <w:bookmarkStart w:id="347" w:name="_Toc369531546"/>
      <w:r>
        <w:rPr>
          <w:rFonts w:ascii="Times New Roman" w:hAnsi="Times New Roman"/>
          <w:color w:val="auto"/>
          <w:sz w:val="24"/>
          <w:szCs w:val="24"/>
        </w:rPr>
        <w:t>候选人的人数见投标人须知前附</w:t>
      </w:r>
      <w:bookmarkEnd w:id="337"/>
      <w:bookmarkEnd w:id="338"/>
      <w:bookmarkEnd w:id="339"/>
      <w:bookmarkEnd w:id="340"/>
      <w:bookmarkEnd w:id="341"/>
      <w:bookmarkEnd w:id="342"/>
      <w:bookmarkEnd w:id="343"/>
      <w:bookmarkEnd w:id="344"/>
      <w:bookmarkEnd w:id="345"/>
      <w:bookmarkEnd w:id="346"/>
      <w:bookmarkEnd w:id="347"/>
      <w:r>
        <w:rPr>
          <w:rFonts w:ascii="Times New Roman" w:hAnsi="Times New Roman"/>
          <w:color w:val="auto"/>
          <w:sz w:val="24"/>
          <w:szCs w:val="24"/>
        </w:rPr>
        <w:t>表。</w:t>
      </w:r>
    </w:p>
    <w:p>
      <w:pPr>
        <w:pStyle w:val="5"/>
        <w:keepNext w:val="0"/>
        <w:keepLines w:val="0"/>
        <w:spacing w:before="0" w:after="0" w:line="360" w:lineRule="auto"/>
        <w:ind w:firstLine="643" w:firstLineChars="200"/>
        <w:rPr>
          <w:rFonts w:ascii="Times New Roman" w:hAnsi="Times New Roman"/>
          <w:color w:val="auto"/>
        </w:rPr>
      </w:pPr>
      <w:bookmarkStart w:id="348" w:name="_Toc24960"/>
      <w:bookmarkStart w:id="349" w:name="_Toc89870588"/>
      <w:r>
        <w:rPr>
          <w:rFonts w:ascii="Times New Roman" w:hAnsi="Times New Roman"/>
          <w:color w:val="auto"/>
        </w:rPr>
        <w:t>7. 合同授予</w:t>
      </w:r>
      <w:bookmarkEnd w:id="348"/>
      <w:bookmarkEnd w:id="349"/>
    </w:p>
    <w:p>
      <w:pPr>
        <w:pStyle w:val="6"/>
        <w:keepNext w:val="0"/>
        <w:keepLines w:val="0"/>
        <w:spacing w:before="0" w:after="0" w:line="360" w:lineRule="auto"/>
        <w:ind w:firstLine="480" w:firstLineChars="200"/>
        <w:rPr>
          <w:rFonts w:ascii="Times New Roman" w:hAnsi="Times New Roman"/>
          <w:color w:val="auto"/>
          <w:sz w:val="24"/>
          <w:szCs w:val="24"/>
        </w:rPr>
      </w:pPr>
      <w:bookmarkStart w:id="350" w:name="_Toc89870589"/>
      <w:bookmarkStart w:id="351" w:name="_Toc27199"/>
      <w:r>
        <w:rPr>
          <w:rFonts w:ascii="Times New Roman" w:hAnsi="Times New Roman"/>
          <w:color w:val="auto"/>
          <w:sz w:val="24"/>
          <w:szCs w:val="24"/>
        </w:rPr>
        <w:t>7.1 中标候选人公示</w:t>
      </w:r>
      <w:bookmarkEnd w:id="350"/>
      <w:bookmarkEnd w:id="351"/>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招标人在收到评标报告之日起3日内，按照投标人须知前附表规定的公示媒介和期限公示中标候选人，公示期3天</w:t>
      </w:r>
      <w:r>
        <w:rPr>
          <w:rFonts w:hint="eastAsia" w:ascii="Times New Roman" w:hAnsi="Times New Roman"/>
          <w:color w:val="auto"/>
          <w:sz w:val="24"/>
          <w:szCs w:val="24"/>
        </w:rPr>
        <w:t>（最后一天为工作日）</w:t>
      </w:r>
      <w:r>
        <w:rPr>
          <w:rFonts w:ascii="Times New Roman" w:hAnsi="Times New Roman"/>
          <w:color w:val="auto"/>
          <w:sz w:val="24"/>
          <w:szCs w:val="24"/>
        </w:rPr>
        <w:t>。</w:t>
      </w:r>
    </w:p>
    <w:p>
      <w:pPr>
        <w:pStyle w:val="6"/>
        <w:keepNext w:val="0"/>
        <w:keepLines w:val="0"/>
        <w:spacing w:before="0" w:after="0" w:line="360" w:lineRule="auto"/>
        <w:ind w:firstLine="480" w:firstLineChars="200"/>
        <w:rPr>
          <w:rFonts w:ascii="Times New Roman" w:hAnsi="Times New Roman"/>
          <w:color w:val="auto"/>
          <w:sz w:val="24"/>
          <w:szCs w:val="24"/>
        </w:rPr>
      </w:pPr>
      <w:bookmarkStart w:id="352" w:name="_Toc9184"/>
      <w:bookmarkStart w:id="353" w:name="_Toc89870590"/>
      <w:r>
        <w:rPr>
          <w:rFonts w:ascii="Times New Roman" w:hAnsi="Times New Roman"/>
          <w:color w:val="auto"/>
          <w:sz w:val="24"/>
          <w:szCs w:val="24"/>
        </w:rPr>
        <w:t>7.2 评标结果异议</w:t>
      </w:r>
      <w:bookmarkEnd w:id="352"/>
      <w:bookmarkEnd w:id="353"/>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投标人或者其他利</w:t>
      </w:r>
      <w:bookmarkStart w:id="354" w:name="_Toc369531549"/>
      <w:bookmarkStart w:id="355" w:name="_Toc300834982"/>
      <w:bookmarkStart w:id="356" w:name="_Toc30095"/>
      <w:bookmarkStart w:id="357" w:name="_Toc384308243"/>
      <w:bookmarkStart w:id="358" w:name="_Toc144974529"/>
      <w:bookmarkStart w:id="359" w:name="_Toc247513985"/>
      <w:bookmarkStart w:id="360" w:name="_Toc361508618"/>
      <w:bookmarkStart w:id="361" w:name="_Toc152045561"/>
      <w:bookmarkStart w:id="362" w:name="_Toc352691505"/>
      <w:bookmarkStart w:id="363" w:name="_Toc152042337"/>
      <w:bookmarkStart w:id="364" w:name="_Toc247527586"/>
      <w:r>
        <w:rPr>
          <w:rFonts w:ascii="Times New Roman" w:hAnsi="Times New Roman"/>
          <w:color w:val="auto"/>
          <w:sz w:val="24"/>
          <w:szCs w:val="24"/>
        </w:rPr>
        <w:t>害关系人对评标结</w:t>
      </w:r>
      <w:bookmarkEnd w:id="354"/>
      <w:bookmarkEnd w:id="355"/>
      <w:bookmarkEnd w:id="356"/>
      <w:bookmarkEnd w:id="357"/>
      <w:bookmarkEnd w:id="358"/>
      <w:bookmarkEnd w:id="359"/>
      <w:bookmarkEnd w:id="360"/>
      <w:bookmarkEnd w:id="361"/>
      <w:bookmarkEnd w:id="362"/>
      <w:bookmarkEnd w:id="363"/>
      <w:bookmarkEnd w:id="364"/>
      <w:r>
        <w:rPr>
          <w:rFonts w:ascii="Times New Roman" w:hAnsi="Times New Roman"/>
          <w:color w:val="auto"/>
          <w:sz w:val="24"/>
          <w:szCs w:val="24"/>
        </w:rPr>
        <w:t>果有异议的，应当在中标候选人公示期间提出。招标人将在收到异议之日起3日内作出答复；作出答复前，将暂停招标投标活动。</w:t>
      </w:r>
    </w:p>
    <w:p>
      <w:pPr>
        <w:pStyle w:val="6"/>
        <w:keepNext w:val="0"/>
        <w:keepLines w:val="0"/>
        <w:spacing w:before="0" w:after="0" w:line="360" w:lineRule="auto"/>
        <w:ind w:firstLine="480" w:firstLineChars="200"/>
        <w:rPr>
          <w:rFonts w:ascii="Times New Roman" w:hAnsi="Times New Roman"/>
          <w:color w:val="auto"/>
          <w:sz w:val="24"/>
          <w:szCs w:val="24"/>
        </w:rPr>
      </w:pPr>
      <w:bookmarkStart w:id="365" w:name="_Toc26195"/>
      <w:bookmarkStart w:id="366" w:name="_Toc89870591"/>
      <w:r>
        <w:rPr>
          <w:rFonts w:ascii="Times New Roman" w:hAnsi="Times New Roman"/>
          <w:color w:val="auto"/>
          <w:sz w:val="24"/>
          <w:szCs w:val="24"/>
        </w:rPr>
        <w:t>7.3 中标候选人履约能力审查</w:t>
      </w:r>
      <w:bookmarkEnd w:id="365"/>
      <w:bookmarkEnd w:id="366"/>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中标候选人的经营、财务状况发生较大变化或存在违法行为，招标人认为可能影响其履约能力的，将在发出中标通知书前提请原评标委员会按照招标文件规定的标准和方法进行审查确认。</w:t>
      </w:r>
    </w:p>
    <w:p>
      <w:pPr>
        <w:pStyle w:val="6"/>
        <w:keepNext w:val="0"/>
        <w:keepLines w:val="0"/>
        <w:spacing w:before="0" w:after="0" w:line="360" w:lineRule="auto"/>
        <w:ind w:firstLine="480" w:firstLineChars="200"/>
        <w:rPr>
          <w:rFonts w:ascii="Times New Roman" w:hAnsi="Times New Roman"/>
          <w:color w:val="auto"/>
          <w:sz w:val="24"/>
          <w:szCs w:val="24"/>
        </w:rPr>
      </w:pPr>
      <w:bookmarkStart w:id="367" w:name="_Toc20519"/>
      <w:bookmarkStart w:id="368" w:name="_Toc89870592"/>
      <w:r>
        <w:rPr>
          <w:rFonts w:ascii="Times New Roman" w:hAnsi="Times New Roman"/>
          <w:color w:val="auto"/>
          <w:sz w:val="24"/>
          <w:szCs w:val="24"/>
        </w:rPr>
        <w:t>7.4 定标</w:t>
      </w:r>
      <w:bookmarkEnd w:id="367"/>
      <w:bookmarkEnd w:id="368"/>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按照投标人须知前附表的规定，招标人或招标人授权的评标委员会依法确定中标人。</w:t>
      </w:r>
    </w:p>
    <w:p>
      <w:pPr>
        <w:pStyle w:val="6"/>
        <w:keepNext w:val="0"/>
        <w:keepLines w:val="0"/>
        <w:spacing w:before="0" w:after="0" w:line="360" w:lineRule="auto"/>
        <w:ind w:firstLine="480" w:firstLineChars="200"/>
        <w:rPr>
          <w:rFonts w:ascii="Times New Roman" w:hAnsi="Times New Roman"/>
          <w:color w:val="auto"/>
          <w:sz w:val="24"/>
          <w:szCs w:val="24"/>
        </w:rPr>
      </w:pPr>
      <w:bookmarkStart w:id="369" w:name="_Toc89870593"/>
      <w:bookmarkStart w:id="370" w:name="_Toc16786"/>
      <w:r>
        <w:rPr>
          <w:rFonts w:ascii="Times New Roman" w:hAnsi="Times New Roman"/>
          <w:color w:val="auto"/>
          <w:sz w:val="24"/>
          <w:szCs w:val="24"/>
        </w:rPr>
        <w:t>7.5 中标通知</w:t>
      </w:r>
      <w:bookmarkEnd w:id="369"/>
      <w:bookmarkEnd w:id="370"/>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在本章第3.3款规定的投标有效期内，招标人以书面形式向中标人发出中标</w:t>
      </w:r>
      <w:bookmarkStart w:id="371" w:name="_Toc384308244"/>
      <w:bookmarkStart w:id="372" w:name="_Toc361508619"/>
      <w:bookmarkStart w:id="373" w:name="_Toc352691506"/>
      <w:bookmarkStart w:id="374" w:name="_Toc5668"/>
      <w:bookmarkStart w:id="375" w:name="_Toc300834983"/>
      <w:bookmarkStart w:id="376" w:name="_Toc369531550"/>
      <w:r>
        <w:rPr>
          <w:rFonts w:ascii="Times New Roman" w:hAnsi="Times New Roman"/>
          <w:color w:val="auto"/>
          <w:sz w:val="24"/>
          <w:szCs w:val="24"/>
        </w:rPr>
        <w:t>通知书，同时将中</w:t>
      </w:r>
      <w:bookmarkEnd w:id="371"/>
      <w:bookmarkEnd w:id="372"/>
      <w:bookmarkEnd w:id="373"/>
      <w:bookmarkEnd w:id="374"/>
      <w:bookmarkEnd w:id="375"/>
      <w:bookmarkEnd w:id="376"/>
      <w:r>
        <w:rPr>
          <w:rFonts w:ascii="Times New Roman" w:hAnsi="Times New Roman"/>
          <w:color w:val="auto"/>
          <w:sz w:val="24"/>
          <w:szCs w:val="24"/>
        </w:rPr>
        <w:t>标结果通知未中标的投标人。</w:t>
      </w:r>
    </w:p>
    <w:p>
      <w:pPr>
        <w:pStyle w:val="6"/>
        <w:keepNext w:val="0"/>
        <w:keepLines w:val="0"/>
        <w:spacing w:before="0" w:after="0" w:line="360" w:lineRule="auto"/>
        <w:ind w:firstLine="480" w:firstLineChars="200"/>
        <w:rPr>
          <w:rFonts w:ascii="Times New Roman" w:hAnsi="Times New Roman"/>
          <w:color w:val="auto"/>
          <w:sz w:val="24"/>
          <w:szCs w:val="24"/>
        </w:rPr>
      </w:pPr>
      <w:bookmarkStart w:id="377" w:name="_Toc89870594"/>
      <w:bookmarkStart w:id="378" w:name="_Toc22862"/>
      <w:r>
        <w:rPr>
          <w:rFonts w:ascii="Times New Roman" w:hAnsi="Times New Roman"/>
          <w:color w:val="auto"/>
          <w:sz w:val="24"/>
          <w:szCs w:val="24"/>
        </w:rPr>
        <w:t>7.6 履约保证金</w:t>
      </w:r>
      <w:bookmarkEnd w:id="377"/>
      <w:bookmarkEnd w:id="378"/>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 xml:space="preserve">7.6.1 </w:t>
      </w:r>
      <w:r>
        <w:rPr>
          <w:rFonts w:hint="eastAsia" w:ascii="Times New Roman" w:hAnsi="Times New Roman"/>
          <w:color w:val="auto"/>
          <w:sz w:val="24"/>
          <w:szCs w:val="24"/>
        </w:rPr>
        <w:t>在签订合同前，</w:t>
      </w:r>
      <w:r>
        <w:rPr>
          <w:rFonts w:ascii="Times New Roman" w:hAnsi="Times New Roman"/>
          <w:color w:val="auto"/>
          <w:sz w:val="24"/>
          <w:szCs w:val="24"/>
        </w:rPr>
        <w:t>中标人应按投标人须知前附表规定的形式、金额和招标文件第四章</w:t>
      </w:r>
      <w:r>
        <w:rPr>
          <w:rFonts w:hint="eastAsia" w:ascii="Times New Roman" w:hAnsi="Times New Roman"/>
          <w:color w:val="auto"/>
          <w:sz w:val="24"/>
          <w:szCs w:val="24"/>
          <w:lang w:eastAsia="zh-CN"/>
        </w:rPr>
        <w:t>“</w:t>
      </w:r>
      <w:r>
        <w:rPr>
          <w:rFonts w:ascii="Times New Roman" w:hAnsi="Times New Roman"/>
          <w:color w:val="auto"/>
          <w:sz w:val="24"/>
          <w:szCs w:val="24"/>
        </w:rPr>
        <w:t>合同条款及格式</w:t>
      </w:r>
      <w:r>
        <w:rPr>
          <w:rFonts w:hint="eastAsia" w:ascii="Times New Roman" w:hAnsi="Times New Roman"/>
          <w:color w:val="auto"/>
          <w:sz w:val="24"/>
          <w:szCs w:val="24"/>
          <w:lang w:eastAsia="zh-CN"/>
        </w:rPr>
        <w:t>”</w:t>
      </w:r>
      <w:r>
        <w:rPr>
          <w:rFonts w:ascii="Times New Roman" w:hAnsi="Times New Roman"/>
          <w:color w:val="auto"/>
          <w:sz w:val="24"/>
          <w:szCs w:val="24"/>
        </w:rPr>
        <w:t>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pPr>
        <w:spacing w:line="360" w:lineRule="auto"/>
        <w:ind w:firstLine="480" w:firstLineChars="200"/>
        <w:rPr>
          <w:rFonts w:ascii="Times New Roman" w:hAnsi="Times New Roman"/>
          <w:color w:val="auto"/>
          <w:szCs w:val="21"/>
        </w:rPr>
      </w:pPr>
      <w:r>
        <w:rPr>
          <w:rFonts w:ascii="Times New Roman" w:hAnsi="Times New Roman"/>
          <w:color w:val="auto"/>
          <w:sz w:val="24"/>
          <w:szCs w:val="24"/>
        </w:rPr>
        <w:t>7.6.2 中标人不能按本章第7.6.1项要求提交履约保证金的，视为放弃中标，其投标保证金不予退还，给招标人造成的损失超过投标保证金数额的，中标人还应当对超过部分予以赔偿。</w:t>
      </w:r>
    </w:p>
    <w:p>
      <w:pPr>
        <w:pStyle w:val="6"/>
        <w:keepNext w:val="0"/>
        <w:keepLines w:val="0"/>
        <w:spacing w:before="0" w:after="0" w:line="360" w:lineRule="auto"/>
        <w:ind w:firstLine="480" w:firstLineChars="200"/>
        <w:rPr>
          <w:rFonts w:ascii="Times New Roman" w:hAnsi="Times New Roman"/>
          <w:color w:val="auto"/>
          <w:sz w:val="24"/>
          <w:szCs w:val="24"/>
        </w:rPr>
      </w:pPr>
      <w:bookmarkStart w:id="379" w:name="_Toc89870595"/>
      <w:bookmarkStart w:id="380" w:name="_Toc9236"/>
      <w:r>
        <w:rPr>
          <w:rFonts w:ascii="Times New Roman" w:hAnsi="Times New Roman"/>
          <w:color w:val="auto"/>
          <w:sz w:val="24"/>
          <w:szCs w:val="24"/>
        </w:rPr>
        <w:t>7.7 签订合同</w:t>
      </w:r>
      <w:bookmarkEnd w:id="379"/>
      <w:bookmarkEnd w:id="380"/>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7.7.1 招标人和中标人应当在中标通知书发出之日起30日内，根据招标文件和中标人的投标文件订立书面合同。中标人</w:t>
      </w:r>
      <w:r>
        <w:rPr>
          <w:color w:val="auto"/>
          <w:sz w:val="24"/>
          <w:szCs w:val="24"/>
        </w:rPr>
        <w:t>无正当理由</w:t>
      </w:r>
      <w:r>
        <w:rPr>
          <w:rFonts w:hint="eastAsia"/>
          <w:color w:val="auto"/>
          <w:sz w:val="24"/>
          <w:szCs w:val="24"/>
        </w:rPr>
        <w:t>拒签</w:t>
      </w:r>
      <w:r>
        <w:rPr>
          <w:color w:val="auto"/>
          <w:sz w:val="24"/>
          <w:szCs w:val="24"/>
        </w:rPr>
        <w:t>合同，在签订合同时向招标人提出附加条件，或者不按照招标文件要求提交履约保证金的</w:t>
      </w:r>
      <w:r>
        <w:rPr>
          <w:rFonts w:ascii="Times New Roman" w:hAnsi="Times New Roman"/>
          <w:color w:val="auto"/>
          <w:sz w:val="24"/>
          <w:szCs w:val="24"/>
        </w:rPr>
        <w:t>，招标人有权取消其中标资格，其投标保证金不予退还；给招标人造成的损失超过投标保证金数额的，中标人还应当对超过部分予以赔偿。</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7.7.2 发出中标通知书后，招标人无正当理由拒签合同，或者</w:t>
      </w:r>
      <w:r>
        <w:rPr>
          <w:color w:val="auto"/>
          <w:sz w:val="24"/>
          <w:szCs w:val="24"/>
        </w:rPr>
        <w:t>在签订合同时</w:t>
      </w:r>
      <w:r>
        <w:rPr>
          <w:rFonts w:hint="eastAsia"/>
          <w:color w:val="auto"/>
          <w:sz w:val="24"/>
          <w:szCs w:val="24"/>
        </w:rPr>
        <w:t>向中标人</w:t>
      </w:r>
      <w:r>
        <w:rPr>
          <w:rFonts w:ascii="Times New Roman" w:hAnsi="Times New Roman"/>
          <w:color w:val="auto"/>
          <w:sz w:val="24"/>
          <w:szCs w:val="24"/>
        </w:rPr>
        <w:t>提出附加条件的，招标人向中标人退还投标保证金；给中标人造成损失的，还应当赔偿损失。</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7.7.3 联合体中标的，联合体各方应当共同与招标人签订合同，就中标项目向招标人承担连带责任。</w:t>
      </w:r>
    </w:p>
    <w:p>
      <w:pPr>
        <w:pStyle w:val="5"/>
        <w:keepNext w:val="0"/>
        <w:keepLines w:val="0"/>
        <w:spacing w:before="0" w:after="0" w:line="460" w:lineRule="exact"/>
        <w:ind w:firstLine="643" w:firstLineChars="200"/>
        <w:rPr>
          <w:rFonts w:ascii="Times New Roman" w:hAnsi="Times New Roman"/>
          <w:color w:val="auto"/>
        </w:rPr>
      </w:pPr>
      <w:bookmarkStart w:id="381" w:name="_Toc24067"/>
      <w:bookmarkStart w:id="382" w:name="_Toc361508627"/>
      <w:bookmarkStart w:id="383" w:name="_Toc384308252"/>
      <w:bookmarkStart w:id="384" w:name="_Toc19459"/>
      <w:bookmarkStart w:id="385" w:name="_Toc89870596"/>
      <w:bookmarkStart w:id="386" w:name="_Toc300834991"/>
      <w:bookmarkStart w:id="387" w:name="_Toc152042344"/>
      <w:bookmarkStart w:id="388" w:name="_Toc247527593"/>
      <w:bookmarkStart w:id="389" w:name="_Toc247513992"/>
      <w:bookmarkStart w:id="390" w:name="_Toc152045568"/>
      <w:bookmarkStart w:id="391" w:name="_Toc144974536"/>
      <w:r>
        <w:rPr>
          <w:rFonts w:ascii="Times New Roman" w:hAnsi="Times New Roman"/>
          <w:color w:val="auto"/>
        </w:rPr>
        <w:t>8.</w:t>
      </w:r>
      <w:bookmarkEnd w:id="381"/>
      <w:bookmarkEnd w:id="382"/>
      <w:bookmarkEnd w:id="383"/>
      <w:r>
        <w:rPr>
          <w:rFonts w:ascii="Times New Roman" w:hAnsi="Times New Roman"/>
          <w:color w:val="auto"/>
        </w:rPr>
        <w:t>纪律和监督</w:t>
      </w:r>
      <w:bookmarkEnd w:id="384"/>
      <w:bookmarkEnd w:id="385"/>
    </w:p>
    <w:p>
      <w:pPr>
        <w:pStyle w:val="6"/>
        <w:keepNext w:val="0"/>
        <w:keepLines w:val="0"/>
        <w:spacing w:before="0" w:after="0" w:line="460" w:lineRule="exact"/>
        <w:ind w:firstLine="480" w:firstLineChars="200"/>
        <w:rPr>
          <w:rFonts w:ascii="Times New Roman" w:hAnsi="Times New Roman"/>
          <w:color w:val="auto"/>
          <w:sz w:val="24"/>
          <w:szCs w:val="24"/>
        </w:rPr>
      </w:pPr>
      <w:bookmarkStart w:id="392" w:name="_Toc89870597"/>
      <w:bookmarkStart w:id="393" w:name="_Toc16607"/>
      <w:r>
        <w:rPr>
          <w:rFonts w:ascii="Times New Roman" w:hAnsi="Times New Roman"/>
          <w:color w:val="auto"/>
          <w:sz w:val="24"/>
          <w:szCs w:val="24"/>
        </w:rPr>
        <w:t>8.1 对招标人的纪律要求</w:t>
      </w:r>
      <w:bookmarkEnd w:id="392"/>
      <w:bookmarkEnd w:id="393"/>
    </w:p>
    <w:p>
      <w:pPr>
        <w:spacing w:line="460" w:lineRule="exact"/>
        <w:ind w:firstLine="480" w:firstLineChars="200"/>
        <w:rPr>
          <w:rFonts w:ascii="Times New Roman" w:hAnsi="Times New Roman"/>
          <w:color w:val="auto"/>
          <w:sz w:val="24"/>
          <w:szCs w:val="24"/>
        </w:rPr>
      </w:pPr>
      <w:r>
        <w:rPr>
          <w:rFonts w:ascii="Times New Roman" w:hAnsi="Times New Roman"/>
          <w:color w:val="auto"/>
          <w:sz w:val="24"/>
          <w:szCs w:val="24"/>
        </w:rPr>
        <w:t>招标人不得泄露招标投标活动中应当保密的情况和资料，不得与投标人串通损害国家利益、社会公共利益或者他人合法权益。</w:t>
      </w:r>
    </w:p>
    <w:p>
      <w:pPr>
        <w:pStyle w:val="6"/>
        <w:keepNext w:val="0"/>
        <w:keepLines w:val="0"/>
        <w:spacing w:before="0" w:after="0" w:line="460" w:lineRule="exact"/>
        <w:ind w:firstLine="480" w:firstLineChars="200"/>
        <w:rPr>
          <w:rFonts w:ascii="Times New Roman" w:hAnsi="Times New Roman"/>
          <w:color w:val="auto"/>
          <w:sz w:val="24"/>
          <w:szCs w:val="24"/>
        </w:rPr>
      </w:pPr>
      <w:bookmarkStart w:id="394" w:name="_Toc7775"/>
      <w:bookmarkStart w:id="395" w:name="_Toc89870598"/>
      <w:r>
        <w:rPr>
          <w:rFonts w:ascii="Times New Roman" w:hAnsi="Times New Roman"/>
          <w:color w:val="auto"/>
          <w:sz w:val="24"/>
          <w:szCs w:val="24"/>
        </w:rPr>
        <w:t>8.2 对投标人的纪律要求</w:t>
      </w:r>
      <w:bookmarkEnd w:id="394"/>
      <w:bookmarkEnd w:id="395"/>
    </w:p>
    <w:p>
      <w:pPr>
        <w:spacing w:line="460" w:lineRule="exact"/>
        <w:ind w:firstLine="480" w:firstLineChars="200"/>
        <w:rPr>
          <w:rFonts w:ascii="Times New Roman" w:hAnsi="Times New Roman"/>
          <w:color w:val="auto"/>
          <w:sz w:val="24"/>
          <w:szCs w:val="24"/>
        </w:rPr>
      </w:pPr>
      <w:r>
        <w:rPr>
          <w:rFonts w:ascii="Times New Roman" w:hAnsi="Times New Roman"/>
          <w:color w:val="auto"/>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6"/>
        <w:keepNext w:val="0"/>
        <w:keepLines w:val="0"/>
        <w:spacing w:before="0" w:after="0" w:line="460" w:lineRule="exact"/>
        <w:ind w:firstLine="480" w:firstLineChars="200"/>
        <w:rPr>
          <w:rFonts w:ascii="Times New Roman" w:hAnsi="Times New Roman"/>
          <w:color w:val="auto"/>
          <w:sz w:val="24"/>
          <w:szCs w:val="24"/>
        </w:rPr>
      </w:pPr>
      <w:bookmarkStart w:id="396" w:name="_Toc31006"/>
      <w:bookmarkStart w:id="397" w:name="_Toc89870599"/>
      <w:r>
        <w:rPr>
          <w:rFonts w:ascii="Times New Roman" w:hAnsi="Times New Roman"/>
          <w:color w:val="auto"/>
          <w:sz w:val="24"/>
          <w:szCs w:val="24"/>
        </w:rPr>
        <w:t>8.3 对评标委员会成员的纪律要求</w:t>
      </w:r>
      <w:bookmarkEnd w:id="396"/>
      <w:bookmarkEnd w:id="397"/>
    </w:p>
    <w:p>
      <w:pPr>
        <w:spacing w:line="460" w:lineRule="exact"/>
        <w:ind w:firstLine="480" w:firstLineChars="200"/>
        <w:rPr>
          <w:rFonts w:ascii="Times New Roman" w:hAnsi="Times New Roman"/>
          <w:color w:val="auto"/>
          <w:sz w:val="24"/>
          <w:szCs w:val="24"/>
        </w:rPr>
      </w:pPr>
      <w:r>
        <w:rPr>
          <w:rFonts w:ascii="Times New Roman" w:hAnsi="Times New Roman"/>
          <w:color w:val="auto"/>
          <w:sz w:val="24"/>
          <w:szCs w:val="24"/>
        </w:rPr>
        <w:t>评标委员会成员不得收受他人的财物或者其他好处，不得向他人透露对投标文件的评审</w:t>
      </w:r>
      <w:bookmarkStart w:id="398" w:name="_Toc13644"/>
      <w:bookmarkStart w:id="399" w:name="_Toc352691515"/>
      <w:bookmarkStart w:id="400" w:name="_Toc369531559"/>
      <w:bookmarkStart w:id="401" w:name="_Toc384308253"/>
      <w:bookmarkStart w:id="402" w:name="_Toc361508628"/>
      <w:r>
        <w:rPr>
          <w:rFonts w:ascii="Times New Roman" w:hAnsi="Times New Roman"/>
          <w:color w:val="auto"/>
          <w:sz w:val="24"/>
          <w:szCs w:val="24"/>
        </w:rPr>
        <w:t>和比较、中标候选人</w:t>
      </w:r>
      <w:bookmarkEnd w:id="386"/>
      <w:bookmarkEnd w:id="387"/>
      <w:bookmarkEnd w:id="388"/>
      <w:bookmarkEnd w:id="389"/>
      <w:bookmarkEnd w:id="390"/>
      <w:bookmarkEnd w:id="391"/>
      <w:bookmarkEnd w:id="398"/>
      <w:bookmarkEnd w:id="399"/>
      <w:bookmarkEnd w:id="400"/>
      <w:bookmarkEnd w:id="401"/>
      <w:bookmarkEnd w:id="402"/>
      <w:r>
        <w:rPr>
          <w:rFonts w:ascii="Times New Roman" w:hAnsi="Times New Roman"/>
          <w:color w:val="auto"/>
          <w:sz w:val="24"/>
          <w:szCs w:val="24"/>
        </w:rPr>
        <w:t>的推荐情况以及评标有关的其他情况。在评标活动中，评标委员会成员应当客观、公正地履行职责，遵守职业道德，不得擅离职守，影响评标程序正常进行，不得使用第三章</w:t>
      </w:r>
      <w:r>
        <w:rPr>
          <w:rFonts w:hint="eastAsia" w:ascii="Times New Roman" w:hAnsi="Times New Roman"/>
          <w:color w:val="auto"/>
          <w:sz w:val="24"/>
          <w:szCs w:val="24"/>
          <w:lang w:eastAsia="zh-CN"/>
        </w:rPr>
        <w:t>“</w:t>
      </w:r>
      <w:r>
        <w:rPr>
          <w:rFonts w:ascii="Times New Roman" w:hAnsi="Times New Roman"/>
          <w:color w:val="auto"/>
          <w:sz w:val="24"/>
          <w:szCs w:val="24"/>
        </w:rPr>
        <w:t>评标办法</w:t>
      </w:r>
      <w:r>
        <w:rPr>
          <w:rFonts w:hint="eastAsia" w:ascii="Times New Roman" w:hAnsi="Times New Roman"/>
          <w:color w:val="auto"/>
          <w:sz w:val="24"/>
          <w:szCs w:val="24"/>
          <w:lang w:eastAsia="zh-CN"/>
        </w:rPr>
        <w:t>”</w:t>
      </w:r>
      <w:r>
        <w:rPr>
          <w:rFonts w:ascii="Times New Roman" w:hAnsi="Times New Roman"/>
          <w:color w:val="auto"/>
          <w:sz w:val="24"/>
          <w:szCs w:val="24"/>
        </w:rPr>
        <w:t>没有规定的评审因素和标准进行评标。</w:t>
      </w:r>
    </w:p>
    <w:p>
      <w:pPr>
        <w:pStyle w:val="6"/>
        <w:keepNext w:val="0"/>
        <w:keepLines w:val="0"/>
        <w:spacing w:before="0" w:after="0" w:line="460" w:lineRule="exact"/>
        <w:ind w:firstLine="480" w:firstLineChars="200"/>
        <w:rPr>
          <w:rFonts w:ascii="Times New Roman" w:hAnsi="Times New Roman"/>
          <w:color w:val="auto"/>
          <w:sz w:val="24"/>
          <w:szCs w:val="24"/>
        </w:rPr>
      </w:pPr>
      <w:bookmarkStart w:id="403" w:name="_Toc11224"/>
      <w:bookmarkStart w:id="404" w:name="_Toc89870600"/>
      <w:r>
        <w:rPr>
          <w:rFonts w:ascii="Times New Roman" w:hAnsi="Times New Roman"/>
          <w:color w:val="auto"/>
          <w:sz w:val="24"/>
          <w:szCs w:val="24"/>
        </w:rPr>
        <w:t>8.4 对与评标活动有关的工作人员的纪律要求</w:t>
      </w:r>
      <w:bookmarkEnd w:id="403"/>
      <w:bookmarkEnd w:id="404"/>
    </w:p>
    <w:p>
      <w:pPr>
        <w:spacing w:line="460" w:lineRule="exact"/>
        <w:ind w:firstLine="480" w:firstLineChars="200"/>
        <w:rPr>
          <w:rFonts w:ascii="Times New Roman" w:hAnsi="Times New Roman"/>
          <w:color w:val="auto"/>
          <w:sz w:val="24"/>
          <w:szCs w:val="24"/>
        </w:rPr>
      </w:pPr>
      <w:r>
        <w:rPr>
          <w:rFonts w:ascii="Times New Roman" w:hAnsi="Times New Roman"/>
          <w:color w:val="auto"/>
          <w:sz w:val="24"/>
          <w:szCs w:val="24"/>
        </w:rPr>
        <w:t>与评标活动有关的工作人员不得收受他人的财物或者其他好处，不得向他人透露对投标文件</w:t>
      </w:r>
      <w:bookmarkStart w:id="405" w:name="_Toc369531560"/>
      <w:bookmarkStart w:id="406" w:name="_Toc247513993"/>
      <w:bookmarkStart w:id="407" w:name="_Toc144974537"/>
      <w:bookmarkStart w:id="408" w:name="_Toc152042345"/>
      <w:bookmarkStart w:id="409" w:name="_Toc152045569"/>
      <w:bookmarkStart w:id="410" w:name="_Toc19429"/>
      <w:bookmarkStart w:id="411" w:name="_Toc361508629"/>
      <w:bookmarkStart w:id="412" w:name="_Toc247527594"/>
      <w:bookmarkStart w:id="413" w:name="_Toc300834992"/>
      <w:bookmarkStart w:id="414" w:name="_Toc352691516"/>
      <w:bookmarkStart w:id="415" w:name="_Toc384308254"/>
      <w:r>
        <w:rPr>
          <w:rFonts w:ascii="Times New Roman" w:hAnsi="Times New Roman"/>
          <w:color w:val="auto"/>
          <w:sz w:val="24"/>
          <w:szCs w:val="24"/>
        </w:rPr>
        <w:t>的评审和比较、中标</w:t>
      </w:r>
      <w:bookmarkEnd w:id="405"/>
      <w:bookmarkEnd w:id="406"/>
      <w:bookmarkEnd w:id="407"/>
      <w:bookmarkEnd w:id="408"/>
      <w:bookmarkEnd w:id="409"/>
      <w:bookmarkEnd w:id="410"/>
      <w:bookmarkEnd w:id="411"/>
      <w:bookmarkEnd w:id="412"/>
      <w:bookmarkEnd w:id="413"/>
      <w:bookmarkEnd w:id="414"/>
      <w:bookmarkEnd w:id="415"/>
      <w:r>
        <w:rPr>
          <w:rFonts w:ascii="Times New Roman" w:hAnsi="Times New Roman"/>
          <w:color w:val="auto"/>
          <w:sz w:val="24"/>
          <w:szCs w:val="24"/>
        </w:rPr>
        <w:t>候选人的推荐情况以及评标有关的其他情况。在评标活动中，与评标活动有关的工作人员不得擅离职守，影响评标程序正常进行。</w:t>
      </w:r>
    </w:p>
    <w:p>
      <w:pPr>
        <w:pStyle w:val="6"/>
        <w:keepNext w:val="0"/>
        <w:keepLines w:val="0"/>
        <w:spacing w:before="0" w:after="0" w:line="460" w:lineRule="exact"/>
        <w:ind w:firstLine="480" w:firstLineChars="200"/>
        <w:rPr>
          <w:rFonts w:ascii="Times New Roman" w:hAnsi="Times New Roman"/>
          <w:color w:val="auto"/>
          <w:sz w:val="24"/>
          <w:szCs w:val="24"/>
        </w:rPr>
      </w:pPr>
      <w:bookmarkStart w:id="416" w:name="_Toc89870601"/>
      <w:bookmarkStart w:id="417" w:name="_Toc24952"/>
      <w:r>
        <w:rPr>
          <w:rFonts w:ascii="Times New Roman" w:hAnsi="Times New Roman"/>
          <w:color w:val="auto"/>
          <w:sz w:val="24"/>
          <w:szCs w:val="24"/>
        </w:rPr>
        <w:t>8.5 投诉</w:t>
      </w:r>
      <w:bookmarkEnd w:id="416"/>
      <w:bookmarkEnd w:id="417"/>
    </w:p>
    <w:p>
      <w:pPr>
        <w:spacing w:line="460" w:lineRule="exact"/>
        <w:ind w:firstLine="480" w:firstLineChars="200"/>
        <w:rPr>
          <w:rFonts w:ascii="Times New Roman" w:hAnsi="Times New Roman"/>
          <w:color w:val="auto"/>
          <w:sz w:val="24"/>
          <w:szCs w:val="24"/>
        </w:rPr>
      </w:pPr>
      <w:r>
        <w:rPr>
          <w:rFonts w:ascii="Times New Roman" w:hAnsi="Times New Roman"/>
          <w:color w:val="auto"/>
          <w:sz w:val="24"/>
          <w:szCs w:val="24"/>
        </w:rPr>
        <w:t>8.5.1 投标人或者其他利害关系人认为招标投标活动不符合法律、行政法规规定的，可以自知道或者应当知道之日起10日内向有关行政监督部门投诉。投诉应当有明确的请求和必要的证明材料。</w:t>
      </w:r>
    </w:p>
    <w:p>
      <w:pPr>
        <w:spacing w:line="460" w:lineRule="exact"/>
        <w:ind w:firstLine="480" w:firstLineChars="200"/>
        <w:rPr>
          <w:rFonts w:ascii="Times New Roman" w:hAnsi="Times New Roman"/>
          <w:color w:val="auto"/>
          <w:sz w:val="24"/>
          <w:szCs w:val="24"/>
        </w:rPr>
      </w:pPr>
      <w:r>
        <w:rPr>
          <w:rFonts w:ascii="Times New Roman" w:hAnsi="Times New Roman"/>
          <w:color w:val="auto"/>
          <w:sz w:val="24"/>
          <w:szCs w:val="24"/>
        </w:rPr>
        <w:t>8.5.2 投标人或者其他利害关系人对招标文件、开标和评标结果提出投诉的，应当按照投标人须知第2.4款、第5.3款和第7.2款的规定先向招标人提出异议。异议答复期间</w:t>
      </w:r>
      <w:bookmarkStart w:id="418" w:name="_Toc12776"/>
      <w:bookmarkStart w:id="419" w:name="_Toc300834993"/>
      <w:bookmarkStart w:id="420" w:name="_Toc384308255"/>
      <w:bookmarkStart w:id="421" w:name="_Toc144974538"/>
      <w:bookmarkStart w:id="422" w:name="_Toc352691517"/>
      <w:bookmarkStart w:id="423" w:name="_Toc152045570"/>
      <w:bookmarkStart w:id="424" w:name="_Toc361508630"/>
      <w:bookmarkStart w:id="425" w:name="_Toc247513994"/>
      <w:bookmarkStart w:id="426" w:name="_Toc152042346"/>
      <w:bookmarkStart w:id="427" w:name="_Toc369531561"/>
      <w:bookmarkStart w:id="428" w:name="_Toc247527595"/>
      <w:r>
        <w:rPr>
          <w:rFonts w:ascii="Times New Roman" w:hAnsi="Times New Roman"/>
          <w:color w:val="auto"/>
          <w:sz w:val="24"/>
          <w:szCs w:val="24"/>
        </w:rPr>
        <w:t>不计算在第8.5.</w:t>
      </w:r>
      <w:bookmarkEnd w:id="418"/>
      <w:bookmarkEnd w:id="419"/>
      <w:bookmarkEnd w:id="420"/>
      <w:bookmarkEnd w:id="421"/>
      <w:bookmarkEnd w:id="422"/>
      <w:bookmarkEnd w:id="423"/>
      <w:bookmarkEnd w:id="424"/>
      <w:bookmarkEnd w:id="425"/>
      <w:bookmarkEnd w:id="426"/>
      <w:bookmarkEnd w:id="427"/>
      <w:bookmarkEnd w:id="428"/>
      <w:r>
        <w:rPr>
          <w:rFonts w:ascii="Times New Roman" w:hAnsi="Times New Roman"/>
          <w:color w:val="auto"/>
          <w:sz w:val="24"/>
          <w:szCs w:val="24"/>
        </w:rPr>
        <w:t>1项规定的期限内。</w:t>
      </w:r>
    </w:p>
    <w:p>
      <w:pPr>
        <w:pStyle w:val="5"/>
        <w:keepNext w:val="0"/>
        <w:keepLines w:val="0"/>
        <w:spacing w:before="0" w:after="120" w:afterLines="50" w:line="460" w:lineRule="exact"/>
        <w:ind w:firstLine="643" w:firstLineChars="200"/>
        <w:rPr>
          <w:rFonts w:ascii="Times New Roman" w:hAnsi="Times New Roman"/>
          <w:color w:val="auto"/>
        </w:rPr>
      </w:pPr>
      <w:bookmarkStart w:id="429" w:name="_Toc89870602"/>
      <w:bookmarkStart w:id="430" w:name="_Toc477134992"/>
      <w:bookmarkStart w:id="431" w:name="_Toc21279"/>
      <w:r>
        <w:rPr>
          <w:rFonts w:ascii="Times New Roman" w:hAnsi="Times New Roman"/>
          <w:color w:val="auto"/>
        </w:rPr>
        <w:t>9. 是否采用电子招标投标</w:t>
      </w:r>
      <w:bookmarkEnd w:id="429"/>
      <w:bookmarkEnd w:id="430"/>
      <w:bookmarkEnd w:id="431"/>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本招标项目是否采用电子招标投标方式，见投标人须知前附表。</w:t>
      </w:r>
    </w:p>
    <w:p>
      <w:pPr>
        <w:pStyle w:val="5"/>
        <w:keepNext w:val="0"/>
        <w:keepLines w:val="0"/>
        <w:spacing w:before="0" w:after="0" w:line="460" w:lineRule="exact"/>
        <w:ind w:firstLine="643" w:firstLineChars="200"/>
        <w:rPr>
          <w:rFonts w:ascii="Times New Roman" w:hAnsi="Times New Roman"/>
          <w:color w:val="auto"/>
        </w:rPr>
      </w:pPr>
      <w:bookmarkStart w:id="432" w:name="_Toc4810"/>
      <w:bookmarkStart w:id="433" w:name="_Toc89870603"/>
      <w:r>
        <w:rPr>
          <w:rFonts w:ascii="Times New Roman" w:hAnsi="Times New Roman"/>
          <w:color w:val="auto"/>
        </w:rPr>
        <w:t>10. 需要补充的其他内容</w:t>
      </w:r>
      <w:bookmarkEnd w:id="432"/>
      <w:bookmarkEnd w:id="433"/>
    </w:p>
    <w:bookmarkEnd w:id="90"/>
    <w:bookmarkEnd w:id="91"/>
    <w:bookmarkEnd w:id="92"/>
    <w:bookmarkEnd w:id="93"/>
    <w:p>
      <w:pPr>
        <w:spacing w:line="360" w:lineRule="auto"/>
        <w:ind w:firstLine="480" w:firstLineChars="200"/>
        <w:rPr>
          <w:rFonts w:ascii="Times New Roman" w:hAnsi="Times New Roman"/>
          <w:color w:val="auto"/>
          <w:sz w:val="24"/>
          <w:szCs w:val="24"/>
        </w:rPr>
      </w:pPr>
      <w:r>
        <w:rPr>
          <w:rFonts w:hint="default" w:ascii="Times New Roman" w:hAnsi="Times New Roman"/>
          <w:color w:val="auto"/>
          <w:sz w:val="24"/>
          <w:szCs w:val="24"/>
        </w:rPr>
        <w:t>需要补充的其他内容：见投标人须知前附表。</w:t>
      </w:r>
    </w:p>
    <w:p>
      <w:pPr>
        <w:ind w:firstLine="420" w:firstLineChars="200"/>
        <w:rPr>
          <w:rFonts w:ascii="Times New Roman" w:hAnsi="Times New Roman"/>
          <w:color w:val="auto"/>
        </w:rPr>
      </w:pPr>
    </w:p>
    <w:p>
      <w:pPr>
        <w:rPr>
          <w:rFonts w:ascii="Times New Roman" w:hAnsi="Times New Roman"/>
          <w:color w:val="auto"/>
        </w:rPr>
      </w:pPr>
      <w:bookmarkStart w:id="434" w:name="_Toc89870604"/>
      <w:bookmarkStart w:id="435" w:name="_Toc527028503"/>
      <w:r>
        <w:rPr>
          <w:rFonts w:ascii="Times New Roman" w:hAnsi="Times New Roman"/>
          <w:color w:val="auto"/>
        </w:rPr>
        <w:br w:type="page"/>
      </w:r>
    </w:p>
    <w:p>
      <w:pPr>
        <w:pStyle w:val="6"/>
        <w:keepNext w:val="0"/>
        <w:keepLines w:val="0"/>
        <w:spacing w:before="0" w:after="0"/>
        <w:ind w:firstLine="560" w:firstLineChars="200"/>
        <w:rPr>
          <w:rFonts w:ascii="Times New Roman" w:hAnsi="Times New Roman"/>
          <w:color w:val="auto"/>
        </w:rPr>
      </w:pPr>
      <w:r>
        <w:rPr>
          <w:rFonts w:ascii="Times New Roman" w:hAnsi="Times New Roman"/>
          <w:color w:val="auto"/>
        </w:rPr>
        <w:t>附件一：开标记录表</w:t>
      </w:r>
      <w:bookmarkEnd w:id="434"/>
      <w:bookmarkEnd w:id="435"/>
    </w:p>
    <w:p>
      <w:pPr>
        <w:spacing w:line="440" w:lineRule="exact"/>
        <w:ind w:firstLine="560" w:firstLineChars="200"/>
        <w:jc w:val="center"/>
        <w:rPr>
          <w:rFonts w:ascii="Times New Roman" w:hAnsi="Times New Roman" w:eastAsia="黑体"/>
          <w:color w:val="auto"/>
          <w:sz w:val="28"/>
        </w:rPr>
      </w:pPr>
      <w:r>
        <w:rPr>
          <w:rFonts w:ascii="Times New Roman" w:hAnsi="Times New Roman" w:eastAsia="黑体"/>
          <w:color w:val="auto"/>
          <w:sz w:val="28"/>
        </w:rPr>
        <w:t>开标记录表</w:t>
      </w:r>
    </w:p>
    <w:p>
      <w:pPr>
        <w:spacing w:line="400" w:lineRule="exact"/>
        <w:ind w:firstLine="420" w:firstLineChars="200"/>
        <w:rPr>
          <w:rFonts w:ascii="Times New Roman" w:hAnsi="Times New Roman"/>
          <w:color w:val="auto"/>
        </w:rPr>
      </w:pPr>
      <w:r>
        <w:rPr>
          <w:rFonts w:ascii="Times New Roman" w:hAnsi="Times New Roman"/>
          <w:color w:val="auto"/>
        </w:rPr>
        <w:t>开标时间：</w:t>
      </w:r>
      <w:r>
        <w:rPr>
          <w:rFonts w:ascii="Times New Roman" w:hAnsi="Times New Roman"/>
          <w:color w:val="auto"/>
          <w:u w:val="single"/>
        </w:rPr>
        <w:t xml:space="preserve">         </w:t>
      </w:r>
      <w:r>
        <w:rPr>
          <w:rFonts w:ascii="Times New Roman" w:hAnsi="Times New Roman"/>
          <w:color w:val="auto"/>
        </w:rPr>
        <w:t>年</w:t>
      </w:r>
      <w:r>
        <w:rPr>
          <w:rFonts w:ascii="Times New Roman" w:hAnsi="Times New Roman"/>
          <w:color w:val="auto"/>
          <w:u w:val="single"/>
        </w:rPr>
        <w:t xml:space="preserve">         </w:t>
      </w:r>
      <w:r>
        <w:rPr>
          <w:rFonts w:ascii="Times New Roman" w:hAnsi="Times New Roman"/>
          <w:color w:val="auto"/>
        </w:rPr>
        <w:t>月</w:t>
      </w:r>
      <w:r>
        <w:rPr>
          <w:rFonts w:ascii="Times New Roman" w:hAnsi="Times New Roman"/>
          <w:color w:val="auto"/>
          <w:u w:val="single"/>
        </w:rPr>
        <w:t xml:space="preserve">         </w:t>
      </w:r>
      <w:r>
        <w:rPr>
          <w:rFonts w:ascii="Times New Roman" w:hAnsi="Times New Roman"/>
          <w:color w:val="auto"/>
        </w:rPr>
        <w:t>日</w:t>
      </w:r>
      <w:r>
        <w:rPr>
          <w:rFonts w:ascii="Times New Roman" w:hAnsi="Times New Roman"/>
          <w:color w:val="auto"/>
          <w:u w:val="single"/>
        </w:rPr>
        <w:t xml:space="preserve">         </w:t>
      </w:r>
      <w:r>
        <w:rPr>
          <w:rFonts w:ascii="Times New Roman" w:hAnsi="Times New Roman"/>
          <w:color w:val="auto"/>
        </w:rPr>
        <w:t>时</w:t>
      </w:r>
      <w:r>
        <w:rPr>
          <w:rFonts w:ascii="Times New Roman" w:hAnsi="Times New Roman"/>
          <w:color w:val="auto"/>
          <w:u w:val="single"/>
        </w:rPr>
        <w:t xml:space="preserve">         </w:t>
      </w:r>
      <w:r>
        <w:rPr>
          <w:rFonts w:ascii="Times New Roman" w:hAnsi="Times New Roman"/>
          <w:color w:val="auto"/>
        </w:rPr>
        <w:t>分</w:t>
      </w:r>
    </w:p>
    <w:tbl>
      <w:tblPr>
        <w:tblStyle w:val="23"/>
        <w:tblW w:w="8850" w:type="dxa"/>
        <w:tblInd w:w="0" w:type="dxa"/>
        <w:tblLayout w:type="fixed"/>
        <w:tblCellMar>
          <w:top w:w="0" w:type="dxa"/>
          <w:left w:w="108" w:type="dxa"/>
          <w:bottom w:w="0" w:type="dxa"/>
          <w:right w:w="108" w:type="dxa"/>
        </w:tblCellMar>
      </w:tblPr>
      <w:tblGrid>
        <w:gridCol w:w="494"/>
        <w:gridCol w:w="777"/>
        <w:gridCol w:w="756"/>
        <w:gridCol w:w="816"/>
        <w:gridCol w:w="913"/>
        <w:gridCol w:w="933"/>
        <w:gridCol w:w="793"/>
        <w:gridCol w:w="885"/>
        <w:gridCol w:w="915"/>
        <w:gridCol w:w="653"/>
        <w:gridCol w:w="915"/>
      </w:tblGrid>
      <w:tr>
        <w:tblPrEx>
          <w:tblCellMar>
            <w:top w:w="0" w:type="dxa"/>
            <w:left w:w="108" w:type="dxa"/>
            <w:bottom w:w="0" w:type="dxa"/>
            <w:right w:w="108" w:type="dxa"/>
          </w:tblCellMar>
        </w:tblPrEx>
        <w:trPr>
          <w:trHeight w:val="1019" w:hRule="atLeast"/>
        </w:trPr>
        <w:tc>
          <w:tcPr>
            <w:tcW w:w="494" w:type="dxa"/>
            <w:tcBorders>
              <w:top w:val="single" w:color="auto" w:sz="4" w:space="0"/>
              <w:left w:val="single" w:color="auto" w:sz="4" w:space="0"/>
              <w:bottom w:val="single" w:color="auto" w:sz="4" w:space="0"/>
              <w:right w:val="single" w:color="auto" w:sz="4" w:space="0"/>
            </w:tcBorders>
            <w:vAlign w:val="center"/>
          </w:tcPr>
          <w:p>
            <w:pPr>
              <w:spacing w:line="360" w:lineRule="auto"/>
              <w:ind w:firstLine="360" w:firstLineChars="200"/>
              <w:jc w:val="center"/>
              <w:rPr>
                <w:rFonts w:ascii="Times New Roman" w:hAnsi="Times New Roman"/>
                <w:color w:val="auto"/>
                <w:sz w:val="18"/>
              </w:rPr>
            </w:pPr>
            <w:r>
              <w:rPr>
                <w:rFonts w:ascii="Times New Roman" w:hAnsi="Times New Roman"/>
                <w:color w:val="auto"/>
                <w:sz w:val="18"/>
              </w:rPr>
              <w:t>序</w:t>
            </w:r>
            <w:r>
              <w:rPr>
                <w:rFonts w:hint="eastAsia" w:ascii="Times New Roman" w:hAnsi="Times New Roman"/>
                <w:color w:val="auto"/>
                <w:sz w:val="18"/>
              </w:rPr>
              <w:t>序</w:t>
            </w:r>
            <w:r>
              <w:rPr>
                <w:rFonts w:ascii="Times New Roman" w:hAnsi="Times New Roman"/>
                <w:color w:val="auto"/>
                <w:sz w:val="18"/>
              </w:rPr>
              <w:t>号</w:t>
            </w:r>
          </w:p>
        </w:tc>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olor w:val="auto"/>
                <w:sz w:val="18"/>
              </w:rPr>
            </w:pPr>
            <w:r>
              <w:rPr>
                <w:rFonts w:ascii="Times New Roman" w:hAnsi="Times New Roman"/>
                <w:color w:val="auto"/>
                <w:sz w:val="18"/>
              </w:rPr>
              <w:t>投标人</w:t>
            </w:r>
          </w:p>
        </w:tc>
        <w:tc>
          <w:tcPr>
            <w:tcW w:w="7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olor w:val="auto"/>
                <w:sz w:val="18"/>
              </w:rPr>
            </w:pPr>
            <w:r>
              <w:rPr>
                <w:rFonts w:ascii="Times New Roman" w:hAnsi="Times New Roman"/>
                <w:color w:val="auto"/>
                <w:sz w:val="18"/>
              </w:rPr>
              <w:t>密封情况</w:t>
            </w:r>
          </w:p>
        </w:tc>
        <w:tc>
          <w:tcPr>
            <w:tcW w:w="8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olor w:val="auto"/>
                <w:sz w:val="18"/>
              </w:rPr>
            </w:pPr>
            <w:r>
              <w:rPr>
                <w:rFonts w:ascii="Times New Roman" w:hAnsi="Times New Roman"/>
                <w:color w:val="auto"/>
                <w:sz w:val="18"/>
              </w:rPr>
              <w:t>投标保证金</w:t>
            </w:r>
          </w:p>
        </w:tc>
        <w:tc>
          <w:tcPr>
            <w:tcW w:w="9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olor w:val="auto"/>
                <w:sz w:val="18"/>
              </w:rPr>
            </w:pPr>
            <w:r>
              <w:rPr>
                <w:rFonts w:ascii="Times New Roman" w:hAnsi="Times New Roman"/>
                <w:color w:val="auto"/>
                <w:sz w:val="18"/>
              </w:rPr>
              <w:t>投标报价（万元）</w:t>
            </w:r>
          </w:p>
        </w:tc>
        <w:tc>
          <w:tcPr>
            <w:tcW w:w="9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olor w:val="auto"/>
                <w:sz w:val="18"/>
              </w:rPr>
            </w:pPr>
            <w:r>
              <w:rPr>
                <w:rFonts w:ascii="Times New Roman" w:hAnsi="Times New Roman"/>
                <w:color w:val="auto"/>
                <w:sz w:val="18"/>
              </w:rPr>
              <w:t>总监理工程师</w:t>
            </w:r>
          </w:p>
        </w:tc>
        <w:tc>
          <w:tcPr>
            <w:tcW w:w="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olor w:val="auto"/>
                <w:sz w:val="18"/>
              </w:rPr>
            </w:pPr>
            <w:r>
              <w:rPr>
                <w:rFonts w:ascii="Times New Roman" w:hAnsi="Times New Roman"/>
                <w:color w:val="auto"/>
                <w:sz w:val="18"/>
              </w:rPr>
              <w:t>监理服务期限</w:t>
            </w:r>
          </w:p>
        </w:tc>
        <w:tc>
          <w:tcPr>
            <w:tcW w:w="8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olor w:val="auto"/>
                <w:sz w:val="18"/>
              </w:rPr>
            </w:pPr>
            <w:r>
              <w:rPr>
                <w:rFonts w:hint="eastAsia" w:ascii="Times New Roman" w:hAnsi="Times New Roman"/>
                <w:color w:val="auto"/>
                <w:sz w:val="18"/>
              </w:rPr>
              <w:t>投标文件递交情况</w:t>
            </w:r>
          </w:p>
        </w:tc>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olor w:val="auto"/>
                <w:sz w:val="18"/>
              </w:rPr>
            </w:pPr>
            <w:r>
              <w:rPr>
                <w:rFonts w:hint="eastAsia" w:ascii="Times New Roman" w:hAnsi="Times New Roman"/>
                <w:color w:val="auto"/>
                <w:sz w:val="18"/>
              </w:rPr>
              <w:t>投标文件解密情况</w:t>
            </w:r>
          </w:p>
        </w:tc>
        <w:tc>
          <w:tcPr>
            <w:tcW w:w="6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olor w:val="auto"/>
                <w:sz w:val="18"/>
              </w:rPr>
            </w:pPr>
            <w:r>
              <w:rPr>
                <w:rFonts w:ascii="Times New Roman" w:hAnsi="Times New Roman"/>
                <w:color w:val="auto"/>
                <w:sz w:val="18"/>
              </w:rPr>
              <w:t>备注</w:t>
            </w:r>
          </w:p>
        </w:tc>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olor w:val="auto"/>
                <w:sz w:val="18"/>
              </w:rPr>
            </w:pPr>
            <w:r>
              <w:rPr>
                <w:rFonts w:ascii="Times New Roman" w:hAnsi="Times New Roman"/>
                <w:color w:val="auto"/>
                <w:sz w:val="18"/>
              </w:rPr>
              <w:t>投标人代表签名</w:t>
            </w:r>
          </w:p>
        </w:tc>
      </w:tr>
      <w:tr>
        <w:tblPrEx>
          <w:tblCellMar>
            <w:top w:w="0" w:type="dxa"/>
            <w:left w:w="108" w:type="dxa"/>
            <w:bottom w:w="0" w:type="dxa"/>
            <w:right w:w="108" w:type="dxa"/>
          </w:tblCellMar>
        </w:tblPrEx>
        <w:trPr>
          <w:trHeight w:val="503" w:hRule="atLeast"/>
        </w:trPr>
        <w:tc>
          <w:tcPr>
            <w:tcW w:w="494"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777"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756"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816"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91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93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79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885"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915"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65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915"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r>
      <w:tr>
        <w:tblPrEx>
          <w:tblCellMar>
            <w:top w:w="0" w:type="dxa"/>
            <w:left w:w="108" w:type="dxa"/>
            <w:bottom w:w="0" w:type="dxa"/>
            <w:right w:w="108" w:type="dxa"/>
          </w:tblCellMar>
        </w:tblPrEx>
        <w:trPr>
          <w:trHeight w:val="517" w:hRule="atLeast"/>
        </w:trPr>
        <w:tc>
          <w:tcPr>
            <w:tcW w:w="494"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777"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756"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816"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91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93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79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885"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915"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65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915"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r>
      <w:tr>
        <w:tblPrEx>
          <w:tblCellMar>
            <w:top w:w="0" w:type="dxa"/>
            <w:left w:w="108" w:type="dxa"/>
            <w:bottom w:w="0" w:type="dxa"/>
            <w:right w:w="108" w:type="dxa"/>
          </w:tblCellMar>
        </w:tblPrEx>
        <w:trPr>
          <w:trHeight w:val="503" w:hRule="atLeast"/>
        </w:trPr>
        <w:tc>
          <w:tcPr>
            <w:tcW w:w="494"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777"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756"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816"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91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93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79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885"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915"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65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915"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r>
      <w:tr>
        <w:tblPrEx>
          <w:tblCellMar>
            <w:top w:w="0" w:type="dxa"/>
            <w:left w:w="108" w:type="dxa"/>
            <w:bottom w:w="0" w:type="dxa"/>
            <w:right w:w="108" w:type="dxa"/>
          </w:tblCellMar>
        </w:tblPrEx>
        <w:trPr>
          <w:trHeight w:val="517" w:hRule="atLeast"/>
        </w:trPr>
        <w:tc>
          <w:tcPr>
            <w:tcW w:w="494"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777"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756"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816"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91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93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79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885"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915"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65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915"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r>
      <w:tr>
        <w:tblPrEx>
          <w:tblCellMar>
            <w:top w:w="0" w:type="dxa"/>
            <w:left w:w="108" w:type="dxa"/>
            <w:bottom w:w="0" w:type="dxa"/>
            <w:right w:w="108" w:type="dxa"/>
          </w:tblCellMar>
        </w:tblPrEx>
        <w:trPr>
          <w:trHeight w:val="517" w:hRule="atLeast"/>
        </w:trPr>
        <w:tc>
          <w:tcPr>
            <w:tcW w:w="494"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777"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756"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816"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91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93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79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885"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915"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65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915"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r>
      <w:tr>
        <w:tblPrEx>
          <w:tblCellMar>
            <w:top w:w="0" w:type="dxa"/>
            <w:left w:w="108" w:type="dxa"/>
            <w:bottom w:w="0" w:type="dxa"/>
            <w:right w:w="108" w:type="dxa"/>
          </w:tblCellMar>
        </w:tblPrEx>
        <w:trPr>
          <w:trHeight w:val="503" w:hRule="atLeast"/>
        </w:trPr>
        <w:tc>
          <w:tcPr>
            <w:tcW w:w="494"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777"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756"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816"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91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93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79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885"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915"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65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915"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r>
      <w:tr>
        <w:tblPrEx>
          <w:tblCellMar>
            <w:top w:w="0" w:type="dxa"/>
            <w:left w:w="108" w:type="dxa"/>
            <w:bottom w:w="0" w:type="dxa"/>
            <w:right w:w="108" w:type="dxa"/>
          </w:tblCellMar>
        </w:tblPrEx>
        <w:trPr>
          <w:trHeight w:val="517" w:hRule="atLeast"/>
        </w:trPr>
        <w:tc>
          <w:tcPr>
            <w:tcW w:w="494"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777"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756"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816"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91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93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79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885"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915"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65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915"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r>
      <w:tr>
        <w:tblPrEx>
          <w:tblCellMar>
            <w:top w:w="0" w:type="dxa"/>
            <w:left w:w="108" w:type="dxa"/>
            <w:bottom w:w="0" w:type="dxa"/>
            <w:right w:w="108" w:type="dxa"/>
          </w:tblCellMar>
        </w:tblPrEx>
        <w:trPr>
          <w:trHeight w:val="503" w:hRule="atLeast"/>
        </w:trPr>
        <w:tc>
          <w:tcPr>
            <w:tcW w:w="494"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777"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756"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816"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91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93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79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885"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915"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65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915"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r>
      <w:tr>
        <w:tblPrEx>
          <w:tblCellMar>
            <w:top w:w="0" w:type="dxa"/>
            <w:left w:w="108" w:type="dxa"/>
            <w:bottom w:w="0" w:type="dxa"/>
            <w:right w:w="108" w:type="dxa"/>
          </w:tblCellMar>
        </w:tblPrEx>
        <w:trPr>
          <w:trHeight w:val="516" w:hRule="atLeast"/>
        </w:trPr>
        <w:tc>
          <w:tcPr>
            <w:tcW w:w="494"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777"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756"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816"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91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93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79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885"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915"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65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915"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r>
      <w:tr>
        <w:tblPrEx>
          <w:tblCellMar>
            <w:top w:w="0" w:type="dxa"/>
            <w:left w:w="108" w:type="dxa"/>
            <w:bottom w:w="0" w:type="dxa"/>
            <w:right w:w="108" w:type="dxa"/>
          </w:tblCellMar>
        </w:tblPrEx>
        <w:trPr>
          <w:trHeight w:val="503" w:hRule="atLeast"/>
        </w:trPr>
        <w:tc>
          <w:tcPr>
            <w:tcW w:w="494"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777"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756"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816"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91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93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79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885"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915"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65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915"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bookmarkStart w:id="436" w:name="_Toc17638"/>
          </w:p>
        </w:tc>
      </w:tr>
      <w:tr>
        <w:tblPrEx>
          <w:tblCellMar>
            <w:top w:w="0" w:type="dxa"/>
            <w:left w:w="108" w:type="dxa"/>
            <w:bottom w:w="0" w:type="dxa"/>
            <w:right w:w="108" w:type="dxa"/>
          </w:tblCellMar>
        </w:tblPrEx>
        <w:trPr>
          <w:trHeight w:val="517" w:hRule="atLeast"/>
        </w:trPr>
        <w:tc>
          <w:tcPr>
            <w:tcW w:w="494"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777"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756"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816"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91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93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79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885"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915"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653"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c>
          <w:tcPr>
            <w:tcW w:w="915" w:type="dxa"/>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p>
        </w:tc>
      </w:tr>
      <w:bookmarkEnd w:id="436"/>
      <w:tr>
        <w:tblPrEx>
          <w:tblCellMar>
            <w:top w:w="0" w:type="dxa"/>
            <w:left w:w="108" w:type="dxa"/>
            <w:bottom w:w="0" w:type="dxa"/>
            <w:right w:w="108" w:type="dxa"/>
          </w:tblCellMar>
        </w:tblPrEx>
        <w:trPr>
          <w:trHeight w:val="517" w:hRule="atLeast"/>
        </w:trPr>
        <w:tc>
          <w:tcPr>
            <w:tcW w:w="8850" w:type="dxa"/>
            <w:gridSpan w:val="11"/>
            <w:tcBorders>
              <w:top w:val="single" w:color="auto" w:sz="4" w:space="0"/>
              <w:left w:val="single" w:color="auto" w:sz="4" w:space="0"/>
              <w:bottom w:val="single" w:color="auto" w:sz="4" w:space="0"/>
              <w:right w:val="single" w:color="auto" w:sz="4" w:space="0"/>
            </w:tcBorders>
          </w:tcPr>
          <w:p>
            <w:pPr>
              <w:spacing w:line="500" w:lineRule="exact"/>
              <w:ind w:firstLine="420" w:firstLineChars="200"/>
              <w:rPr>
                <w:rFonts w:ascii="Times New Roman" w:hAnsi="Times New Roman"/>
                <w:color w:val="auto"/>
              </w:rPr>
            </w:pPr>
            <w:r>
              <w:rPr>
                <w:rFonts w:ascii="Times New Roman" w:hAnsi="Times New Roman"/>
                <w:color w:val="auto"/>
              </w:rPr>
              <w:t>最高投标限价：</w:t>
            </w:r>
          </w:p>
        </w:tc>
      </w:tr>
    </w:tbl>
    <w:p>
      <w:pPr>
        <w:spacing w:line="440" w:lineRule="exact"/>
        <w:ind w:firstLine="420" w:firstLineChars="200"/>
        <w:rPr>
          <w:rFonts w:ascii="Times New Roman" w:hAnsi="Times New Roman"/>
          <w:color w:val="auto"/>
        </w:rPr>
      </w:pPr>
      <w:r>
        <w:rPr>
          <w:rFonts w:ascii="Times New Roman" w:hAnsi="Times New Roman"/>
          <w:color w:val="auto"/>
        </w:rPr>
        <w:t>　　　</w:t>
      </w:r>
    </w:p>
    <w:p>
      <w:pPr>
        <w:spacing w:line="620" w:lineRule="exact"/>
        <w:ind w:firstLine="420" w:firstLineChars="200"/>
        <w:rPr>
          <w:rFonts w:ascii="Times New Roman" w:hAnsi="Times New Roman"/>
          <w:color w:val="auto"/>
        </w:rPr>
      </w:pPr>
      <w:r>
        <w:rPr>
          <w:rFonts w:ascii="Times New Roman" w:hAnsi="Times New Roman"/>
          <w:color w:val="auto"/>
        </w:rPr>
        <w:t>招标人代表：</w:t>
      </w:r>
      <w:r>
        <w:rPr>
          <w:rFonts w:ascii="Times New Roman" w:hAnsi="Times New Roman"/>
          <w:color w:val="auto"/>
          <w:u w:val="single"/>
        </w:rPr>
        <w:t xml:space="preserve">       </w:t>
      </w:r>
      <w:r>
        <w:rPr>
          <w:rFonts w:ascii="Times New Roman" w:hAnsi="Times New Roman"/>
          <w:color w:val="auto"/>
        </w:rPr>
        <w:t xml:space="preserve">        记录人：</w:t>
      </w:r>
      <w:r>
        <w:rPr>
          <w:rFonts w:ascii="Times New Roman" w:hAnsi="Times New Roman"/>
          <w:color w:val="auto"/>
          <w:u w:val="single"/>
        </w:rPr>
        <w:t xml:space="preserve">       </w:t>
      </w:r>
      <w:r>
        <w:rPr>
          <w:rFonts w:ascii="Times New Roman" w:hAnsi="Times New Roman"/>
          <w:color w:val="auto"/>
        </w:rPr>
        <w:t xml:space="preserve">       监标人：</w:t>
      </w:r>
      <w:r>
        <w:rPr>
          <w:rFonts w:ascii="Times New Roman" w:hAnsi="Times New Roman"/>
          <w:color w:val="auto"/>
          <w:u w:val="single"/>
        </w:rPr>
        <w:t xml:space="preserve">       </w:t>
      </w:r>
    </w:p>
    <w:p>
      <w:pPr>
        <w:spacing w:line="620" w:lineRule="exact"/>
        <w:ind w:firstLine="420" w:firstLineChars="200"/>
        <w:rPr>
          <w:rFonts w:ascii="Times New Roman" w:hAnsi="Times New Roman"/>
          <w:color w:val="auto"/>
          <w:sz w:val="20"/>
        </w:rPr>
      </w:pPr>
      <w:r>
        <w:rPr>
          <w:rFonts w:ascii="Times New Roman" w:hAnsi="Times New Roman"/>
          <w:color w:val="auto"/>
          <w:u w:val="single"/>
        </w:rPr>
        <w:t xml:space="preserve">       </w:t>
      </w:r>
      <w:r>
        <w:rPr>
          <w:rFonts w:ascii="Times New Roman" w:hAnsi="Times New Roman"/>
          <w:color w:val="auto"/>
        </w:rPr>
        <w:t>年</w:t>
      </w:r>
      <w:r>
        <w:rPr>
          <w:rFonts w:ascii="Times New Roman" w:hAnsi="Times New Roman"/>
          <w:color w:val="auto"/>
          <w:u w:val="single"/>
        </w:rPr>
        <w:t xml:space="preserve">       </w:t>
      </w:r>
      <w:r>
        <w:rPr>
          <w:rFonts w:ascii="Times New Roman" w:hAnsi="Times New Roman"/>
          <w:color w:val="auto"/>
        </w:rPr>
        <w:t>月</w:t>
      </w:r>
      <w:r>
        <w:rPr>
          <w:rFonts w:ascii="Times New Roman" w:hAnsi="Times New Roman"/>
          <w:color w:val="auto"/>
          <w:u w:val="single"/>
        </w:rPr>
        <w:t xml:space="preserve">       </w:t>
      </w:r>
      <w:r>
        <w:rPr>
          <w:rFonts w:ascii="Times New Roman" w:hAnsi="Times New Roman"/>
          <w:color w:val="auto"/>
        </w:rPr>
        <w:t>日</w:t>
      </w:r>
    </w:p>
    <w:p>
      <w:pPr>
        <w:spacing w:line="440" w:lineRule="exact"/>
        <w:ind w:firstLine="420" w:firstLineChars="200"/>
        <w:rPr>
          <w:rFonts w:ascii="Times New Roman" w:hAnsi="Times New Roman"/>
          <w:color w:val="auto"/>
        </w:rPr>
      </w:pPr>
    </w:p>
    <w:p>
      <w:pPr>
        <w:spacing w:line="440" w:lineRule="exact"/>
        <w:ind w:firstLine="420" w:firstLineChars="200"/>
        <w:rPr>
          <w:rFonts w:ascii="Times New Roman" w:hAnsi="Times New Roman"/>
          <w:color w:val="auto"/>
        </w:rPr>
      </w:pPr>
    </w:p>
    <w:p>
      <w:pPr>
        <w:spacing w:line="440" w:lineRule="exact"/>
        <w:ind w:firstLine="420" w:firstLineChars="200"/>
        <w:rPr>
          <w:rFonts w:ascii="Times New Roman" w:hAnsi="Times New Roman"/>
          <w:color w:val="auto"/>
        </w:rPr>
      </w:pPr>
    </w:p>
    <w:p>
      <w:pPr>
        <w:widowControl/>
        <w:jc w:val="left"/>
        <w:rPr>
          <w:rFonts w:ascii="Times New Roman" w:hAnsi="Times New Roman" w:eastAsia="黑体"/>
          <w:color w:val="auto"/>
          <w:sz w:val="28"/>
          <w:szCs w:val="20"/>
        </w:rPr>
      </w:pPr>
      <w:bookmarkStart w:id="437" w:name="_Toc527028504"/>
      <w:bookmarkStart w:id="438" w:name="_Toc89870605"/>
      <w:r>
        <w:rPr>
          <w:rFonts w:ascii="Times New Roman" w:hAnsi="Times New Roman"/>
          <w:color w:val="auto"/>
        </w:rPr>
        <w:br w:type="page"/>
      </w:r>
    </w:p>
    <w:p>
      <w:pPr>
        <w:pStyle w:val="6"/>
        <w:keepNext w:val="0"/>
        <w:keepLines w:val="0"/>
        <w:spacing w:before="0" w:after="0" w:line="413" w:lineRule="auto"/>
        <w:ind w:firstLine="560" w:firstLineChars="200"/>
        <w:rPr>
          <w:rFonts w:ascii="Times New Roman" w:hAnsi="Times New Roman"/>
          <w:color w:val="auto"/>
        </w:rPr>
      </w:pPr>
      <w:r>
        <w:rPr>
          <w:rFonts w:ascii="Times New Roman" w:hAnsi="Times New Roman"/>
          <w:color w:val="auto"/>
        </w:rPr>
        <w:t>附件二：问题澄清通知</w:t>
      </w:r>
      <w:bookmarkEnd w:id="437"/>
      <w:bookmarkEnd w:id="438"/>
    </w:p>
    <w:p>
      <w:pPr>
        <w:spacing w:line="440" w:lineRule="exact"/>
        <w:ind w:firstLine="420" w:firstLineChars="200"/>
        <w:rPr>
          <w:rFonts w:ascii="Times New Roman" w:hAnsi="Times New Roman"/>
          <w:color w:val="auto"/>
        </w:rPr>
      </w:pPr>
    </w:p>
    <w:p>
      <w:pPr>
        <w:spacing w:line="440" w:lineRule="exact"/>
        <w:ind w:firstLine="560" w:firstLineChars="200"/>
        <w:jc w:val="center"/>
        <w:rPr>
          <w:rFonts w:ascii="Times New Roman" w:hAnsi="Times New Roman" w:eastAsia="黑体"/>
          <w:color w:val="auto"/>
          <w:sz w:val="28"/>
        </w:rPr>
      </w:pPr>
      <w:r>
        <w:rPr>
          <w:rFonts w:ascii="Times New Roman" w:hAnsi="Times New Roman" w:eastAsia="黑体"/>
          <w:color w:val="auto"/>
          <w:sz w:val="28"/>
        </w:rPr>
        <w:t>问题澄清通知</w:t>
      </w:r>
    </w:p>
    <w:p>
      <w:pPr>
        <w:spacing w:line="440" w:lineRule="exact"/>
        <w:ind w:firstLine="420" w:firstLineChars="200"/>
        <w:rPr>
          <w:rFonts w:ascii="Times New Roman" w:hAnsi="Times New Roman"/>
          <w:color w:val="auto"/>
        </w:rPr>
      </w:pPr>
      <w:r>
        <w:rPr>
          <w:rFonts w:ascii="Times New Roman" w:hAnsi="Times New Roman"/>
          <w:color w:val="auto"/>
        </w:rPr>
        <w:t>（编号：</w:t>
      </w:r>
      <w:r>
        <w:rPr>
          <w:rFonts w:ascii="Times New Roman" w:hAnsi="Times New Roman" w:eastAsia="黑体"/>
          <w:color w:val="auto"/>
          <w:sz w:val="28"/>
          <w:u w:val="single"/>
        </w:rPr>
        <w:t xml:space="preserve">               </w:t>
      </w:r>
      <w:r>
        <w:rPr>
          <w:rFonts w:ascii="Times New Roman" w:hAnsi="Times New Roman"/>
          <w:color w:val="auto"/>
        </w:rPr>
        <w:t>）</w:t>
      </w:r>
    </w:p>
    <w:p>
      <w:pPr>
        <w:spacing w:line="440" w:lineRule="exact"/>
        <w:ind w:firstLine="420" w:firstLineChars="200"/>
        <w:rPr>
          <w:rFonts w:ascii="Times New Roman" w:hAnsi="Times New Roman"/>
          <w:color w:val="auto"/>
        </w:rPr>
      </w:pPr>
    </w:p>
    <w:p>
      <w:pPr>
        <w:spacing w:line="440" w:lineRule="exact"/>
        <w:ind w:firstLine="420" w:firstLineChars="200"/>
        <w:rPr>
          <w:rFonts w:ascii="Times New Roman" w:hAnsi="Times New Roman"/>
          <w:color w:val="auto"/>
        </w:rPr>
      </w:pPr>
      <w:r>
        <w:rPr>
          <w:rFonts w:ascii="Times New Roman" w:hAnsi="Times New Roman"/>
          <w:color w:val="auto"/>
          <w:u w:val="single"/>
        </w:rPr>
        <w:t xml:space="preserve">                     </w:t>
      </w:r>
      <w:r>
        <w:rPr>
          <w:rFonts w:ascii="Times New Roman" w:hAnsi="Times New Roman"/>
          <w:color w:val="auto"/>
        </w:rPr>
        <w:t>（投标人名称）：</w:t>
      </w:r>
    </w:p>
    <w:p>
      <w:pPr>
        <w:spacing w:line="440" w:lineRule="exact"/>
        <w:ind w:firstLine="420" w:firstLineChars="200"/>
        <w:rPr>
          <w:rFonts w:ascii="Times New Roman" w:hAnsi="Times New Roman"/>
          <w:color w:val="auto"/>
        </w:rPr>
      </w:pPr>
    </w:p>
    <w:p>
      <w:pPr>
        <w:spacing w:line="440" w:lineRule="exact"/>
        <w:ind w:firstLine="420" w:firstLineChars="200"/>
        <w:rPr>
          <w:rFonts w:ascii="Times New Roman" w:hAnsi="Times New Roman"/>
          <w:color w:val="auto"/>
        </w:rPr>
      </w:pPr>
      <w:r>
        <w:rPr>
          <w:rFonts w:ascii="Times New Roman" w:hAnsi="Times New Roman"/>
          <w:color w:val="auto"/>
        </w:rPr>
        <w:t>　　评标委员会对你方的投标文件进行了仔细的审查，现需你方对下列问题以书</w:t>
      </w:r>
      <w:bookmarkStart w:id="439" w:name="_Toc247527601"/>
      <w:bookmarkStart w:id="440" w:name="_Toc144974544"/>
      <w:bookmarkStart w:id="441" w:name="_Toc23050"/>
      <w:bookmarkStart w:id="442" w:name="_Toc361508634"/>
      <w:bookmarkStart w:id="443" w:name="_Toc300834996"/>
      <w:bookmarkStart w:id="444" w:name="_Toc384308260"/>
      <w:bookmarkStart w:id="445" w:name="_Toc352691521"/>
      <w:bookmarkStart w:id="446" w:name="_Toc152045576"/>
      <w:bookmarkStart w:id="447" w:name="_Toc369531565"/>
      <w:bookmarkStart w:id="448" w:name="_Toc247514000"/>
      <w:bookmarkStart w:id="449" w:name="_Toc152042352"/>
      <w:r>
        <w:rPr>
          <w:rFonts w:ascii="Times New Roman" w:hAnsi="Times New Roman"/>
          <w:color w:val="auto"/>
        </w:rPr>
        <w:t>面形式予以澄清、说明或补正：</w:t>
      </w:r>
    </w:p>
    <w:p>
      <w:pPr>
        <w:spacing w:line="440" w:lineRule="exact"/>
        <w:ind w:firstLine="420" w:firstLineChars="200"/>
        <w:rPr>
          <w:rFonts w:ascii="Times New Roman" w:hAnsi="Times New Roman"/>
          <w:color w:val="auto"/>
        </w:rPr>
      </w:pPr>
      <w:r>
        <w:rPr>
          <w:rFonts w:ascii="Times New Roman" w:hAnsi="Times New Roman"/>
          <w:color w:val="auto"/>
        </w:rPr>
        <w:t>　　</w:t>
      </w:r>
    </w:p>
    <w:bookmarkEnd w:id="439"/>
    <w:bookmarkEnd w:id="440"/>
    <w:bookmarkEnd w:id="441"/>
    <w:bookmarkEnd w:id="442"/>
    <w:bookmarkEnd w:id="443"/>
    <w:bookmarkEnd w:id="444"/>
    <w:bookmarkEnd w:id="445"/>
    <w:bookmarkEnd w:id="446"/>
    <w:bookmarkEnd w:id="447"/>
    <w:bookmarkEnd w:id="448"/>
    <w:bookmarkEnd w:id="449"/>
    <w:p>
      <w:pPr>
        <w:spacing w:line="440" w:lineRule="exact"/>
        <w:ind w:firstLine="420" w:firstLineChars="200"/>
        <w:rPr>
          <w:rFonts w:ascii="Times New Roman" w:hAnsi="Times New Roman"/>
          <w:color w:val="auto"/>
        </w:rPr>
      </w:pPr>
      <w:r>
        <w:rPr>
          <w:rFonts w:ascii="Times New Roman" w:hAnsi="Times New Roman"/>
          <w:color w:val="auto"/>
        </w:rPr>
        <w:t xml:space="preserve">    1.</w:t>
      </w:r>
    </w:p>
    <w:p>
      <w:pPr>
        <w:spacing w:line="440" w:lineRule="exact"/>
        <w:ind w:firstLine="420" w:firstLineChars="200"/>
        <w:rPr>
          <w:rFonts w:ascii="Times New Roman" w:hAnsi="Times New Roman"/>
          <w:color w:val="auto"/>
        </w:rPr>
      </w:pPr>
      <w:r>
        <w:rPr>
          <w:rFonts w:ascii="Times New Roman" w:hAnsi="Times New Roman"/>
          <w:color w:val="auto"/>
        </w:rPr>
        <w:t xml:space="preserve">    2.</w:t>
      </w:r>
    </w:p>
    <w:p>
      <w:pPr>
        <w:spacing w:line="440" w:lineRule="exact"/>
        <w:ind w:firstLine="420" w:firstLineChars="200"/>
        <w:rPr>
          <w:rFonts w:ascii="Times New Roman" w:hAnsi="Times New Roman"/>
          <w:color w:val="auto"/>
        </w:rPr>
      </w:pPr>
      <w:r>
        <w:rPr>
          <w:rFonts w:ascii="Times New Roman" w:hAnsi="Times New Roman"/>
          <w:color w:val="auto"/>
        </w:rPr>
        <w:t xml:space="preserve">     ......   </w:t>
      </w:r>
    </w:p>
    <w:p>
      <w:pPr>
        <w:spacing w:line="440" w:lineRule="exact"/>
        <w:ind w:firstLine="420" w:firstLineChars="200"/>
        <w:rPr>
          <w:rFonts w:ascii="Times New Roman" w:hAnsi="Times New Roman"/>
          <w:color w:val="auto"/>
        </w:rPr>
      </w:pPr>
      <w:r>
        <w:rPr>
          <w:rFonts w:ascii="Times New Roman" w:hAnsi="Times New Roman"/>
          <w:color w:val="auto"/>
        </w:rPr>
        <w:t>　　　</w:t>
      </w:r>
    </w:p>
    <w:p>
      <w:pPr>
        <w:spacing w:line="440" w:lineRule="exact"/>
        <w:ind w:firstLine="420" w:firstLineChars="200"/>
        <w:rPr>
          <w:rFonts w:ascii="Times New Roman" w:hAnsi="Times New Roman"/>
          <w:color w:val="auto"/>
        </w:rPr>
      </w:pPr>
      <w:r>
        <w:rPr>
          <w:rFonts w:ascii="Times New Roman" w:hAnsi="Times New Roman"/>
          <w:color w:val="auto"/>
        </w:rPr>
        <w:t>请将上述问题的澄清、说明或补正于</w:t>
      </w:r>
      <w:r>
        <w:rPr>
          <w:rFonts w:ascii="Times New Roman" w:hAnsi="Times New Roman"/>
          <w:color w:val="auto"/>
          <w:u w:val="single"/>
        </w:rPr>
        <w:t xml:space="preserve">       </w:t>
      </w:r>
      <w:r>
        <w:rPr>
          <w:rFonts w:ascii="Times New Roman" w:hAnsi="Times New Roman"/>
          <w:color w:val="auto"/>
        </w:rPr>
        <w:t>年</w:t>
      </w:r>
      <w:r>
        <w:rPr>
          <w:rFonts w:ascii="Times New Roman" w:hAnsi="Times New Roman"/>
          <w:color w:val="auto"/>
          <w:u w:val="single"/>
        </w:rPr>
        <w:t xml:space="preserve">       </w:t>
      </w:r>
      <w:r>
        <w:rPr>
          <w:rFonts w:ascii="Times New Roman" w:hAnsi="Times New Roman"/>
          <w:color w:val="auto"/>
        </w:rPr>
        <w:t>月</w:t>
      </w:r>
      <w:r>
        <w:rPr>
          <w:rFonts w:ascii="Times New Roman" w:hAnsi="Times New Roman"/>
          <w:color w:val="auto"/>
          <w:u w:val="single"/>
        </w:rPr>
        <w:t xml:space="preserve">       </w:t>
      </w:r>
      <w:r>
        <w:rPr>
          <w:rFonts w:ascii="Times New Roman" w:hAnsi="Times New Roman"/>
          <w:color w:val="auto"/>
        </w:rPr>
        <w:t>日</w:t>
      </w:r>
      <w:r>
        <w:rPr>
          <w:rFonts w:ascii="Times New Roman" w:hAnsi="Times New Roman"/>
          <w:color w:val="auto"/>
          <w:u w:val="single"/>
        </w:rPr>
        <w:t xml:space="preserve">       </w:t>
      </w:r>
      <w:r>
        <w:rPr>
          <w:rFonts w:ascii="Times New Roman" w:hAnsi="Times New Roman"/>
          <w:color w:val="auto"/>
        </w:rPr>
        <w:t>时前递交至</w:t>
      </w:r>
      <w:bookmarkStart w:id="450" w:name="_Toc352691522"/>
      <w:bookmarkStart w:id="451" w:name="_Toc152045577"/>
      <w:bookmarkStart w:id="452" w:name="_Toc384308261"/>
      <w:bookmarkStart w:id="453" w:name="_Toc28385"/>
      <w:bookmarkStart w:id="454" w:name="_Toc361508635"/>
      <w:bookmarkStart w:id="455" w:name="_Toc247514001"/>
      <w:bookmarkStart w:id="456" w:name="_Toc144974545"/>
      <w:bookmarkStart w:id="457" w:name="_Toc247527602"/>
      <w:bookmarkStart w:id="458" w:name="_Toc152042353"/>
      <w:bookmarkStart w:id="459" w:name="_Toc300834997"/>
      <w:bookmarkStart w:id="460" w:name="_Toc369531566"/>
    </w:p>
    <w:p>
      <w:pPr>
        <w:spacing w:line="440" w:lineRule="exact"/>
        <w:ind w:firstLine="420" w:firstLineChars="200"/>
        <w:rPr>
          <w:rFonts w:ascii="Times New Roman" w:hAnsi="Times New Roman"/>
          <w:color w:val="auto"/>
        </w:rPr>
      </w:pPr>
      <w:r>
        <w:rPr>
          <w:rFonts w:ascii="Times New Roman" w:hAnsi="Times New Roman"/>
          <w:color w:val="auto"/>
          <w:u w:val="single"/>
        </w:rPr>
        <w:t xml:space="preserve">                            </w:t>
      </w:r>
      <w:r>
        <w:rPr>
          <w:rFonts w:ascii="Times New Roman" w:hAnsi="Times New Roman"/>
          <w:color w:val="auto"/>
        </w:rPr>
        <w:t>（详细地址）或传真至</w:t>
      </w:r>
      <w:bookmarkEnd w:id="450"/>
      <w:bookmarkEnd w:id="451"/>
      <w:bookmarkEnd w:id="452"/>
      <w:bookmarkEnd w:id="453"/>
      <w:bookmarkEnd w:id="454"/>
      <w:bookmarkEnd w:id="455"/>
      <w:bookmarkEnd w:id="456"/>
      <w:bookmarkEnd w:id="457"/>
      <w:bookmarkEnd w:id="458"/>
      <w:bookmarkEnd w:id="459"/>
      <w:bookmarkEnd w:id="460"/>
      <w:r>
        <w:rPr>
          <w:rFonts w:ascii="Times New Roman" w:hAnsi="Times New Roman"/>
          <w:color w:val="auto"/>
          <w:u w:val="single"/>
        </w:rPr>
        <w:t xml:space="preserve">                     </w:t>
      </w:r>
      <w:r>
        <w:rPr>
          <w:rFonts w:ascii="Times New Roman" w:hAnsi="Times New Roman"/>
          <w:color w:val="auto"/>
        </w:rPr>
        <w:t>（传真号码）或通过下载招标文件的电子招标交易平台上传。采用传真方式的，应在</w:t>
      </w:r>
      <w:r>
        <w:rPr>
          <w:rFonts w:ascii="Times New Roman" w:hAnsi="Times New Roman"/>
          <w:color w:val="auto"/>
          <w:u w:val="single"/>
        </w:rPr>
        <w:t xml:space="preserve">       </w:t>
      </w:r>
      <w:r>
        <w:rPr>
          <w:rFonts w:ascii="Times New Roman" w:hAnsi="Times New Roman"/>
          <w:color w:val="auto"/>
        </w:rPr>
        <w:t>年</w:t>
      </w:r>
      <w:r>
        <w:rPr>
          <w:rFonts w:ascii="Times New Roman" w:hAnsi="Times New Roman"/>
          <w:color w:val="auto"/>
          <w:u w:val="single"/>
        </w:rPr>
        <w:t xml:space="preserve">       </w:t>
      </w:r>
      <w:r>
        <w:rPr>
          <w:rFonts w:ascii="Times New Roman" w:hAnsi="Times New Roman"/>
          <w:color w:val="auto"/>
        </w:rPr>
        <w:t>月</w:t>
      </w:r>
    </w:p>
    <w:p>
      <w:pPr>
        <w:spacing w:line="440" w:lineRule="exact"/>
        <w:ind w:firstLine="420" w:firstLineChars="200"/>
        <w:rPr>
          <w:rFonts w:ascii="Times New Roman" w:hAnsi="Times New Roman"/>
          <w:color w:val="auto"/>
        </w:rPr>
      </w:pPr>
      <w:r>
        <w:rPr>
          <w:rFonts w:ascii="Times New Roman" w:hAnsi="Times New Roman"/>
          <w:color w:val="auto"/>
          <w:u w:val="single"/>
        </w:rPr>
        <w:t xml:space="preserve">       </w:t>
      </w:r>
      <w:r>
        <w:rPr>
          <w:rFonts w:ascii="Times New Roman" w:hAnsi="Times New Roman"/>
          <w:color w:val="auto"/>
        </w:rPr>
        <w:t>日</w:t>
      </w:r>
      <w:r>
        <w:rPr>
          <w:rFonts w:ascii="Times New Roman" w:hAnsi="Times New Roman"/>
          <w:color w:val="auto"/>
          <w:u w:val="single"/>
        </w:rPr>
        <w:t xml:space="preserve">       </w:t>
      </w:r>
      <w:r>
        <w:rPr>
          <w:rFonts w:ascii="Times New Roman" w:hAnsi="Times New Roman"/>
          <w:color w:val="auto"/>
        </w:rPr>
        <w:t>时前将原件递交至</w:t>
      </w:r>
      <w:r>
        <w:rPr>
          <w:rFonts w:ascii="Times New Roman" w:hAnsi="Times New Roman"/>
          <w:color w:val="auto"/>
          <w:u w:val="single"/>
        </w:rPr>
        <w:t xml:space="preserve">                     </w:t>
      </w:r>
      <w:r>
        <w:rPr>
          <w:rFonts w:ascii="Times New Roman" w:hAnsi="Times New Roman"/>
          <w:color w:val="auto"/>
        </w:rPr>
        <w:t>（详细地址）。</w:t>
      </w:r>
    </w:p>
    <w:p>
      <w:pPr>
        <w:spacing w:line="440" w:lineRule="exact"/>
        <w:ind w:firstLine="420" w:firstLineChars="200"/>
        <w:rPr>
          <w:rFonts w:ascii="Times New Roman" w:hAnsi="Times New Roman"/>
          <w:color w:val="auto"/>
        </w:rPr>
      </w:pPr>
    </w:p>
    <w:p>
      <w:pPr>
        <w:spacing w:line="440" w:lineRule="exact"/>
        <w:ind w:firstLine="420" w:firstLineChars="200"/>
        <w:rPr>
          <w:rFonts w:ascii="Times New Roman" w:hAnsi="Times New Roman"/>
          <w:color w:val="auto"/>
        </w:rPr>
      </w:pPr>
    </w:p>
    <w:p>
      <w:pPr>
        <w:spacing w:line="440" w:lineRule="exact"/>
        <w:ind w:firstLine="420" w:firstLineChars="200"/>
        <w:jc w:val="right"/>
        <w:rPr>
          <w:rFonts w:ascii="Times New Roman" w:hAnsi="Times New Roman"/>
          <w:color w:val="auto"/>
        </w:rPr>
      </w:pPr>
      <w:r>
        <w:rPr>
          <w:rFonts w:ascii="Times New Roman" w:hAnsi="Times New Roman"/>
          <w:color w:val="auto"/>
        </w:rPr>
        <w:t>评标委员会授权的招标人或招标代理机构：</w:t>
      </w:r>
      <w:r>
        <w:rPr>
          <w:rFonts w:ascii="Times New Roman" w:hAnsi="Times New Roman" w:eastAsia="黑体"/>
          <w:color w:val="auto"/>
          <w:sz w:val="28"/>
          <w:u w:val="single"/>
        </w:rPr>
        <w:t xml:space="preserve">      </w:t>
      </w:r>
      <w:r>
        <w:rPr>
          <w:rFonts w:ascii="Times New Roman" w:hAnsi="Times New Roman"/>
          <w:color w:val="auto"/>
        </w:rPr>
        <w:t>（签字或盖章）</w:t>
      </w:r>
      <w:bookmarkStart w:id="461" w:name="_Toc152042354"/>
      <w:bookmarkStart w:id="462" w:name="_Toc300834998"/>
      <w:bookmarkStart w:id="463" w:name="_Toc6580"/>
      <w:bookmarkStart w:id="464" w:name="_Toc384308262"/>
      <w:bookmarkStart w:id="465" w:name="_Toc352691523"/>
      <w:bookmarkStart w:id="466" w:name="_Toc247514002"/>
      <w:bookmarkStart w:id="467" w:name="_Toc152045578"/>
      <w:bookmarkStart w:id="468" w:name="_Toc361508636"/>
      <w:bookmarkStart w:id="469" w:name="_Toc247527603"/>
      <w:bookmarkStart w:id="470" w:name="_Toc369531567"/>
      <w:bookmarkStart w:id="471" w:name="_Toc144974546"/>
    </w:p>
    <w:bookmarkEnd w:id="461"/>
    <w:bookmarkEnd w:id="462"/>
    <w:bookmarkEnd w:id="463"/>
    <w:bookmarkEnd w:id="464"/>
    <w:bookmarkEnd w:id="465"/>
    <w:bookmarkEnd w:id="466"/>
    <w:bookmarkEnd w:id="467"/>
    <w:bookmarkEnd w:id="468"/>
    <w:bookmarkEnd w:id="469"/>
    <w:bookmarkEnd w:id="470"/>
    <w:p>
      <w:pPr>
        <w:spacing w:line="440" w:lineRule="exact"/>
        <w:ind w:firstLine="420" w:firstLineChars="200"/>
        <w:rPr>
          <w:rFonts w:ascii="Times New Roman" w:hAnsi="Times New Roman"/>
          <w:color w:val="auto"/>
        </w:rPr>
      </w:pPr>
      <w:bookmarkStart w:id="472" w:name="_Toc152042355"/>
    </w:p>
    <w:p>
      <w:pPr>
        <w:spacing w:line="440" w:lineRule="exact"/>
        <w:ind w:firstLine="420" w:firstLineChars="200"/>
        <w:jc w:val="right"/>
        <w:rPr>
          <w:rFonts w:ascii="Times New Roman" w:hAnsi="Times New Roman"/>
          <w:color w:val="auto"/>
        </w:rPr>
      </w:pPr>
      <w:r>
        <w:rPr>
          <w:rFonts w:ascii="Times New Roman" w:hAnsi="Times New Roman"/>
          <w:color w:val="auto"/>
          <w:u w:val="single"/>
        </w:rPr>
        <w:t xml:space="preserve">        </w:t>
      </w:r>
      <w:r>
        <w:rPr>
          <w:rFonts w:ascii="Times New Roman" w:hAnsi="Times New Roman"/>
          <w:color w:val="auto"/>
        </w:rPr>
        <w:t>年</w:t>
      </w:r>
      <w:r>
        <w:rPr>
          <w:rFonts w:ascii="Times New Roman" w:hAnsi="Times New Roman"/>
          <w:color w:val="auto"/>
          <w:u w:val="single"/>
        </w:rPr>
        <w:t xml:space="preserve">       </w:t>
      </w:r>
      <w:r>
        <w:rPr>
          <w:rFonts w:ascii="Times New Roman" w:hAnsi="Times New Roman"/>
          <w:color w:val="auto"/>
        </w:rPr>
        <w:t>月</w:t>
      </w:r>
      <w:r>
        <w:rPr>
          <w:rFonts w:ascii="Times New Roman" w:hAnsi="Times New Roman"/>
          <w:color w:val="auto"/>
          <w:u w:val="single"/>
        </w:rPr>
        <w:t xml:space="preserve">       </w:t>
      </w:r>
      <w:r>
        <w:rPr>
          <w:rFonts w:ascii="Times New Roman" w:hAnsi="Times New Roman"/>
          <w:color w:val="auto"/>
        </w:rPr>
        <w:t>日</w:t>
      </w:r>
    </w:p>
    <w:p>
      <w:pPr>
        <w:rPr>
          <w:rFonts w:ascii="Times New Roman" w:hAnsi="Times New Roman"/>
          <w:color w:val="auto"/>
        </w:rPr>
      </w:pPr>
      <w:bookmarkStart w:id="473" w:name="_Toc527028505"/>
      <w:bookmarkStart w:id="474" w:name="_Toc89870606"/>
      <w:r>
        <w:rPr>
          <w:rFonts w:ascii="Times New Roman" w:hAnsi="Times New Roman"/>
          <w:color w:val="auto"/>
        </w:rPr>
        <w:br w:type="page"/>
      </w:r>
    </w:p>
    <w:p>
      <w:pPr>
        <w:pStyle w:val="6"/>
        <w:keepNext w:val="0"/>
        <w:keepLines w:val="0"/>
        <w:spacing w:before="0" w:after="0" w:line="413" w:lineRule="auto"/>
        <w:ind w:firstLine="560" w:firstLineChars="200"/>
        <w:rPr>
          <w:rFonts w:ascii="Times New Roman" w:hAnsi="Times New Roman"/>
          <w:color w:val="auto"/>
        </w:rPr>
      </w:pPr>
      <w:r>
        <w:rPr>
          <w:rFonts w:ascii="Times New Roman" w:hAnsi="Times New Roman"/>
          <w:color w:val="auto"/>
        </w:rPr>
        <w:t>附件三：问题的澄清</w:t>
      </w:r>
      <w:bookmarkEnd w:id="473"/>
      <w:bookmarkEnd w:id="474"/>
    </w:p>
    <w:p>
      <w:pPr>
        <w:spacing w:line="400" w:lineRule="exact"/>
        <w:ind w:firstLine="560" w:firstLineChars="200"/>
        <w:rPr>
          <w:rFonts w:ascii="Times New Roman" w:hAnsi="Times New Roman" w:eastAsia="黑体"/>
          <w:color w:val="auto"/>
          <w:sz w:val="28"/>
        </w:rPr>
      </w:pPr>
    </w:p>
    <w:p>
      <w:pPr>
        <w:spacing w:line="400" w:lineRule="exact"/>
        <w:ind w:firstLine="560" w:firstLineChars="200"/>
        <w:jc w:val="center"/>
        <w:rPr>
          <w:rFonts w:ascii="Times New Roman" w:hAnsi="Times New Roman" w:eastAsia="黑体"/>
          <w:color w:val="auto"/>
          <w:sz w:val="28"/>
        </w:rPr>
      </w:pPr>
      <w:r>
        <w:rPr>
          <w:rFonts w:ascii="Times New Roman" w:hAnsi="Times New Roman" w:eastAsia="黑体"/>
          <w:color w:val="auto"/>
          <w:sz w:val="28"/>
        </w:rPr>
        <w:t>问</w:t>
      </w:r>
      <w:bookmarkEnd w:id="472"/>
      <w:r>
        <w:rPr>
          <w:rFonts w:ascii="Times New Roman" w:hAnsi="Times New Roman" w:eastAsia="黑体"/>
          <w:color w:val="auto"/>
          <w:sz w:val="28"/>
        </w:rPr>
        <w:t>题</w:t>
      </w:r>
      <w:bookmarkStart w:id="475" w:name="_Toc300834999"/>
      <w:bookmarkStart w:id="476" w:name="_Toc361508637"/>
      <w:bookmarkStart w:id="477" w:name="_Toc152042356"/>
      <w:bookmarkStart w:id="478" w:name="_Toc247527604"/>
      <w:bookmarkStart w:id="479" w:name="_Toc3622"/>
      <w:bookmarkStart w:id="480" w:name="_Toc352691524"/>
      <w:bookmarkStart w:id="481" w:name="_Toc369531568"/>
      <w:bookmarkStart w:id="482" w:name="_Toc384308263"/>
      <w:bookmarkStart w:id="483" w:name="_Toc152045579"/>
      <w:bookmarkStart w:id="484" w:name="_Toc247514003"/>
      <w:r>
        <w:rPr>
          <w:rFonts w:ascii="Times New Roman" w:hAnsi="Times New Roman" w:eastAsia="黑体"/>
          <w:color w:val="auto"/>
          <w:sz w:val="28"/>
        </w:rPr>
        <w:t>的澄清</w:t>
      </w:r>
    </w:p>
    <w:p>
      <w:pPr>
        <w:spacing w:line="400" w:lineRule="exact"/>
        <w:ind w:firstLine="420" w:firstLineChars="200"/>
        <w:rPr>
          <w:rFonts w:ascii="Times New Roman" w:hAnsi="Times New Roman"/>
          <w:color w:val="auto"/>
        </w:rPr>
      </w:pPr>
      <w:r>
        <w:rPr>
          <w:rFonts w:ascii="Times New Roman" w:hAnsi="Times New Roman"/>
          <w:color w:val="auto"/>
        </w:rPr>
        <w:t>（编号</w:t>
      </w:r>
      <w:bookmarkEnd w:id="471"/>
      <w:bookmarkEnd w:id="475"/>
      <w:bookmarkEnd w:id="476"/>
      <w:bookmarkEnd w:id="477"/>
      <w:bookmarkEnd w:id="478"/>
      <w:bookmarkEnd w:id="479"/>
      <w:bookmarkEnd w:id="480"/>
      <w:bookmarkEnd w:id="481"/>
      <w:bookmarkEnd w:id="482"/>
      <w:bookmarkEnd w:id="483"/>
      <w:bookmarkEnd w:id="484"/>
      <w:r>
        <w:rPr>
          <w:rFonts w:ascii="Times New Roman" w:hAnsi="Times New Roman"/>
          <w:color w:val="auto"/>
        </w:rPr>
        <w:t>：</w:t>
      </w:r>
      <w:r>
        <w:rPr>
          <w:rFonts w:ascii="Times New Roman" w:hAnsi="Times New Roman" w:eastAsia="黑体"/>
          <w:color w:val="auto"/>
          <w:sz w:val="28"/>
          <w:u w:val="single"/>
        </w:rPr>
        <w:t xml:space="preserve">           </w:t>
      </w:r>
      <w:r>
        <w:rPr>
          <w:rFonts w:ascii="Times New Roman" w:hAnsi="Times New Roman"/>
          <w:color w:val="auto"/>
        </w:rPr>
        <w:t>）</w:t>
      </w:r>
    </w:p>
    <w:p>
      <w:pPr>
        <w:spacing w:line="400" w:lineRule="exact"/>
        <w:ind w:firstLine="420" w:firstLineChars="200"/>
        <w:rPr>
          <w:rFonts w:ascii="Times New Roman" w:hAnsi="Times New Roman"/>
          <w:color w:val="auto"/>
        </w:rPr>
      </w:pPr>
    </w:p>
    <w:p>
      <w:pPr>
        <w:spacing w:line="440" w:lineRule="exact"/>
        <w:ind w:firstLine="420" w:firstLineChars="200"/>
        <w:rPr>
          <w:rFonts w:ascii="Times New Roman" w:hAnsi="Times New Roman"/>
          <w:color w:val="auto"/>
        </w:rPr>
      </w:pPr>
      <w:r>
        <w:rPr>
          <w:rFonts w:ascii="Times New Roman" w:hAnsi="Times New Roman"/>
          <w:color w:val="auto"/>
        </w:rPr>
        <w:t>评标委员会：</w:t>
      </w:r>
    </w:p>
    <w:p>
      <w:pPr>
        <w:spacing w:line="440" w:lineRule="exact"/>
        <w:ind w:firstLine="420" w:firstLineChars="200"/>
        <w:rPr>
          <w:rFonts w:ascii="Times New Roman" w:hAnsi="Times New Roman"/>
          <w:color w:val="auto"/>
        </w:rPr>
      </w:pPr>
    </w:p>
    <w:p>
      <w:pPr>
        <w:spacing w:line="440" w:lineRule="exact"/>
        <w:ind w:firstLine="420" w:firstLineChars="200"/>
        <w:rPr>
          <w:rFonts w:ascii="Times New Roman" w:hAnsi="Times New Roman"/>
          <w:color w:val="auto"/>
        </w:rPr>
      </w:pPr>
      <w:r>
        <w:rPr>
          <w:rFonts w:ascii="Times New Roman" w:hAnsi="Times New Roman"/>
          <w:color w:val="auto"/>
        </w:rPr>
        <w:t>　　问题澄清通知（编号：</w:t>
      </w:r>
      <w:r>
        <w:rPr>
          <w:rFonts w:ascii="Times New Roman" w:hAnsi="Times New Roman" w:eastAsia="黑体"/>
          <w:color w:val="auto"/>
          <w:sz w:val="28"/>
          <w:u w:val="single"/>
        </w:rPr>
        <w:t xml:space="preserve">      </w:t>
      </w:r>
      <w:r>
        <w:rPr>
          <w:rFonts w:ascii="Times New Roman" w:hAnsi="Times New Roman"/>
          <w:color w:val="auto"/>
        </w:rPr>
        <w:t>）已收悉，现澄清、说明或补正如下：</w:t>
      </w:r>
    </w:p>
    <w:p>
      <w:pPr>
        <w:spacing w:line="440" w:lineRule="exact"/>
        <w:ind w:firstLine="420" w:firstLineChars="200"/>
        <w:rPr>
          <w:rFonts w:ascii="Times New Roman" w:hAnsi="Times New Roman"/>
          <w:color w:val="auto"/>
        </w:rPr>
      </w:pPr>
      <w:r>
        <w:rPr>
          <w:rFonts w:ascii="Times New Roman" w:hAnsi="Times New Roman"/>
          <w:color w:val="auto"/>
        </w:rPr>
        <w:t>　     1.</w:t>
      </w:r>
    </w:p>
    <w:p>
      <w:pPr>
        <w:spacing w:line="440" w:lineRule="exact"/>
        <w:ind w:firstLine="420" w:firstLineChars="200"/>
        <w:rPr>
          <w:rFonts w:ascii="Times New Roman" w:hAnsi="Times New Roman"/>
          <w:color w:val="auto"/>
        </w:rPr>
      </w:pPr>
      <w:r>
        <w:rPr>
          <w:rFonts w:ascii="Times New Roman" w:hAnsi="Times New Roman"/>
          <w:color w:val="auto"/>
        </w:rPr>
        <w:t>　     2.</w:t>
      </w:r>
    </w:p>
    <w:p>
      <w:pPr>
        <w:spacing w:line="440" w:lineRule="exact"/>
        <w:ind w:firstLine="420" w:firstLineChars="200"/>
        <w:rPr>
          <w:rFonts w:ascii="Times New Roman" w:hAnsi="Times New Roman"/>
          <w:color w:val="auto"/>
        </w:rPr>
      </w:pPr>
      <w:r>
        <w:rPr>
          <w:rFonts w:ascii="Times New Roman" w:hAnsi="Times New Roman"/>
          <w:color w:val="auto"/>
        </w:rPr>
        <w:t>　    .....</w:t>
      </w:r>
    </w:p>
    <w:p>
      <w:pPr>
        <w:spacing w:line="440" w:lineRule="exact"/>
        <w:ind w:firstLine="420" w:firstLineChars="200"/>
        <w:rPr>
          <w:rFonts w:ascii="Times New Roman" w:hAnsi="Times New Roman"/>
          <w:color w:val="auto"/>
        </w:rPr>
      </w:pPr>
    </w:p>
    <w:p>
      <w:pPr>
        <w:spacing w:line="440" w:lineRule="exact"/>
        <w:ind w:firstLine="420" w:firstLineChars="200"/>
        <w:rPr>
          <w:rFonts w:ascii="Times New Roman" w:hAnsi="Times New Roman"/>
          <w:color w:val="auto"/>
        </w:rPr>
      </w:pPr>
      <w:r>
        <w:rPr>
          <w:rFonts w:ascii="Times New Roman" w:hAnsi="Times New Roman"/>
          <w:color w:val="auto"/>
        </w:rPr>
        <w:t>　</w:t>
      </w:r>
    </w:p>
    <w:p>
      <w:pPr>
        <w:spacing w:line="440" w:lineRule="exact"/>
        <w:ind w:firstLine="420" w:firstLineChars="200"/>
        <w:rPr>
          <w:rFonts w:ascii="Times New Roman" w:hAnsi="Times New Roman"/>
          <w:color w:val="auto"/>
        </w:rPr>
      </w:pPr>
    </w:p>
    <w:p>
      <w:pPr>
        <w:spacing w:line="440" w:lineRule="exact"/>
        <w:ind w:firstLine="420" w:firstLineChars="200"/>
        <w:rPr>
          <w:rFonts w:ascii="Times New Roman" w:hAnsi="Times New Roman"/>
          <w:color w:val="auto"/>
        </w:rPr>
      </w:pPr>
      <w:r>
        <w:rPr>
          <w:rFonts w:ascii="Times New Roman" w:hAnsi="Times New Roman"/>
          <w:color w:val="auto"/>
        </w:rPr>
        <w:t>上述问题澄清、说明或补正，不改变我方投标文件的实质性内容，构成我方投标文件的组成部分。</w:t>
      </w:r>
    </w:p>
    <w:p>
      <w:pPr>
        <w:spacing w:line="440" w:lineRule="exact"/>
        <w:ind w:firstLine="420" w:firstLineChars="200"/>
        <w:rPr>
          <w:rFonts w:ascii="Times New Roman" w:hAnsi="Times New Roman"/>
          <w:color w:val="auto"/>
        </w:rPr>
      </w:pPr>
    </w:p>
    <w:p>
      <w:pPr>
        <w:spacing w:line="440" w:lineRule="exact"/>
        <w:ind w:firstLine="420" w:firstLineChars="200"/>
        <w:rPr>
          <w:rFonts w:ascii="Times New Roman" w:hAnsi="Times New Roman"/>
          <w:color w:val="auto"/>
        </w:rPr>
      </w:pPr>
    </w:p>
    <w:p>
      <w:pPr>
        <w:spacing w:line="480" w:lineRule="auto"/>
        <w:ind w:firstLine="420" w:firstLineChars="200"/>
        <w:rPr>
          <w:rFonts w:ascii="Times New Roman" w:hAnsi="Times New Roman"/>
          <w:color w:val="auto"/>
        </w:rPr>
      </w:pPr>
      <w:r>
        <w:rPr>
          <w:rFonts w:ascii="Times New Roman" w:hAnsi="Times New Roman"/>
          <w:color w:val="auto"/>
        </w:rPr>
        <w:t>　　　　　　　　　　　　　　投标人：</w:t>
      </w:r>
      <w:r>
        <w:rPr>
          <w:rFonts w:ascii="Times New Roman" w:hAnsi="Times New Roman" w:eastAsia="黑体"/>
          <w:color w:val="auto"/>
          <w:sz w:val="28"/>
          <w:u w:val="single"/>
        </w:rPr>
        <w:t xml:space="preserve">                        </w:t>
      </w:r>
      <w:r>
        <w:rPr>
          <w:rFonts w:ascii="Times New Roman" w:hAnsi="Times New Roman"/>
          <w:color w:val="auto"/>
        </w:rPr>
        <w:t>（盖单位章）</w:t>
      </w:r>
    </w:p>
    <w:p>
      <w:pPr>
        <w:spacing w:line="480" w:lineRule="auto"/>
        <w:ind w:firstLine="420" w:firstLineChars="200"/>
        <w:jc w:val="right"/>
        <w:rPr>
          <w:rFonts w:ascii="Times New Roman" w:hAnsi="Times New Roman"/>
          <w:color w:val="auto"/>
        </w:rPr>
      </w:pPr>
      <w:r>
        <w:rPr>
          <w:rFonts w:hint="eastAsia" w:ascii="Times New Roman" w:hAnsi="Times New Roman"/>
          <w:color w:val="auto"/>
        </w:rPr>
        <w:t xml:space="preserve"> </w:t>
      </w:r>
      <w:r>
        <w:rPr>
          <w:rFonts w:ascii="Times New Roman" w:hAnsi="Times New Roman"/>
          <w:color w:val="auto"/>
        </w:rPr>
        <w:t>法定代表人或其委托代理人：</w:t>
      </w:r>
      <w:r>
        <w:rPr>
          <w:rFonts w:ascii="Times New Roman" w:hAnsi="Times New Roman"/>
          <w:color w:val="auto"/>
          <w:u w:val="single"/>
        </w:rPr>
        <w:t xml:space="preserve">        </w:t>
      </w:r>
      <w:r>
        <w:rPr>
          <w:rFonts w:ascii="Times New Roman" w:hAnsi="Times New Roman"/>
          <w:color w:val="auto"/>
        </w:rPr>
        <w:t>（签字）</w:t>
      </w:r>
    </w:p>
    <w:p>
      <w:pPr>
        <w:spacing w:line="440" w:lineRule="exact"/>
        <w:ind w:firstLine="420" w:firstLineChars="200"/>
        <w:jc w:val="right"/>
        <w:rPr>
          <w:rFonts w:ascii="Times New Roman" w:hAnsi="Times New Roman"/>
          <w:color w:val="auto"/>
        </w:rPr>
      </w:pPr>
      <w:r>
        <w:rPr>
          <w:rFonts w:ascii="Times New Roman" w:hAnsi="Times New Roman"/>
          <w:color w:val="auto"/>
        </w:rPr>
        <w:t>　　　　　　　　</w:t>
      </w:r>
      <w:r>
        <w:rPr>
          <w:rFonts w:ascii="Times New Roman" w:hAnsi="Times New Roman"/>
          <w:color w:val="auto"/>
          <w:u w:val="single"/>
        </w:rPr>
        <w:t xml:space="preserve">        </w:t>
      </w:r>
      <w:r>
        <w:rPr>
          <w:rFonts w:ascii="Times New Roman" w:hAnsi="Times New Roman"/>
          <w:color w:val="auto"/>
        </w:rPr>
        <w:t>年</w:t>
      </w:r>
      <w:bookmarkStart w:id="485" w:name="_Toc247527606"/>
      <w:bookmarkStart w:id="486" w:name="_Toc300835002"/>
      <w:bookmarkStart w:id="487" w:name="_Toc144974548"/>
      <w:bookmarkStart w:id="488" w:name="_Toc247514005"/>
      <w:bookmarkStart w:id="489" w:name="_Toc361508640"/>
      <w:bookmarkStart w:id="490" w:name="_Toc152042358"/>
      <w:bookmarkStart w:id="491" w:name="_Toc152045581"/>
      <w:bookmarkStart w:id="492" w:name="_Toc15139"/>
      <w:bookmarkStart w:id="493" w:name="_Toc384308266"/>
      <w:bookmarkStart w:id="494" w:name="_Toc352691527"/>
      <w:bookmarkStart w:id="495" w:name="_Toc369531571"/>
      <w:r>
        <w:rPr>
          <w:rFonts w:ascii="Times New Roman" w:hAnsi="Times New Roman"/>
          <w:color w:val="auto"/>
          <w:u w:val="single"/>
        </w:rPr>
        <w:t xml:space="preserve">        </w:t>
      </w:r>
      <w:r>
        <w:rPr>
          <w:rFonts w:ascii="Times New Roman" w:hAnsi="Times New Roman"/>
          <w:color w:val="auto"/>
        </w:rPr>
        <w:t>月</w:t>
      </w:r>
      <w:r>
        <w:rPr>
          <w:rFonts w:ascii="Times New Roman" w:hAnsi="Times New Roman"/>
          <w:color w:val="auto"/>
          <w:u w:val="single"/>
        </w:rPr>
        <w:t xml:space="preserve">        </w:t>
      </w:r>
      <w:r>
        <w:rPr>
          <w:rFonts w:ascii="Times New Roman" w:hAnsi="Times New Roman"/>
          <w:color w:val="auto"/>
        </w:rPr>
        <w:t>日</w:t>
      </w:r>
    </w:p>
    <w:bookmarkEnd w:id="485"/>
    <w:bookmarkEnd w:id="486"/>
    <w:bookmarkEnd w:id="487"/>
    <w:bookmarkEnd w:id="488"/>
    <w:bookmarkEnd w:id="489"/>
    <w:bookmarkEnd w:id="490"/>
    <w:bookmarkEnd w:id="491"/>
    <w:bookmarkEnd w:id="492"/>
    <w:bookmarkEnd w:id="493"/>
    <w:bookmarkEnd w:id="494"/>
    <w:bookmarkEnd w:id="495"/>
    <w:p>
      <w:pPr>
        <w:spacing w:line="400" w:lineRule="exact"/>
        <w:ind w:firstLine="420" w:firstLineChars="200"/>
        <w:rPr>
          <w:rFonts w:ascii="Times New Roman" w:hAnsi="Times New Roman"/>
          <w:color w:val="auto"/>
        </w:rPr>
      </w:pPr>
    </w:p>
    <w:p>
      <w:pPr>
        <w:pStyle w:val="6"/>
        <w:keepNext w:val="0"/>
        <w:keepLines w:val="0"/>
        <w:spacing w:before="0" w:after="0" w:line="413" w:lineRule="auto"/>
        <w:ind w:firstLine="560" w:firstLineChars="200"/>
        <w:rPr>
          <w:rFonts w:ascii="Times New Roman" w:hAnsi="Times New Roman"/>
          <w:color w:val="auto"/>
        </w:rPr>
      </w:pPr>
      <w:r>
        <w:rPr>
          <w:rFonts w:ascii="Times New Roman" w:hAnsi="Times New Roman"/>
          <w:color w:val="auto"/>
        </w:rPr>
        <w:br w:type="page"/>
      </w:r>
      <w:bookmarkStart w:id="496" w:name="_Toc89870607"/>
      <w:bookmarkStart w:id="497" w:name="_Toc527028506"/>
      <w:r>
        <w:rPr>
          <w:rFonts w:ascii="Times New Roman" w:hAnsi="Times New Roman"/>
          <w:color w:val="auto"/>
        </w:rPr>
        <w:t>附件</w:t>
      </w:r>
      <w:r>
        <w:rPr>
          <w:rFonts w:hint="eastAsia" w:ascii="Times New Roman" w:hAnsi="Times New Roman"/>
          <w:color w:val="auto"/>
        </w:rPr>
        <w:t>四</w:t>
      </w:r>
      <w:r>
        <w:rPr>
          <w:rFonts w:ascii="Times New Roman" w:hAnsi="Times New Roman"/>
          <w:color w:val="auto"/>
        </w:rPr>
        <w:t>：确认通知</w:t>
      </w:r>
      <w:bookmarkEnd w:id="496"/>
      <w:bookmarkEnd w:id="497"/>
    </w:p>
    <w:p>
      <w:pPr>
        <w:spacing w:line="400" w:lineRule="exact"/>
        <w:ind w:firstLine="420" w:firstLineChars="200"/>
        <w:rPr>
          <w:rFonts w:ascii="Times New Roman" w:hAnsi="Times New Roman"/>
          <w:color w:val="auto"/>
        </w:rPr>
      </w:pPr>
    </w:p>
    <w:p>
      <w:pPr>
        <w:spacing w:line="400" w:lineRule="exact"/>
        <w:ind w:firstLine="560" w:firstLineChars="200"/>
        <w:jc w:val="center"/>
        <w:rPr>
          <w:rFonts w:ascii="Times New Roman" w:hAnsi="Times New Roman" w:eastAsia="黑体"/>
          <w:color w:val="auto"/>
          <w:sz w:val="28"/>
        </w:rPr>
      </w:pPr>
      <w:r>
        <w:rPr>
          <w:rFonts w:ascii="Times New Roman" w:hAnsi="Times New Roman" w:eastAsia="黑体"/>
          <w:color w:val="auto"/>
          <w:sz w:val="28"/>
        </w:rPr>
        <w:t>确认通知</w:t>
      </w:r>
    </w:p>
    <w:p>
      <w:pPr>
        <w:spacing w:line="400" w:lineRule="exact"/>
        <w:ind w:firstLine="420" w:firstLineChars="200"/>
        <w:rPr>
          <w:rFonts w:ascii="Times New Roman" w:hAnsi="Times New Roman"/>
          <w:color w:val="auto"/>
        </w:rPr>
      </w:pPr>
    </w:p>
    <w:p>
      <w:pPr>
        <w:spacing w:line="440" w:lineRule="exact"/>
        <w:ind w:firstLine="420" w:firstLineChars="200"/>
        <w:rPr>
          <w:rFonts w:ascii="Times New Roman" w:hAnsi="Times New Roman"/>
          <w:color w:val="auto"/>
        </w:rPr>
      </w:pPr>
      <w:r>
        <w:rPr>
          <w:rFonts w:ascii="Times New Roman" w:hAnsi="Times New Roman"/>
          <w:color w:val="auto"/>
          <w:u w:val="single"/>
        </w:rPr>
        <w:t xml:space="preserve">                     </w:t>
      </w:r>
      <w:r>
        <w:rPr>
          <w:rFonts w:ascii="Times New Roman" w:hAnsi="Times New Roman"/>
          <w:color w:val="auto"/>
        </w:rPr>
        <w:t>（招标人名称）：</w:t>
      </w:r>
    </w:p>
    <w:p>
      <w:pPr>
        <w:spacing w:line="440" w:lineRule="exact"/>
        <w:ind w:firstLine="420" w:firstLineChars="200"/>
        <w:rPr>
          <w:rFonts w:ascii="Times New Roman" w:hAnsi="Times New Roman"/>
          <w:color w:val="auto"/>
        </w:rPr>
      </w:pPr>
      <w:r>
        <w:rPr>
          <w:rFonts w:ascii="Times New Roman" w:hAnsi="Times New Roman"/>
          <w:color w:val="auto"/>
        </w:rPr>
        <w:t>　　</w:t>
      </w:r>
    </w:p>
    <w:p>
      <w:pPr>
        <w:spacing w:line="440" w:lineRule="exact"/>
        <w:ind w:firstLine="420" w:firstLineChars="200"/>
        <w:rPr>
          <w:rFonts w:ascii="Times New Roman" w:hAnsi="Times New Roman"/>
          <w:color w:val="auto"/>
        </w:rPr>
      </w:pPr>
      <w:r>
        <w:rPr>
          <w:rFonts w:ascii="Times New Roman" w:hAnsi="Times New Roman"/>
          <w:color w:val="auto"/>
        </w:rPr>
        <w:t>你方于</w:t>
      </w:r>
      <w:r>
        <w:rPr>
          <w:rFonts w:ascii="Times New Roman" w:hAnsi="Times New Roman"/>
          <w:color w:val="auto"/>
          <w:u w:val="single"/>
        </w:rPr>
        <w:t xml:space="preserve">       </w:t>
      </w:r>
      <w:r>
        <w:rPr>
          <w:rFonts w:ascii="Times New Roman" w:hAnsi="Times New Roman"/>
          <w:color w:val="auto"/>
        </w:rPr>
        <w:t>年</w:t>
      </w:r>
      <w:r>
        <w:rPr>
          <w:rFonts w:ascii="Times New Roman" w:hAnsi="Times New Roman"/>
          <w:color w:val="auto"/>
          <w:u w:val="single"/>
        </w:rPr>
        <w:t xml:space="preserve">       </w:t>
      </w:r>
      <w:r>
        <w:rPr>
          <w:rFonts w:ascii="Times New Roman" w:hAnsi="Times New Roman"/>
          <w:color w:val="auto"/>
        </w:rPr>
        <w:t>月</w:t>
      </w:r>
      <w:r>
        <w:rPr>
          <w:rFonts w:ascii="Times New Roman" w:hAnsi="Times New Roman"/>
          <w:color w:val="auto"/>
          <w:u w:val="single"/>
        </w:rPr>
        <w:t xml:space="preserve">       </w:t>
      </w:r>
      <w:r>
        <w:rPr>
          <w:rFonts w:ascii="Times New Roman" w:hAnsi="Times New Roman"/>
          <w:color w:val="auto"/>
        </w:rPr>
        <w:t>日发出的</w:t>
      </w:r>
      <w:r>
        <w:rPr>
          <w:rFonts w:ascii="Times New Roman" w:hAnsi="Times New Roman"/>
          <w:color w:val="auto"/>
          <w:u w:val="single"/>
        </w:rPr>
        <w:t xml:space="preserve">         </w:t>
      </w:r>
      <w:r>
        <w:rPr>
          <w:rFonts w:hint="eastAsia" w:ascii="Times New Roman" w:hAnsi="Times New Roman"/>
          <w:color w:val="auto"/>
        </w:rPr>
        <w:t>（项目名称）</w:t>
      </w:r>
      <w:r>
        <w:rPr>
          <w:rFonts w:ascii="Times New Roman" w:hAnsi="Times New Roman"/>
          <w:color w:val="auto"/>
        </w:rPr>
        <w:t>招标关于</w:t>
      </w:r>
      <w:r>
        <w:rPr>
          <w:rFonts w:ascii="Times New Roman" w:hAnsi="Times New Roman"/>
          <w:color w:val="auto"/>
          <w:u w:val="single"/>
        </w:rPr>
        <w:t>招标文件的澄清/修改</w:t>
      </w:r>
      <w:r>
        <w:rPr>
          <w:rFonts w:ascii="Times New Roman" w:hAnsi="Times New Roman"/>
          <w:color w:val="auto"/>
        </w:rPr>
        <w:t>的通知，我方已于</w:t>
      </w:r>
      <w:r>
        <w:rPr>
          <w:rFonts w:ascii="Times New Roman" w:hAnsi="Times New Roman"/>
          <w:color w:val="auto"/>
          <w:u w:val="single"/>
        </w:rPr>
        <w:t xml:space="preserve">       </w:t>
      </w:r>
      <w:r>
        <w:rPr>
          <w:rFonts w:ascii="Times New Roman" w:hAnsi="Times New Roman"/>
          <w:color w:val="auto"/>
        </w:rPr>
        <w:t>年</w:t>
      </w:r>
      <w:r>
        <w:rPr>
          <w:rFonts w:ascii="Times New Roman" w:hAnsi="Times New Roman"/>
          <w:color w:val="auto"/>
          <w:u w:val="single"/>
        </w:rPr>
        <w:t xml:space="preserve">       </w:t>
      </w:r>
      <w:r>
        <w:rPr>
          <w:rFonts w:ascii="Times New Roman" w:hAnsi="Times New Roman"/>
          <w:color w:val="auto"/>
        </w:rPr>
        <w:t>月</w:t>
      </w:r>
      <w:r>
        <w:rPr>
          <w:rFonts w:ascii="Times New Roman" w:hAnsi="Times New Roman"/>
          <w:color w:val="auto"/>
          <w:u w:val="single"/>
        </w:rPr>
        <w:t xml:space="preserve">       </w:t>
      </w:r>
      <w:r>
        <w:rPr>
          <w:rFonts w:ascii="Times New Roman" w:hAnsi="Times New Roman"/>
          <w:color w:val="auto"/>
        </w:rPr>
        <w:t>日收到。</w:t>
      </w:r>
    </w:p>
    <w:p>
      <w:pPr>
        <w:spacing w:line="440" w:lineRule="exact"/>
        <w:ind w:firstLine="420" w:firstLineChars="200"/>
        <w:rPr>
          <w:rFonts w:ascii="Times New Roman" w:hAnsi="Times New Roman"/>
          <w:color w:val="auto"/>
        </w:rPr>
      </w:pPr>
      <w:r>
        <w:rPr>
          <w:rFonts w:ascii="Times New Roman" w:hAnsi="Times New Roman"/>
          <w:color w:val="auto"/>
        </w:rPr>
        <w:t>　　特此确认。</w:t>
      </w:r>
    </w:p>
    <w:p>
      <w:pPr>
        <w:spacing w:line="440" w:lineRule="exact"/>
        <w:ind w:firstLine="420" w:firstLineChars="200"/>
        <w:rPr>
          <w:rFonts w:ascii="Times New Roman" w:hAnsi="Times New Roman"/>
          <w:color w:val="auto"/>
        </w:rPr>
      </w:pPr>
    </w:p>
    <w:p>
      <w:pPr>
        <w:spacing w:line="440" w:lineRule="exact"/>
        <w:ind w:firstLine="420" w:firstLineChars="200"/>
        <w:rPr>
          <w:rFonts w:ascii="Times New Roman" w:hAnsi="Times New Roman"/>
          <w:color w:val="auto"/>
        </w:rPr>
      </w:pPr>
    </w:p>
    <w:p>
      <w:pPr>
        <w:spacing w:line="480" w:lineRule="auto"/>
        <w:ind w:firstLine="420" w:firstLineChars="200"/>
        <w:jc w:val="right"/>
        <w:rPr>
          <w:rFonts w:ascii="Times New Roman" w:hAnsi="Times New Roman"/>
          <w:color w:val="auto"/>
        </w:rPr>
      </w:pPr>
      <w:r>
        <w:rPr>
          <w:rFonts w:ascii="Times New Roman" w:hAnsi="Times New Roman"/>
          <w:color w:val="auto"/>
        </w:rPr>
        <w:t>投标人：</w:t>
      </w:r>
      <w:r>
        <w:rPr>
          <w:rFonts w:ascii="Times New Roman" w:hAnsi="Times New Roman" w:eastAsia="黑体"/>
          <w:color w:val="auto"/>
          <w:sz w:val="28"/>
          <w:u w:val="single"/>
        </w:rPr>
        <w:t xml:space="preserve">                           </w:t>
      </w:r>
      <w:r>
        <w:rPr>
          <w:rFonts w:ascii="Times New Roman" w:hAnsi="Times New Roman"/>
          <w:color w:val="auto"/>
        </w:rPr>
        <w:t>（盖单位章）</w:t>
      </w:r>
    </w:p>
    <w:p>
      <w:pPr>
        <w:spacing w:line="480" w:lineRule="auto"/>
        <w:ind w:firstLine="420" w:firstLineChars="200"/>
        <w:jc w:val="right"/>
        <w:rPr>
          <w:rFonts w:ascii="Times New Roman" w:hAnsi="Times New Roman"/>
          <w:color w:val="auto"/>
        </w:rPr>
      </w:pPr>
      <w:r>
        <w:rPr>
          <w:rFonts w:ascii="Times New Roman" w:hAnsi="Times New Roman"/>
          <w:color w:val="auto"/>
        </w:rPr>
        <w:t>法定代表人或委托代理人：</w:t>
      </w:r>
      <w:r>
        <w:rPr>
          <w:rFonts w:ascii="Times New Roman" w:hAnsi="Times New Roman" w:eastAsia="黑体"/>
          <w:color w:val="auto"/>
          <w:sz w:val="28"/>
          <w:u w:val="single"/>
        </w:rPr>
        <w:t xml:space="preserve">      </w:t>
      </w:r>
      <w:r>
        <w:rPr>
          <w:rFonts w:ascii="Times New Roman" w:hAnsi="Times New Roman"/>
          <w:color w:val="auto"/>
        </w:rPr>
        <w:t>（签字）</w:t>
      </w:r>
    </w:p>
    <w:p>
      <w:pPr>
        <w:spacing w:line="440" w:lineRule="exact"/>
        <w:ind w:firstLine="420" w:firstLineChars="200"/>
        <w:jc w:val="right"/>
        <w:rPr>
          <w:rFonts w:ascii="Times New Roman" w:hAnsi="Times New Roman"/>
          <w:color w:val="auto"/>
        </w:rPr>
      </w:pPr>
      <w:r>
        <w:rPr>
          <w:rFonts w:ascii="Times New Roman" w:hAnsi="Times New Roman"/>
          <w:color w:val="auto"/>
          <w:u w:val="single"/>
        </w:rPr>
        <w:t xml:space="preserve">       </w:t>
      </w:r>
      <w:r>
        <w:rPr>
          <w:rFonts w:ascii="Times New Roman" w:hAnsi="Times New Roman"/>
          <w:color w:val="auto"/>
        </w:rPr>
        <w:t>年</w:t>
      </w:r>
      <w:r>
        <w:rPr>
          <w:rFonts w:ascii="Times New Roman" w:hAnsi="Times New Roman"/>
          <w:color w:val="auto"/>
          <w:u w:val="single"/>
        </w:rPr>
        <w:t xml:space="preserve">       </w:t>
      </w:r>
      <w:r>
        <w:rPr>
          <w:rFonts w:ascii="Times New Roman" w:hAnsi="Times New Roman"/>
          <w:color w:val="auto"/>
        </w:rPr>
        <w:t>月</w:t>
      </w:r>
      <w:r>
        <w:rPr>
          <w:rFonts w:ascii="Times New Roman" w:hAnsi="Times New Roman"/>
          <w:color w:val="auto"/>
          <w:u w:val="single"/>
        </w:rPr>
        <w:t xml:space="preserve">       </w:t>
      </w:r>
      <w:r>
        <w:rPr>
          <w:rFonts w:ascii="Times New Roman" w:hAnsi="Times New Roman"/>
          <w:color w:val="auto"/>
        </w:rPr>
        <w:t>日</w:t>
      </w:r>
    </w:p>
    <w:p>
      <w:pPr>
        <w:ind w:firstLine="420" w:firstLineChars="200"/>
        <w:rPr>
          <w:rFonts w:ascii="Times New Roman" w:hAnsi="Times New Roman"/>
          <w:color w:val="auto"/>
        </w:rPr>
      </w:pPr>
    </w:p>
    <w:p>
      <w:pPr>
        <w:ind w:firstLine="420" w:firstLineChars="200"/>
        <w:rPr>
          <w:color w:val="auto"/>
        </w:rPr>
      </w:pPr>
    </w:p>
    <w:p>
      <w:pPr>
        <w:ind w:firstLine="420" w:firstLineChars="200"/>
        <w:rPr>
          <w:color w:val="auto"/>
        </w:rPr>
      </w:pPr>
    </w:p>
    <w:p>
      <w:pPr>
        <w:pStyle w:val="4"/>
        <w:keepNext w:val="0"/>
        <w:keepLines w:val="0"/>
        <w:spacing w:before="100" w:after="100" w:line="360" w:lineRule="auto"/>
        <w:jc w:val="center"/>
        <w:rPr>
          <w:color w:val="auto"/>
        </w:rPr>
      </w:pPr>
      <w:r>
        <w:rPr>
          <w:color w:val="auto"/>
        </w:rPr>
        <w:br w:type="page"/>
      </w:r>
      <w:bookmarkStart w:id="498" w:name="_Toc89870608"/>
      <w:r>
        <w:rPr>
          <w:color w:val="auto"/>
        </w:rPr>
        <w:t>第三章</w:t>
      </w:r>
      <w:r>
        <w:rPr>
          <w:rFonts w:hint="eastAsia"/>
          <w:color w:val="auto"/>
        </w:rPr>
        <w:t xml:space="preserve"> </w:t>
      </w:r>
      <w:r>
        <w:rPr>
          <w:color w:val="auto"/>
        </w:rPr>
        <w:t>评标办法（综合评估法）</w:t>
      </w:r>
      <w:bookmarkEnd w:id="498"/>
    </w:p>
    <w:p>
      <w:pPr>
        <w:pStyle w:val="4"/>
        <w:keepNext w:val="0"/>
        <w:keepLines w:val="0"/>
        <w:spacing w:before="0" w:after="0" w:line="460" w:lineRule="exact"/>
        <w:ind w:firstLine="723" w:firstLineChars="200"/>
        <w:rPr>
          <w:color w:val="auto"/>
          <w:sz w:val="36"/>
          <w:szCs w:val="36"/>
        </w:rPr>
      </w:pPr>
      <w:bookmarkStart w:id="499" w:name="_Toc89870609"/>
      <w:r>
        <w:rPr>
          <w:color w:val="auto"/>
          <w:sz w:val="36"/>
          <w:szCs w:val="36"/>
        </w:rPr>
        <w:t>评标办法前附表</w:t>
      </w:r>
      <w:bookmarkEnd w:id="499"/>
    </w:p>
    <w:tbl>
      <w:tblPr>
        <w:tblStyle w:val="23"/>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89"/>
        <w:gridCol w:w="1098"/>
        <w:gridCol w:w="2132"/>
        <w:gridCol w:w="5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8" w:type="dxa"/>
            <w:gridSpan w:val="3"/>
            <w:vAlign w:val="center"/>
          </w:tcPr>
          <w:p>
            <w:pPr>
              <w:snapToGrid w:val="0"/>
              <w:ind w:firstLine="422" w:firstLineChars="200"/>
              <w:rPr>
                <w:rFonts w:ascii="宋体" w:hAnsi="宋体"/>
                <w:b/>
                <w:color w:val="auto"/>
                <w:szCs w:val="21"/>
              </w:rPr>
            </w:pPr>
            <w:r>
              <w:rPr>
                <w:rFonts w:ascii="宋体" w:hAnsi="宋体"/>
                <w:b/>
                <w:color w:val="auto"/>
                <w:szCs w:val="21"/>
              </w:rPr>
              <w:t>条款号</w:t>
            </w:r>
          </w:p>
        </w:tc>
        <w:tc>
          <w:tcPr>
            <w:tcW w:w="2132" w:type="dxa"/>
            <w:vAlign w:val="center"/>
          </w:tcPr>
          <w:p>
            <w:pPr>
              <w:snapToGrid w:val="0"/>
              <w:ind w:firstLine="422" w:firstLineChars="200"/>
              <w:rPr>
                <w:rFonts w:ascii="宋体" w:hAnsi="宋体"/>
                <w:b/>
                <w:color w:val="auto"/>
                <w:szCs w:val="21"/>
              </w:rPr>
            </w:pPr>
            <w:r>
              <w:rPr>
                <w:rFonts w:ascii="宋体" w:hAnsi="宋体"/>
                <w:b/>
                <w:color w:val="auto"/>
                <w:szCs w:val="21"/>
              </w:rPr>
              <w:t>评审因素</w:t>
            </w:r>
          </w:p>
        </w:tc>
        <w:tc>
          <w:tcPr>
            <w:tcW w:w="5252" w:type="dxa"/>
            <w:vAlign w:val="center"/>
          </w:tcPr>
          <w:p>
            <w:pPr>
              <w:snapToGrid w:val="0"/>
              <w:ind w:firstLine="422" w:firstLineChars="200"/>
              <w:rPr>
                <w:rFonts w:ascii="宋体" w:hAnsi="宋体"/>
                <w:b/>
                <w:color w:val="auto"/>
                <w:szCs w:val="21"/>
              </w:rPr>
            </w:pPr>
            <w:r>
              <w:rPr>
                <w:rFonts w:ascii="宋体" w:hAnsi="宋体"/>
                <w:b/>
                <w:color w:val="auto"/>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80" w:type="dxa"/>
            <w:gridSpan w:val="2"/>
            <w:vAlign w:val="center"/>
          </w:tcPr>
          <w:p>
            <w:pPr>
              <w:jc w:val="center"/>
              <w:rPr>
                <w:rFonts w:ascii="Times New Roman" w:hAnsi="Times New Roman"/>
                <w:color w:val="auto"/>
              </w:rPr>
            </w:pPr>
            <w:r>
              <w:rPr>
                <w:rFonts w:ascii="Times New Roman" w:hAnsi="Times New Roman"/>
                <w:color w:val="auto"/>
              </w:rPr>
              <w:t>1</w:t>
            </w:r>
          </w:p>
        </w:tc>
        <w:tc>
          <w:tcPr>
            <w:tcW w:w="1098" w:type="dxa"/>
            <w:vAlign w:val="center"/>
          </w:tcPr>
          <w:p>
            <w:pPr>
              <w:snapToGrid w:val="0"/>
              <w:jc w:val="center"/>
              <w:rPr>
                <w:rFonts w:ascii="宋体" w:hAnsi="宋体"/>
                <w:color w:val="auto"/>
                <w:szCs w:val="21"/>
              </w:rPr>
            </w:pPr>
            <w:r>
              <w:rPr>
                <w:rFonts w:ascii="宋体" w:hAnsi="宋体"/>
                <w:color w:val="auto"/>
                <w:szCs w:val="21"/>
              </w:rPr>
              <w:t>评标方法</w:t>
            </w:r>
          </w:p>
        </w:tc>
        <w:tc>
          <w:tcPr>
            <w:tcW w:w="2132" w:type="dxa"/>
            <w:vAlign w:val="center"/>
          </w:tcPr>
          <w:p>
            <w:pPr>
              <w:snapToGrid w:val="0"/>
              <w:jc w:val="center"/>
              <w:rPr>
                <w:rFonts w:ascii="宋体" w:hAnsi="宋体"/>
                <w:color w:val="auto"/>
                <w:szCs w:val="21"/>
              </w:rPr>
            </w:pPr>
            <w:r>
              <w:rPr>
                <w:rFonts w:ascii="宋体" w:hAnsi="宋体"/>
                <w:color w:val="auto"/>
                <w:szCs w:val="21"/>
              </w:rPr>
              <w:t>中标候选人排序方法</w:t>
            </w:r>
          </w:p>
        </w:tc>
        <w:tc>
          <w:tcPr>
            <w:tcW w:w="5252" w:type="dxa"/>
            <w:vAlign w:val="center"/>
          </w:tcPr>
          <w:p>
            <w:pPr>
              <w:snapToGrid w:val="0"/>
              <w:rPr>
                <w:rFonts w:ascii="宋体" w:hAnsi="宋体"/>
                <w:color w:val="auto"/>
                <w:szCs w:val="21"/>
              </w:rPr>
            </w:pPr>
            <w:r>
              <w:rPr>
                <w:rFonts w:hint="eastAsia" w:ascii="宋体" w:hAnsi="宋体"/>
                <w:color w:val="auto"/>
                <w:szCs w:val="21"/>
              </w:rPr>
              <w:t>本次评标采用综合评估法。评标委员会对满足招标文件实质性要求的投标文件，按照本招标文件规定的评分标准进行打分，</w:t>
            </w:r>
            <w:r>
              <w:rPr>
                <w:rFonts w:ascii="宋体" w:hAnsi="宋体"/>
                <w:color w:val="auto"/>
                <w:szCs w:val="21"/>
              </w:rPr>
              <w:t>投标人</w:t>
            </w:r>
            <w:r>
              <w:rPr>
                <w:rFonts w:hint="eastAsia" w:ascii="宋体" w:hAnsi="宋体"/>
                <w:color w:val="auto"/>
                <w:szCs w:val="21"/>
              </w:rPr>
              <w:t>综合评分由高到低排序前</w:t>
            </w:r>
            <w:r>
              <w:rPr>
                <w:rFonts w:ascii="宋体" w:hAnsi="宋体"/>
                <w:color w:val="auto"/>
                <w:szCs w:val="21"/>
              </w:rPr>
              <w:t>3</w:t>
            </w:r>
            <w:r>
              <w:rPr>
                <w:rFonts w:hint="eastAsia" w:ascii="宋体" w:hAnsi="宋体"/>
                <w:color w:val="auto"/>
                <w:szCs w:val="21"/>
              </w:rPr>
              <w:t>名作为第一、第二、第三中标候选人，</w:t>
            </w:r>
            <w:r>
              <w:rPr>
                <w:rFonts w:ascii="宋体" w:hAnsi="宋体"/>
                <w:color w:val="auto"/>
                <w:szCs w:val="21"/>
              </w:rPr>
              <w:t>综合评分相等时，以投标报价低的优先； 投标报价也相等的，以监理大纲得分高的优先；监理大纲得分也相等</w:t>
            </w:r>
            <w:r>
              <w:rPr>
                <w:rFonts w:hint="eastAsia" w:ascii="宋体" w:hAnsi="宋体"/>
                <w:color w:val="auto"/>
                <w:szCs w:val="21"/>
              </w:rPr>
              <w:t>的，以资信业绩得分高的优先；如果仍存在相同情况，由评标委员会采用记名投票方式，以得票多的优先。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0" w:type="dxa"/>
            <w:gridSpan w:val="2"/>
            <w:vMerge w:val="restart"/>
            <w:vAlign w:val="center"/>
          </w:tcPr>
          <w:p>
            <w:pPr>
              <w:jc w:val="center"/>
              <w:rPr>
                <w:rFonts w:ascii="Times New Roman" w:hAnsi="Times New Roman"/>
                <w:color w:val="auto"/>
              </w:rPr>
            </w:pPr>
            <w:r>
              <w:rPr>
                <w:rFonts w:ascii="Times New Roman" w:hAnsi="Times New Roman"/>
                <w:color w:val="auto"/>
              </w:rPr>
              <w:t>2.1.1</w:t>
            </w:r>
          </w:p>
        </w:tc>
        <w:tc>
          <w:tcPr>
            <w:tcW w:w="1098" w:type="dxa"/>
            <w:vMerge w:val="restart"/>
            <w:vAlign w:val="center"/>
          </w:tcPr>
          <w:p>
            <w:pPr>
              <w:snapToGrid w:val="0"/>
              <w:jc w:val="center"/>
              <w:rPr>
                <w:rFonts w:ascii="宋体" w:hAnsi="宋体"/>
                <w:color w:val="auto"/>
                <w:szCs w:val="21"/>
              </w:rPr>
            </w:pPr>
            <w:r>
              <w:rPr>
                <w:rFonts w:ascii="宋体" w:hAnsi="宋体"/>
                <w:color w:val="auto"/>
                <w:szCs w:val="21"/>
              </w:rPr>
              <w:t>形式评审标准</w:t>
            </w:r>
          </w:p>
        </w:tc>
        <w:tc>
          <w:tcPr>
            <w:tcW w:w="2132" w:type="dxa"/>
            <w:vAlign w:val="center"/>
          </w:tcPr>
          <w:p>
            <w:pPr>
              <w:snapToGrid w:val="0"/>
              <w:jc w:val="both"/>
              <w:rPr>
                <w:rFonts w:ascii="宋体" w:hAnsi="宋体"/>
                <w:color w:val="auto"/>
                <w:szCs w:val="21"/>
              </w:rPr>
            </w:pPr>
            <w:r>
              <w:rPr>
                <w:rFonts w:ascii="宋体" w:hAnsi="宋体"/>
                <w:color w:val="auto"/>
                <w:szCs w:val="21"/>
              </w:rPr>
              <w:t>投标人名称</w:t>
            </w:r>
          </w:p>
        </w:tc>
        <w:tc>
          <w:tcPr>
            <w:tcW w:w="5252" w:type="dxa"/>
            <w:vAlign w:val="center"/>
          </w:tcPr>
          <w:p>
            <w:pPr>
              <w:snapToGrid w:val="0"/>
              <w:jc w:val="left"/>
              <w:rPr>
                <w:rFonts w:ascii="宋体" w:hAnsi="宋体"/>
                <w:color w:val="auto"/>
                <w:szCs w:val="21"/>
              </w:rPr>
            </w:pPr>
            <w:r>
              <w:rPr>
                <w:rFonts w:ascii="宋体" w:hAnsi="宋体"/>
                <w:color w:val="auto"/>
                <w:szCs w:val="21"/>
              </w:rPr>
              <w:t>与</w:t>
            </w:r>
            <w:r>
              <w:rPr>
                <w:rFonts w:hint="eastAsia" w:ascii="宋体" w:hAnsi="宋体"/>
                <w:color w:val="auto"/>
                <w:szCs w:val="21"/>
              </w:rPr>
              <w:t>营业执照（或事业单位法人证书）</w:t>
            </w:r>
            <w:r>
              <w:rPr>
                <w:rFonts w:ascii="宋体" w:hAnsi="宋体"/>
                <w:color w:val="auto"/>
                <w:szCs w:val="21"/>
              </w:rPr>
              <w:t>、资质证书一致</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0" w:type="dxa"/>
            <w:gridSpan w:val="2"/>
            <w:vMerge w:val="continue"/>
            <w:vAlign w:val="center"/>
          </w:tcPr>
          <w:p>
            <w:pPr>
              <w:ind w:firstLine="420" w:firstLineChars="200"/>
              <w:rPr>
                <w:rFonts w:ascii="Times New Roman" w:hAnsi="Times New Roman"/>
                <w:color w:val="auto"/>
              </w:rPr>
            </w:pPr>
          </w:p>
        </w:tc>
        <w:tc>
          <w:tcPr>
            <w:tcW w:w="1098" w:type="dxa"/>
            <w:vMerge w:val="continue"/>
            <w:vAlign w:val="center"/>
          </w:tcPr>
          <w:p>
            <w:pPr>
              <w:snapToGrid w:val="0"/>
              <w:ind w:firstLine="420" w:firstLineChars="200"/>
              <w:rPr>
                <w:rFonts w:ascii="宋体" w:hAnsi="宋体"/>
                <w:color w:val="auto"/>
                <w:szCs w:val="21"/>
              </w:rPr>
            </w:pPr>
          </w:p>
        </w:tc>
        <w:tc>
          <w:tcPr>
            <w:tcW w:w="2132" w:type="dxa"/>
            <w:vAlign w:val="center"/>
          </w:tcPr>
          <w:p>
            <w:pPr>
              <w:snapToGrid w:val="0"/>
              <w:rPr>
                <w:rFonts w:ascii="宋体" w:hAnsi="宋体"/>
                <w:color w:val="auto"/>
                <w:szCs w:val="21"/>
              </w:rPr>
            </w:pPr>
            <w:bookmarkStart w:id="500" w:name="_Hlk108684318"/>
            <w:r>
              <w:rPr>
                <w:rFonts w:ascii="宋体" w:hAnsi="宋体"/>
                <w:color w:val="auto"/>
                <w:szCs w:val="21"/>
              </w:rPr>
              <w:t>投标函</w:t>
            </w:r>
            <w:r>
              <w:rPr>
                <w:rFonts w:hint="eastAsia" w:ascii="宋体" w:hAnsi="宋体"/>
                <w:color w:val="auto"/>
                <w:szCs w:val="21"/>
              </w:rPr>
              <w:t>及投标函附录、</w:t>
            </w:r>
            <w:r>
              <w:rPr>
                <w:rFonts w:ascii="宋体" w:hAnsi="宋体"/>
                <w:color w:val="auto"/>
                <w:sz w:val="21"/>
                <w:szCs w:val="21"/>
              </w:rPr>
              <w:t>投标报价书</w:t>
            </w:r>
            <w:r>
              <w:rPr>
                <w:rFonts w:ascii="宋体" w:hAnsi="宋体"/>
                <w:color w:val="auto"/>
                <w:szCs w:val="21"/>
              </w:rPr>
              <w:t>签字盖章</w:t>
            </w:r>
            <w:bookmarkEnd w:id="500"/>
          </w:p>
        </w:tc>
        <w:tc>
          <w:tcPr>
            <w:tcW w:w="5252" w:type="dxa"/>
            <w:vAlign w:val="center"/>
          </w:tcPr>
          <w:p>
            <w:pPr>
              <w:snapToGrid w:val="0"/>
              <w:rPr>
                <w:rFonts w:ascii="宋体" w:hAnsi="宋体"/>
                <w:color w:val="auto"/>
                <w:szCs w:val="21"/>
              </w:rPr>
            </w:pPr>
            <w:r>
              <w:rPr>
                <w:rFonts w:hint="eastAsia" w:ascii="宋体" w:hAnsi="宋体"/>
                <w:color w:val="auto"/>
                <w:szCs w:val="21"/>
              </w:rPr>
              <w:t>由</w:t>
            </w:r>
            <w:r>
              <w:rPr>
                <w:rFonts w:ascii="宋体" w:hAnsi="宋体"/>
                <w:color w:val="auto"/>
                <w:szCs w:val="21"/>
              </w:rPr>
              <w:t>有法定代表人或其委托代理人签字</w:t>
            </w:r>
            <w:r>
              <w:rPr>
                <w:rFonts w:hint="eastAsia" w:ascii="宋体" w:hAnsi="宋体"/>
                <w:color w:val="auto"/>
                <w:szCs w:val="21"/>
              </w:rPr>
              <w:t>（或盖章），并</w:t>
            </w:r>
            <w:r>
              <w:rPr>
                <w:rFonts w:ascii="宋体" w:hAnsi="宋体"/>
                <w:color w:val="auto"/>
                <w:szCs w:val="21"/>
              </w:rPr>
              <w:t>加盖单位章。由法定代表人签字</w:t>
            </w:r>
            <w:r>
              <w:rPr>
                <w:rFonts w:hint="eastAsia" w:ascii="宋体" w:hAnsi="宋体"/>
                <w:color w:val="auto"/>
                <w:szCs w:val="21"/>
              </w:rPr>
              <w:t>（或盖章）</w:t>
            </w:r>
            <w:r>
              <w:rPr>
                <w:rFonts w:ascii="宋体" w:hAnsi="宋体"/>
                <w:color w:val="auto"/>
                <w:szCs w:val="21"/>
              </w:rPr>
              <w:t>的，应附法定代表人身份证明，由代理人签字</w:t>
            </w:r>
            <w:r>
              <w:rPr>
                <w:rFonts w:hint="eastAsia" w:ascii="宋体" w:hAnsi="宋体"/>
                <w:color w:val="auto"/>
                <w:szCs w:val="21"/>
              </w:rPr>
              <w:t>（或盖章）</w:t>
            </w:r>
            <w:r>
              <w:rPr>
                <w:rFonts w:ascii="宋体" w:hAnsi="宋体"/>
                <w:color w:val="auto"/>
                <w:szCs w:val="21"/>
              </w:rPr>
              <w:t>的，应附授权委托书，身份证明或授权委托书应符合第六章“投标文件格式”的规定</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880" w:type="dxa"/>
            <w:gridSpan w:val="2"/>
            <w:vMerge w:val="continue"/>
            <w:vAlign w:val="center"/>
          </w:tcPr>
          <w:p>
            <w:pPr>
              <w:ind w:firstLine="420" w:firstLineChars="200"/>
              <w:rPr>
                <w:rFonts w:ascii="Times New Roman" w:hAnsi="Times New Roman"/>
                <w:color w:val="auto"/>
              </w:rPr>
            </w:pPr>
          </w:p>
        </w:tc>
        <w:tc>
          <w:tcPr>
            <w:tcW w:w="1098" w:type="dxa"/>
            <w:vMerge w:val="continue"/>
            <w:vAlign w:val="center"/>
          </w:tcPr>
          <w:p>
            <w:pPr>
              <w:snapToGrid w:val="0"/>
              <w:ind w:firstLine="420" w:firstLineChars="200"/>
              <w:rPr>
                <w:rFonts w:ascii="宋体" w:hAnsi="宋体"/>
                <w:color w:val="auto"/>
                <w:szCs w:val="21"/>
              </w:rPr>
            </w:pPr>
          </w:p>
        </w:tc>
        <w:tc>
          <w:tcPr>
            <w:tcW w:w="2132" w:type="dxa"/>
            <w:vAlign w:val="center"/>
          </w:tcPr>
          <w:p>
            <w:pPr>
              <w:snapToGrid w:val="0"/>
              <w:ind w:firstLine="0" w:firstLineChars="0"/>
              <w:rPr>
                <w:rFonts w:ascii="宋体" w:hAnsi="宋体"/>
                <w:color w:val="auto"/>
                <w:szCs w:val="21"/>
              </w:rPr>
            </w:pPr>
            <w:r>
              <w:rPr>
                <w:rFonts w:ascii="宋体" w:hAnsi="宋体"/>
                <w:color w:val="auto"/>
                <w:szCs w:val="21"/>
              </w:rPr>
              <w:t>投标文件格式</w:t>
            </w:r>
          </w:p>
        </w:tc>
        <w:tc>
          <w:tcPr>
            <w:tcW w:w="5252" w:type="dxa"/>
            <w:vAlign w:val="center"/>
          </w:tcPr>
          <w:p>
            <w:pPr>
              <w:snapToGrid w:val="0"/>
              <w:rPr>
                <w:rFonts w:ascii="宋体" w:hAnsi="宋体"/>
                <w:color w:val="auto"/>
                <w:szCs w:val="21"/>
              </w:rPr>
            </w:pPr>
            <w:r>
              <w:rPr>
                <w:rFonts w:ascii="宋体" w:hAnsi="宋体"/>
                <w:color w:val="auto"/>
                <w:szCs w:val="21"/>
              </w:rPr>
              <w:t>符合第六章“投标文件格式”的规定</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0" w:type="dxa"/>
            <w:gridSpan w:val="2"/>
            <w:vMerge w:val="continue"/>
            <w:vAlign w:val="center"/>
          </w:tcPr>
          <w:p>
            <w:pPr>
              <w:ind w:firstLine="420" w:firstLineChars="200"/>
              <w:rPr>
                <w:rFonts w:ascii="Times New Roman" w:hAnsi="Times New Roman"/>
                <w:color w:val="auto"/>
              </w:rPr>
            </w:pPr>
          </w:p>
        </w:tc>
        <w:tc>
          <w:tcPr>
            <w:tcW w:w="1098" w:type="dxa"/>
            <w:vMerge w:val="continue"/>
            <w:vAlign w:val="center"/>
          </w:tcPr>
          <w:p>
            <w:pPr>
              <w:snapToGrid w:val="0"/>
              <w:ind w:firstLine="420" w:firstLineChars="200"/>
              <w:rPr>
                <w:rFonts w:ascii="宋体" w:hAnsi="宋体"/>
                <w:color w:val="auto"/>
                <w:szCs w:val="21"/>
              </w:rPr>
            </w:pPr>
          </w:p>
        </w:tc>
        <w:tc>
          <w:tcPr>
            <w:tcW w:w="2132" w:type="dxa"/>
            <w:vAlign w:val="center"/>
          </w:tcPr>
          <w:p>
            <w:pPr>
              <w:ind w:firstLine="0" w:firstLineChars="0"/>
              <w:rPr>
                <w:rFonts w:ascii="宋体" w:hAnsi="宋体"/>
                <w:color w:val="auto"/>
                <w:szCs w:val="21"/>
              </w:rPr>
            </w:pPr>
            <w:r>
              <w:rPr>
                <w:color w:val="auto"/>
              </w:rPr>
              <w:t>联合体投标人</w:t>
            </w:r>
          </w:p>
        </w:tc>
        <w:tc>
          <w:tcPr>
            <w:tcW w:w="5252" w:type="dxa"/>
            <w:vAlign w:val="center"/>
          </w:tcPr>
          <w:p>
            <w:pPr>
              <w:snapToGrid w:val="0"/>
              <w:rPr>
                <w:rFonts w:ascii="宋体" w:hAnsi="宋体"/>
                <w:color w:val="auto"/>
                <w:szCs w:val="21"/>
              </w:rPr>
            </w:pPr>
            <w:r>
              <w:rPr>
                <w:rFonts w:hint="eastAsia" w:ascii="宋体" w:hAnsi="Courier New" w:cs="Arial"/>
                <w:color w:val="auto"/>
                <w:szCs w:val="21"/>
              </w:rPr>
              <w:t>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0" w:type="dxa"/>
            <w:gridSpan w:val="2"/>
            <w:vMerge w:val="continue"/>
            <w:vAlign w:val="center"/>
          </w:tcPr>
          <w:p>
            <w:pPr>
              <w:ind w:firstLine="420" w:firstLineChars="200"/>
              <w:rPr>
                <w:rFonts w:ascii="Times New Roman" w:hAnsi="Times New Roman"/>
                <w:color w:val="auto"/>
              </w:rPr>
            </w:pPr>
          </w:p>
        </w:tc>
        <w:tc>
          <w:tcPr>
            <w:tcW w:w="1098" w:type="dxa"/>
            <w:vMerge w:val="continue"/>
            <w:vAlign w:val="center"/>
          </w:tcPr>
          <w:p>
            <w:pPr>
              <w:snapToGrid w:val="0"/>
              <w:ind w:firstLine="420" w:firstLineChars="200"/>
              <w:rPr>
                <w:rFonts w:ascii="宋体" w:hAnsi="宋体"/>
                <w:color w:val="auto"/>
                <w:szCs w:val="21"/>
              </w:rPr>
            </w:pPr>
          </w:p>
        </w:tc>
        <w:tc>
          <w:tcPr>
            <w:tcW w:w="2132" w:type="dxa"/>
            <w:vAlign w:val="center"/>
          </w:tcPr>
          <w:p>
            <w:pPr>
              <w:snapToGrid w:val="0"/>
              <w:ind w:firstLine="0" w:firstLineChars="0"/>
              <w:rPr>
                <w:rFonts w:ascii="宋体" w:hAnsi="宋体"/>
                <w:color w:val="auto"/>
                <w:szCs w:val="21"/>
              </w:rPr>
            </w:pPr>
            <w:r>
              <w:rPr>
                <w:rFonts w:hint="eastAsia" w:ascii="宋体" w:hAnsi="宋体"/>
                <w:color w:val="auto"/>
                <w:szCs w:val="21"/>
              </w:rPr>
              <w:t>投标人机器码</w:t>
            </w:r>
          </w:p>
        </w:tc>
        <w:tc>
          <w:tcPr>
            <w:tcW w:w="5252" w:type="dxa"/>
            <w:vAlign w:val="center"/>
          </w:tcPr>
          <w:p>
            <w:pPr>
              <w:snapToGrid w:val="0"/>
              <w:rPr>
                <w:rFonts w:ascii="宋体" w:hAnsi="宋体"/>
                <w:color w:val="auto"/>
                <w:szCs w:val="21"/>
              </w:rPr>
            </w:pPr>
            <w:r>
              <w:rPr>
                <w:rFonts w:hint="eastAsia" w:ascii="宋体" w:hAnsi="宋体"/>
                <w:color w:val="auto"/>
                <w:szCs w:val="21"/>
              </w:rPr>
              <w:t>不同投标人机器码相同，视为不合格。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0" w:type="dxa"/>
            <w:gridSpan w:val="2"/>
            <w:vMerge w:val="continue"/>
            <w:vAlign w:val="center"/>
          </w:tcPr>
          <w:p>
            <w:pPr>
              <w:ind w:firstLine="420" w:firstLineChars="200"/>
              <w:rPr>
                <w:rFonts w:ascii="Times New Roman" w:hAnsi="Times New Roman"/>
                <w:color w:val="auto"/>
              </w:rPr>
            </w:pPr>
          </w:p>
        </w:tc>
        <w:tc>
          <w:tcPr>
            <w:tcW w:w="1098" w:type="dxa"/>
            <w:vMerge w:val="continue"/>
            <w:vAlign w:val="center"/>
          </w:tcPr>
          <w:p>
            <w:pPr>
              <w:snapToGrid w:val="0"/>
              <w:ind w:firstLine="420" w:firstLineChars="200"/>
              <w:rPr>
                <w:rFonts w:ascii="宋体" w:hAnsi="宋体"/>
                <w:color w:val="auto"/>
                <w:szCs w:val="21"/>
              </w:rPr>
            </w:pPr>
          </w:p>
        </w:tc>
        <w:tc>
          <w:tcPr>
            <w:tcW w:w="2132" w:type="dxa"/>
            <w:vAlign w:val="center"/>
          </w:tcPr>
          <w:p>
            <w:pPr>
              <w:snapToGrid w:val="0"/>
              <w:ind w:firstLine="0" w:firstLineChars="0"/>
              <w:rPr>
                <w:rFonts w:ascii="宋体" w:hAnsi="宋体"/>
                <w:color w:val="auto"/>
                <w:szCs w:val="21"/>
              </w:rPr>
            </w:pPr>
            <w:r>
              <w:rPr>
                <w:rFonts w:ascii="宋体" w:hAnsi="宋体"/>
                <w:color w:val="auto"/>
                <w:szCs w:val="21"/>
              </w:rPr>
              <w:t>备选投标方案</w:t>
            </w:r>
          </w:p>
        </w:tc>
        <w:tc>
          <w:tcPr>
            <w:tcW w:w="5252" w:type="dxa"/>
            <w:vAlign w:val="center"/>
          </w:tcPr>
          <w:p>
            <w:pPr>
              <w:snapToGrid w:val="0"/>
              <w:rPr>
                <w:rFonts w:ascii="宋体" w:hAnsi="宋体"/>
                <w:color w:val="auto"/>
                <w:szCs w:val="21"/>
              </w:rPr>
            </w:pPr>
            <w:r>
              <w:rPr>
                <w:rFonts w:ascii="宋体" w:hAnsi="宋体"/>
                <w:color w:val="auto"/>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0" w:type="dxa"/>
            <w:gridSpan w:val="2"/>
            <w:vMerge w:val="restart"/>
            <w:vAlign w:val="center"/>
          </w:tcPr>
          <w:p>
            <w:pPr>
              <w:jc w:val="center"/>
              <w:rPr>
                <w:rFonts w:ascii="Times New Roman" w:hAnsi="Times New Roman"/>
                <w:color w:val="auto"/>
              </w:rPr>
            </w:pPr>
            <w:r>
              <w:rPr>
                <w:rFonts w:ascii="Times New Roman" w:hAnsi="Times New Roman"/>
                <w:color w:val="auto"/>
              </w:rPr>
              <w:t>2.1.2</w:t>
            </w:r>
          </w:p>
        </w:tc>
        <w:tc>
          <w:tcPr>
            <w:tcW w:w="1098" w:type="dxa"/>
            <w:vMerge w:val="restart"/>
            <w:vAlign w:val="center"/>
          </w:tcPr>
          <w:p>
            <w:pPr>
              <w:snapToGrid w:val="0"/>
              <w:jc w:val="center"/>
              <w:rPr>
                <w:rFonts w:ascii="宋体" w:hAnsi="宋体"/>
                <w:color w:val="auto"/>
                <w:szCs w:val="21"/>
              </w:rPr>
            </w:pPr>
            <w:r>
              <w:rPr>
                <w:rFonts w:hint="eastAsia" w:ascii="宋体" w:hAnsi="宋体"/>
                <w:color w:val="auto"/>
                <w:szCs w:val="21"/>
              </w:rPr>
              <w:t>资格评审标准</w:t>
            </w:r>
          </w:p>
        </w:tc>
        <w:tc>
          <w:tcPr>
            <w:tcW w:w="2132" w:type="dxa"/>
            <w:vAlign w:val="center"/>
          </w:tcPr>
          <w:p>
            <w:pPr>
              <w:snapToGrid w:val="0"/>
              <w:jc w:val="left"/>
              <w:rPr>
                <w:rFonts w:ascii="宋体" w:hAnsi="宋体"/>
                <w:color w:val="auto"/>
                <w:szCs w:val="21"/>
              </w:rPr>
            </w:pPr>
            <w:r>
              <w:rPr>
                <w:rFonts w:ascii="宋体" w:hAnsi="宋体"/>
                <w:color w:val="auto"/>
                <w:szCs w:val="21"/>
              </w:rPr>
              <w:t>营业执照和组织机构代码证</w:t>
            </w:r>
          </w:p>
        </w:tc>
        <w:tc>
          <w:tcPr>
            <w:tcW w:w="5252" w:type="dxa"/>
            <w:vAlign w:val="center"/>
          </w:tcPr>
          <w:p>
            <w:pPr>
              <w:snapToGrid w:val="0"/>
              <w:jc w:val="left"/>
              <w:rPr>
                <w:rFonts w:ascii="宋体" w:hAnsi="宋体"/>
                <w:color w:val="auto"/>
                <w:szCs w:val="21"/>
              </w:rPr>
            </w:pPr>
            <w:r>
              <w:rPr>
                <w:rFonts w:ascii="宋体" w:hAnsi="宋体"/>
                <w:color w:val="auto"/>
                <w:szCs w:val="21"/>
              </w:rPr>
              <w:t>符合第二章“投标人须知”第</w:t>
            </w:r>
            <w:r>
              <w:rPr>
                <w:rFonts w:hint="eastAsia" w:ascii="宋体" w:hAnsi="宋体"/>
                <w:color w:val="auto"/>
                <w:szCs w:val="21"/>
              </w:rPr>
              <w:t>3.5.2</w:t>
            </w:r>
            <w:r>
              <w:rPr>
                <w:rFonts w:ascii="宋体" w:hAnsi="宋体"/>
                <w:color w:val="auto"/>
                <w:szCs w:val="21"/>
              </w:rPr>
              <w:t>项规定</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0" w:type="dxa"/>
            <w:gridSpan w:val="2"/>
            <w:vMerge w:val="continue"/>
            <w:vAlign w:val="center"/>
          </w:tcPr>
          <w:p>
            <w:pPr>
              <w:ind w:firstLine="420" w:firstLineChars="200"/>
              <w:rPr>
                <w:rFonts w:ascii="Times New Roman" w:hAnsi="Times New Roman"/>
                <w:color w:val="auto"/>
              </w:rPr>
            </w:pPr>
          </w:p>
        </w:tc>
        <w:tc>
          <w:tcPr>
            <w:tcW w:w="1098" w:type="dxa"/>
            <w:vMerge w:val="continue"/>
            <w:vAlign w:val="center"/>
          </w:tcPr>
          <w:p>
            <w:pPr>
              <w:snapToGrid w:val="0"/>
              <w:ind w:firstLine="420" w:firstLineChars="200"/>
              <w:rPr>
                <w:rFonts w:ascii="宋体" w:hAnsi="宋体"/>
                <w:color w:val="auto"/>
                <w:szCs w:val="21"/>
              </w:rPr>
            </w:pPr>
          </w:p>
        </w:tc>
        <w:tc>
          <w:tcPr>
            <w:tcW w:w="2132" w:type="dxa"/>
            <w:vAlign w:val="center"/>
          </w:tcPr>
          <w:p>
            <w:pPr>
              <w:snapToGrid w:val="0"/>
              <w:ind w:firstLine="0" w:firstLineChars="0"/>
              <w:rPr>
                <w:rFonts w:ascii="宋体" w:hAnsi="宋体"/>
                <w:color w:val="auto"/>
                <w:szCs w:val="21"/>
              </w:rPr>
            </w:pPr>
            <w:r>
              <w:rPr>
                <w:rFonts w:ascii="宋体" w:hAnsi="宋体"/>
                <w:color w:val="auto"/>
                <w:szCs w:val="21"/>
              </w:rPr>
              <w:t>资质要求</w:t>
            </w:r>
          </w:p>
        </w:tc>
        <w:tc>
          <w:tcPr>
            <w:tcW w:w="5252" w:type="dxa"/>
            <w:vAlign w:val="center"/>
          </w:tcPr>
          <w:p>
            <w:pPr>
              <w:snapToGrid w:val="0"/>
              <w:rPr>
                <w:rFonts w:ascii="宋体" w:hAnsi="宋体"/>
                <w:color w:val="auto"/>
                <w:szCs w:val="21"/>
              </w:rPr>
            </w:pPr>
            <w:r>
              <w:rPr>
                <w:rFonts w:ascii="宋体" w:hAnsi="宋体"/>
                <w:color w:val="auto"/>
                <w:szCs w:val="21"/>
              </w:rPr>
              <w:t>符合第二章“投标人须知”第1.4.1项规定</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880" w:type="dxa"/>
            <w:gridSpan w:val="2"/>
            <w:vMerge w:val="continue"/>
            <w:vAlign w:val="center"/>
          </w:tcPr>
          <w:p>
            <w:pPr>
              <w:ind w:firstLine="420" w:firstLineChars="200"/>
              <w:rPr>
                <w:rFonts w:ascii="Times New Roman" w:hAnsi="Times New Roman"/>
                <w:color w:val="auto"/>
              </w:rPr>
            </w:pPr>
          </w:p>
        </w:tc>
        <w:tc>
          <w:tcPr>
            <w:tcW w:w="1098" w:type="dxa"/>
            <w:vMerge w:val="continue"/>
            <w:vAlign w:val="center"/>
          </w:tcPr>
          <w:p>
            <w:pPr>
              <w:snapToGrid w:val="0"/>
              <w:ind w:firstLine="420" w:firstLineChars="200"/>
              <w:rPr>
                <w:rFonts w:ascii="宋体" w:hAnsi="宋体"/>
                <w:color w:val="auto"/>
                <w:szCs w:val="21"/>
              </w:rPr>
            </w:pPr>
          </w:p>
        </w:tc>
        <w:tc>
          <w:tcPr>
            <w:tcW w:w="2132" w:type="dxa"/>
            <w:vAlign w:val="center"/>
          </w:tcPr>
          <w:p>
            <w:pPr>
              <w:snapToGrid w:val="0"/>
              <w:ind w:firstLine="0" w:firstLineChars="0"/>
              <w:rPr>
                <w:rFonts w:ascii="宋体" w:hAnsi="宋体"/>
                <w:color w:val="auto"/>
                <w:szCs w:val="21"/>
              </w:rPr>
            </w:pPr>
            <w:r>
              <w:rPr>
                <w:rFonts w:hint="eastAsia" w:ascii="宋体" w:hAnsi="宋体"/>
                <w:color w:val="auto"/>
                <w:szCs w:val="21"/>
              </w:rPr>
              <w:t>总监理工程师</w:t>
            </w:r>
          </w:p>
        </w:tc>
        <w:tc>
          <w:tcPr>
            <w:tcW w:w="5252" w:type="dxa"/>
            <w:vAlign w:val="center"/>
          </w:tcPr>
          <w:p>
            <w:pPr>
              <w:snapToGrid w:val="0"/>
              <w:rPr>
                <w:rFonts w:ascii="宋体" w:hAnsi="宋体"/>
                <w:color w:val="auto"/>
                <w:szCs w:val="21"/>
              </w:rPr>
            </w:pPr>
            <w:r>
              <w:rPr>
                <w:rFonts w:ascii="宋体" w:hAnsi="宋体"/>
                <w:color w:val="auto"/>
                <w:szCs w:val="21"/>
              </w:rPr>
              <w:t>符合第二章“投标人须知”第1.4.1项规定</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0" w:type="dxa"/>
            <w:gridSpan w:val="2"/>
            <w:vMerge w:val="continue"/>
            <w:vAlign w:val="center"/>
          </w:tcPr>
          <w:p>
            <w:pPr>
              <w:ind w:firstLine="420" w:firstLineChars="200"/>
              <w:rPr>
                <w:rFonts w:ascii="Times New Roman" w:hAnsi="Times New Roman"/>
                <w:color w:val="auto"/>
              </w:rPr>
            </w:pPr>
          </w:p>
        </w:tc>
        <w:tc>
          <w:tcPr>
            <w:tcW w:w="1098" w:type="dxa"/>
            <w:vMerge w:val="continue"/>
            <w:vAlign w:val="center"/>
          </w:tcPr>
          <w:p>
            <w:pPr>
              <w:snapToGrid w:val="0"/>
              <w:ind w:firstLine="420" w:firstLineChars="200"/>
              <w:rPr>
                <w:rFonts w:ascii="宋体" w:hAnsi="宋体"/>
                <w:color w:val="auto"/>
                <w:szCs w:val="21"/>
              </w:rPr>
            </w:pPr>
          </w:p>
        </w:tc>
        <w:tc>
          <w:tcPr>
            <w:tcW w:w="2132" w:type="dxa"/>
            <w:vAlign w:val="center"/>
          </w:tcPr>
          <w:p>
            <w:pPr>
              <w:snapToGrid w:val="0"/>
              <w:ind w:firstLine="0" w:firstLineChars="0"/>
              <w:rPr>
                <w:rFonts w:ascii="宋体" w:hAnsi="宋体"/>
                <w:color w:val="auto"/>
                <w:szCs w:val="21"/>
              </w:rPr>
            </w:pPr>
            <w:r>
              <w:rPr>
                <w:rFonts w:ascii="宋体" w:hAnsi="宋体"/>
                <w:color w:val="auto"/>
                <w:szCs w:val="21"/>
              </w:rPr>
              <w:t>其他要求</w:t>
            </w:r>
          </w:p>
        </w:tc>
        <w:tc>
          <w:tcPr>
            <w:tcW w:w="5252" w:type="dxa"/>
            <w:vAlign w:val="center"/>
          </w:tcPr>
          <w:p>
            <w:pPr>
              <w:snapToGrid w:val="0"/>
              <w:rPr>
                <w:color w:val="auto"/>
              </w:rPr>
            </w:pPr>
            <w:r>
              <w:rPr>
                <w:rFonts w:hint="eastAsia"/>
                <w:color w:val="auto"/>
              </w:rPr>
              <w:t>1）投标人已按照招标公告附件一要求的内容签署盖章的《投标人声明》。</w:t>
            </w:r>
          </w:p>
          <w:p>
            <w:pPr>
              <w:pStyle w:val="14"/>
              <w:rPr>
                <w:rFonts w:ascii="Calibri"/>
                <w:color w:val="auto"/>
              </w:rPr>
            </w:pPr>
            <w:r>
              <w:rPr>
                <w:rFonts w:hint="eastAsia" w:ascii="Calibri"/>
                <w:color w:val="auto"/>
              </w:rPr>
              <w:t>2）投标登记前，投标人已在广州公共资源交易中心办理企业信息登记及拟担任本工程总监理工程师须是本单位在企业库中的在册人员。</w:t>
            </w:r>
          </w:p>
          <w:p>
            <w:pPr>
              <w:pStyle w:val="14"/>
              <w:rPr>
                <w:color w:val="auto"/>
              </w:rPr>
            </w:pPr>
            <w:r>
              <w:rPr>
                <w:rFonts w:hint="eastAsia" w:ascii="Calibri"/>
                <w:color w:val="auto"/>
              </w:rPr>
              <w:t>3）</w:t>
            </w:r>
            <w:r>
              <w:rPr>
                <w:rFonts w:hint="eastAsia" w:ascii="Calibri" w:hAnsi="Calibri" w:cs="Times New Roman"/>
                <w:color w:val="auto"/>
                <w:sz w:val="21"/>
              </w:rPr>
              <w:t>投标人应未被纳入国家、市、区的失信联合惩戒名单且被限制参加</w:t>
            </w:r>
            <w:r>
              <w:rPr>
                <w:rFonts w:hint="eastAsia" w:ascii="Calibri" w:hAnsi="Calibri" w:cs="Times New Roman"/>
                <w:color w:val="auto"/>
                <w:sz w:val="21"/>
                <w:lang w:val="en-US" w:eastAsia="zh-CN"/>
              </w:rPr>
              <w:t>财政投资工程或政府投资工程或</w:t>
            </w:r>
            <w:r>
              <w:rPr>
                <w:rFonts w:hint="eastAsia" w:ascii="Calibri" w:hAnsi="Calibri" w:cs="Times New Roman"/>
                <w:color w:val="auto"/>
                <w:sz w:val="21"/>
              </w:rPr>
              <w:t>建设工程投标（具体名单以递交投标文件截止时间“信用广州”https://credit1.gz.gov.cn/sgs/sgsXkNew公布的“失信黑名单”为准）</w:t>
            </w:r>
            <w:r>
              <w:rPr>
                <w:rFonts w:hint="eastAsia" w:ascii="Calibri" w:hAnsi="Calibri" w:cs="Times New Roman"/>
                <w:color w:val="auto"/>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880" w:type="dxa"/>
            <w:gridSpan w:val="2"/>
            <w:vMerge w:val="continue"/>
            <w:vAlign w:val="center"/>
          </w:tcPr>
          <w:p>
            <w:pPr>
              <w:ind w:firstLine="420" w:firstLineChars="200"/>
              <w:rPr>
                <w:rFonts w:ascii="Times New Roman" w:hAnsi="Times New Roman"/>
                <w:color w:val="auto"/>
              </w:rPr>
            </w:pPr>
          </w:p>
        </w:tc>
        <w:tc>
          <w:tcPr>
            <w:tcW w:w="1098" w:type="dxa"/>
            <w:vMerge w:val="continue"/>
            <w:vAlign w:val="center"/>
          </w:tcPr>
          <w:p>
            <w:pPr>
              <w:snapToGrid w:val="0"/>
              <w:ind w:firstLine="420" w:firstLineChars="200"/>
              <w:rPr>
                <w:rFonts w:ascii="宋体" w:hAnsi="宋体"/>
                <w:color w:val="auto"/>
                <w:szCs w:val="21"/>
              </w:rPr>
            </w:pPr>
          </w:p>
        </w:tc>
        <w:tc>
          <w:tcPr>
            <w:tcW w:w="2132" w:type="dxa"/>
            <w:vAlign w:val="center"/>
          </w:tcPr>
          <w:p>
            <w:pPr>
              <w:snapToGrid w:val="0"/>
              <w:ind w:firstLine="0" w:firstLineChars="0"/>
              <w:rPr>
                <w:rFonts w:ascii="宋体" w:hAnsi="宋体"/>
                <w:color w:val="auto"/>
                <w:szCs w:val="21"/>
              </w:rPr>
            </w:pPr>
            <w:r>
              <w:rPr>
                <w:rFonts w:ascii="宋体" w:hAnsi="宋体"/>
                <w:color w:val="auto"/>
                <w:szCs w:val="21"/>
              </w:rPr>
              <w:t>联合体投标人</w:t>
            </w:r>
          </w:p>
        </w:tc>
        <w:tc>
          <w:tcPr>
            <w:tcW w:w="5252" w:type="dxa"/>
            <w:vAlign w:val="center"/>
          </w:tcPr>
          <w:p>
            <w:pPr>
              <w:snapToGrid w:val="0"/>
              <w:rPr>
                <w:rFonts w:ascii="宋体" w:hAnsi="宋体"/>
                <w:color w:val="auto"/>
                <w:szCs w:val="21"/>
              </w:rPr>
            </w:pPr>
            <w:r>
              <w:rPr>
                <w:rFonts w:hint="eastAsia" w:ascii="宋体" w:hAnsi="Courier New" w:cs="Arial"/>
                <w:color w:val="auto"/>
                <w:szCs w:val="21"/>
              </w:rPr>
              <w:t>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0" w:type="dxa"/>
            <w:gridSpan w:val="2"/>
            <w:vMerge w:val="continue"/>
            <w:vAlign w:val="center"/>
          </w:tcPr>
          <w:p>
            <w:pPr>
              <w:ind w:firstLine="420" w:firstLineChars="200"/>
              <w:rPr>
                <w:rFonts w:ascii="Times New Roman" w:hAnsi="Times New Roman"/>
                <w:color w:val="auto"/>
              </w:rPr>
            </w:pPr>
          </w:p>
        </w:tc>
        <w:tc>
          <w:tcPr>
            <w:tcW w:w="1098" w:type="dxa"/>
            <w:vMerge w:val="continue"/>
            <w:vAlign w:val="center"/>
          </w:tcPr>
          <w:p>
            <w:pPr>
              <w:ind w:firstLine="420" w:firstLineChars="200"/>
              <w:rPr>
                <w:rFonts w:ascii="Times New Roman" w:hAnsi="Times New Roman"/>
                <w:color w:val="auto"/>
              </w:rPr>
            </w:pPr>
          </w:p>
        </w:tc>
        <w:tc>
          <w:tcPr>
            <w:tcW w:w="2132" w:type="dxa"/>
            <w:vAlign w:val="center"/>
          </w:tcPr>
          <w:p>
            <w:pPr>
              <w:snapToGrid w:val="0"/>
              <w:rPr>
                <w:rFonts w:ascii="宋体" w:hAnsi="宋体"/>
                <w:color w:val="auto"/>
                <w:szCs w:val="21"/>
              </w:rPr>
            </w:pPr>
            <w:r>
              <w:rPr>
                <w:rFonts w:ascii="宋体" w:hAnsi="宋体"/>
                <w:color w:val="auto"/>
                <w:szCs w:val="21"/>
              </w:rPr>
              <w:t>不存在禁止投标的情形</w:t>
            </w:r>
          </w:p>
        </w:tc>
        <w:tc>
          <w:tcPr>
            <w:tcW w:w="5252" w:type="dxa"/>
            <w:vAlign w:val="center"/>
          </w:tcPr>
          <w:p>
            <w:pPr>
              <w:snapToGrid w:val="0"/>
              <w:rPr>
                <w:rFonts w:ascii="宋体" w:hAnsi="宋体"/>
                <w:color w:val="auto"/>
                <w:szCs w:val="21"/>
              </w:rPr>
            </w:pPr>
            <w:r>
              <w:rPr>
                <w:rFonts w:ascii="宋体" w:hAnsi="宋体"/>
                <w:color w:val="auto"/>
                <w:szCs w:val="21"/>
              </w:rPr>
              <w:t>不存在第二章“投标人须知”第1.4.3项规定的任何一种情形</w:t>
            </w:r>
            <w:r>
              <w:rPr>
                <w:rFonts w:hint="eastAsia" w:ascii="宋体" w:hAnsi="宋体" w:cs="宋体"/>
                <w:color w:val="auto"/>
              </w:rPr>
              <w:t>（以招标公告投标人声明为准）</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0" w:type="dxa"/>
            <w:gridSpan w:val="2"/>
            <w:vMerge w:val="restart"/>
            <w:vAlign w:val="center"/>
          </w:tcPr>
          <w:p>
            <w:pPr>
              <w:jc w:val="center"/>
              <w:rPr>
                <w:rFonts w:ascii="Times New Roman" w:hAnsi="Times New Roman"/>
                <w:color w:val="auto"/>
              </w:rPr>
            </w:pPr>
            <w:r>
              <w:rPr>
                <w:rFonts w:ascii="Times New Roman" w:hAnsi="Times New Roman"/>
                <w:color w:val="auto"/>
              </w:rPr>
              <w:t>2.1.3</w:t>
            </w:r>
          </w:p>
        </w:tc>
        <w:tc>
          <w:tcPr>
            <w:tcW w:w="1098" w:type="dxa"/>
            <w:vMerge w:val="restart"/>
            <w:vAlign w:val="center"/>
          </w:tcPr>
          <w:p>
            <w:pPr>
              <w:jc w:val="center"/>
              <w:rPr>
                <w:rFonts w:ascii="Times New Roman" w:hAnsi="Times New Roman"/>
                <w:color w:val="auto"/>
              </w:rPr>
            </w:pPr>
            <w:r>
              <w:rPr>
                <w:rFonts w:ascii="Times New Roman" w:hAnsi="Times New Roman"/>
                <w:color w:val="auto"/>
              </w:rPr>
              <w:t>响应性评审标准</w:t>
            </w:r>
          </w:p>
        </w:tc>
        <w:tc>
          <w:tcPr>
            <w:tcW w:w="2132" w:type="dxa"/>
            <w:vAlign w:val="center"/>
          </w:tcPr>
          <w:p>
            <w:pPr>
              <w:snapToGrid w:val="0"/>
              <w:jc w:val="both"/>
              <w:rPr>
                <w:rFonts w:ascii="宋体" w:hAnsi="宋体"/>
                <w:color w:val="auto"/>
                <w:szCs w:val="21"/>
              </w:rPr>
            </w:pPr>
            <w:r>
              <w:rPr>
                <w:rFonts w:ascii="宋体" w:hAnsi="宋体"/>
                <w:color w:val="auto"/>
                <w:szCs w:val="21"/>
              </w:rPr>
              <w:t>投标报价</w:t>
            </w:r>
          </w:p>
        </w:tc>
        <w:tc>
          <w:tcPr>
            <w:tcW w:w="5252" w:type="dxa"/>
            <w:vAlign w:val="center"/>
          </w:tcPr>
          <w:p>
            <w:pPr>
              <w:snapToGrid w:val="0"/>
              <w:jc w:val="left"/>
              <w:rPr>
                <w:rFonts w:ascii="宋体" w:hAnsi="宋体"/>
                <w:color w:val="auto"/>
                <w:szCs w:val="21"/>
              </w:rPr>
            </w:pPr>
            <w:r>
              <w:rPr>
                <w:rFonts w:ascii="宋体" w:hAnsi="宋体"/>
                <w:color w:val="auto"/>
                <w:szCs w:val="21"/>
              </w:rPr>
              <w:t>符合第二章“投标人须知”第3.2款规定</w:t>
            </w:r>
            <w:r>
              <w:rPr>
                <w:rFonts w:hint="eastAsia" w:ascii="宋体" w:hAnsi="宋体"/>
                <w:color w:val="auto"/>
                <w:szCs w:val="21"/>
              </w:rPr>
              <w:t>进行投标报价的；对同一招标项目没有出现两个或以上的投标报价，且修正无依据。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jc w:val="center"/>
        </w:trPr>
        <w:tc>
          <w:tcPr>
            <w:tcW w:w="880" w:type="dxa"/>
            <w:gridSpan w:val="2"/>
            <w:vMerge w:val="continue"/>
            <w:vAlign w:val="center"/>
          </w:tcPr>
          <w:p>
            <w:pPr>
              <w:ind w:firstLine="420" w:firstLineChars="200"/>
              <w:rPr>
                <w:rFonts w:ascii="Times New Roman" w:hAnsi="Times New Roman"/>
                <w:color w:val="auto"/>
              </w:rPr>
            </w:pPr>
          </w:p>
        </w:tc>
        <w:tc>
          <w:tcPr>
            <w:tcW w:w="1098" w:type="dxa"/>
            <w:vMerge w:val="continue"/>
            <w:vAlign w:val="center"/>
          </w:tcPr>
          <w:p>
            <w:pPr>
              <w:ind w:firstLine="420" w:firstLineChars="200"/>
              <w:rPr>
                <w:rFonts w:ascii="Times New Roman" w:hAnsi="Times New Roman"/>
                <w:color w:val="auto"/>
              </w:rPr>
            </w:pPr>
          </w:p>
        </w:tc>
        <w:tc>
          <w:tcPr>
            <w:tcW w:w="2132" w:type="dxa"/>
            <w:vAlign w:val="center"/>
          </w:tcPr>
          <w:p>
            <w:pPr>
              <w:snapToGrid w:val="0"/>
              <w:ind w:firstLine="0" w:firstLineChars="0"/>
              <w:rPr>
                <w:rFonts w:ascii="宋体" w:hAnsi="宋体"/>
                <w:color w:val="auto"/>
                <w:szCs w:val="21"/>
              </w:rPr>
            </w:pPr>
            <w:r>
              <w:rPr>
                <w:rFonts w:ascii="宋体" w:hAnsi="宋体"/>
                <w:color w:val="auto"/>
                <w:szCs w:val="21"/>
              </w:rPr>
              <w:t>投标内容</w:t>
            </w:r>
          </w:p>
        </w:tc>
        <w:tc>
          <w:tcPr>
            <w:tcW w:w="5252" w:type="dxa"/>
            <w:vAlign w:val="center"/>
          </w:tcPr>
          <w:p>
            <w:pPr>
              <w:snapToGrid w:val="0"/>
              <w:rPr>
                <w:rFonts w:ascii="宋体" w:hAnsi="宋体"/>
                <w:color w:val="auto"/>
                <w:szCs w:val="21"/>
              </w:rPr>
            </w:pPr>
            <w:r>
              <w:rPr>
                <w:rFonts w:hint="eastAsia" w:ascii="宋体" w:hAnsi="宋体"/>
                <w:color w:val="auto"/>
                <w:szCs w:val="21"/>
              </w:rPr>
              <w:t>符合第二章“投标人须知”第 1.3.1 项规定；投标文件按规定的格式填写，内容齐全或关键字迹清晰、容易辨认。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0" w:type="dxa"/>
            <w:gridSpan w:val="2"/>
            <w:vMerge w:val="continue"/>
            <w:vAlign w:val="center"/>
          </w:tcPr>
          <w:p>
            <w:pPr>
              <w:ind w:firstLine="420" w:firstLineChars="200"/>
              <w:rPr>
                <w:rFonts w:ascii="Times New Roman" w:hAnsi="Times New Roman"/>
                <w:color w:val="auto"/>
              </w:rPr>
            </w:pPr>
          </w:p>
        </w:tc>
        <w:tc>
          <w:tcPr>
            <w:tcW w:w="1098" w:type="dxa"/>
            <w:vMerge w:val="continue"/>
            <w:vAlign w:val="center"/>
          </w:tcPr>
          <w:p>
            <w:pPr>
              <w:ind w:firstLine="420" w:firstLineChars="200"/>
              <w:rPr>
                <w:rFonts w:ascii="Times New Roman" w:hAnsi="Times New Roman"/>
                <w:color w:val="auto"/>
              </w:rPr>
            </w:pPr>
          </w:p>
        </w:tc>
        <w:tc>
          <w:tcPr>
            <w:tcW w:w="2132" w:type="dxa"/>
            <w:vAlign w:val="center"/>
          </w:tcPr>
          <w:p>
            <w:pPr>
              <w:snapToGrid w:val="0"/>
              <w:ind w:firstLine="0" w:firstLineChars="0"/>
              <w:rPr>
                <w:rFonts w:ascii="宋体" w:hAnsi="宋体"/>
                <w:color w:val="auto"/>
                <w:szCs w:val="21"/>
              </w:rPr>
            </w:pPr>
            <w:r>
              <w:rPr>
                <w:rFonts w:ascii="宋体" w:hAnsi="宋体"/>
                <w:color w:val="auto"/>
                <w:szCs w:val="21"/>
              </w:rPr>
              <w:t>监理服务期限</w:t>
            </w:r>
          </w:p>
        </w:tc>
        <w:tc>
          <w:tcPr>
            <w:tcW w:w="5252" w:type="dxa"/>
            <w:vAlign w:val="center"/>
          </w:tcPr>
          <w:p>
            <w:pPr>
              <w:snapToGrid w:val="0"/>
              <w:rPr>
                <w:rFonts w:ascii="宋体" w:hAnsi="宋体"/>
                <w:color w:val="auto"/>
                <w:szCs w:val="21"/>
              </w:rPr>
            </w:pPr>
            <w:r>
              <w:rPr>
                <w:rFonts w:ascii="宋体" w:hAnsi="宋体"/>
                <w:color w:val="auto"/>
                <w:szCs w:val="21"/>
              </w:rPr>
              <w:t>符合第二章“投标人须知”第1.3.2项规定</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0" w:type="dxa"/>
            <w:gridSpan w:val="2"/>
            <w:vMerge w:val="continue"/>
            <w:vAlign w:val="center"/>
          </w:tcPr>
          <w:p>
            <w:pPr>
              <w:ind w:firstLine="420" w:firstLineChars="200"/>
              <w:rPr>
                <w:rFonts w:ascii="Times New Roman" w:hAnsi="Times New Roman"/>
                <w:color w:val="auto"/>
              </w:rPr>
            </w:pPr>
          </w:p>
        </w:tc>
        <w:tc>
          <w:tcPr>
            <w:tcW w:w="1098" w:type="dxa"/>
            <w:vMerge w:val="continue"/>
            <w:vAlign w:val="center"/>
          </w:tcPr>
          <w:p>
            <w:pPr>
              <w:ind w:firstLine="420" w:firstLineChars="200"/>
              <w:rPr>
                <w:rFonts w:ascii="Times New Roman" w:hAnsi="Times New Roman"/>
                <w:color w:val="auto"/>
              </w:rPr>
            </w:pPr>
          </w:p>
        </w:tc>
        <w:tc>
          <w:tcPr>
            <w:tcW w:w="2132" w:type="dxa"/>
            <w:vAlign w:val="center"/>
          </w:tcPr>
          <w:p>
            <w:pPr>
              <w:snapToGrid w:val="0"/>
              <w:ind w:firstLine="0" w:firstLineChars="0"/>
              <w:rPr>
                <w:rFonts w:ascii="宋体" w:hAnsi="宋体"/>
                <w:color w:val="auto"/>
                <w:szCs w:val="21"/>
              </w:rPr>
            </w:pPr>
            <w:r>
              <w:rPr>
                <w:rFonts w:hint="eastAsia" w:ascii="宋体" w:hAnsi="宋体"/>
                <w:color w:val="auto"/>
                <w:szCs w:val="21"/>
              </w:rPr>
              <w:t>质量标准</w:t>
            </w:r>
          </w:p>
        </w:tc>
        <w:tc>
          <w:tcPr>
            <w:tcW w:w="5252" w:type="dxa"/>
            <w:vAlign w:val="center"/>
          </w:tcPr>
          <w:p>
            <w:pPr>
              <w:snapToGrid w:val="0"/>
              <w:rPr>
                <w:rFonts w:ascii="宋体" w:hAnsi="宋体"/>
                <w:color w:val="auto"/>
                <w:szCs w:val="21"/>
              </w:rPr>
            </w:pPr>
            <w:r>
              <w:rPr>
                <w:rFonts w:hint="eastAsia" w:ascii="宋体" w:hAnsi="宋体"/>
                <w:color w:val="auto"/>
                <w:szCs w:val="21"/>
              </w:rPr>
              <w:t>符合第二章“投标人须知”第 1.3.3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0" w:type="dxa"/>
            <w:gridSpan w:val="2"/>
            <w:vMerge w:val="continue"/>
            <w:vAlign w:val="center"/>
          </w:tcPr>
          <w:p>
            <w:pPr>
              <w:ind w:firstLine="420" w:firstLineChars="200"/>
              <w:rPr>
                <w:rFonts w:ascii="Times New Roman" w:hAnsi="Times New Roman"/>
                <w:color w:val="auto"/>
              </w:rPr>
            </w:pPr>
          </w:p>
        </w:tc>
        <w:tc>
          <w:tcPr>
            <w:tcW w:w="1098" w:type="dxa"/>
            <w:vMerge w:val="continue"/>
            <w:vAlign w:val="center"/>
          </w:tcPr>
          <w:p>
            <w:pPr>
              <w:ind w:firstLine="420" w:firstLineChars="200"/>
              <w:rPr>
                <w:rFonts w:ascii="Times New Roman" w:hAnsi="Times New Roman"/>
                <w:color w:val="auto"/>
              </w:rPr>
            </w:pPr>
          </w:p>
        </w:tc>
        <w:tc>
          <w:tcPr>
            <w:tcW w:w="2132" w:type="dxa"/>
            <w:vAlign w:val="center"/>
          </w:tcPr>
          <w:p>
            <w:pPr>
              <w:snapToGrid w:val="0"/>
              <w:ind w:firstLine="0" w:firstLineChars="0"/>
              <w:rPr>
                <w:rFonts w:ascii="宋体" w:hAnsi="宋体"/>
                <w:color w:val="auto"/>
                <w:szCs w:val="21"/>
              </w:rPr>
            </w:pPr>
            <w:r>
              <w:rPr>
                <w:rFonts w:ascii="宋体" w:hAnsi="宋体"/>
                <w:color w:val="auto"/>
                <w:szCs w:val="21"/>
              </w:rPr>
              <w:t>投标有效期</w:t>
            </w:r>
          </w:p>
        </w:tc>
        <w:tc>
          <w:tcPr>
            <w:tcW w:w="5252" w:type="dxa"/>
            <w:vAlign w:val="center"/>
          </w:tcPr>
          <w:p>
            <w:pPr>
              <w:snapToGrid w:val="0"/>
              <w:rPr>
                <w:rFonts w:ascii="宋体" w:hAnsi="宋体"/>
                <w:color w:val="auto"/>
                <w:szCs w:val="21"/>
              </w:rPr>
            </w:pPr>
            <w:r>
              <w:rPr>
                <w:rFonts w:hint="eastAsia" w:ascii="宋体" w:hAnsi="宋体"/>
                <w:color w:val="auto"/>
                <w:szCs w:val="21"/>
              </w:rPr>
              <w:t>符合第二章“投标人须知”第 3.3.1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0" w:type="dxa"/>
            <w:gridSpan w:val="2"/>
            <w:vMerge w:val="continue"/>
            <w:vAlign w:val="center"/>
          </w:tcPr>
          <w:p>
            <w:pPr>
              <w:ind w:firstLine="420" w:firstLineChars="200"/>
              <w:rPr>
                <w:rFonts w:ascii="Times New Roman" w:hAnsi="Times New Roman"/>
                <w:color w:val="auto"/>
              </w:rPr>
            </w:pPr>
          </w:p>
        </w:tc>
        <w:tc>
          <w:tcPr>
            <w:tcW w:w="1098" w:type="dxa"/>
            <w:vMerge w:val="continue"/>
            <w:vAlign w:val="center"/>
          </w:tcPr>
          <w:p>
            <w:pPr>
              <w:ind w:firstLine="420" w:firstLineChars="200"/>
              <w:rPr>
                <w:rFonts w:ascii="Times New Roman" w:hAnsi="Times New Roman"/>
                <w:color w:val="auto"/>
              </w:rPr>
            </w:pPr>
          </w:p>
        </w:tc>
        <w:tc>
          <w:tcPr>
            <w:tcW w:w="2132" w:type="dxa"/>
            <w:vAlign w:val="center"/>
          </w:tcPr>
          <w:p>
            <w:pPr>
              <w:snapToGrid w:val="0"/>
              <w:ind w:firstLine="0" w:firstLineChars="0"/>
              <w:rPr>
                <w:rFonts w:ascii="宋体" w:hAnsi="宋体"/>
                <w:color w:val="auto"/>
                <w:szCs w:val="21"/>
              </w:rPr>
            </w:pPr>
            <w:r>
              <w:rPr>
                <w:rFonts w:ascii="宋体" w:hAnsi="宋体"/>
                <w:color w:val="auto"/>
                <w:szCs w:val="21"/>
              </w:rPr>
              <w:t>投标保证金</w:t>
            </w:r>
          </w:p>
        </w:tc>
        <w:tc>
          <w:tcPr>
            <w:tcW w:w="5252" w:type="dxa"/>
            <w:vAlign w:val="center"/>
          </w:tcPr>
          <w:p>
            <w:pPr>
              <w:snapToGrid w:val="0"/>
              <w:rPr>
                <w:rFonts w:ascii="宋体" w:hAnsi="宋体"/>
                <w:color w:val="auto"/>
                <w:szCs w:val="21"/>
              </w:rPr>
            </w:pPr>
            <w:r>
              <w:rPr>
                <w:rFonts w:hint="eastAsia" w:ascii="宋体" w:hAnsi="宋体"/>
                <w:color w:val="auto"/>
                <w:szCs w:val="21"/>
              </w:rPr>
              <w:t>符合第二章</w:t>
            </w:r>
            <w:r>
              <w:rPr>
                <w:rFonts w:ascii="宋体" w:hAnsi="宋体"/>
                <w:color w:val="auto"/>
                <w:szCs w:val="21"/>
              </w:rPr>
              <w:t>“</w:t>
            </w:r>
            <w:r>
              <w:rPr>
                <w:rFonts w:hint="eastAsia" w:ascii="宋体" w:hAnsi="宋体"/>
                <w:color w:val="auto"/>
                <w:szCs w:val="21"/>
              </w:rPr>
              <w:t>投标人须知</w:t>
            </w:r>
            <w:r>
              <w:rPr>
                <w:rFonts w:ascii="宋体" w:hAnsi="宋体"/>
                <w:color w:val="auto"/>
                <w:szCs w:val="21"/>
              </w:rPr>
              <w:t>”</w:t>
            </w:r>
            <w:r>
              <w:rPr>
                <w:rFonts w:hint="eastAsia" w:ascii="宋体" w:hAnsi="宋体"/>
                <w:color w:val="auto"/>
                <w:szCs w:val="21"/>
              </w:rPr>
              <w:t>第 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880" w:type="dxa"/>
            <w:gridSpan w:val="2"/>
            <w:vMerge w:val="continue"/>
            <w:vAlign w:val="center"/>
          </w:tcPr>
          <w:p>
            <w:pPr>
              <w:ind w:firstLine="420" w:firstLineChars="200"/>
              <w:rPr>
                <w:rFonts w:ascii="Times New Roman" w:hAnsi="Times New Roman"/>
                <w:color w:val="auto"/>
              </w:rPr>
            </w:pPr>
          </w:p>
        </w:tc>
        <w:tc>
          <w:tcPr>
            <w:tcW w:w="1098" w:type="dxa"/>
            <w:vMerge w:val="continue"/>
            <w:vAlign w:val="center"/>
          </w:tcPr>
          <w:p>
            <w:pPr>
              <w:ind w:firstLine="420" w:firstLineChars="200"/>
              <w:rPr>
                <w:rFonts w:ascii="Times New Roman" w:hAnsi="Times New Roman"/>
                <w:color w:val="auto"/>
              </w:rPr>
            </w:pPr>
          </w:p>
        </w:tc>
        <w:tc>
          <w:tcPr>
            <w:tcW w:w="2132" w:type="dxa"/>
            <w:vAlign w:val="center"/>
          </w:tcPr>
          <w:p>
            <w:pPr>
              <w:snapToGrid w:val="0"/>
              <w:ind w:firstLine="0" w:firstLineChars="0"/>
              <w:rPr>
                <w:rFonts w:ascii="宋体" w:hAnsi="宋体"/>
                <w:color w:val="auto"/>
                <w:szCs w:val="21"/>
              </w:rPr>
            </w:pPr>
            <w:r>
              <w:rPr>
                <w:rFonts w:hint="eastAsia" w:ascii="宋体" w:hAnsi="宋体"/>
                <w:color w:val="auto"/>
                <w:szCs w:val="21"/>
              </w:rPr>
              <w:t>串通投标情形</w:t>
            </w:r>
          </w:p>
        </w:tc>
        <w:tc>
          <w:tcPr>
            <w:tcW w:w="5252" w:type="dxa"/>
            <w:vAlign w:val="center"/>
          </w:tcPr>
          <w:p>
            <w:pPr>
              <w:snapToGrid w:val="0"/>
              <w:rPr>
                <w:rFonts w:ascii="宋体" w:hAnsi="宋体"/>
                <w:color w:val="auto"/>
                <w:szCs w:val="21"/>
              </w:rPr>
            </w:pPr>
            <w:r>
              <w:rPr>
                <w:rFonts w:hint="eastAsia" w:ascii="宋体" w:hAnsi="宋体"/>
                <w:color w:val="auto"/>
                <w:szCs w:val="21"/>
              </w:rPr>
              <w:t>不存在串通投标情形（串通投标情形以《中华人民共和国招标投标法实施条例》的规定为准）；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78" w:type="dxa"/>
            <w:gridSpan w:val="3"/>
            <w:vAlign w:val="center"/>
          </w:tcPr>
          <w:p>
            <w:pPr>
              <w:snapToGrid w:val="0"/>
              <w:ind w:firstLine="422" w:firstLineChars="200"/>
              <w:rPr>
                <w:rFonts w:ascii="宋体" w:hAnsi="宋体"/>
                <w:b/>
                <w:color w:val="auto"/>
                <w:szCs w:val="21"/>
              </w:rPr>
            </w:pPr>
            <w:r>
              <w:rPr>
                <w:rFonts w:ascii="宋体" w:hAnsi="宋体"/>
                <w:b/>
                <w:color w:val="auto"/>
                <w:szCs w:val="21"/>
              </w:rPr>
              <w:t>条款号</w:t>
            </w:r>
          </w:p>
        </w:tc>
        <w:tc>
          <w:tcPr>
            <w:tcW w:w="2132" w:type="dxa"/>
            <w:vAlign w:val="center"/>
          </w:tcPr>
          <w:p>
            <w:pPr>
              <w:snapToGrid w:val="0"/>
              <w:ind w:firstLine="422" w:firstLineChars="200"/>
              <w:rPr>
                <w:rFonts w:ascii="宋体" w:hAnsi="宋体"/>
                <w:b/>
                <w:color w:val="auto"/>
                <w:szCs w:val="21"/>
              </w:rPr>
            </w:pPr>
            <w:r>
              <w:rPr>
                <w:rFonts w:ascii="宋体" w:hAnsi="宋体"/>
                <w:b/>
                <w:color w:val="auto"/>
                <w:szCs w:val="21"/>
              </w:rPr>
              <w:t>条款内容</w:t>
            </w:r>
          </w:p>
        </w:tc>
        <w:tc>
          <w:tcPr>
            <w:tcW w:w="5252" w:type="dxa"/>
            <w:vAlign w:val="center"/>
          </w:tcPr>
          <w:p>
            <w:pPr>
              <w:snapToGrid w:val="0"/>
              <w:ind w:firstLine="422" w:firstLineChars="200"/>
              <w:jc w:val="center"/>
              <w:rPr>
                <w:rFonts w:ascii="宋体" w:hAnsi="宋体"/>
                <w:b/>
                <w:color w:val="auto"/>
                <w:szCs w:val="21"/>
              </w:rPr>
            </w:pPr>
            <w:r>
              <w:rPr>
                <w:rFonts w:ascii="宋体" w:hAnsi="宋体"/>
                <w:b/>
                <w:color w:val="auto"/>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jc w:val="center"/>
        </w:trPr>
        <w:tc>
          <w:tcPr>
            <w:tcW w:w="1978" w:type="dxa"/>
            <w:gridSpan w:val="3"/>
            <w:vAlign w:val="center"/>
          </w:tcPr>
          <w:p>
            <w:pPr>
              <w:jc w:val="center"/>
              <w:rPr>
                <w:rFonts w:ascii="Times New Roman" w:hAnsi="Times New Roman"/>
                <w:color w:val="auto"/>
              </w:rPr>
            </w:pPr>
            <w:r>
              <w:rPr>
                <w:rFonts w:ascii="Times New Roman" w:hAnsi="Times New Roman"/>
                <w:color w:val="auto"/>
              </w:rPr>
              <w:t>2.2.1</w:t>
            </w:r>
          </w:p>
        </w:tc>
        <w:tc>
          <w:tcPr>
            <w:tcW w:w="2132" w:type="dxa"/>
            <w:vAlign w:val="center"/>
          </w:tcPr>
          <w:p>
            <w:pPr>
              <w:snapToGrid w:val="0"/>
              <w:jc w:val="both"/>
              <w:rPr>
                <w:rFonts w:ascii="宋体" w:hAnsi="宋体"/>
                <w:color w:val="auto"/>
                <w:szCs w:val="21"/>
              </w:rPr>
            </w:pPr>
            <w:r>
              <w:rPr>
                <w:rFonts w:ascii="宋体" w:hAnsi="宋体"/>
                <w:color w:val="auto"/>
                <w:szCs w:val="21"/>
              </w:rPr>
              <w:t>分值构成(总分100分)</w:t>
            </w:r>
          </w:p>
        </w:tc>
        <w:tc>
          <w:tcPr>
            <w:tcW w:w="5252" w:type="dxa"/>
            <w:vAlign w:val="center"/>
          </w:tcPr>
          <w:p>
            <w:pPr>
              <w:rPr>
                <w:rFonts w:ascii="宋体" w:hAnsi="宋体" w:cs="宋体"/>
                <w:color w:val="auto"/>
                <w:szCs w:val="21"/>
              </w:rPr>
            </w:pPr>
            <w:r>
              <w:rPr>
                <w:rFonts w:hint="eastAsia" w:ascii="宋体" w:hAnsi="宋体" w:cs="宋体"/>
                <w:color w:val="auto"/>
                <w:szCs w:val="21"/>
              </w:rPr>
              <w:t>A.资信业绩部分</w:t>
            </w:r>
            <w:r>
              <w:rPr>
                <w:rFonts w:hint="eastAsia"/>
                <w:color w:val="auto"/>
                <w:szCs w:val="21"/>
              </w:rPr>
              <w:t>：</w:t>
            </w:r>
            <w:r>
              <w:rPr>
                <w:rFonts w:hint="eastAsia" w:ascii="宋体" w:hAnsi="宋体" w:cs="宋体"/>
                <w:color w:val="auto"/>
                <w:szCs w:val="21"/>
              </w:rPr>
              <w:t>40分</w:t>
            </w:r>
          </w:p>
          <w:p>
            <w:pPr>
              <w:rPr>
                <w:rFonts w:ascii="宋体" w:hAnsi="宋体" w:cs="宋体"/>
                <w:color w:val="auto"/>
                <w:szCs w:val="21"/>
              </w:rPr>
            </w:pPr>
            <w:r>
              <w:rPr>
                <w:rFonts w:hint="eastAsia" w:ascii="宋体" w:hAnsi="宋体" w:cs="宋体"/>
                <w:color w:val="auto"/>
                <w:szCs w:val="21"/>
              </w:rPr>
              <w:t>B.监理大纲部分</w:t>
            </w:r>
            <w:r>
              <w:rPr>
                <w:rFonts w:hint="eastAsia"/>
                <w:color w:val="auto"/>
                <w:szCs w:val="21"/>
              </w:rPr>
              <w:t>：</w:t>
            </w:r>
            <w:r>
              <w:rPr>
                <w:rFonts w:hint="eastAsia" w:ascii="宋体" w:hAnsi="宋体" w:cs="宋体"/>
                <w:color w:val="auto"/>
                <w:szCs w:val="21"/>
              </w:rPr>
              <w:t>40分</w:t>
            </w:r>
          </w:p>
          <w:p>
            <w:pPr>
              <w:rPr>
                <w:rFonts w:ascii="宋体" w:hAnsi="宋体" w:cs="宋体"/>
                <w:color w:val="auto"/>
                <w:szCs w:val="21"/>
              </w:rPr>
            </w:pPr>
            <w:r>
              <w:rPr>
                <w:rFonts w:hint="eastAsia" w:ascii="宋体" w:hAnsi="宋体" w:cs="宋体"/>
                <w:color w:val="auto"/>
                <w:szCs w:val="21"/>
              </w:rPr>
              <w:t>C.投标报价</w:t>
            </w:r>
            <w:r>
              <w:rPr>
                <w:rFonts w:hint="eastAsia"/>
                <w:color w:val="auto"/>
                <w:szCs w:val="21"/>
              </w:rPr>
              <w:t>：</w:t>
            </w:r>
            <w:r>
              <w:rPr>
                <w:rFonts w:hint="eastAsia" w:ascii="宋体" w:hAnsi="宋体" w:cs="宋体"/>
                <w:color w:val="auto"/>
                <w:szCs w:val="21"/>
              </w:rPr>
              <w:t>20分</w:t>
            </w:r>
          </w:p>
          <w:p>
            <w:pPr>
              <w:rPr>
                <w:rFonts w:ascii="宋体" w:hAnsi="宋体" w:cs="宋体"/>
                <w:strike/>
                <w:color w:val="auto"/>
                <w:szCs w:val="21"/>
              </w:rPr>
            </w:pPr>
            <w:r>
              <w:rPr>
                <w:rFonts w:hint="eastAsia" w:ascii="宋体" w:hAnsi="宋体" w:cs="宋体"/>
                <w:color w:val="auto"/>
                <w:szCs w:val="21"/>
              </w:rPr>
              <w:t>D.其他评分因素：企业诚信综合评价排名得分</w:t>
            </w:r>
          </w:p>
          <w:p>
            <w:pPr>
              <w:rPr>
                <w:rFonts w:ascii="宋体" w:hAnsi="宋体" w:cs="宋体"/>
                <w:color w:val="auto"/>
                <w:szCs w:val="21"/>
              </w:rPr>
            </w:pPr>
            <w:r>
              <w:rPr>
                <w:rFonts w:hint="eastAsia" w:ascii="宋体" w:hAnsi="宋体" w:cs="宋体"/>
                <w:color w:val="auto"/>
                <w:szCs w:val="21"/>
              </w:rPr>
              <w:t>注：</w:t>
            </w:r>
          </w:p>
          <w:p>
            <w:pPr>
              <w:rPr>
                <w:rFonts w:ascii="宋体" w:hAnsi="宋体" w:cs="宋体"/>
                <w:color w:val="auto"/>
                <w:szCs w:val="21"/>
              </w:rPr>
            </w:pPr>
            <w:r>
              <w:rPr>
                <w:rFonts w:hint="eastAsia" w:ascii="宋体" w:hAnsi="宋体" w:cs="宋体"/>
                <w:color w:val="auto"/>
                <w:szCs w:val="21"/>
              </w:rPr>
              <w:t>1）投标人综合得分为各评委的评分去掉一个最高分和一个最低分后计取的算术平均分（分数出现小数点时，保留小数点后二位，第三位小数四舍五入）。</w:t>
            </w:r>
          </w:p>
          <w:p>
            <w:pPr>
              <w:rPr>
                <w:rFonts w:ascii="宋体" w:hAnsi="宋体" w:cs="宋体"/>
                <w:color w:val="auto"/>
                <w:szCs w:val="21"/>
              </w:rPr>
            </w:pPr>
            <w:r>
              <w:rPr>
                <w:rFonts w:hint="eastAsia" w:ascii="宋体" w:hAnsi="宋体" w:cs="宋体"/>
                <w:color w:val="auto"/>
                <w:szCs w:val="21"/>
              </w:rPr>
              <w:t>2）投标人综合得分权重95%；企业诚信综合评价排名得分权重5%；</w:t>
            </w:r>
          </w:p>
          <w:p>
            <w:pPr>
              <w:rPr>
                <w:rFonts w:ascii="宋体" w:hAnsi="宋体" w:cs="宋体"/>
                <w:color w:val="auto"/>
                <w:szCs w:val="21"/>
              </w:rPr>
            </w:pPr>
            <w:r>
              <w:rPr>
                <w:rFonts w:hint="eastAsia" w:ascii="宋体" w:hAnsi="宋体" w:cs="宋体"/>
                <w:color w:val="auto"/>
                <w:szCs w:val="21"/>
              </w:rPr>
              <w:t>3）投标人总得分=投标人综合得分（</w:t>
            </w:r>
            <w:r>
              <w:rPr>
                <w:rFonts w:ascii="宋体" w:hAnsi="宋体" w:cs="宋体"/>
                <w:color w:val="auto"/>
                <w:szCs w:val="21"/>
              </w:rPr>
              <w:t>A+B+C</w:t>
            </w:r>
            <w:r>
              <w:rPr>
                <w:rFonts w:hint="eastAsia" w:ascii="宋体" w:hAnsi="宋体" w:cs="宋体"/>
                <w:color w:val="auto"/>
                <w:szCs w:val="21"/>
              </w:rPr>
              <w:t>）*95%+企业诚信得分D*5%。（综合得分乘权重后最高得分为95分，诚信综合评价排名得分乘权重后最高得分为5分。）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jc w:val="center"/>
        </w:trPr>
        <w:tc>
          <w:tcPr>
            <w:tcW w:w="1978" w:type="dxa"/>
            <w:gridSpan w:val="3"/>
            <w:vAlign w:val="center"/>
          </w:tcPr>
          <w:p>
            <w:pPr>
              <w:jc w:val="center"/>
              <w:rPr>
                <w:rFonts w:ascii="Times New Roman" w:hAnsi="Times New Roman"/>
                <w:color w:val="auto"/>
              </w:rPr>
            </w:pPr>
            <w:r>
              <w:rPr>
                <w:rFonts w:ascii="Times New Roman" w:hAnsi="Times New Roman"/>
                <w:color w:val="auto"/>
              </w:rPr>
              <w:t>2.2.2</w:t>
            </w:r>
          </w:p>
        </w:tc>
        <w:tc>
          <w:tcPr>
            <w:tcW w:w="2132" w:type="dxa"/>
            <w:vAlign w:val="center"/>
          </w:tcPr>
          <w:p>
            <w:pPr>
              <w:snapToGrid w:val="0"/>
              <w:jc w:val="center"/>
              <w:rPr>
                <w:rFonts w:ascii="宋体" w:hAnsi="宋体"/>
                <w:color w:val="auto"/>
                <w:szCs w:val="21"/>
              </w:rPr>
            </w:pPr>
            <w:r>
              <w:rPr>
                <w:rFonts w:ascii="宋体" w:hAnsi="宋体"/>
                <w:color w:val="auto"/>
                <w:szCs w:val="21"/>
              </w:rPr>
              <w:t>评标基准价计算方法</w:t>
            </w:r>
          </w:p>
        </w:tc>
        <w:tc>
          <w:tcPr>
            <w:tcW w:w="5252" w:type="dxa"/>
            <w:vAlign w:val="center"/>
          </w:tcPr>
          <w:p>
            <w:pPr>
              <w:autoSpaceDE w:val="0"/>
              <w:autoSpaceDN w:val="0"/>
              <w:adjustRightInd w:val="0"/>
              <w:jc w:val="left"/>
              <w:rPr>
                <w:rFonts w:ascii="宋体" w:hAnsi="Times New Roman" w:cs="宋体"/>
                <w:color w:val="auto"/>
                <w:kern w:val="0"/>
                <w:szCs w:val="21"/>
              </w:rPr>
            </w:pPr>
            <w:r>
              <w:rPr>
                <w:rFonts w:hint="eastAsia" w:ascii="宋体" w:hAnsi="Times New Roman" w:cs="宋体"/>
                <w:color w:val="auto"/>
                <w:kern w:val="0"/>
                <w:szCs w:val="21"/>
              </w:rPr>
              <w:t>当通过形式评审、资格评审、响应性评审的有效投标人大于或等于</w:t>
            </w:r>
            <w:r>
              <w:rPr>
                <w:rFonts w:ascii="宋体" w:hAnsi="Times New Roman" w:cs="宋体"/>
                <w:color w:val="auto"/>
                <w:kern w:val="0"/>
                <w:szCs w:val="21"/>
              </w:rPr>
              <w:t xml:space="preserve">5 </w:t>
            </w:r>
            <w:r>
              <w:rPr>
                <w:rFonts w:hint="eastAsia" w:ascii="宋体" w:hAnsi="Times New Roman" w:cs="宋体"/>
                <w:color w:val="auto"/>
                <w:kern w:val="0"/>
                <w:szCs w:val="21"/>
              </w:rPr>
              <w:t>名且投标报价为有效投标价时，去掉一个最高价和一个最低价，取余下有效投标价的算术平均值作为评标基准价。当通过形式评审、资格评审、响应性评审的有效投标人小于</w:t>
            </w:r>
            <w:r>
              <w:rPr>
                <w:rFonts w:ascii="宋体" w:hAnsi="Times New Roman" w:cs="宋体"/>
                <w:color w:val="auto"/>
                <w:kern w:val="0"/>
                <w:szCs w:val="21"/>
              </w:rPr>
              <w:t xml:space="preserve">5 </w:t>
            </w:r>
            <w:r>
              <w:rPr>
                <w:rFonts w:hint="eastAsia" w:ascii="宋体" w:hAnsi="Times New Roman" w:cs="宋体"/>
                <w:color w:val="auto"/>
                <w:kern w:val="0"/>
                <w:szCs w:val="21"/>
              </w:rPr>
              <w:t>名时，取所有入围的有效投标价的算术平均值作为评标基准价。</w:t>
            </w:r>
            <w:r>
              <w:rPr>
                <w:rFonts w:ascii="宋体" w:hAnsi="Times New Roman" w:cs="宋体"/>
                <w:color w:val="auto"/>
                <w:kern w:val="0"/>
                <w:szCs w:val="21"/>
              </w:rPr>
              <w:t>(</w:t>
            </w:r>
            <w:r>
              <w:rPr>
                <w:rFonts w:hint="eastAsia" w:ascii="宋体" w:hAnsi="Times New Roman" w:cs="宋体"/>
                <w:color w:val="auto"/>
                <w:kern w:val="0"/>
                <w:szCs w:val="21"/>
              </w:rPr>
              <w:t>有效报价范围为</w:t>
            </w:r>
            <w:r>
              <w:rPr>
                <w:rFonts w:ascii="宋体" w:hAnsi="Times New Roman" w:cs="宋体"/>
                <w:color w:val="auto"/>
                <w:kern w:val="0"/>
                <w:szCs w:val="21"/>
              </w:rPr>
              <w:t>[</w:t>
            </w:r>
            <w:r>
              <w:rPr>
                <w:rFonts w:hint="eastAsia" w:ascii="宋体" w:hAnsi="Times New Roman" w:cs="宋体"/>
                <w:color w:val="auto"/>
                <w:kern w:val="0"/>
                <w:szCs w:val="21"/>
              </w:rPr>
              <w:t>最高投标限价×</w:t>
            </w:r>
            <w:r>
              <w:rPr>
                <w:rFonts w:ascii="宋体" w:hAnsi="Times New Roman" w:cs="宋体"/>
                <w:color w:val="auto"/>
                <w:kern w:val="0"/>
                <w:szCs w:val="21"/>
              </w:rPr>
              <w:t>80%</w:t>
            </w:r>
            <w:r>
              <w:rPr>
                <w:rFonts w:hint="eastAsia" w:ascii="宋体" w:hAnsi="Times New Roman" w:cs="宋体"/>
                <w:color w:val="auto"/>
                <w:kern w:val="0"/>
                <w:szCs w:val="21"/>
              </w:rPr>
              <w:t>，最高投标限价</w:t>
            </w:r>
            <w:r>
              <w:rPr>
                <w:rFonts w:ascii="宋体" w:hAnsi="Times New Roman" w:cs="宋体"/>
                <w:color w:val="auto"/>
                <w:kern w:val="0"/>
                <w:szCs w:val="21"/>
              </w:rPr>
              <w:t>]</w:t>
            </w:r>
            <w:r>
              <w:rPr>
                <w:rFonts w:hint="eastAsia" w:ascii="宋体" w:hAnsi="Times New Roman" w:cs="宋体"/>
                <w:color w:val="auto"/>
                <w:kern w:val="0"/>
                <w:szCs w:val="21"/>
              </w:rPr>
              <w:t>，超过此范围的报价不参与评标基准价的计算</w:t>
            </w:r>
            <w:r>
              <w:rPr>
                <w:rFonts w:ascii="宋体" w:hAnsi="Times New Roman" w:cs="宋体"/>
                <w:color w:val="auto"/>
                <w:kern w:val="0"/>
                <w:szCs w:val="21"/>
              </w:rPr>
              <w:t>)</w:t>
            </w:r>
            <w:r>
              <w:rPr>
                <w:rFonts w:hint="eastAsia" w:ascii="宋体" w:hAnsi="Times New Roman" w:cs="宋体"/>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1978" w:type="dxa"/>
            <w:gridSpan w:val="3"/>
            <w:vAlign w:val="center"/>
          </w:tcPr>
          <w:p>
            <w:pPr>
              <w:jc w:val="center"/>
              <w:rPr>
                <w:rFonts w:ascii="Times New Roman" w:hAnsi="Times New Roman"/>
                <w:color w:val="auto"/>
              </w:rPr>
            </w:pPr>
            <w:r>
              <w:rPr>
                <w:rFonts w:ascii="Times New Roman" w:hAnsi="Times New Roman"/>
                <w:color w:val="auto"/>
              </w:rPr>
              <w:t>2.2.3</w:t>
            </w:r>
          </w:p>
        </w:tc>
        <w:tc>
          <w:tcPr>
            <w:tcW w:w="2132" w:type="dxa"/>
            <w:vAlign w:val="center"/>
          </w:tcPr>
          <w:p>
            <w:pPr>
              <w:snapToGrid w:val="0"/>
              <w:jc w:val="left"/>
              <w:rPr>
                <w:rFonts w:ascii="Times New Roman" w:hAnsi="Times New Roman"/>
                <w:color w:val="auto"/>
              </w:rPr>
            </w:pPr>
            <w:r>
              <w:rPr>
                <w:rFonts w:ascii="宋体" w:hAnsi="宋体"/>
                <w:color w:val="auto"/>
                <w:szCs w:val="21"/>
              </w:rPr>
              <w:t>投标报价的偏差率计算公式</w:t>
            </w:r>
          </w:p>
        </w:tc>
        <w:tc>
          <w:tcPr>
            <w:tcW w:w="5252" w:type="dxa"/>
            <w:vAlign w:val="center"/>
          </w:tcPr>
          <w:p>
            <w:pPr>
              <w:snapToGrid w:val="0"/>
              <w:jc w:val="left"/>
              <w:rPr>
                <w:rFonts w:ascii="宋体" w:hAnsi="宋体"/>
                <w:color w:val="auto"/>
                <w:spacing w:val="-3"/>
              </w:rPr>
            </w:pPr>
            <w:r>
              <w:rPr>
                <w:rFonts w:ascii="宋体" w:hAnsi="宋体"/>
                <w:color w:val="auto"/>
                <w:spacing w:val="-3"/>
              </w:rPr>
              <w:t>偏差率=100% ×|（投标人报价-评标基准价）|/评标基准价（偏差率出现小数点时，保留小数点后2位，第三位小数四舍五入。</w:t>
            </w:r>
            <w:r>
              <w:rPr>
                <w:rFonts w:hint="eastAsia" w:ascii="宋体" w:hAnsi="Courier New"/>
                <w:color w:val="auto"/>
                <w:szCs w:val="21"/>
              </w:rPr>
              <w:t>报价偏差率不足1%的，按直线内插法计算投标报价得分</w:t>
            </w:r>
            <w:r>
              <w:rPr>
                <w:rFonts w:ascii="宋体" w:hAnsi="宋体"/>
                <w:color w:val="auto"/>
                <w:spacing w:val="-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1978" w:type="dxa"/>
            <w:gridSpan w:val="3"/>
            <w:vAlign w:val="center"/>
          </w:tcPr>
          <w:p>
            <w:pPr>
              <w:pStyle w:val="30"/>
              <w:kinsoku w:val="0"/>
              <w:overflowPunct w:val="0"/>
              <w:spacing w:before="71"/>
              <w:ind w:right="309"/>
              <w:jc w:val="center"/>
              <w:rPr>
                <w:rFonts w:hint="default"/>
                <w:color w:val="auto"/>
              </w:rPr>
            </w:pPr>
            <w:r>
              <w:rPr>
                <w:rFonts w:ascii="宋体" w:hAnsi="宋体"/>
                <w:color w:val="auto"/>
              </w:rPr>
              <w:t>条款号</w:t>
            </w:r>
          </w:p>
        </w:tc>
        <w:tc>
          <w:tcPr>
            <w:tcW w:w="2132" w:type="dxa"/>
            <w:vAlign w:val="center"/>
          </w:tcPr>
          <w:p>
            <w:pPr>
              <w:pStyle w:val="30"/>
              <w:kinsoku w:val="0"/>
              <w:overflowPunct w:val="0"/>
              <w:spacing w:before="71"/>
              <w:jc w:val="center"/>
              <w:rPr>
                <w:rFonts w:hint="default"/>
                <w:color w:val="auto"/>
              </w:rPr>
            </w:pPr>
            <w:r>
              <w:rPr>
                <w:rFonts w:ascii="宋体" w:hAnsi="宋体"/>
                <w:color w:val="auto"/>
              </w:rPr>
              <w:t>评分因素（偏差率）</w:t>
            </w:r>
          </w:p>
        </w:tc>
        <w:tc>
          <w:tcPr>
            <w:tcW w:w="5252" w:type="dxa"/>
            <w:vAlign w:val="center"/>
          </w:tcPr>
          <w:p>
            <w:pPr>
              <w:pStyle w:val="30"/>
              <w:kinsoku w:val="0"/>
              <w:overflowPunct w:val="0"/>
              <w:spacing w:before="71"/>
              <w:ind w:left="1895" w:right="1655"/>
              <w:jc w:val="left"/>
              <w:rPr>
                <w:rFonts w:hint="default"/>
                <w:color w:val="auto"/>
              </w:rPr>
            </w:pPr>
            <w:r>
              <w:rPr>
                <w:rFonts w:ascii="宋体" w:hAnsi="宋体"/>
                <w:color w:val="auto"/>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91" w:type="dxa"/>
            <w:vMerge w:val="restart"/>
            <w:vAlign w:val="center"/>
          </w:tcPr>
          <w:p>
            <w:pPr>
              <w:pStyle w:val="30"/>
              <w:kinsoku w:val="0"/>
              <w:overflowPunct w:val="0"/>
              <w:ind w:left="-63" w:leftChars="-30" w:right="-111" w:rightChars="-53" w:firstLine="63" w:firstLineChars="30"/>
              <w:jc w:val="center"/>
              <w:rPr>
                <w:rFonts w:hint="default" w:eastAsia="Times New Roman"/>
                <w:color w:val="auto"/>
              </w:rPr>
            </w:pPr>
            <w:r>
              <w:rPr>
                <w:rFonts w:eastAsia="Times New Roman"/>
                <w:color w:val="auto"/>
              </w:rPr>
              <w:t>2.2.4</w:t>
            </w:r>
          </w:p>
          <w:p>
            <w:pPr>
              <w:pStyle w:val="30"/>
              <w:kinsoku w:val="0"/>
              <w:overflowPunct w:val="0"/>
              <w:spacing w:before="6" w:line="110" w:lineRule="exact"/>
              <w:ind w:left="-63" w:leftChars="-30" w:right="-111" w:rightChars="-53" w:firstLine="33" w:firstLineChars="30"/>
              <w:jc w:val="center"/>
              <w:rPr>
                <w:rFonts w:hint="default"/>
                <w:color w:val="auto"/>
                <w:sz w:val="11"/>
              </w:rPr>
            </w:pPr>
          </w:p>
          <w:p>
            <w:pPr>
              <w:pStyle w:val="30"/>
              <w:kinsoku w:val="0"/>
              <w:overflowPunct w:val="0"/>
              <w:ind w:left="-63" w:leftChars="-30" w:right="-111" w:rightChars="-53" w:firstLine="62" w:firstLineChars="30"/>
              <w:jc w:val="center"/>
              <w:rPr>
                <w:rFonts w:hint="default"/>
                <w:color w:val="auto"/>
              </w:rPr>
            </w:pPr>
            <w:r>
              <w:rPr>
                <w:rFonts w:ascii="宋体" w:hAnsi="宋体"/>
                <w:color w:val="auto"/>
                <w:spacing w:val="-1"/>
              </w:rPr>
              <w:t>（</w:t>
            </w:r>
            <w:r>
              <w:rPr>
                <w:rFonts w:eastAsia="Times New Roman"/>
                <w:color w:val="auto"/>
              </w:rPr>
              <w:t>1</w:t>
            </w:r>
            <w:r>
              <w:rPr>
                <w:rFonts w:ascii="宋体" w:hAnsi="宋体"/>
                <w:color w:val="auto"/>
              </w:rPr>
              <w:t>）</w:t>
            </w:r>
          </w:p>
        </w:tc>
        <w:tc>
          <w:tcPr>
            <w:tcW w:w="1287" w:type="dxa"/>
            <w:gridSpan w:val="2"/>
            <w:vMerge w:val="restart"/>
            <w:vAlign w:val="center"/>
          </w:tcPr>
          <w:p>
            <w:pPr>
              <w:ind w:left="315" w:hanging="315" w:hangingChars="150"/>
              <w:jc w:val="center"/>
              <w:rPr>
                <w:rFonts w:ascii="宋体" w:hAnsi="宋体"/>
                <w:color w:val="auto"/>
              </w:rPr>
            </w:pPr>
            <w:bookmarkStart w:id="501" w:name="_Hlk108684420"/>
            <w:r>
              <w:rPr>
                <w:rFonts w:hint="eastAsia" w:ascii="宋体" w:hAnsi="宋体"/>
                <w:color w:val="auto"/>
              </w:rPr>
              <w:t>资信</w:t>
            </w:r>
            <w:r>
              <w:rPr>
                <w:rFonts w:hint="eastAsia" w:ascii="宋体" w:hAnsi="宋体"/>
                <w:color w:val="auto"/>
                <w:spacing w:val="-3"/>
              </w:rPr>
              <w:t>业</w:t>
            </w:r>
            <w:r>
              <w:rPr>
                <w:rFonts w:hint="eastAsia" w:ascii="宋体" w:hAnsi="宋体"/>
                <w:color w:val="auto"/>
              </w:rPr>
              <w:t>绩</w:t>
            </w:r>
          </w:p>
          <w:p>
            <w:pPr>
              <w:ind w:left="315" w:hanging="315" w:hangingChars="150"/>
              <w:jc w:val="center"/>
              <w:rPr>
                <w:rFonts w:ascii="宋体" w:hAnsi="宋体"/>
                <w:color w:val="auto"/>
              </w:rPr>
            </w:pPr>
            <w:r>
              <w:rPr>
                <w:rFonts w:hint="eastAsia" w:ascii="宋体" w:hAnsi="宋体"/>
                <w:color w:val="auto"/>
              </w:rPr>
              <w:t>评分</w:t>
            </w:r>
            <w:r>
              <w:rPr>
                <w:rFonts w:hint="eastAsia" w:ascii="宋体" w:hAnsi="宋体"/>
                <w:color w:val="auto"/>
                <w:spacing w:val="-3"/>
              </w:rPr>
              <w:t>标</w:t>
            </w:r>
            <w:r>
              <w:rPr>
                <w:rFonts w:hint="eastAsia" w:ascii="宋体" w:hAnsi="宋体"/>
                <w:color w:val="auto"/>
              </w:rPr>
              <w:t>准</w:t>
            </w:r>
          </w:p>
          <w:p>
            <w:pPr>
              <w:pStyle w:val="30"/>
              <w:kinsoku w:val="0"/>
              <w:overflowPunct w:val="0"/>
              <w:spacing w:line="342" w:lineRule="auto"/>
              <w:ind w:left="-115" w:leftChars="-55" w:right="-122" w:rightChars="-58"/>
              <w:jc w:val="center"/>
              <w:rPr>
                <w:rFonts w:hint="default"/>
                <w:color w:val="auto"/>
              </w:rPr>
            </w:pPr>
            <w:r>
              <w:rPr>
                <w:rFonts w:ascii="宋体" w:hAnsi="宋体"/>
                <w:color w:val="auto"/>
              </w:rPr>
              <w:t>（40分）</w:t>
            </w:r>
            <w:bookmarkEnd w:id="501"/>
          </w:p>
        </w:tc>
        <w:tc>
          <w:tcPr>
            <w:tcW w:w="2132" w:type="dxa"/>
            <w:vAlign w:val="center"/>
          </w:tcPr>
          <w:p>
            <w:pPr>
              <w:snapToGrid w:val="0"/>
              <w:jc w:val="both"/>
              <w:rPr>
                <w:rFonts w:ascii="宋体" w:hAnsi="宋体"/>
                <w:color w:val="auto"/>
                <w:spacing w:val="-3"/>
                <w:lang w:val="zh-CN"/>
              </w:rPr>
            </w:pPr>
            <w:r>
              <w:rPr>
                <w:rFonts w:ascii="宋体" w:hAnsi="宋体"/>
                <w:color w:val="auto"/>
                <w:spacing w:val="-3"/>
                <w:lang w:val="zh-CN"/>
              </w:rPr>
              <w:t>类似</w:t>
            </w:r>
            <w:r>
              <w:rPr>
                <w:rFonts w:hint="eastAsia" w:ascii="宋体" w:hAnsi="宋体"/>
                <w:color w:val="auto"/>
                <w:spacing w:val="-3"/>
                <w:lang w:val="zh-CN"/>
              </w:rPr>
              <w:t>项目</w:t>
            </w:r>
            <w:r>
              <w:rPr>
                <w:rFonts w:ascii="宋体" w:hAnsi="宋体"/>
                <w:color w:val="auto"/>
                <w:spacing w:val="-3"/>
                <w:lang w:val="zh-CN"/>
              </w:rPr>
              <w:t>业绩（</w:t>
            </w:r>
            <w:r>
              <w:rPr>
                <w:rFonts w:hint="eastAsia" w:ascii="宋体" w:hAnsi="宋体"/>
                <w:color w:val="auto"/>
                <w:spacing w:val="-3"/>
              </w:rPr>
              <w:t>5</w:t>
            </w:r>
            <w:r>
              <w:rPr>
                <w:rFonts w:ascii="宋体" w:hAnsi="宋体"/>
                <w:color w:val="auto"/>
                <w:spacing w:val="-3"/>
                <w:lang w:val="zh-CN"/>
              </w:rPr>
              <w:t>分）</w:t>
            </w:r>
          </w:p>
        </w:tc>
        <w:tc>
          <w:tcPr>
            <w:tcW w:w="5252" w:type="dxa"/>
            <w:vAlign w:val="center"/>
          </w:tcPr>
          <w:p>
            <w:pPr>
              <w:topLinePunct/>
              <w:spacing w:line="300" w:lineRule="auto"/>
              <w:rPr>
                <w:color w:val="auto"/>
              </w:rPr>
            </w:pPr>
            <w:r>
              <w:rPr>
                <w:rFonts w:hint="eastAsia" w:ascii="宋体" w:hAnsi="宋体" w:cs="宋体"/>
                <w:color w:val="auto"/>
                <w:szCs w:val="21"/>
              </w:rPr>
              <w:t>类似监理业绩：自2017年1月1日至今完成过质量合格的类似工程，一项得</w:t>
            </w:r>
            <w:r>
              <w:rPr>
                <w:rFonts w:ascii="宋体" w:hAnsi="宋体" w:cs="宋体"/>
                <w:color w:val="auto"/>
                <w:szCs w:val="21"/>
              </w:rPr>
              <w:t>1</w:t>
            </w:r>
            <w:r>
              <w:rPr>
                <w:rFonts w:hint="eastAsia" w:ascii="宋体" w:hAnsi="宋体" w:cs="宋体"/>
                <w:color w:val="auto"/>
                <w:szCs w:val="21"/>
              </w:rPr>
              <w:t>分。本项最多得5分。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exact"/>
          <w:jc w:val="center"/>
        </w:trPr>
        <w:tc>
          <w:tcPr>
            <w:tcW w:w="691" w:type="dxa"/>
            <w:vMerge w:val="continue"/>
            <w:vAlign w:val="center"/>
          </w:tcPr>
          <w:p>
            <w:pPr>
              <w:pStyle w:val="30"/>
              <w:kinsoku w:val="0"/>
              <w:overflowPunct w:val="0"/>
              <w:ind w:firstLine="420" w:firstLineChars="200"/>
              <w:rPr>
                <w:rFonts w:hint="default"/>
                <w:color w:val="auto"/>
              </w:rPr>
            </w:pPr>
          </w:p>
        </w:tc>
        <w:tc>
          <w:tcPr>
            <w:tcW w:w="1287" w:type="dxa"/>
            <w:gridSpan w:val="2"/>
            <w:vMerge w:val="continue"/>
            <w:vAlign w:val="center"/>
          </w:tcPr>
          <w:p>
            <w:pPr>
              <w:pStyle w:val="30"/>
              <w:kinsoku w:val="0"/>
              <w:overflowPunct w:val="0"/>
              <w:ind w:firstLine="420" w:firstLineChars="200"/>
              <w:rPr>
                <w:rFonts w:hint="default"/>
                <w:color w:val="auto"/>
              </w:rPr>
            </w:pPr>
          </w:p>
        </w:tc>
        <w:tc>
          <w:tcPr>
            <w:tcW w:w="2132" w:type="dxa"/>
            <w:vAlign w:val="center"/>
          </w:tcPr>
          <w:p>
            <w:pPr>
              <w:snapToGrid w:val="0"/>
              <w:rPr>
                <w:rFonts w:ascii="宋体" w:hAnsi="宋体"/>
                <w:color w:val="auto"/>
                <w:spacing w:val="-3"/>
                <w:lang w:val="zh-CN"/>
              </w:rPr>
            </w:pPr>
            <w:r>
              <w:rPr>
                <w:rFonts w:hint="eastAsia" w:ascii="宋体" w:hAnsi="宋体"/>
                <w:color w:val="auto"/>
                <w:spacing w:val="-3"/>
                <w:lang w:val="zh-CN"/>
              </w:rPr>
              <w:t>获奖监理业绩</w:t>
            </w:r>
            <w:r>
              <w:rPr>
                <w:rFonts w:ascii="宋体" w:hAnsi="宋体"/>
                <w:color w:val="auto"/>
                <w:spacing w:val="-3"/>
                <w:lang w:val="zh-CN"/>
              </w:rPr>
              <w:t>（</w:t>
            </w:r>
            <w:r>
              <w:rPr>
                <w:rFonts w:hint="eastAsia" w:ascii="宋体" w:hAnsi="宋体"/>
                <w:color w:val="auto"/>
                <w:spacing w:val="-3"/>
              </w:rPr>
              <w:t>7</w:t>
            </w:r>
            <w:r>
              <w:rPr>
                <w:rFonts w:ascii="宋体" w:hAnsi="宋体"/>
                <w:color w:val="auto"/>
                <w:spacing w:val="-3"/>
                <w:lang w:val="zh-CN"/>
              </w:rPr>
              <w:t>分）</w:t>
            </w:r>
          </w:p>
        </w:tc>
        <w:tc>
          <w:tcPr>
            <w:tcW w:w="5252" w:type="dxa"/>
            <w:vAlign w:val="center"/>
          </w:tcPr>
          <w:p>
            <w:pPr>
              <w:contextualSpacing/>
              <w:rPr>
                <w:rFonts w:ascii="宋体" w:hAnsi="宋体" w:cs="宋体"/>
                <w:color w:val="auto"/>
                <w:szCs w:val="21"/>
              </w:rPr>
            </w:pPr>
            <w:r>
              <w:rPr>
                <w:rFonts w:hint="eastAsia" w:ascii="宋体" w:hAnsi="宋体" w:cs="宋体"/>
                <w:color w:val="auto"/>
                <w:szCs w:val="21"/>
              </w:rPr>
              <w:t>获奖监理业绩：自2017年1月1日至今完成过质量合格的类似工程：</w:t>
            </w:r>
          </w:p>
          <w:p>
            <w:pPr>
              <w:contextualSpacing/>
              <w:rPr>
                <w:rFonts w:ascii="宋体" w:hAnsi="宋体" w:cs="宋体"/>
                <w:color w:val="auto"/>
                <w:szCs w:val="21"/>
              </w:rPr>
            </w:pPr>
            <w:r>
              <w:rPr>
                <w:rFonts w:hint="eastAsia" w:ascii="宋体" w:hAnsi="宋体" w:cs="宋体"/>
                <w:color w:val="auto"/>
                <w:szCs w:val="21"/>
              </w:rPr>
              <w:t>获得国家级奖项的一项得2分；</w:t>
            </w:r>
          </w:p>
          <w:p>
            <w:pPr>
              <w:contextualSpacing/>
              <w:rPr>
                <w:rFonts w:ascii="宋体" w:hAnsi="宋体" w:cs="宋体"/>
                <w:color w:val="auto"/>
                <w:szCs w:val="21"/>
              </w:rPr>
            </w:pPr>
            <w:r>
              <w:rPr>
                <w:rFonts w:hint="eastAsia" w:ascii="宋体" w:hAnsi="宋体" w:cs="宋体"/>
                <w:color w:val="auto"/>
                <w:szCs w:val="21"/>
              </w:rPr>
              <w:t>获得省级奖项的一项得1分；</w:t>
            </w:r>
          </w:p>
          <w:p>
            <w:pPr>
              <w:contextualSpacing/>
              <w:rPr>
                <w:rFonts w:ascii="宋体" w:hAnsi="宋体" w:cs="宋体"/>
                <w:color w:val="auto"/>
                <w:szCs w:val="21"/>
              </w:rPr>
            </w:pPr>
            <w:r>
              <w:rPr>
                <w:rFonts w:ascii="宋体" w:hAnsi="宋体" w:cs="宋体"/>
                <w:color w:val="auto"/>
                <w:szCs w:val="21"/>
              </w:rPr>
              <w:t>市级奖项一项得</w:t>
            </w:r>
            <w:r>
              <w:rPr>
                <w:rFonts w:hint="eastAsia" w:ascii="宋体" w:hAnsi="宋体" w:cs="宋体"/>
                <w:color w:val="auto"/>
                <w:szCs w:val="21"/>
              </w:rPr>
              <w:t>0.5分。</w:t>
            </w:r>
          </w:p>
          <w:p>
            <w:pPr>
              <w:snapToGrid w:val="0"/>
              <w:jc w:val="left"/>
              <w:rPr>
                <w:rFonts w:ascii="宋体" w:hAnsi="宋体"/>
                <w:color w:val="auto"/>
                <w:spacing w:val="-3"/>
              </w:rPr>
            </w:pPr>
            <w:r>
              <w:rPr>
                <w:rFonts w:hint="eastAsia" w:ascii="宋体" w:hAnsi="宋体" w:cs="宋体"/>
                <w:color w:val="auto"/>
                <w:szCs w:val="21"/>
              </w:rPr>
              <w:t>本项相同业绩按最高奖项得分，且最多得7分。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exact"/>
          <w:jc w:val="center"/>
        </w:trPr>
        <w:tc>
          <w:tcPr>
            <w:tcW w:w="691" w:type="dxa"/>
            <w:vMerge w:val="continue"/>
            <w:vAlign w:val="center"/>
          </w:tcPr>
          <w:p>
            <w:pPr>
              <w:pStyle w:val="30"/>
              <w:kinsoku w:val="0"/>
              <w:overflowPunct w:val="0"/>
              <w:ind w:firstLine="420" w:firstLineChars="200"/>
              <w:rPr>
                <w:rFonts w:hint="default"/>
                <w:color w:val="auto"/>
              </w:rPr>
            </w:pPr>
          </w:p>
        </w:tc>
        <w:tc>
          <w:tcPr>
            <w:tcW w:w="1287" w:type="dxa"/>
            <w:gridSpan w:val="2"/>
            <w:vMerge w:val="continue"/>
            <w:vAlign w:val="center"/>
          </w:tcPr>
          <w:p>
            <w:pPr>
              <w:pStyle w:val="30"/>
              <w:kinsoku w:val="0"/>
              <w:overflowPunct w:val="0"/>
              <w:ind w:firstLine="420" w:firstLineChars="200"/>
              <w:rPr>
                <w:rFonts w:hint="default"/>
                <w:color w:val="auto"/>
              </w:rPr>
            </w:pPr>
          </w:p>
        </w:tc>
        <w:tc>
          <w:tcPr>
            <w:tcW w:w="2132" w:type="dxa"/>
            <w:vAlign w:val="center"/>
          </w:tcPr>
          <w:p>
            <w:pPr>
              <w:ind w:firstLine="0" w:firstLineChars="0"/>
              <w:contextualSpacing/>
              <w:rPr>
                <w:rFonts w:ascii="宋体" w:hAnsi="宋体"/>
                <w:color w:val="auto"/>
                <w:spacing w:val="-3"/>
                <w:lang w:val="zh-CN"/>
              </w:rPr>
            </w:pPr>
            <w:r>
              <w:rPr>
                <w:rFonts w:hint="eastAsia" w:ascii="宋体" w:hAnsi="宋体" w:cs="宋体"/>
                <w:color w:val="auto"/>
                <w:szCs w:val="21"/>
              </w:rPr>
              <w:t>总监理工程师资历（3分）</w:t>
            </w:r>
          </w:p>
        </w:tc>
        <w:tc>
          <w:tcPr>
            <w:tcW w:w="5252" w:type="dxa"/>
            <w:vAlign w:val="center"/>
          </w:tcPr>
          <w:p>
            <w:pPr>
              <w:contextualSpacing/>
              <w:rPr>
                <w:rFonts w:ascii="宋体" w:hAnsi="宋体"/>
                <w:color w:val="auto"/>
                <w:spacing w:val="-3"/>
                <w:lang w:val="zh-CN"/>
              </w:rPr>
            </w:pPr>
            <w:r>
              <w:rPr>
                <w:rFonts w:hint="eastAsia"/>
                <w:color w:val="auto"/>
                <w:szCs w:val="21"/>
              </w:rPr>
              <w:t>具有高级工程师或以上职称得3分；具有工程师职称得2分，否则不得分。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exact"/>
          <w:jc w:val="center"/>
        </w:trPr>
        <w:tc>
          <w:tcPr>
            <w:tcW w:w="691" w:type="dxa"/>
            <w:vMerge w:val="continue"/>
            <w:vAlign w:val="center"/>
          </w:tcPr>
          <w:p>
            <w:pPr>
              <w:pStyle w:val="30"/>
              <w:kinsoku w:val="0"/>
              <w:overflowPunct w:val="0"/>
              <w:ind w:firstLine="420" w:firstLineChars="200"/>
              <w:rPr>
                <w:rFonts w:hint="default"/>
                <w:color w:val="auto"/>
              </w:rPr>
            </w:pPr>
          </w:p>
        </w:tc>
        <w:tc>
          <w:tcPr>
            <w:tcW w:w="1287" w:type="dxa"/>
            <w:gridSpan w:val="2"/>
            <w:vMerge w:val="continue"/>
            <w:vAlign w:val="center"/>
          </w:tcPr>
          <w:p>
            <w:pPr>
              <w:pStyle w:val="30"/>
              <w:kinsoku w:val="0"/>
              <w:overflowPunct w:val="0"/>
              <w:ind w:firstLine="420" w:firstLineChars="200"/>
              <w:rPr>
                <w:rFonts w:hint="default"/>
                <w:color w:val="auto"/>
              </w:rPr>
            </w:pPr>
          </w:p>
        </w:tc>
        <w:tc>
          <w:tcPr>
            <w:tcW w:w="2132" w:type="dxa"/>
            <w:vAlign w:val="center"/>
          </w:tcPr>
          <w:p>
            <w:pPr>
              <w:contextualSpacing/>
              <w:rPr>
                <w:rFonts w:ascii="宋体" w:hAnsi="宋体" w:cs="宋体"/>
                <w:color w:val="auto"/>
                <w:kern w:val="0"/>
                <w:szCs w:val="21"/>
              </w:rPr>
            </w:pPr>
            <w:r>
              <w:rPr>
                <w:rFonts w:hint="eastAsia" w:ascii="宋体" w:hAnsi="宋体" w:cs="宋体"/>
                <w:color w:val="auto"/>
                <w:szCs w:val="21"/>
              </w:rPr>
              <w:t>监理机构人员和专业的配备（10分）</w:t>
            </w:r>
          </w:p>
        </w:tc>
        <w:tc>
          <w:tcPr>
            <w:tcW w:w="5252" w:type="dxa"/>
            <w:vAlign w:val="center"/>
          </w:tcPr>
          <w:p>
            <w:pPr>
              <w:contextualSpacing/>
              <w:rPr>
                <w:rFonts w:ascii="宋体" w:hAnsi="宋体" w:cs="宋体"/>
                <w:color w:val="auto"/>
                <w:szCs w:val="21"/>
              </w:rPr>
            </w:pPr>
            <w:r>
              <w:rPr>
                <w:rFonts w:hint="eastAsia" w:ascii="宋体" w:hAnsi="宋体" w:cs="宋体"/>
                <w:color w:val="auto"/>
                <w:szCs w:val="21"/>
              </w:rPr>
              <w:t>1、在配备的人员中（不含总监、总监代表）：有高级工程师职称或以上资格的，每个得2.5分，最多得5分。</w:t>
            </w:r>
          </w:p>
          <w:p>
            <w:pPr>
              <w:contextualSpacing/>
              <w:rPr>
                <w:rFonts w:ascii="宋体" w:hAnsi="Courier New"/>
                <w:color w:val="auto"/>
                <w:szCs w:val="21"/>
              </w:rPr>
            </w:pPr>
            <w:r>
              <w:rPr>
                <w:rFonts w:hint="eastAsia" w:ascii="宋体" w:hAnsi="宋体" w:cs="宋体"/>
                <w:color w:val="auto"/>
                <w:szCs w:val="21"/>
              </w:rPr>
              <w:t>2、配备的人员中（不含总监、总监代表）：获得过省级或以上优秀总监理工程师的每人得2.5分，最多得5分。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691" w:type="dxa"/>
            <w:vMerge w:val="continue"/>
            <w:vAlign w:val="center"/>
          </w:tcPr>
          <w:p>
            <w:pPr>
              <w:pStyle w:val="30"/>
              <w:kinsoku w:val="0"/>
              <w:overflowPunct w:val="0"/>
              <w:ind w:firstLine="420" w:firstLineChars="200"/>
              <w:rPr>
                <w:rFonts w:hint="default"/>
                <w:color w:val="auto"/>
              </w:rPr>
            </w:pPr>
          </w:p>
        </w:tc>
        <w:tc>
          <w:tcPr>
            <w:tcW w:w="1287" w:type="dxa"/>
            <w:gridSpan w:val="2"/>
            <w:vMerge w:val="continue"/>
            <w:vAlign w:val="center"/>
          </w:tcPr>
          <w:p>
            <w:pPr>
              <w:pStyle w:val="30"/>
              <w:kinsoku w:val="0"/>
              <w:overflowPunct w:val="0"/>
              <w:ind w:firstLine="420" w:firstLineChars="200"/>
              <w:rPr>
                <w:rFonts w:hint="default"/>
                <w:color w:val="auto"/>
              </w:rPr>
            </w:pPr>
          </w:p>
        </w:tc>
        <w:tc>
          <w:tcPr>
            <w:tcW w:w="2132" w:type="dxa"/>
            <w:vAlign w:val="center"/>
          </w:tcPr>
          <w:p>
            <w:pPr>
              <w:ind w:firstLine="0" w:firstLineChars="0"/>
              <w:contextualSpacing/>
              <w:rPr>
                <w:color w:val="auto"/>
              </w:rPr>
            </w:pPr>
            <w:r>
              <w:rPr>
                <w:rFonts w:hint="eastAsia" w:ascii="宋体" w:hAnsi="宋体" w:cs="宋体"/>
                <w:color w:val="auto"/>
                <w:szCs w:val="21"/>
              </w:rPr>
              <w:t>纳税信用等级（5分）</w:t>
            </w:r>
          </w:p>
        </w:tc>
        <w:tc>
          <w:tcPr>
            <w:tcW w:w="5252" w:type="dxa"/>
            <w:vAlign w:val="center"/>
          </w:tcPr>
          <w:p>
            <w:pPr>
              <w:contextualSpacing/>
              <w:rPr>
                <w:color w:val="auto"/>
              </w:rPr>
            </w:pPr>
            <w:r>
              <w:rPr>
                <w:rFonts w:hint="eastAsia" w:ascii="宋体" w:hAnsi="宋体" w:cs="宋体"/>
                <w:color w:val="auto"/>
                <w:szCs w:val="21"/>
              </w:rPr>
              <w:t>投标人曾获得纳税信用等级AAA级纳税人荣誉的得5分；获得纳税信用等级AA级纳税人荣誉的得3分；获得纳税信用等级A级纳税人荣誉的得1分；没有的不得分（仅按最高等级计分一次）。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exact"/>
          <w:jc w:val="center"/>
        </w:trPr>
        <w:tc>
          <w:tcPr>
            <w:tcW w:w="691" w:type="dxa"/>
            <w:vMerge w:val="continue"/>
            <w:vAlign w:val="center"/>
          </w:tcPr>
          <w:p>
            <w:pPr>
              <w:pStyle w:val="30"/>
              <w:kinsoku w:val="0"/>
              <w:overflowPunct w:val="0"/>
              <w:ind w:firstLine="420" w:firstLineChars="200"/>
              <w:rPr>
                <w:rFonts w:hint="default"/>
                <w:color w:val="auto"/>
              </w:rPr>
            </w:pPr>
          </w:p>
        </w:tc>
        <w:tc>
          <w:tcPr>
            <w:tcW w:w="1287" w:type="dxa"/>
            <w:gridSpan w:val="2"/>
            <w:vMerge w:val="continue"/>
            <w:vAlign w:val="center"/>
          </w:tcPr>
          <w:p>
            <w:pPr>
              <w:pStyle w:val="30"/>
              <w:kinsoku w:val="0"/>
              <w:overflowPunct w:val="0"/>
              <w:ind w:firstLine="420" w:firstLineChars="200"/>
              <w:rPr>
                <w:rFonts w:hint="default"/>
                <w:color w:val="auto"/>
              </w:rPr>
            </w:pPr>
          </w:p>
        </w:tc>
        <w:tc>
          <w:tcPr>
            <w:tcW w:w="2132" w:type="dxa"/>
            <w:vAlign w:val="center"/>
          </w:tcPr>
          <w:p>
            <w:pPr>
              <w:ind w:firstLine="0" w:firstLineChars="0"/>
              <w:contextualSpacing/>
              <w:rPr>
                <w:rFonts w:ascii="宋体" w:hAnsi="宋体" w:cs="宋体"/>
                <w:color w:val="auto"/>
              </w:rPr>
            </w:pPr>
            <w:r>
              <w:rPr>
                <w:rFonts w:hint="eastAsia" w:ascii="宋体" w:hAnsi="宋体" w:cs="宋体"/>
                <w:color w:val="auto"/>
                <w:szCs w:val="21"/>
              </w:rPr>
              <w:t>企业荣誉（4分）</w:t>
            </w:r>
          </w:p>
        </w:tc>
        <w:tc>
          <w:tcPr>
            <w:tcW w:w="5252" w:type="dxa"/>
            <w:vAlign w:val="center"/>
          </w:tcPr>
          <w:p>
            <w:pPr>
              <w:contextualSpacing/>
              <w:rPr>
                <w:rFonts w:ascii="宋体" w:hAnsi="宋体" w:cs="宋体"/>
                <w:color w:val="auto"/>
              </w:rPr>
            </w:pPr>
            <w:r>
              <w:rPr>
                <w:rFonts w:hint="eastAsia" w:ascii="宋体" w:hAnsi="宋体"/>
                <w:color w:val="auto"/>
                <w:szCs w:val="21"/>
              </w:rPr>
              <w:t>2017年1月1日至今，投标人曾获得过省级或以上先进工程监理企业称号的得4分, 曾获得过市级先进工程监理企业称号的得2分，按最高级别计取,不重复计分,没有的不得分。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691" w:type="dxa"/>
            <w:vMerge w:val="continue"/>
            <w:vAlign w:val="center"/>
          </w:tcPr>
          <w:p>
            <w:pPr>
              <w:pStyle w:val="30"/>
              <w:kinsoku w:val="0"/>
              <w:overflowPunct w:val="0"/>
              <w:ind w:firstLine="420" w:firstLineChars="200"/>
              <w:rPr>
                <w:rFonts w:hint="default"/>
                <w:color w:val="auto"/>
              </w:rPr>
            </w:pPr>
          </w:p>
        </w:tc>
        <w:tc>
          <w:tcPr>
            <w:tcW w:w="1287" w:type="dxa"/>
            <w:gridSpan w:val="2"/>
            <w:vMerge w:val="continue"/>
            <w:vAlign w:val="center"/>
          </w:tcPr>
          <w:p>
            <w:pPr>
              <w:pStyle w:val="30"/>
              <w:kinsoku w:val="0"/>
              <w:overflowPunct w:val="0"/>
              <w:ind w:firstLine="420" w:firstLineChars="200"/>
              <w:rPr>
                <w:rFonts w:hint="default"/>
                <w:color w:val="auto"/>
              </w:rPr>
            </w:pPr>
          </w:p>
        </w:tc>
        <w:tc>
          <w:tcPr>
            <w:tcW w:w="2132" w:type="dxa"/>
            <w:vAlign w:val="center"/>
          </w:tcPr>
          <w:p>
            <w:pPr>
              <w:contextualSpacing/>
              <w:rPr>
                <w:rFonts w:ascii="宋体" w:hAnsi="宋体"/>
                <w:color w:val="auto"/>
                <w:szCs w:val="21"/>
              </w:rPr>
            </w:pPr>
            <w:r>
              <w:rPr>
                <w:rFonts w:hint="eastAsia" w:ascii="宋体" w:hAnsi="宋体"/>
                <w:color w:val="auto"/>
                <w:szCs w:val="21"/>
              </w:rPr>
              <w:t>企业技术管理能力</w:t>
            </w:r>
          </w:p>
          <w:p>
            <w:pPr>
              <w:ind w:firstLine="420" w:firstLineChars="200"/>
              <w:contextualSpacing/>
              <w:rPr>
                <w:rFonts w:ascii="宋体" w:hAnsi="宋体" w:cs="宋体"/>
                <w:color w:val="auto"/>
              </w:rPr>
            </w:pPr>
            <w:r>
              <w:rPr>
                <w:rFonts w:hint="eastAsia" w:ascii="宋体" w:hAnsi="宋体" w:cs="宋体"/>
                <w:color w:val="auto"/>
                <w:szCs w:val="21"/>
              </w:rPr>
              <w:t>（6分）</w:t>
            </w:r>
          </w:p>
        </w:tc>
        <w:tc>
          <w:tcPr>
            <w:tcW w:w="5252" w:type="dxa"/>
            <w:vAlign w:val="center"/>
          </w:tcPr>
          <w:p>
            <w:pPr>
              <w:contextualSpacing/>
              <w:rPr>
                <w:rFonts w:ascii="宋体" w:hAnsi="宋体" w:cs="宋体"/>
                <w:color w:val="auto"/>
              </w:rPr>
            </w:pPr>
            <w:r>
              <w:rPr>
                <w:rFonts w:hint="eastAsia" w:ascii="宋体" w:hAnsi="宋体"/>
                <w:color w:val="auto"/>
                <w:szCs w:val="21"/>
              </w:rPr>
              <w:t>2017年1月1日至今，投标人所监理项目技术管理成果获得省级或以上工程科学技术类奖项的，每个奖项得1分，最多得6分。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exact"/>
          <w:jc w:val="center"/>
        </w:trPr>
        <w:tc>
          <w:tcPr>
            <w:tcW w:w="691" w:type="dxa"/>
            <w:vMerge w:val="restart"/>
            <w:vAlign w:val="center"/>
          </w:tcPr>
          <w:p>
            <w:pPr>
              <w:pStyle w:val="30"/>
              <w:kinsoku w:val="0"/>
              <w:overflowPunct w:val="0"/>
              <w:ind w:left="-63" w:leftChars="-30" w:right="-111" w:rightChars="-53" w:firstLine="63" w:firstLineChars="30"/>
              <w:jc w:val="center"/>
              <w:rPr>
                <w:rFonts w:hint="default" w:eastAsia="Times New Roman"/>
                <w:color w:val="auto"/>
              </w:rPr>
            </w:pPr>
            <w:r>
              <w:rPr>
                <w:rFonts w:eastAsia="Times New Roman"/>
                <w:color w:val="auto"/>
              </w:rPr>
              <w:t>2.2.4</w:t>
            </w:r>
          </w:p>
          <w:p>
            <w:pPr>
              <w:pStyle w:val="30"/>
              <w:kinsoku w:val="0"/>
              <w:overflowPunct w:val="0"/>
              <w:spacing w:before="4" w:line="110" w:lineRule="exact"/>
              <w:ind w:left="-63" w:leftChars="-30" w:right="-111" w:rightChars="-53" w:firstLine="33" w:firstLineChars="30"/>
              <w:jc w:val="center"/>
              <w:rPr>
                <w:rFonts w:hint="default"/>
                <w:color w:val="auto"/>
                <w:sz w:val="11"/>
              </w:rPr>
            </w:pPr>
          </w:p>
          <w:p>
            <w:pPr>
              <w:pStyle w:val="30"/>
              <w:kinsoku w:val="0"/>
              <w:overflowPunct w:val="0"/>
              <w:ind w:left="-63" w:leftChars="-30" w:right="-111" w:rightChars="-53" w:firstLine="62" w:firstLineChars="30"/>
              <w:jc w:val="center"/>
              <w:rPr>
                <w:rFonts w:hint="default"/>
                <w:color w:val="auto"/>
              </w:rPr>
            </w:pPr>
            <w:r>
              <w:rPr>
                <w:rFonts w:ascii="宋体" w:hAnsi="宋体"/>
                <w:color w:val="auto"/>
                <w:spacing w:val="-1"/>
              </w:rPr>
              <w:t>（</w:t>
            </w:r>
            <w:r>
              <w:rPr>
                <w:rFonts w:eastAsia="Times New Roman"/>
                <w:color w:val="auto"/>
              </w:rPr>
              <w:t>2</w:t>
            </w:r>
            <w:r>
              <w:rPr>
                <w:rFonts w:ascii="宋体" w:hAnsi="宋体"/>
                <w:color w:val="auto"/>
              </w:rPr>
              <w:t>）</w:t>
            </w:r>
          </w:p>
        </w:tc>
        <w:tc>
          <w:tcPr>
            <w:tcW w:w="1287" w:type="dxa"/>
            <w:gridSpan w:val="2"/>
            <w:vMerge w:val="restart"/>
            <w:vAlign w:val="center"/>
          </w:tcPr>
          <w:p>
            <w:pPr>
              <w:spacing w:line="440" w:lineRule="exact"/>
              <w:jc w:val="center"/>
              <w:rPr>
                <w:color w:val="auto"/>
              </w:rPr>
            </w:pPr>
            <w:r>
              <w:rPr>
                <w:color w:val="auto"/>
              </w:rPr>
              <w:t>监理大纲评分标准</w:t>
            </w:r>
          </w:p>
          <w:p>
            <w:pPr>
              <w:pStyle w:val="30"/>
              <w:kinsoku w:val="0"/>
              <w:overflowPunct w:val="0"/>
              <w:spacing w:line="340" w:lineRule="auto"/>
              <w:ind w:left="-115" w:leftChars="-55" w:right="-122" w:rightChars="-58"/>
              <w:jc w:val="center"/>
              <w:rPr>
                <w:rFonts w:hint="default" w:ascii="宋体" w:hAnsi="宋体"/>
                <w:color w:val="auto"/>
              </w:rPr>
            </w:pPr>
            <w:r>
              <w:rPr>
                <w:rFonts w:ascii="宋体" w:hAnsi="宋体" w:cs="宋体"/>
                <w:color w:val="auto"/>
              </w:rPr>
              <w:t>（</w:t>
            </w:r>
            <w:r>
              <w:rPr>
                <w:color w:val="auto"/>
              </w:rPr>
              <w:t>40</w:t>
            </w:r>
            <w:r>
              <w:rPr>
                <w:rFonts w:ascii="宋体" w:hAnsi="宋体" w:cs="宋体"/>
                <w:color w:val="auto"/>
              </w:rPr>
              <w:t>分）</w:t>
            </w:r>
          </w:p>
        </w:tc>
        <w:tc>
          <w:tcPr>
            <w:tcW w:w="2132" w:type="dxa"/>
            <w:vAlign w:val="center"/>
          </w:tcPr>
          <w:p>
            <w:pPr>
              <w:contextualSpacing/>
              <w:jc w:val="center"/>
              <w:rPr>
                <w:rFonts w:ascii="宋体" w:hAnsi="宋体" w:cs="宋体"/>
                <w:color w:val="auto"/>
              </w:rPr>
            </w:pPr>
            <w:r>
              <w:rPr>
                <w:rFonts w:hint="eastAsia" w:ascii="宋体" w:hAnsi="宋体" w:cs="宋体"/>
                <w:color w:val="auto"/>
                <w:szCs w:val="21"/>
              </w:rPr>
              <w:t>投资控制措施（5分）</w:t>
            </w:r>
          </w:p>
        </w:tc>
        <w:tc>
          <w:tcPr>
            <w:tcW w:w="5252" w:type="dxa"/>
            <w:vAlign w:val="center"/>
          </w:tcPr>
          <w:p>
            <w:pPr>
              <w:contextualSpacing/>
              <w:jc w:val="left"/>
              <w:rPr>
                <w:rFonts w:ascii="宋体" w:hAnsi="宋体" w:cs="宋体"/>
                <w:color w:val="auto"/>
              </w:rPr>
            </w:pPr>
            <w:r>
              <w:rPr>
                <w:rFonts w:hint="eastAsia" w:ascii="宋体" w:hAnsi="宋体" w:cs="宋体"/>
                <w:color w:val="auto"/>
                <w:szCs w:val="21"/>
              </w:rPr>
              <w:t>要求目标明确、方法合理可行、措施具体、针对性强。措施为优得5分；良得4分；一般得2分；差或无措施不得分。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exact"/>
          <w:jc w:val="center"/>
        </w:trPr>
        <w:tc>
          <w:tcPr>
            <w:tcW w:w="691" w:type="dxa"/>
            <w:vMerge w:val="continue"/>
            <w:vAlign w:val="center"/>
          </w:tcPr>
          <w:p>
            <w:pPr>
              <w:pStyle w:val="30"/>
              <w:kinsoku w:val="0"/>
              <w:overflowPunct w:val="0"/>
              <w:ind w:firstLine="420" w:firstLineChars="200"/>
              <w:rPr>
                <w:rFonts w:hint="default"/>
                <w:color w:val="auto"/>
              </w:rPr>
            </w:pPr>
          </w:p>
        </w:tc>
        <w:tc>
          <w:tcPr>
            <w:tcW w:w="1287" w:type="dxa"/>
            <w:gridSpan w:val="2"/>
            <w:vMerge w:val="continue"/>
            <w:vAlign w:val="center"/>
          </w:tcPr>
          <w:p>
            <w:pPr>
              <w:pStyle w:val="30"/>
              <w:kinsoku w:val="0"/>
              <w:overflowPunct w:val="0"/>
              <w:ind w:firstLine="420" w:firstLineChars="200"/>
              <w:rPr>
                <w:rFonts w:hint="default"/>
                <w:color w:val="auto"/>
              </w:rPr>
            </w:pPr>
          </w:p>
        </w:tc>
        <w:tc>
          <w:tcPr>
            <w:tcW w:w="2132" w:type="dxa"/>
            <w:vAlign w:val="center"/>
          </w:tcPr>
          <w:p>
            <w:pPr>
              <w:contextualSpacing/>
              <w:rPr>
                <w:rFonts w:ascii="宋体" w:hAnsi="宋体" w:cs="宋体"/>
                <w:color w:val="auto"/>
              </w:rPr>
            </w:pPr>
            <w:r>
              <w:rPr>
                <w:rFonts w:hint="eastAsia" w:ascii="宋体" w:hAnsi="宋体" w:cs="宋体"/>
                <w:color w:val="auto"/>
                <w:szCs w:val="21"/>
              </w:rPr>
              <w:t>进度控制措施（5分）</w:t>
            </w:r>
          </w:p>
        </w:tc>
        <w:tc>
          <w:tcPr>
            <w:tcW w:w="5252" w:type="dxa"/>
            <w:vAlign w:val="center"/>
          </w:tcPr>
          <w:p>
            <w:pPr>
              <w:contextualSpacing/>
              <w:rPr>
                <w:rFonts w:ascii="宋体" w:hAnsi="宋体" w:cs="宋体"/>
                <w:color w:val="auto"/>
              </w:rPr>
            </w:pPr>
            <w:r>
              <w:rPr>
                <w:rFonts w:hint="eastAsia" w:ascii="宋体" w:hAnsi="宋体" w:cs="宋体"/>
                <w:color w:val="auto"/>
                <w:szCs w:val="21"/>
              </w:rPr>
              <w:t>要求目标明确、方法合理可行、措施具体、针对性强。措施为优得5分；良得4分；一般得2分；差或无措施不得分。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exact"/>
          <w:jc w:val="center"/>
        </w:trPr>
        <w:tc>
          <w:tcPr>
            <w:tcW w:w="691" w:type="dxa"/>
            <w:vMerge w:val="continue"/>
            <w:vAlign w:val="center"/>
          </w:tcPr>
          <w:p>
            <w:pPr>
              <w:pStyle w:val="30"/>
              <w:kinsoku w:val="0"/>
              <w:overflowPunct w:val="0"/>
              <w:spacing w:line="186" w:lineRule="exact"/>
              <w:ind w:firstLine="420" w:firstLineChars="200"/>
              <w:rPr>
                <w:rFonts w:hint="default"/>
                <w:color w:val="auto"/>
              </w:rPr>
            </w:pPr>
          </w:p>
        </w:tc>
        <w:tc>
          <w:tcPr>
            <w:tcW w:w="1287" w:type="dxa"/>
            <w:gridSpan w:val="2"/>
            <w:vMerge w:val="continue"/>
            <w:vAlign w:val="center"/>
          </w:tcPr>
          <w:p>
            <w:pPr>
              <w:pStyle w:val="30"/>
              <w:kinsoku w:val="0"/>
              <w:overflowPunct w:val="0"/>
              <w:spacing w:line="186" w:lineRule="exact"/>
              <w:ind w:firstLine="420" w:firstLineChars="200"/>
              <w:rPr>
                <w:rFonts w:hint="default"/>
                <w:color w:val="auto"/>
              </w:rPr>
            </w:pPr>
          </w:p>
        </w:tc>
        <w:tc>
          <w:tcPr>
            <w:tcW w:w="2132" w:type="dxa"/>
            <w:vAlign w:val="center"/>
          </w:tcPr>
          <w:p>
            <w:pPr>
              <w:contextualSpacing/>
              <w:jc w:val="center"/>
              <w:rPr>
                <w:rFonts w:ascii="宋体" w:hAnsi="宋体" w:cs="宋体"/>
                <w:color w:val="auto"/>
              </w:rPr>
            </w:pPr>
            <w:r>
              <w:rPr>
                <w:rFonts w:hint="eastAsia" w:ascii="宋体" w:hAnsi="宋体" w:cs="宋体"/>
                <w:color w:val="auto"/>
                <w:szCs w:val="21"/>
              </w:rPr>
              <w:t>质量控制措施（5分）</w:t>
            </w:r>
          </w:p>
        </w:tc>
        <w:tc>
          <w:tcPr>
            <w:tcW w:w="5252" w:type="dxa"/>
            <w:vAlign w:val="center"/>
          </w:tcPr>
          <w:p>
            <w:pPr>
              <w:contextualSpacing/>
              <w:jc w:val="left"/>
              <w:rPr>
                <w:rFonts w:ascii="宋体" w:hAnsi="宋体" w:cs="宋体"/>
                <w:color w:val="auto"/>
              </w:rPr>
            </w:pPr>
            <w:r>
              <w:rPr>
                <w:rFonts w:hint="eastAsia" w:ascii="宋体" w:hAnsi="宋体" w:cs="宋体"/>
                <w:color w:val="auto"/>
                <w:szCs w:val="21"/>
              </w:rPr>
              <w:t>要求目标明确、方法合理可行、措施具体、针对性强。措施为优得5分；良得4分；一般得2分；差或无措施不得分。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691" w:type="dxa"/>
            <w:vMerge w:val="continue"/>
            <w:vAlign w:val="center"/>
          </w:tcPr>
          <w:p>
            <w:pPr>
              <w:pStyle w:val="30"/>
              <w:kinsoku w:val="0"/>
              <w:overflowPunct w:val="0"/>
              <w:spacing w:line="186" w:lineRule="exact"/>
              <w:ind w:firstLine="420" w:firstLineChars="200"/>
              <w:rPr>
                <w:rFonts w:hint="default"/>
                <w:color w:val="auto"/>
              </w:rPr>
            </w:pPr>
          </w:p>
        </w:tc>
        <w:tc>
          <w:tcPr>
            <w:tcW w:w="1287" w:type="dxa"/>
            <w:gridSpan w:val="2"/>
            <w:vMerge w:val="continue"/>
            <w:vAlign w:val="center"/>
          </w:tcPr>
          <w:p>
            <w:pPr>
              <w:pStyle w:val="30"/>
              <w:kinsoku w:val="0"/>
              <w:overflowPunct w:val="0"/>
              <w:spacing w:line="186" w:lineRule="exact"/>
              <w:ind w:firstLine="420" w:firstLineChars="200"/>
              <w:rPr>
                <w:rFonts w:hint="default"/>
                <w:color w:val="auto"/>
              </w:rPr>
            </w:pPr>
          </w:p>
        </w:tc>
        <w:tc>
          <w:tcPr>
            <w:tcW w:w="2132" w:type="dxa"/>
            <w:vAlign w:val="center"/>
          </w:tcPr>
          <w:p>
            <w:pPr>
              <w:contextualSpacing/>
              <w:jc w:val="center"/>
              <w:rPr>
                <w:rFonts w:ascii="宋体" w:hAnsi="宋体" w:cs="宋体"/>
                <w:color w:val="auto"/>
                <w:szCs w:val="21"/>
              </w:rPr>
            </w:pPr>
            <w:r>
              <w:rPr>
                <w:rFonts w:hint="eastAsia" w:ascii="宋体" w:hAnsi="宋体" w:cs="宋体"/>
                <w:color w:val="auto"/>
                <w:szCs w:val="21"/>
              </w:rPr>
              <w:t>合同管理、信息管理</w:t>
            </w:r>
          </w:p>
          <w:p>
            <w:pPr>
              <w:contextualSpacing/>
              <w:jc w:val="center"/>
              <w:rPr>
                <w:rFonts w:ascii="宋体" w:hAnsi="宋体" w:cs="宋体"/>
                <w:color w:val="auto"/>
              </w:rPr>
            </w:pPr>
            <w:r>
              <w:rPr>
                <w:rFonts w:hint="eastAsia" w:ascii="宋体" w:hAnsi="宋体" w:cs="宋体"/>
                <w:color w:val="auto"/>
                <w:szCs w:val="21"/>
              </w:rPr>
              <w:t>（3分）</w:t>
            </w:r>
          </w:p>
        </w:tc>
        <w:tc>
          <w:tcPr>
            <w:tcW w:w="5252" w:type="dxa"/>
            <w:vAlign w:val="center"/>
          </w:tcPr>
          <w:p>
            <w:pPr>
              <w:contextualSpacing/>
              <w:jc w:val="left"/>
              <w:rPr>
                <w:rFonts w:ascii="宋体" w:hAnsi="宋体" w:cs="宋体"/>
                <w:color w:val="auto"/>
              </w:rPr>
            </w:pPr>
            <w:r>
              <w:rPr>
                <w:rFonts w:hint="eastAsia" w:ascii="宋体" w:hAnsi="宋体" w:cs="宋体"/>
                <w:color w:val="auto"/>
                <w:szCs w:val="21"/>
              </w:rPr>
              <w:t>合同管理、信息管理方法针对性强、措施具体得3分；基本可行得2分；一般得1分；差或无措施的不得分。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691" w:type="dxa"/>
            <w:vMerge w:val="continue"/>
            <w:vAlign w:val="center"/>
          </w:tcPr>
          <w:p>
            <w:pPr>
              <w:pStyle w:val="30"/>
              <w:kinsoku w:val="0"/>
              <w:overflowPunct w:val="0"/>
              <w:spacing w:line="186" w:lineRule="exact"/>
              <w:ind w:firstLine="420" w:firstLineChars="200"/>
              <w:rPr>
                <w:rFonts w:hint="default"/>
                <w:color w:val="auto"/>
              </w:rPr>
            </w:pPr>
          </w:p>
        </w:tc>
        <w:tc>
          <w:tcPr>
            <w:tcW w:w="1287" w:type="dxa"/>
            <w:gridSpan w:val="2"/>
            <w:vMerge w:val="continue"/>
            <w:vAlign w:val="center"/>
          </w:tcPr>
          <w:p>
            <w:pPr>
              <w:pStyle w:val="30"/>
              <w:kinsoku w:val="0"/>
              <w:overflowPunct w:val="0"/>
              <w:spacing w:line="186" w:lineRule="exact"/>
              <w:ind w:firstLine="420" w:firstLineChars="200"/>
              <w:rPr>
                <w:rFonts w:hint="default"/>
                <w:color w:val="auto"/>
              </w:rPr>
            </w:pPr>
          </w:p>
        </w:tc>
        <w:tc>
          <w:tcPr>
            <w:tcW w:w="2132" w:type="dxa"/>
            <w:vAlign w:val="center"/>
          </w:tcPr>
          <w:p>
            <w:pPr>
              <w:contextualSpacing/>
              <w:rPr>
                <w:rFonts w:ascii="宋体" w:hAnsi="宋体" w:cs="宋体"/>
                <w:color w:val="auto"/>
              </w:rPr>
            </w:pPr>
            <w:r>
              <w:rPr>
                <w:rFonts w:hint="eastAsia" w:ascii="宋体" w:hAnsi="宋体" w:cs="宋体"/>
                <w:color w:val="auto"/>
                <w:szCs w:val="21"/>
              </w:rPr>
              <w:t>组织协调（3分）</w:t>
            </w:r>
          </w:p>
        </w:tc>
        <w:tc>
          <w:tcPr>
            <w:tcW w:w="5252" w:type="dxa"/>
            <w:vAlign w:val="center"/>
          </w:tcPr>
          <w:p>
            <w:pPr>
              <w:contextualSpacing/>
              <w:rPr>
                <w:rFonts w:ascii="宋体" w:hAnsi="宋体" w:cs="宋体"/>
                <w:color w:val="auto"/>
              </w:rPr>
            </w:pPr>
            <w:r>
              <w:rPr>
                <w:rFonts w:hint="eastAsia" w:ascii="宋体" w:hAnsi="宋体" w:cs="宋体"/>
                <w:color w:val="auto"/>
                <w:szCs w:val="21"/>
              </w:rPr>
              <w:t>协调方法清晰合理、有具体措施。优得3分；良得2分；一般得1分；差或无不得分。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jc w:val="center"/>
        </w:trPr>
        <w:tc>
          <w:tcPr>
            <w:tcW w:w="691" w:type="dxa"/>
            <w:vMerge w:val="continue"/>
            <w:vAlign w:val="center"/>
          </w:tcPr>
          <w:p>
            <w:pPr>
              <w:pStyle w:val="30"/>
              <w:kinsoku w:val="0"/>
              <w:overflowPunct w:val="0"/>
              <w:spacing w:line="186" w:lineRule="exact"/>
              <w:ind w:firstLine="420" w:firstLineChars="200"/>
              <w:rPr>
                <w:rFonts w:hint="default"/>
                <w:color w:val="auto"/>
              </w:rPr>
            </w:pPr>
          </w:p>
        </w:tc>
        <w:tc>
          <w:tcPr>
            <w:tcW w:w="1287" w:type="dxa"/>
            <w:gridSpan w:val="2"/>
            <w:vMerge w:val="continue"/>
            <w:vAlign w:val="center"/>
          </w:tcPr>
          <w:p>
            <w:pPr>
              <w:pStyle w:val="30"/>
              <w:kinsoku w:val="0"/>
              <w:overflowPunct w:val="0"/>
              <w:spacing w:line="186" w:lineRule="exact"/>
              <w:ind w:firstLine="420" w:firstLineChars="200"/>
              <w:rPr>
                <w:rFonts w:hint="default"/>
                <w:color w:val="auto"/>
              </w:rPr>
            </w:pPr>
          </w:p>
        </w:tc>
        <w:tc>
          <w:tcPr>
            <w:tcW w:w="2132" w:type="dxa"/>
            <w:vAlign w:val="center"/>
          </w:tcPr>
          <w:p>
            <w:pPr>
              <w:contextualSpacing/>
              <w:rPr>
                <w:rFonts w:ascii="宋体" w:hAnsi="宋体" w:cs="宋体"/>
                <w:color w:val="auto"/>
              </w:rPr>
            </w:pPr>
            <w:r>
              <w:rPr>
                <w:rFonts w:hint="eastAsia" w:ascii="宋体" w:hAnsi="宋体" w:cs="宋体"/>
                <w:color w:val="auto"/>
                <w:szCs w:val="21"/>
              </w:rPr>
              <w:t>监理工作程序（4分）</w:t>
            </w:r>
          </w:p>
        </w:tc>
        <w:tc>
          <w:tcPr>
            <w:tcW w:w="5252" w:type="dxa"/>
            <w:vAlign w:val="center"/>
          </w:tcPr>
          <w:p>
            <w:pPr>
              <w:contextualSpacing/>
              <w:rPr>
                <w:rFonts w:ascii="宋体" w:hAnsi="宋体" w:cs="宋体"/>
                <w:color w:val="auto"/>
              </w:rPr>
            </w:pPr>
            <w:r>
              <w:rPr>
                <w:rFonts w:hint="eastAsia" w:ascii="宋体" w:hAnsi="宋体" w:cs="宋体"/>
                <w:color w:val="auto"/>
                <w:szCs w:val="21"/>
              </w:rPr>
              <w:t>有清晰的工作流程图、工作准则。满足要求得4分；基本满足得2分；不满足要求或无措施不得分。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jc w:val="center"/>
        </w:trPr>
        <w:tc>
          <w:tcPr>
            <w:tcW w:w="691" w:type="dxa"/>
            <w:vMerge w:val="continue"/>
            <w:vAlign w:val="center"/>
          </w:tcPr>
          <w:p>
            <w:pPr>
              <w:pStyle w:val="30"/>
              <w:kinsoku w:val="0"/>
              <w:overflowPunct w:val="0"/>
              <w:spacing w:line="186" w:lineRule="exact"/>
              <w:ind w:firstLine="420" w:firstLineChars="200"/>
              <w:rPr>
                <w:rFonts w:hint="default"/>
                <w:color w:val="auto"/>
              </w:rPr>
            </w:pPr>
          </w:p>
        </w:tc>
        <w:tc>
          <w:tcPr>
            <w:tcW w:w="1287" w:type="dxa"/>
            <w:gridSpan w:val="2"/>
            <w:vMerge w:val="continue"/>
            <w:vAlign w:val="center"/>
          </w:tcPr>
          <w:p>
            <w:pPr>
              <w:pStyle w:val="30"/>
              <w:kinsoku w:val="0"/>
              <w:overflowPunct w:val="0"/>
              <w:spacing w:line="186" w:lineRule="exact"/>
              <w:ind w:firstLine="420" w:firstLineChars="200"/>
              <w:rPr>
                <w:rFonts w:hint="default"/>
                <w:color w:val="auto"/>
              </w:rPr>
            </w:pPr>
          </w:p>
        </w:tc>
        <w:tc>
          <w:tcPr>
            <w:tcW w:w="2132" w:type="dxa"/>
            <w:vAlign w:val="center"/>
          </w:tcPr>
          <w:p>
            <w:pPr>
              <w:contextualSpacing/>
              <w:rPr>
                <w:rFonts w:ascii="宋体" w:hAnsi="宋体" w:cs="宋体"/>
                <w:color w:val="auto"/>
                <w:szCs w:val="21"/>
              </w:rPr>
            </w:pPr>
            <w:r>
              <w:rPr>
                <w:rFonts w:hint="eastAsia" w:ascii="宋体" w:hAnsi="宋体" w:cs="宋体"/>
                <w:color w:val="auto"/>
                <w:szCs w:val="21"/>
              </w:rPr>
              <w:t>安全、文明施工管理</w:t>
            </w:r>
          </w:p>
          <w:p>
            <w:pPr>
              <w:ind w:firstLine="420" w:firstLineChars="200"/>
              <w:contextualSpacing/>
              <w:rPr>
                <w:rFonts w:ascii="宋体" w:hAnsi="宋体" w:cs="宋体"/>
                <w:color w:val="auto"/>
              </w:rPr>
            </w:pPr>
            <w:r>
              <w:rPr>
                <w:rFonts w:hint="eastAsia" w:ascii="宋体" w:hAnsi="宋体" w:cs="宋体"/>
                <w:color w:val="auto"/>
                <w:szCs w:val="21"/>
              </w:rPr>
              <w:t>（3分）</w:t>
            </w:r>
          </w:p>
        </w:tc>
        <w:tc>
          <w:tcPr>
            <w:tcW w:w="5252" w:type="dxa"/>
            <w:vAlign w:val="center"/>
          </w:tcPr>
          <w:p>
            <w:pPr>
              <w:contextualSpacing/>
              <w:rPr>
                <w:rFonts w:ascii="宋体" w:hAnsi="宋体" w:cs="宋体"/>
                <w:color w:val="auto"/>
              </w:rPr>
            </w:pPr>
            <w:r>
              <w:rPr>
                <w:rFonts w:hint="eastAsia" w:ascii="宋体" w:hAnsi="宋体" w:cs="宋体"/>
                <w:color w:val="auto"/>
                <w:szCs w:val="21"/>
              </w:rPr>
              <w:t>管理措施优得 3分；良得2分；一般得1分；差或无措施不得分。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jc w:val="center"/>
        </w:trPr>
        <w:tc>
          <w:tcPr>
            <w:tcW w:w="691" w:type="dxa"/>
            <w:vMerge w:val="continue"/>
            <w:vAlign w:val="center"/>
          </w:tcPr>
          <w:p>
            <w:pPr>
              <w:pStyle w:val="30"/>
              <w:kinsoku w:val="0"/>
              <w:overflowPunct w:val="0"/>
              <w:spacing w:line="186" w:lineRule="exact"/>
              <w:ind w:firstLine="420" w:firstLineChars="200"/>
              <w:rPr>
                <w:rFonts w:hint="default"/>
                <w:color w:val="auto"/>
              </w:rPr>
            </w:pPr>
          </w:p>
        </w:tc>
        <w:tc>
          <w:tcPr>
            <w:tcW w:w="1287" w:type="dxa"/>
            <w:gridSpan w:val="2"/>
            <w:vMerge w:val="continue"/>
            <w:vAlign w:val="center"/>
          </w:tcPr>
          <w:p>
            <w:pPr>
              <w:pStyle w:val="30"/>
              <w:kinsoku w:val="0"/>
              <w:overflowPunct w:val="0"/>
              <w:spacing w:line="186" w:lineRule="exact"/>
              <w:ind w:firstLine="420" w:firstLineChars="200"/>
              <w:rPr>
                <w:rFonts w:hint="default"/>
                <w:color w:val="auto"/>
              </w:rPr>
            </w:pPr>
          </w:p>
        </w:tc>
        <w:tc>
          <w:tcPr>
            <w:tcW w:w="2132" w:type="dxa"/>
            <w:vAlign w:val="center"/>
          </w:tcPr>
          <w:p>
            <w:pPr>
              <w:contextualSpacing/>
              <w:rPr>
                <w:rFonts w:ascii="宋体" w:hAnsi="宋体" w:cs="宋体"/>
                <w:color w:val="auto"/>
              </w:rPr>
            </w:pPr>
            <w:r>
              <w:rPr>
                <w:rFonts w:hint="eastAsia" w:ascii="宋体" w:hAnsi="宋体" w:cs="宋体"/>
                <w:color w:val="auto"/>
                <w:szCs w:val="21"/>
              </w:rPr>
              <w:t>重点难点监控措施（3分）</w:t>
            </w:r>
          </w:p>
        </w:tc>
        <w:tc>
          <w:tcPr>
            <w:tcW w:w="5252" w:type="dxa"/>
            <w:vAlign w:val="center"/>
          </w:tcPr>
          <w:p>
            <w:pPr>
              <w:contextualSpacing/>
              <w:rPr>
                <w:rFonts w:ascii="宋体" w:hAnsi="宋体" w:cs="宋体"/>
                <w:color w:val="auto"/>
              </w:rPr>
            </w:pPr>
            <w:r>
              <w:rPr>
                <w:rFonts w:hint="eastAsia" w:ascii="宋体" w:hAnsi="宋体" w:cs="宋体"/>
                <w:color w:val="auto"/>
                <w:szCs w:val="21"/>
              </w:rPr>
              <w:t>要求针对性强、措施具体、可操作。优得3分；良得2分；一般得1分；差或无措施不得分。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exact"/>
          <w:jc w:val="center"/>
        </w:trPr>
        <w:tc>
          <w:tcPr>
            <w:tcW w:w="691" w:type="dxa"/>
            <w:vMerge w:val="continue"/>
            <w:vAlign w:val="center"/>
          </w:tcPr>
          <w:p>
            <w:pPr>
              <w:pStyle w:val="30"/>
              <w:kinsoku w:val="0"/>
              <w:overflowPunct w:val="0"/>
              <w:spacing w:line="186" w:lineRule="exact"/>
              <w:ind w:firstLine="420" w:firstLineChars="200"/>
              <w:rPr>
                <w:rFonts w:hint="default"/>
                <w:color w:val="auto"/>
              </w:rPr>
            </w:pPr>
          </w:p>
        </w:tc>
        <w:tc>
          <w:tcPr>
            <w:tcW w:w="1287" w:type="dxa"/>
            <w:gridSpan w:val="2"/>
            <w:vMerge w:val="continue"/>
            <w:vAlign w:val="center"/>
          </w:tcPr>
          <w:p>
            <w:pPr>
              <w:pStyle w:val="30"/>
              <w:kinsoku w:val="0"/>
              <w:overflowPunct w:val="0"/>
              <w:spacing w:line="186" w:lineRule="exact"/>
              <w:ind w:firstLine="420" w:firstLineChars="200"/>
              <w:rPr>
                <w:rFonts w:hint="default"/>
                <w:color w:val="auto"/>
              </w:rPr>
            </w:pPr>
          </w:p>
        </w:tc>
        <w:tc>
          <w:tcPr>
            <w:tcW w:w="2132" w:type="dxa"/>
            <w:vAlign w:val="center"/>
          </w:tcPr>
          <w:p>
            <w:pPr>
              <w:contextualSpacing/>
              <w:rPr>
                <w:rFonts w:ascii="宋体" w:hAnsi="宋体" w:cs="宋体"/>
                <w:color w:val="auto"/>
              </w:rPr>
            </w:pPr>
            <w:r>
              <w:rPr>
                <w:rFonts w:hint="eastAsia" w:ascii="宋体" w:hAnsi="宋体" w:cs="宋体"/>
                <w:color w:val="auto"/>
                <w:szCs w:val="21"/>
              </w:rPr>
              <w:t>工程进度款、工程结算的管理（3分）</w:t>
            </w:r>
          </w:p>
        </w:tc>
        <w:tc>
          <w:tcPr>
            <w:tcW w:w="5252" w:type="dxa"/>
            <w:vAlign w:val="center"/>
          </w:tcPr>
          <w:p>
            <w:pPr>
              <w:contextualSpacing/>
              <w:rPr>
                <w:rFonts w:ascii="宋体" w:hAnsi="宋体" w:cs="宋体"/>
                <w:color w:val="auto"/>
              </w:rPr>
            </w:pPr>
            <w:r>
              <w:rPr>
                <w:rFonts w:hint="eastAsia" w:ascii="宋体" w:hAnsi="宋体" w:cs="宋体"/>
                <w:color w:val="auto"/>
                <w:szCs w:val="21"/>
              </w:rPr>
              <w:t>管理方法合理有效、有具体措施。优得 3分；良得2分；一般得1分；差或无措施不得分。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91" w:type="dxa"/>
            <w:vMerge w:val="continue"/>
            <w:vAlign w:val="center"/>
          </w:tcPr>
          <w:p>
            <w:pPr>
              <w:pStyle w:val="30"/>
              <w:kinsoku w:val="0"/>
              <w:overflowPunct w:val="0"/>
              <w:spacing w:line="186" w:lineRule="exact"/>
              <w:ind w:firstLine="420" w:firstLineChars="200"/>
              <w:rPr>
                <w:rFonts w:hint="default"/>
                <w:color w:val="auto"/>
              </w:rPr>
            </w:pPr>
          </w:p>
        </w:tc>
        <w:tc>
          <w:tcPr>
            <w:tcW w:w="1287" w:type="dxa"/>
            <w:gridSpan w:val="2"/>
            <w:vMerge w:val="continue"/>
            <w:vAlign w:val="center"/>
          </w:tcPr>
          <w:p>
            <w:pPr>
              <w:pStyle w:val="30"/>
              <w:kinsoku w:val="0"/>
              <w:overflowPunct w:val="0"/>
              <w:spacing w:line="186" w:lineRule="exact"/>
              <w:ind w:firstLine="420" w:firstLineChars="200"/>
              <w:rPr>
                <w:rFonts w:hint="default"/>
                <w:color w:val="auto"/>
              </w:rPr>
            </w:pPr>
          </w:p>
        </w:tc>
        <w:tc>
          <w:tcPr>
            <w:tcW w:w="2132" w:type="dxa"/>
            <w:vAlign w:val="center"/>
          </w:tcPr>
          <w:p>
            <w:pPr>
              <w:contextualSpacing/>
              <w:rPr>
                <w:rFonts w:ascii="宋体" w:hAnsi="宋体" w:cs="宋体"/>
                <w:color w:val="auto"/>
              </w:rPr>
            </w:pPr>
            <w:r>
              <w:rPr>
                <w:rFonts w:hint="eastAsia" w:ascii="宋体" w:hAnsi="宋体" w:cs="宋体"/>
                <w:color w:val="auto"/>
                <w:szCs w:val="21"/>
              </w:rPr>
              <w:t>会议制度（3分）</w:t>
            </w:r>
          </w:p>
        </w:tc>
        <w:tc>
          <w:tcPr>
            <w:tcW w:w="5252" w:type="dxa"/>
            <w:vAlign w:val="center"/>
          </w:tcPr>
          <w:p>
            <w:pPr>
              <w:contextualSpacing/>
              <w:rPr>
                <w:rFonts w:ascii="宋体" w:hAnsi="宋体" w:cs="宋体"/>
                <w:color w:val="auto"/>
              </w:rPr>
            </w:pPr>
            <w:r>
              <w:rPr>
                <w:rFonts w:hint="eastAsia" w:ascii="宋体" w:hAnsi="宋体" w:cs="宋体"/>
                <w:color w:val="auto"/>
                <w:szCs w:val="21"/>
              </w:rPr>
              <w:t>建立完善的工地会议制度。满足要求得3分；良得2分；一般得1分；差或无措施不得分。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jc w:val="center"/>
        </w:trPr>
        <w:tc>
          <w:tcPr>
            <w:tcW w:w="691" w:type="dxa"/>
            <w:vMerge w:val="continue"/>
            <w:vAlign w:val="center"/>
          </w:tcPr>
          <w:p>
            <w:pPr>
              <w:pStyle w:val="30"/>
              <w:kinsoku w:val="0"/>
              <w:overflowPunct w:val="0"/>
              <w:spacing w:line="186" w:lineRule="exact"/>
              <w:ind w:firstLine="420" w:firstLineChars="200"/>
              <w:rPr>
                <w:rFonts w:hint="default"/>
                <w:color w:val="auto"/>
              </w:rPr>
            </w:pPr>
          </w:p>
        </w:tc>
        <w:tc>
          <w:tcPr>
            <w:tcW w:w="1287" w:type="dxa"/>
            <w:gridSpan w:val="2"/>
            <w:vMerge w:val="continue"/>
            <w:vAlign w:val="center"/>
          </w:tcPr>
          <w:p>
            <w:pPr>
              <w:pStyle w:val="30"/>
              <w:kinsoku w:val="0"/>
              <w:overflowPunct w:val="0"/>
              <w:spacing w:line="186" w:lineRule="exact"/>
              <w:ind w:firstLine="420" w:firstLineChars="200"/>
              <w:rPr>
                <w:rFonts w:hint="default"/>
                <w:color w:val="auto"/>
              </w:rPr>
            </w:pPr>
          </w:p>
        </w:tc>
        <w:tc>
          <w:tcPr>
            <w:tcW w:w="2132" w:type="dxa"/>
            <w:vAlign w:val="center"/>
          </w:tcPr>
          <w:p>
            <w:pPr>
              <w:contextualSpacing/>
              <w:rPr>
                <w:rFonts w:ascii="宋体" w:hAnsi="宋体" w:cs="宋体"/>
                <w:color w:val="auto"/>
              </w:rPr>
            </w:pPr>
            <w:r>
              <w:rPr>
                <w:rFonts w:hint="eastAsia" w:ascii="宋体" w:hAnsi="宋体" w:cs="宋体"/>
                <w:color w:val="auto"/>
                <w:szCs w:val="21"/>
              </w:rPr>
              <w:t>合理化建议（3分）</w:t>
            </w:r>
          </w:p>
        </w:tc>
        <w:tc>
          <w:tcPr>
            <w:tcW w:w="5252" w:type="dxa"/>
            <w:vAlign w:val="center"/>
          </w:tcPr>
          <w:p>
            <w:pPr>
              <w:contextualSpacing/>
              <w:rPr>
                <w:rFonts w:ascii="宋体" w:hAnsi="宋体" w:cs="宋体"/>
                <w:color w:val="auto"/>
              </w:rPr>
            </w:pPr>
            <w:r>
              <w:rPr>
                <w:rFonts w:hint="eastAsia" w:ascii="宋体" w:hAnsi="宋体" w:cs="宋体"/>
                <w:color w:val="auto"/>
                <w:szCs w:val="21"/>
              </w:rPr>
              <w:t>具有科学、合理、可行及具体措施的建议。优得3分；良得2分；一般得1分，差或无不得分。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exact"/>
          <w:jc w:val="center"/>
        </w:trPr>
        <w:tc>
          <w:tcPr>
            <w:tcW w:w="691" w:type="dxa"/>
            <w:vAlign w:val="center"/>
          </w:tcPr>
          <w:p>
            <w:pPr>
              <w:pStyle w:val="30"/>
              <w:kinsoku w:val="0"/>
              <w:overflowPunct w:val="0"/>
              <w:rPr>
                <w:rFonts w:hint="default" w:eastAsia="Times New Roman"/>
                <w:color w:val="auto"/>
              </w:rPr>
            </w:pPr>
            <w:r>
              <w:rPr>
                <w:rFonts w:eastAsia="Times New Roman"/>
                <w:color w:val="auto"/>
              </w:rPr>
              <w:t>2.2.4</w:t>
            </w:r>
          </w:p>
          <w:p>
            <w:pPr>
              <w:pStyle w:val="30"/>
              <w:kinsoku w:val="0"/>
              <w:overflowPunct w:val="0"/>
              <w:spacing w:line="110" w:lineRule="exact"/>
              <w:ind w:firstLine="220" w:firstLineChars="200"/>
              <w:rPr>
                <w:rFonts w:hint="default"/>
                <w:color w:val="auto"/>
                <w:sz w:val="11"/>
              </w:rPr>
            </w:pPr>
          </w:p>
          <w:p>
            <w:pPr>
              <w:pStyle w:val="30"/>
              <w:kinsoku w:val="0"/>
              <w:overflowPunct w:val="0"/>
              <w:ind w:firstLine="416" w:firstLineChars="200"/>
              <w:rPr>
                <w:rFonts w:hint="default"/>
                <w:color w:val="auto"/>
              </w:rPr>
            </w:pPr>
            <w:r>
              <w:rPr>
                <w:rFonts w:ascii="宋体" w:hAnsi="宋体"/>
                <w:color w:val="auto"/>
                <w:spacing w:val="-1"/>
              </w:rPr>
              <w:t>（（</w:t>
            </w:r>
            <w:r>
              <w:rPr>
                <w:rFonts w:eastAsia="Times New Roman"/>
                <w:color w:val="auto"/>
              </w:rPr>
              <w:t>3</w:t>
            </w:r>
            <w:r>
              <w:rPr>
                <w:rFonts w:ascii="宋体" w:hAnsi="宋体"/>
                <w:color w:val="auto"/>
              </w:rPr>
              <w:t>）</w:t>
            </w:r>
          </w:p>
        </w:tc>
        <w:tc>
          <w:tcPr>
            <w:tcW w:w="1287" w:type="dxa"/>
            <w:gridSpan w:val="2"/>
            <w:vAlign w:val="center"/>
          </w:tcPr>
          <w:p>
            <w:pPr>
              <w:rPr>
                <w:rFonts w:ascii="宋体" w:hAnsi="Courier New"/>
                <w:color w:val="auto"/>
                <w:szCs w:val="21"/>
              </w:rPr>
            </w:pPr>
            <w:r>
              <w:rPr>
                <w:rFonts w:hint="eastAsia" w:ascii="宋体" w:hAnsi="宋体"/>
                <w:color w:val="auto"/>
              </w:rPr>
              <w:t>投标</w:t>
            </w:r>
            <w:r>
              <w:rPr>
                <w:rFonts w:hint="eastAsia" w:ascii="宋体" w:hAnsi="Courier New"/>
                <w:color w:val="auto"/>
                <w:szCs w:val="21"/>
              </w:rPr>
              <w:t>报价</w:t>
            </w:r>
          </w:p>
          <w:p>
            <w:pPr>
              <w:rPr>
                <w:rFonts w:ascii="宋体" w:hAnsi="宋体"/>
                <w:color w:val="auto"/>
              </w:rPr>
            </w:pPr>
            <w:r>
              <w:rPr>
                <w:rFonts w:hint="eastAsia" w:ascii="宋体" w:hAnsi="宋体"/>
                <w:color w:val="auto"/>
              </w:rPr>
              <w:t>评分</w:t>
            </w:r>
            <w:r>
              <w:rPr>
                <w:rFonts w:hint="eastAsia" w:ascii="宋体" w:hAnsi="宋体"/>
                <w:color w:val="auto"/>
                <w:spacing w:val="-3"/>
              </w:rPr>
              <w:t>标</w:t>
            </w:r>
            <w:r>
              <w:rPr>
                <w:rFonts w:hint="eastAsia" w:ascii="宋体" w:hAnsi="宋体"/>
                <w:color w:val="auto"/>
              </w:rPr>
              <w:t>准</w:t>
            </w:r>
          </w:p>
          <w:p>
            <w:pPr>
              <w:rPr>
                <w:rFonts w:ascii="宋体" w:hAnsi="宋体"/>
                <w:color w:val="auto"/>
              </w:rPr>
            </w:pPr>
            <w:r>
              <w:rPr>
                <w:rFonts w:hint="eastAsia" w:ascii="宋体" w:hAnsi="宋体"/>
                <w:color w:val="auto"/>
              </w:rPr>
              <w:t>（20分）</w:t>
            </w:r>
          </w:p>
        </w:tc>
        <w:tc>
          <w:tcPr>
            <w:tcW w:w="2132" w:type="dxa"/>
            <w:vAlign w:val="center"/>
          </w:tcPr>
          <w:p>
            <w:pPr>
              <w:pStyle w:val="30"/>
              <w:kinsoku w:val="0"/>
              <w:overflowPunct w:val="0"/>
              <w:rPr>
                <w:rFonts w:hint="default" w:ascii="宋体" w:hAnsi="宋体"/>
                <w:color w:val="auto"/>
              </w:rPr>
            </w:pPr>
            <w:r>
              <w:rPr>
                <w:rFonts w:ascii="宋体" w:hAnsi="宋体"/>
                <w:color w:val="auto"/>
              </w:rPr>
              <w:t>报价得分</w:t>
            </w:r>
          </w:p>
        </w:tc>
        <w:tc>
          <w:tcPr>
            <w:tcW w:w="5252" w:type="dxa"/>
            <w:vAlign w:val="center"/>
          </w:tcPr>
          <w:p>
            <w:pPr>
              <w:pStyle w:val="30"/>
              <w:kinsoku w:val="0"/>
              <w:overflowPunct w:val="0"/>
              <w:rPr>
                <w:rFonts w:hint="default" w:ascii="宋体" w:hAnsi="Courier New"/>
                <w:color w:val="auto"/>
                <w:szCs w:val="21"/>
              </w:rPr>
            </w:pPr>
            <w:r>
              <w:rPr>
                <w:rFonts w:ascii="宋体" w:hAnsi="Courier New"/>
                <w:color w:val="auto"/>
                <w:szCs w:val="21"/>
              </w:rPr>
              <w:t>以评标基准价作为计算各有效投标价得分的基础，当有效投标报价等于评标基准价时得20分；投标有效报价与评标基准价之差，每上偏1%扣1分，下偏1%扣0.5分（得分扣至0分止）。报价偏差率不足1%的，按直线内插法计算投标报价得分</w:t>
            </w:r>
            <w:r>
              <w:rPr>
                <w:rFonts w:ascii="宋体" w:hAnsi="宋体"/>
                <w:color w:val="auto"/>
                <w:spacing w:val="-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2" w:hRule="exact"/>
          <w:jc w:val="center"/>
        </w:trPr>
        <w:tc>
          <w:tcPr>
            <w:tcW w:w="691" w:type="dxa"/>
            <w:vAlign w:val="center"/>
          </w:tcPr>
          <w:p>
            <w:pPr>
              <w:pStyle w:val="30"/>
              <w:kinsoku w:val="0"/>
              <w:overflowPunct w:val="0"/>
              <w:rPr>
                <w:rFonts w:hint="default" w:eastAsia="Times New Roman"/>
                <w:color w:val="auto"/>
              </w:rPr>
            </w:pPr>
            <w:r>
              <w:rPr>
                <w:rFonts w:eastAsia="Times New Roman"/>
                <w:color w:val="auto"/>
              </w:rPr>
              <w:t>2.2.4</w:t>
            </w:r>
          </w:p>
          <w:p>
            <w:pPr>
              <w:pStyle w:val="30"/>
              <w:kinsoku w:val="0"/>
              <w:overflowPunct w:val="0"/>
              <w:ind w:firstLine="420" w:firstLineChars="200"/>
              <w:rPr>
                <w:rFonts w:hint="default"/>
                <w:color w:val="auto"/>
                <w:sz w:val="16"/>
              </w:rPr>
            </w:pPr>
            <w:r>
              <w:rPr>
                <w:rFonts w:eastAsia="Times New Roman"/>
                <w:color w:val="auto"/>
              </w:rPr>
              <w:t>（</w:t>
            </w:r>
            <w:r>
              <w:rPr>
                <w:color w:val="auto"/>
              </w:rPr>
              <w:t>（</w:t>
            </w:r>
            <w:r>
              <w:rPr>
                <w:rFonts w:eastAsia="Times New Roman"/>
                <w:color w:val="auto"/>
              </w:rPr>
              <w:t>4）</w:t>
            </w:r>
          </w:p>
        </w:tc>
        <w:tc>
          <w:tcPr>
            <w:tcW w:w="1287" w:type="dxa"/>
            <w:gridSpan w:val="2"/>
            <w:vAlign w:val="center"/>
          </w:tcPr>
          <w:p>
            <w:pPr>
              <w:widowControl/>
              <w:textAlignment w:val="center"/>
              <w:rPr>
                <w:rFonts w:ascii="宋体" w:hAnsi="宋体" w:cs="宋体"/>
                <w:color w:val="auto"/>
                <w:szCs w:val="21"/>
              </w:rPr>
            </w:pPr>
            <w:r>
              <w:rPr>
                <w:rFonts w:hint="eastAsia" w:ascii="宋体" w:hAnsi="宋体" w:cs="宋体"/>
                <w:color w:val="auto"/>
                <w:szCs w:val="21"/>
              </w:rPr>
              <w:t>其他因素</w:t>
            </w:r>
          </w:p>
          <w:p>
            <w:pPr>
              <w:widowControl/>
              <w:textAlignment w:val="center"/>
              <w:rPr>
                <w:rFonts w:ascii="宋体" w:hAnsi="宋体" w:cs="宋体"/>
                <w:color w:val="auto"/>
                <w:szCs w:val="21"/>
              </w:rPr>
            </w:pPr>
            <w:r>
              <w:rPr>
                <w:rFonts w:hint="eastAsia" w:ascii="宋体" w:hAnsi="宋体" w:cs="宋体"/>
                <w:color w:val="auto"/>
                <w:szCs w:val="21"/>
              </w:rPr>
              <w:t>评分标准（5分）</w:t>
            </w:r>
          </w:p>
        </w:tc>
        <w:tc>
          <w:tcPr>
            <w:tcW w:w="2132" w:type="dxa"/>
            <w:vAlign w:val="center"/>
          </w:tcPr>
          <w:p>
            <w:pPr>
              <w:widowControl/>
              <w:textAlignment w:val="center"/>
              <w:rPr>
                <w:rFonts w:ascii="宋体" w:hAnsi="宋体" w:cs="宋体"/>
                <w:color w:val="auto"/>
                <w:szCs w:val="21"/>
              </w:rPr>
            </w:pPr>
            <w:r>
              <w:rPr>
                <w:rFonts w:hint="eastAsia" w:ascii="宋体" w:hAnsi="宋体" w:cs="宋体"/>
                <w:color w:val="auto"/>
                <w:szCs w:val="21"/>
              </w:rPr>
              <w:t>诚信得分</w:t>
            </w:r>
          </w:p>
        </w:tc>
        <w:tc>
          <w:tcPr>
            <w:tcW w:w="5252" w:type="dxa"/>
            <w:vAlign w:val="center"/>
          </w:tcPr>
          <w:p>
            <w:pPr>
              <w:ind w:firstLine="420" w:firstLineChars="200"/>
              <w:rPr>
                <w:rFonts w:ascii="宋体" w:hAnsi="宋体" w:cs="宋体"/>
                <w:color w:val="auto"/>
                <w:szCs w:val="21"/>
              </w:rPr>
            </w:pPr>
            <w:r>
              <w:rPr>
                <w:rFonts w:hint="eastAsia" w:ascii="宋体" w:hAnsi="宋体" w:cs="宋体"/>
                <w:color w:val="auto"/>
                <w:szCs w:val="21"/>
              </w:rPr>
              <w:t>投标人综合诚信评价排名得分按广州市水务工程企业信息库及诚信中心网站（</w:t>
            </w:r>
            <w:r>
              <w:rPr>
                <w:rFonts w:ascii="宋体" w:hAnsi="宋体" w:cs="宋体"/>
                <w:color w:val="auto"/>
                <w:szCs w:val="21"/>
              </w:rPr>
              <w:t>http://120.236.111.11:8001/#/website</w:t>
            </w:r>
            <w:r>
              <w:rPr>
                <w:rFonts w:hint="eastAsia" w:ascii="宋体" w:hAnsi="宋体" w:cs="宋体"/>
                <w:color w:val="auto"/>
                <w:szCs w:val="21"/>
              </w:rPr>
              <w:t>）中的“诚信排名&gt;&gt;监理—给排水”的“诚信综合评价”中查询；</w:t>
            </w:r>
            <w:r>
              <w:rPr>
                <w:rFonts w:hint="eastAsia" w:ascii="宋体" w:hAnsi="宋体" w:cs="宋体"/>
                <w:color w:val="auto"/>
                <w:szCs w:val="21"/>
              </w:rPr>
              <w:t>未在</w:t>
            </w:r>
            <w:r>
              <w:rPr>
                <w:rFonts w:hint="eastAsia" w:ascii="宋体" w:hAnsi="宋体" w:cs="宋体"/>
                <w:color w:val="auto"/>
                <w:szCs w:val="21"/>
                <w:lang w:eastAsia="zh-CN"/>
              </w:rPr>
              <w:t>“</w:t>
            </w:r>
            <w:r>
              <w:rPr>
                <w:rFonts w:hint="eastAsia" w:ascii="宋体" w:hAnsi="宋体" w:cs="宋体"/>
                <w:color w:val="auto"/>
                <w:szCs w:val="21"/>
              </w:rPr>
              <w:t>诚信管理系统</w:t>
            </w:r>
            <w:r>
              <w:rPr>
                <w:rFonts w:hint="eastAsia" w:ascii="宋体" w:hAnsi="宋体" w:cs="宋体"/>
                <w:color w:val="auto"/>
                <w:szCs w:val="21"/>
                <w:lang w:eastAsia="zh-CN"/>
              </w:rPr>
              <w:t>”</w:t>
            </w:r>
            <w:r>
              <w:rPr>
                <w:rFonts w:hint="eastAsia" w:ascii="宋体" w:hAnsi="宋体" w:cs="宋体"/>
                <w:color w:val="auto"/>
                <w:szCs w:val="21"/>
              </w:rPr>
              <w:t>录入企业信息的监理企业（简称“未入库企业”），诚信评价总分的计算方法</w:t>
            </w:r>
            <w:r>
              <w:rPr>
                <w:rFonts w:hint="eastAsia" w:ascii="宋体" w:hAnsi="宋体" w:cs="宋体"/>
                <w:color w:val="auto"/>
                <w:szCs w:val="21"/>
                <w:lang w:eastAsia="zh-CN"/>
              </w:rPr>
              <w:t>：</w:t>
            </w:r>
            <w:r>
              <w:rPr>
                <w:rFonts w:hint="eastAsia" w:ascii="宋体" w:hAnsi="宋体" w:cs="宋体"/>
                <w:color w:val="auto"/>
                <w:szCs w:val="21"/>
              </w:rPr>
              <w:t>即“未入库企业”的诚信评价总分=100（市场行为评价分）×20%+75（质量安全管理评价得分）×50%+75（履约评价得分）×30%=80分。</w:t>
            </w:r>
            <w:r>
              <w:rPr>
                <w:rFonts w:hint="eastAsia" w:ascii="宋体" w:hAnsi="宋体" w:cs="宋体"/>
                <w:color w:val="auto"/>
                <w:szCs w:val="21"/>
              </w:rPr>
              <w:t>诚信评价总分应当采用诚信评价信息系统在投标登记第1天所在季度的上一季度公布的分数。</w:t>
            </w:r>
          </w:p>
          <w:p>
            <w:pPr>
              <w:ind w:firstLine="420" w:firstLineChars="200"/>
              <w:rPr>
                <w:rFonts w:ascii="宋体" w:hAnsi="宋体" w:cs="宋体"/>
                <w:color w:val="auto"/>
                <w:szCs w:val="21"/>
              </w:rPr>
            </w:pPr>
            <w:r>
              <w:rPr>
                <w:rFonts w:hint="eastAsia" w:ascii="宋体" w:hAnsi="宋体" w:cs="宋体"/>
                <w:color w:val="auto"/>
                <w:szCs w:val="21"/>
              </w:rPr>
              <w:t>诚信得分=诚信排名得分×5%</w:t>
            </w:r>
          </w:p>
        </w:tc>
      </w:tr>
    </w:tbl>
    <w:p>
      <w:pPr>
        <w:topLinePunct/>
        <w:spacing w:line="360" w:lineRule="auto"/>
        <w:ind w:firstLine="420" w:firstLineChars="200"/>
        <w:rPr>
          <w:rFonts w:hint="eastAsia" w:eastAsia="宋体"/>
          <w:color w:val="auto"/>
          <w:lang w:val="zh-CN" w:eastAsia="zh-CN"/>
        </w:rPr>
      </w:pPr>
      <w:r>
        <w:rPr>
          <w:rFonts w:hint="eastAsia"/>
          <w:color w:val="auto"/>
        </w:rPr>
        <w:t>说明：（1）类似项目是指：招标公告投标人合格条件第3点所述资质方能承接的工程，须同时提供中标通知书或免招标的相关证明、工程监理合同、竣工验收报告或竣工验收证明</w:t>
      </w:r>
      <w:r>
        <w:rPr>
          <w:rFonts w:hint="eastAsia"/>
          <w:color w:val="auto"/>
          <w:lang w:val="zh-CN"/>
        </w:rPr>
        <w:t>。</w:t>
      </w:r>
      <w:r>
        <w:rPr>
          <w:rFonts w:hint="eastAsia"/>
          <w:color w:val="auto"/>
          <w:lang w:eastAsia="zh-CN"/>
        </w:rPr>
        <w:t>（以竣工验收报告或竣工验收证明上载明的时间为准）</w:t>
      </w:r>
    </w:p>
    <w:p>
      <w:pPr>
        <w:topLinePunct/>
        <w:spacing w:line="360" w:lineRule="auto"/>
        <w:ind w:firstLine="420" w:firstLineChars="200"/>
        <w:rPr>
          <w:rFonts w:ascii="宋体" w:hAnsi="宋体" w:cs="宋体"/>
          <w:color w:val="auto"/>
          <w:szCs w:val="21"/>
        </w:rPr>
      </w:pPr>
      <w:r>
        <w:rPr>
          <w:rFonts w:hint="eastAsia"/>
          <w:color w:val="auto"/>
          <w:lang w:val="zh-CN"/>
        </w:rPr>
        <w:t>（</w:t>
      </w:r>
      <w:r>
        <w:rPr>
          <w:rFonts w:hint="eastAsia"/>
          <w:color w:val="auto"/>
        </w:rPr>
        <w:t>2</w:t>
      </w:r>
      <w:r>
        <w:rPr>
          <w:rFonts w:hint="eastAsia"/>
          <w:color w:val="auto"/>
          <w:lang w:val="zh-CN"/>
        </w:rPr>
        <w:t>）</w:t>
      </w:r>
      <w:r>
        <w:rPr>
          <w:rFonts w:hint="eastAsia" w:ascii="宋体" w:hAnsi="宋体" w:cs="宋体"/>
          <w:color w:val="auto"/>
          <w:szCs w:val="21"/>
        </w:rPr>
        <w:t>获奖监理业绩：</w:t>
      </w:r>
      <w:r>
        <w:rPr>
          <w:rFonts w:hint="eastAsia"/>
          <w:color w:val="auto"/>
        </w:rPr>
        <w:t>国家级奖指全国市政金杯示范工程、鲁班奖、中国土木工程詹天佑大奖、金质奖、银质奖、国家优质工程奖、中国钢结构金奖等；省级奖指省级优良样板工程、省级双优工地、优质奖等；市级奖指市级优良样板工程、市级双优工地等。以投标人获奖证书为准，时间以获奖证书颁发日期为准；对同一工程奖项按最高奖项计取，不重复计算</w:t>
      </w:r>
      <w:r>
        <w:rPr>
          <w:rFonts w:hint="eastAsia" w:ascii="宋体" w:hAnsi="宋体" w:cs="宋体"/>
          <w:color w:val="auto"/>
          <w:szCs w:val="21"/>
        </w:rPr>
        <w:t>。</w:t>
      </w:r>
    </w:p>
    <w:p>
      <w:pPr>
        <w:pStyle w:val="9"/>
        <w:numPr>
          <w:ilvl w:val="255"/>
          <w:numId w:val="0"/>
        </w:numPr>
        <w:spacing w:line="360" w:lineRule="auto"/>
        <w:ind w:firstLine="420" w:firstLineChars="200"/>
        <w:rPr>
          <w:color w:val="auto"/>
          <w:kern w:val="2"/>
          <w:sz w:val="21"/>
          <w:szCs w:val="22"/>
        </w:rPr>
      </w:pPr>
      <w:r>
        <w:rPr>
          <w:rFonts w:hint="eastAsia"/>
          <w:color w:val="auto"/>
          <w:kern w:val="2"/>
          <w:sz w:val="21"/>
          <w:szCs w:val="22"/>
        </w:rPr>
        <w:t>（3）国家级优秀总监理工程师及国家级优秀监理工程师称号以国家级机构颁发的获奖证书为准，省级优秀总监理工程师及省级优秀监理工程师称号以省级机构颁发的获奖证书为准，市级优秀总监理工程师及市级优秀监理工程师称号以市级机构颁发的获奖证书为准，时间以获奖证书的获奖年度为准，其他证明文件不得分。</w:t>
      </w:r>
    </w:p>
    <w:p>
      <w:pPr>
        <w:tabs>
          <w:tab w:val="left" w:pos="720"/>
        </w:tabs>
        <w:spacing w:line="360" w:lineRule="auto"/>
        <w:ind w:firstLine="420" w:firstLineChars="200"/>
        <w:rPr>
          <w:rFonts w:ascii="宋体" w:hAnsi="宋体" w:cs="宋体"/>
          <w:color w:val="auto"/>
          <w:szCs w:val="21"/>
        </w:rPr>
      </w:pPr>
      <w:r>
        <w:rPr>
          <w:rFonts w:hint="eastAsia" w:ascii="宋体" w:hAnsi="宋体" w:cs="宋体"/>
          <w:color w:val="auto"/>
          <w:szCs w:val="21"/>
        </w:rPr>
        <w:t>（4）</w:t>
      </w:r>
      <w:r>
        <w:rPr>
          <w:rFonts w:hint="eastAsia"/>
          <w:color w:val="auto"/>
        </w:rPr>
        <w:t>总监及驻场监理机构人员资格、认证证书等方面内容必须提供相应的证明材料；人员专业以毕业证或职称证或注册证专业为准</w:t>
      </w:r>
      <w:r>
        <w:rPr>
          <w:rFonts w:hint="eastAsia" w:ascii="宋体" w:hAnsi="宋体" w:cs="宋体"/>
          <w:color w:val="auto"/>
          <w:szCs w:val="21"/>
        </w:rPr>
        <w:t>。</w:t>
      </w:r>
    </w:p>
    <w:p>
      <w:pPr>
        <w:tabs>
          <w:tab w:val="left" w:pos="720"/>
        </w:tabs>
        <w:spacing w:line="360" w:lineRule="auto"/>
        <w:ind w:firstLine="420" w:firstLineChars="200"/>
        <w:rPr>
          <w:rFonts w:ascii="宋体" w:hAnsi="宋体" w:cs="宋体"/>
          <w:color w:val="auto"/>
          <w:szCs w:val="21"/>
        </w:rPr>
      </w:pPr>
      <w:r>
        <w:rPr>
          <w:rFonts w:hint="eastAsia" w:ascii="宋体" w:hAnsi="宋体" w:cs="宋体"/>
          <w:color w:val="auto"/>
          <w:szCs w:val="21"/>
        </w:rPr>
        <w:t>（5）拟投入人员需</w:t>
      </w:r>
      <w:r>
        <w:rPr>
          <w:rFonts w:hint="eastAsia" w:ascii="宋体" w:hAnsi="宋体" w:cs="宋体"/>
          <w:color w:val="auto"/>
          <w:szCs w:val="21"/>
          <w:u w:val="single"/>
        </w:rPr>
        <w:t>提供近一个月（即招标公告发布当月的前一个月）</w:t>
      </w:r>
      <w:r>
        <w:rPr>
          <w:rFonts w:hint="eastAsia" w:ascii="宋体" w:hAnsi="宋体" w:cs="宋体"/>
          <w:color w:val="auto"/>
          <w:szCs w:val="21"/>
        </w:rPr>
        <w:t>在投标人单位（不含投标人的子公司）或投标人单位非独立法人的分支机构连续参保的社保缴纳记录证明复印件。若当地政府部门允许企业在疫情期间缓缴社会保险费且投标人未缴纳的，投标人可提供当地政府部门允许缓缴社保的相关文件作为缴纳社保的证明。</w:t>
      </w:r>
    </w:p>
    <w:p>
      <w:pPr>
        <w:spacing w:line="360" w:lineRule="auto"/>
        <w:ind w:firstLine="420" w:firstLineChars="200"/>
        <w:rPr>
          <w:rFonts w:hint="eastAsia" w:eastAsia="宋体"/>
          <w:color w:val="auto"/>
          <w:lang w:eastAsia="zh-CN"/>
        </w:rPr>
      </w:pPr>
      <w:r>
        <w:rPr>
          <w:rFonts w:ascii="宋体" w:hAnsi="宋体" w:cs="宋体"/>
          <w:color w:val="auto"/>
          <w:szCs w:val="21"/>
        </w:rPr>
        <w:t>（</w:t>
      </w:r>
      <w:r>
        <w:rPr>
          <w:rFonts w:hint="eastAsia" w:ascii="宋体" w:hAnsi="宋体" w:cs="宋体"/>
          <w:color w:val="auto"/>
          <w:szCs w:val="21"/>
        </w:rPr>
        <w:t>6</w:t>
      </w:r>
      <w:r>
        <w:rPr>
          <w:rFonts w:ascii="宋体" w:hAnsi="宋体" w:cs="宋体"/>
          <w:color w:val="auto"/>
          <w:szCs w:val="21"/>
        </w:rPr>
        <w:t>）</w:t>
      </w:r>
      <w:r>
        <w:rPr>
          <w:rFonts w:hint="eastAsia"/>
          <w:color w:val="auto"/>
        </w:rPr>
        <w:t>企业技术管理能力：须提供相关证明文件或证书作为评审依据；“工程科学技术类奖项”</w:t>
      </w:r>
      <w:r>
        <w:rPr>
          <w:rFonts w:hint="eastAsia" w:ascii="宋体" w:hAnsi="宋体" w:cs="宋体"/>
          <w:color w:val="auto"/>
          <w:szCs w:val="21"/>
        </w:rPr>
        <w:t>发证单位需在民政部门备案</w:t>
      </w:r>
      <w:r>
        <w:rPr>
          <w:rFonts w:hint="eastAsia"/>
          <w:color w:val="auto"/>
        </w:rPr>
        <w:t>。</w:t>
      </w:r>
      <w:r>
        <w:rPr>
          <w:rFonts w:hint="eastAsia"/>
          <w:color w:val="auto"/>
          <w:lang w:eastAsia="zh-CN"/>
        </w:rPr>
        <w:t>（</w:t>
      </w:r>
      <w:r>
        <w:rPr>
          <w:rFonts w:hint="eastAsia"/>
          <w:color w:val="auto"/>
          <w:lang w:val="en-US" w:eastAsia="zh-CN"/>
        </w:rPr>
        <w:t>须提供投标单位在民政部门备案的打印页截图</w:t>
      </w:r>
      <w:r>
        <w:rPr>
          <w:rFonts w:hint="eastAsia"/>
          <w:color w:val="auto"/>
          <w:lang w:eastAsia="zh-CN"/>
        </w:rPr>
        <w:t>）</w:t>
      </w:r>
    </w:p>
    <w:p>
      <w:pPr>
        <w:topLinePunct/>
        <w:spacing w:line="360" w:lineRule="auto"/>
        <w:ind w:firstLine="420" w:firstLineChars="200"/>
        <w:rPr>
          <w:color w:val="auto"/>
        </w:rPr>
      </w:pPr>
      <w:r>
        <w:rPr>
          <w:rFonts w:ascii="宋体" w:hAnsi="宋体" w:cs="宋体"/>
          <w:color w:val="auto"/>
          <w:szCs w:val="21"/>
        </w:rPr>
        <w:t>（7）</w:t>
      </w:r>
      <w:r>
        <w:rPr>
          <w:rFonts w:hint="eastAsia"/>
          <w:color w:val="auto"/>
        </w:rPr>
        <w:t>投标人的综合评估得分为各评委的评分去掉一个最高分和一个最低分后计取的算术平均分。</w:t>
      </w:r>
    </w:p>
    <w:p>
      <w:pPr>
        <w:topLinePunct/>
        <w:spacing w:line="360" w:lineRule="auto"/>
        <w:ind w:firstLine="420" w:firstLineChars="200"/>
        <w:rPr>
          <w:color w:val="auto"/>
        </w:rPr>
      </w:pPr>
      <w:r>
        <w:rPr>
          <w:rFonts w:ascii="宋体" w:hAnsi="宋体" w:cs="宋体"/>
          <w:color w:val="auto"/>
          <w:szCs w:val="21"/>
        </w:rPr>
        <w:t>（8）</w:t>
      </w:r>
      <w:r>
        <w:rPr>
          <w:color w:val="auto"/>
        </w:rPr>
        <w:t>评分如出现小数点，则保留小数点后两位，第三位四舍五入。</w:t>
      </w:r>
    </w:p>
    <w:p>
      <w:pPr>
        <w:topLinePunct/>
        <w:spacing w:line="360" w:lineRule="auto"/>
        <w:ind w:firstLine="420" w:firstLineChars="200"/>
        <w:rPr>
          <w:color w:val="auto"/>
        </w:rPr>
      </w:pPr>
      <w:r>
        <w:rPr>
          <w:rFonts w:ascii="宋体" w:hAnsi="宋体" w:cs="宋体"/>
          <w:color w:val="auto"/>
          <w:szCs w:val="21"/>
        </w:rPr>
        <w:t>（9）</w:t>
      </w:r>
      <w:r>
        <w:rPr>
          <w:rFonts w:hint="eastAsia"/>
          <w:color w:val="auto"/>
        </w:rPr>
        <w:t>电子投标文件中的证明材料复印件上传件，必须内容清晰可辨，因上传件模糊导致评标时无法判断的，后果由投标人自负。</w:t>
      </w:r>
    </w:p>
    <w:p>
      <w:pPr>
        <w:pStyle w:val="5"/>
        <w:keepNext w:val="0"/>
        <w:keepLines w:val="0"/>
        <w:spacing w:before="0" w:after="0" w:line="360" w:lineRule="auto"/>
        <w:ind w:firstLine="643" w:firstLineChars="200"/>
        <w:rPr>
          <w:rFonts w:ascii="Times New Roman" w:hAnsi="Times New Roman"/>
          <w:color w:val="auto"/>
        </w:rPr>
      </w:pPr>
      <w:bookmarkStart w:id="502" w:name="_Toc89870610"/>
      <w:r>
        <w:rPr>
          <w:rFonts w:ascii="Times New Roman" w:hAnsi="Times New Roman"/>
          <w:color w:val="auto"/>
        </w:rPr>
        <w:t>1. 评标方法</w:t>
      </w:r>
      <w:bookmarkEnd w:id="502"/>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本次评标采用综合评估法。评标委员会对满足招标文件实质性要求的投标文件，按照本章规定的评分标准进行打分，并按得分由高到低顺序推荐中标候选人，或根据招标人授权直接确定中标人，但投标报价低于其成本的除</w:t>
      </w:r>
      <w:bookmarkStart w:id="503" w:name="_Toc152045598"/>
      <w:bookmarkStart w:id="504" w:name="_Toc144974565"/>
      <w:bookmarkStart w:id="505" w:name="_Toc384308272"/>
      <w:bookmarkStart w:id="506" w:name="_Toc300835008"/>
      <w:bookmarkStart w:id="507" w:name="_Toc247514022"/>
      <w:bookmarkStart w:id="508" w:name="_Toc361508646"/>
      <w:bookmarkStart w:id="509" w:name="_Toc247527623"/>
      <w:bookmarkStart w:id="510" w:name="_Toc152042375"/>
      <w:bookmarkStart w:id="511" w:name="_Toc369531577"/>
      <w:bookmarkStart w:id="512" w:name="_Toc352691533"/>
      <w:bookmarkStart w:id="513" w:name="_Toc4497"/>
      <w:r>
        <w:rPr>
          <w:rFonts w:ascii="Times New Roman" w:hAnsi="Times New Roman"/>
          <w:color w:val="auto"/>
          <w:sz w:val="24"/>
          <w:szCs w:val="24"/>
        </w:rPr>
        <w:t>外。</w:t>
      </w:r>
      <w:bookmarkEnd w:id="503"/>
      <w:bookmarkEnd w:id="504"/>
      <w:bookmarkEnd w:id="505"/>
      <w:bookmarkEnd w:id="506"/>
      <w:bookmarkEnd w:id="507"/>
      <w:bookmarkEnd w:id="508"/>
      <w:bookmarkEnd w:id="509"/>
      <w:bookmarkEnd w:id="510"/>
      <w:bookmarkEnd w:id="511"/>
      <w:bookmarkEnd w:id="512"/>
      <w:bookmarkEnd w:id="513"/>
      <w:r>
        <w:rPr>
          <w:rFonts w:ascii="Times New Roman" w:hAnsi="Times New Roman"/>
          <w:color w:val="auto"/>
          <w:sz w:val="24"/>
          <w:szCs w:val="24"/>
        </w:rPr>
        <w:t>综合评分相等时，以投标报价低的优先；投标报价也相等的，以监理大纲得分高的优先；监理大纲得分也相等</w:t>
      </w:r>
      <w:r>
        <w:rPr>
          <w:rFonts w:hint="eastAsia" w:ascii="Times New Roman" w:hAnsi="Times New Roman"/>
          <w:color w:val="auto"/>
          <w:sz w:val="24"/>
          <w:szCs w:val="24"/>
        </w:rPr>
        <w:t>的，以资信业绩得分高的优先；如果仍存在相同情况，由评标委员会采用记名投票方式，以得票多的优先。</w:t>
      </w:r>
    </w:p>
    <w:p>
      <w:pPr>
        <w:pStyle w:val="5"/>
        <w:keepNext w:val="0"/>
        <w:keepLines w:val="0"/>
        <w:spacing w:before="0" w:after="0" w:line="360" w:lineRule="auto"/>
        <w:ind w:firstLine="643" w:firstLineChars="200"/>
        <w:rPr>
          <w:rFonts w:ascii="Times New Roman" w:hAnsi="Times New Roman"/>
          <w:color w:val="auto"/>
        </w:rPr>
      </w:pPr>
      <w:bookmarkStart w:id="514" w:name="_Toc89870611"/>
      <w:r>
        <w:rPr>
          <w:rFonts w:ascii="Times New Roman" w:hAnsi="Times New Roman"/>
          <w:color w:val="auto"/>
        </w:rPr>
        <w:t>2. 评审标准</w:t>
      </w:r>
      <w:bookmarkEnd w:id="514"/>
    </w:p>
    <w:p>
      <w:pPr>
        <w:pStyle w:val="6"/>
        <w:keepNext w:val="0"/>
        <w:keepLines w:val="0"/>
        <w:spacing w:before="0" w:after="0" w:line="240" w:lineRule="auto"/>
        <w:ind w:firstLine="560" w:firstLineChars="200"/>
        <w:rPr>
          <w:rFonts w:ascii="Times New Roman" w:hAnsi="Times New Roman"/>
          <w:color w:val="auto"/>
        </w:rPr>
      </w:pPr>
      <w:bookmarkStart w:id="515" w:name="_Toc89870612"/>
      <w:r>
        <w:rPr>
          <w:rFonts w:ascii="Times New Roman" w:hAnsi="Times New Roman"/>
          <w:color w:val="auto"/>
        </w:rPr>
        <w:t>2.1 初步评审标准</w:t>
      </w:r>
      <w:bookmarkEnd w:id="515"/>
    </w:p>
    <w:p>
      <w:pPr>
        <w:spacing w:line="400" w:lineRule="exact"/>
        <w:ind w:firstLine="480" w:firstLineChars="200"/>
        <w:rPr>
          <w:rFonts w:ascii="Times New Roman" w:hAnsi="Times New Roman"/>
          <w:color w:val="auto"/>
          <w:sz w:val="24"/>
          <w:szCs w:val="24"/>
        </w:rPr>
      </w:pPr>
      <w:r>
        <w:rPr>
          <w:rFonts w:ascii="Times New Roman" w:hAnsi="Times New Roman"/>
          <w:color w:val="auto"/>
          <w:sz w:val="24"/>
          <w:szCs w:val="24"/>
        </w:rPr>
        <w:t>2.1.1 形式评审标准：见评标办法前附表。</w:t>
      </w:r>
    </w:p>
    <w:p>
      <w:pPr>
        <w:spacing w:line="400" w:lineRule="exact"/>
        <w:ind w:firstLine="480" w:firstLineChars="200"/>
        <w:rPr>
          <w:rFonts w:ascii="Times New Roman" w:hAnsi="Times New Roman"/>
          <w:color w:val="auto"/>
          <w:sz w:val="24"/>
          <w:szCs w:val="24"/>
        </w:rPr>
      </w:pPr>
      <w:r>
        <w:rPr>
          <w:rFonts w:ascii="Times New Roman" w:hAnsi="Times New Roman"/>
          <w:color w:val="auto"/>
          <w:sz w:val="24"/>
          <w:szCs w:val="24"/>
        </w:rPr>
        <w:t>2.1.2 资格评审标准：见评标办法前附表。</w:t>
      </w:r>
    </w:p>
    <w:p>
      <w:pPr>
        <w:spacing w:line="400" w:lineRule="exact"/>
        <w:ind w:firstLine="480" w:firstLineChars="200"/>
        <w:rPr>
          <w:rFonts w:ascii="Times New Roman" w:hAnsi="Times New Roman"/>
          <w:color w:val="auto"/>
        </w:rPr>
      </w:pPr>
      <w:r>
        <w:rPr>
          <w:rFonts w:ascii="Times New Roman" w:hAnsi="Times New Roman"/>
          <w:color w:val="auto"/>
          <w:sz w:val="24"/>
          <w:szCs w:val="24"/>
        </w:rPr>
        <w:t>2.1.3 响应性评审标准：见评标办法前附表。</w:t>
      </w:r>
    </w:p>
    <w:p>
      <w:pPr>
        <w:pStyle w:val="6"/>
        <w:keepNext w:val="0"/>
        <w:keepLines w:val="0"/>
        <w:spacing w:before="0" w:after="0" w:line="240" w:lineRule="auto"/>
        <w:ind w:firstLine="560" w:firstLineChars="200"/>
        <w:rPr>
          <w:rFonts w:ascii="Times New Roman" w:hAnsi="Times New Roman"/>
          <w:color w:val="auto"/>
        </w:rPr>
      </w:pPr>
      <w:bookmarkStart w:id="516" w:name="_Toc89870613"/>
      <w:r>
        <w:rPr>
          <w:rFonts w:ascii="Times New Roman" w:hAnsi="Times New Roman"/>
          <w:color w:val="auto"/>
        </w:rPr>
        <w:t>2.2 分值构成与评分标准</w:t>
      </w:r>
      <w:bookmarkEnd w:id="516"/>
    </w:p>
    <w:p>
      <w:pPr>
        <w:spacing w:line="400" w:lineRule="exact"/>
        <w:ind w:firstLine="480" w:firstLineChars="200"/>
        <w:rPr>
          <w:rFonts w:ascii="Times New Roman" w:hAnsi="Times New Roman"/>
          <w:color w:val="auto"/>
          <w:sz w:val="24"/>
          <w:szCs w:val="24"/>
        </w:rPr>
      </w:pPr>
      <w:r>
        <w:rPr>
          <w:rFonts w:ascii="Times New Roman" w:hAnsi="Times New Roman"/>
          <w:color w:val="auto"/>
          <w:sz w:val="24"/>
          <w:szCs w:val="24"/>
        </w:rPr>
        <w:t>2.2.1 分值构成</w:t>
      </w:r>
    </w:p>
    <w:p>
      <w:pPr>
        <w:spacing w:line="400" w:lineRule="exact"/>
        <w:ind w:firstLine="480" w:firstLineChars="200"/>
        <w:rPr>
          <w:rFonts w:ascii="Times New Roman" w:hAnsi="Times New Roman"/>
          <w:color w:val="auto"/>
          <w:sz w:val="24"/>
          <w:szCs w:val="24"/>
        </w:rPr>
      </w:pPr>
      <w:r>
        <w:rPr>
          <w:rFonts w:ascii="Times New Roman" w:hAnsi="Times New Roman"/>
          <w:color w:val="auto"/>
          <w:sz w:val="24"/>
          <w:szCs w:val="24"/>
        </w:rPr>
        <w:t>（1）资信业绩部分：见评标办法前附表；</w:t>
      </w:r>
    </w:p>
    <w:p>
      <w:pPr>
        <w:spacing w:line="400" w:lineRule="exact"/>
        <w:ind w:firstLine="480" w:firstLineChars="200"/>
        <w:rPr>
          <w:rFonts w:ascii="Times New Roman" w:hAnsi="Times New Roman"/>
          <w:color w:val="auto"/>
          <w:sz w:val="24"/>
          <w:szCs w:val="24"/>
        </w:rPr>
      </w:pPr>
      <w:r>
        <w:rPr>
          <w:rFonts w:ascii="Times New Roman" w:hAnsi="Times New Roman"/>
          <w:color w:val="auto"/>
          <w:sz w:val="24"/>
          <w:szCs w:val="24"/>
        </w:rPr>
        <w:t>（2）监理大纲部分：见评标办法前附表；</w:t>
      </w:r>
    </w:p>
    <w:p>
      <w:pPr>
        <w:spacing w:line="400" w:lineRule="exact"/>
        <w:ind w:firstLine="480" w:firstLineChars="200"/>
        <w:rPr>
          <w:rFonts w:ascii="Times New Roman" w:hAnsi="Times New Roman"/>
          <w:color w:val="auto"/>
          <w:sz w:val="24"/>
          <w:szCs w:val="24"/>
        </w:rPr>
      </w:pPr>
      <w:r>
        <w:rPr>
          <w:rFonts w:ascii="Times New Roman" w:hAnsi="Times New Roman"/>
          <w:color w:val="auto"/>
          <w:sz w:val="24"/>
          <w:szCs w:val="24"/>
        </w:rPr>
        <w:t>（3）投标报价：见评标办法前附表；</w:t>
      </w:r>
    </w:p>
    <w:p>
      <w:pPr>
        <w:spacing w:line="400" w:lineRule="exact"/>
        <w:ind w:firstLine="480" w:firstLineChars="200"/>
        <w:rPr>
          <w:rFonts w:ascii="Times New Roman" w:hAnsi="Times New Roman"/>
          <w:color w:val="auto"/>
          <w:sz w:val="24"/>
          <w:szCs w:val="24"/>
        </w:rPr>
      </w:pPr>
      <w:r>
        <w:rPr>
          <w:rFonts w:ascii="Times New Roman" w:hAnsi="Times New Roman"/>
          <w:color w:val="auto"/>
          <w:sz w:val="24"/>
          <w:szCs w:val="24"/>
        </w:rPr>
        <w:t>（4）其他评分因素：见评标办法前附表。</w:t>
      </w:r>
    </w:p>
    <w:p>
      <w:pPr>
        <w:spacing w:line="400" w:lineRule="exact"/>
        <w:ind w:firstLine="480" w:firstLineChars="200"/>
        <w:rPr>
          <w:rFonts w:ascii="Times New Roman" w:hAnsi="Times New Roman"/>
          <w:color w:val="auto"/>
          <w:sz w:val="24"/>
          <w:szCs w:val="24"/>
        </w:rPr>
      </w:pPr>
      <w:r>
        <w:rPr>
          <w:rFonts w:ascii="Times New Roman" w:hAnsi="Times New Roman"/>
          <w:color w:val="auto"/>
          <w:sz w:val="24"/>
          <w:szCs w:val="24"/>
        </w:rPr>
        <w:t>2.2.2 评标基准价计算</w:t>
      </w:r>
    </w:p>
    <w:p>
      <w:pPr>
        <w:spacing w:line="400" w:lineRule="exact"/>
        <w:ind w:firstLine="480" w:firstLineChars="200"/>
        <w:rPr>
          <w:rFonts w:ascii="Times New Roman" w:hAnsi="Times New Roman"/>
          <w:color w:val="auto"/>
          <w:sz w:val="24"/>
          <w:szCs w:val="24"/>
        </w:rPr>
      </w:pPr>
      <w:r>
        <w:rPr>
          <w:rFonts w:ascii="Times New Roman" w:hAnsi="Times New Roman"/>
          <w:color w:val="auto"/>
          <w:sz w:val="24"/>
          <w:szCs w:val="24"/>
        </w:rPr>
        <w:t>评标基准价计算方法：见评标办法前附表。</w:t>
      </w:r>
    </w:p>
    <w:p>
      <w:pPr>
        <w:spacing w:line="400" w:lineRule="exact"/>
        <w:ind w:firstLine="480" w:firstLineChars="200"/>
        <w:rPr>
          <w:rFonts w:ascii="Times New Roman" w:hAnsi="Times New Roman"/>
          <w:color w:val="auto"/>
          <w:sz w:val="24"/>
          <w:szCs w:val="24"/>
        </w:rPr>
      </w:pPr>
      <w:r>
        <w:rPr>
          <w:rFonts w:ascii="Times New Roman" w:hAnsi="Times New Roman"/>
          <w:color w:val="auto"/>
          <w:sz w:val="24"/>
          <w:szCs w:val="24"/>
        </w:rPr>
        <w:t>2.2.3 投标报价的偏差率计算</w:t>
      </w:r>
    </w:p>
    <w:p>
      <w:pPr>
        <w:spacing w:line="400" w:lineRule="exact"/>
        <w:ind w:firstLine="480" w:firstLineChars="200"/>
        <w:rPr>
          <w:rFonts w:ascii="Times New Roman" w:hAnsi="Times New Roman"/>
          <w:color w:val="auto"/>
          <w:sz w:val="24"/>
          <w:szCs w:val="24"/>
        </w:rPr>
      </w:pPr>
      <w:r>
        <w:rPr>
          <w:rFonts w:ascii="Times New Roman" w:hAnsi="Times New Roman"/>
          <w:color w:val="auto"/>
          <w:sz w:val="24"/>
          <w:szCs w:val="24"/>
        </w:rPr>
        <w:t>投标报价的偏差率计算公式：见评标办法前附表。</w:t>
      </w:r>
    </w:p>
    <w:p>
      <w:pPr>
        <w:spacing w:line="400" w:lineRule="exact"/>
        <w:ind w:firstLine="480" w:firstLineChars="200"/>
        <w:rPr>
          <w:rFonts w:ascii="Times New Roman" w:hAnsi="Times New Roman"/>
          <w:color w:val="auto"/>
          <w:sz w:val="24"/>
          <w:szCs w:val="24"/>
        </w:rPr>
      </w:pPr>
      <w:r>
        <w:rPr>
          <w:rFonts w:ascii="Times New Roman" w:hAnsi="Times New Roman"/>
          <w:color w:val="auto"/>
          <w:sz w:val="24"/>
          <w:szCs w:val="24"/>
        </w:rPr>
        <w:t>2.2.4 评分标准</w:t>
      </w:r>
    </w:p>
    <w:p>
      <w:pPr>
        <w:spacing w:line="400" w:lineRule="exact"/>
        <w:ind w:firstLine="480" w:firstLineChars="200"/>
        <w:rPr>
          <w:rFonts w:ascii="Times New Roman" w:hAnsi="Times New Roman"/>
          <w:color w:val="auto"/>
          <w:sz w:val="24"/>
          <w:szCs w:val="24"/>
        </w:rPr>
      </w:pPr>
      <w:r>
        <w:rPr>
          <w:rFonts w:ascii="Times New Roman" w:hAnsi="Times New Roman"/>
          <w:color w:val="auto"/>
          <w:sz w:val="24"/>
          <w:szCs w:val="24"/>
        </w:rPr>
        <w:t>（1）资信业绩评分标准：见评标办法前附表；</w:t>
      </w:r>
    </w:p>
    <w:p>
      <w:pPr>
        <w:spacing w:line="400" w:lineRule="exact"/>
        <w:ind w:firstLine="480" w:firstLineChars="200"/>
        <w:rPr>
          <w:rFonts w:ascii="Times New Roman" w:hAnsi="Times New Roman"/>
          <w:color w:val="auto"/>
          <w:sz w:val="24"/>
          <w:szCs w:val="24"/>
        </w:rPr>
      </w:pPr>
      <w:r>
        <w:rPr>
          <w:rFonts w:ascii="Times New Roman" w:hAnsi="Times New Roman"/>
          <w:color w:val="auto"/>
          <w:sz w:val="24"/>
          <w:szCs w:val="24"/>
        </w:rPr>
        <w:t>（2）监理大纲评分标准：见评标办法前附表；</w:t>
      </w:r>
    </w:p>
    <w:p>
      <w:pPr>
        <w:spacing w:line="400" w:lineRule="exact"/>
        <w:ind w:firstLine="480" w:firstLineChars="200"/>
        <w:rPr>
          <w:rFonts w:ascii="Times New Roman" w:hAnsi="Times New Roman"/>
          <w:color w:val="auto"/>
          <w:sz w:val="24"/>
          <w:szCs w:val="24"/>
        </w:rPr>
      </w:pPr>
      <w:r>
        <w:rPr>
          <w:rFonts w:ascii="Times New Roman" w:hAnsi="Times New Roman"/>
          <w:color w:val="auto"/>
          <w:sz w:val="24"/>
          <w:szCs w:val="24"/>
        </w:rPr>
        <w:t>（3）投标报价评分标准：见评标办法前附表；</w:t>
      </w:r>
    </w:p>
    <w:p>
      <w:pPr>
        <w:spacing w:line="400" w:lineRule="exact"/>
        <w:ind w:firstLine="480" w:firstLineChars="200"/>
        <w:rPr>
          <w:rFonts w:ascii="Times New Roman" w:hAnsi="Times New Roman"/>
          <w:color w:val="auto"/>
          <w:sz w:val="24"/>
          <w:szCs w:val="24"/>
        </w:rPr>
      </w:pPr>
      <w:r>
        <w:rPr>
          <w:rFonts w:ascii="Times New Roman" w:hAnsi="Times New Roman"/>
          <w:color w:val="auto"/>
          <w:sz w:val="24"/>
          <w:szCs w:val="24"/>
        </w:rPr>
        <w:t>（4）其他因素评分标准：见评标办法前附表。</w:t>
      </w:r>
    </w:p>
    <w:p>
      <w:pPr>
        <w:pStyle w:val="5"/>
        <w:keepNext w:val="0"/>
        <w:keepLines w:val="0"/>
        <w:spacing w:before="0" w:after="0" w:line="360" w:lineRule="auto"/>
        <w:ind w:firstLine="643" w:firstLineChars="200"/>
        <w:rPr>
          <w:rFonts w:ascii="Times New Roman" w:hAnsi="Times New Roman"/>
          <w:color w:val="auto"/>
        </w:rPr>
      </w:pPr>
      <w:bookmarkStart w:id="517" w:name="_Toc89870614"/>
      <w:r>
        <w:rPr>
          <w:rFonts w:ascii="Times New Roman" w:hAnsi="Times New Roman"/>
          <w:color w:val="auto"/>
        </w:rPr>
        <w:t>3. 评标程序</w:t>
      </w:r>
      <w:bookmarkEnd w:id="517"/>
    </w:p>
    <w:p>
      <w:pPr>
        <w:pStyle w:val="6"/>
        <w:keepNext w:val="0"/>
        <w:keepLines w:val="0"/>
        <w:spacing w:before="0" w:after="0" w:line="240" w:lineRule="auto"/>
        <w:ind w:firstLine="560" w:firstLineChars="200"/>
        <w:rPr>
          <w:rFonts w:ascii="Times New Roman" w:hAnsi="Times New Roman"/>
          <w:color w:val="auto"/>
        </w:rPr>
      </w:pPr>
      <w:bookmarkStart w:id="518" w:name="_Toc89870616"/>
      <w:r>
        <w:rPr>
          <w:rFonts w:ascii="Times New Roman" w:hAnsi="Times New Roman"/>
          <w:color w:val="auto"/>
        </w:rPr>
        <w:t>3.1 初步评审</w:t>
      </w:r>
      <w:bookmarkEnd w:id="518"/>
    </w:p>
    <w:p>
      <w:pPr>
        <w:spacing w:line="400" w:lineRule="exact"/>
        <w:ind w:firstLine="480" w:firstLineChars="200"/>
        <w:rPr>
          <w:rFonts w:ascii="Times New Roman" w:hAnsi="Times New Roman"/>
          <w:color w:val="auto"/>
          <w:sz w:val="24"/>
          <w:szCs w:val="24"/>
        </w:rPr>
      </w:pPr>
      <w:r>
        <w:rPr>
          <w:rFonts w:ascii="Times New Roman" w:hAnsi="Times New Roman"/>
          <w:color w:val="auto"/>
          <w:sz w:val="24"/>
          <w:szCs w:val="24"/>
        </w:rPr>
        <w:t>3.1.1 评标委员会可以要求投标人提交第二章</w:t>
      </w:r>
      <w:r>
        <w:rPr>
          <w:rFonts w:hint="eastAsia" w:ascii="Times New Roman" w:hAnsi="Times New Roman"/>
          <w:color w:val="auto"/>
          <w:sz w:val="24"/>
          <w:szCs w:val="24"/>
          <w:lang w:eastAsia="zh-CN"/>
        </w:rPr>
        <w:t>“</w:t>
      </w:r>
      <w:r>
        <w:rPr>
          <w:rFonts w:ascii="Times New Roman" w:hAnsi="Times New Roman"/>
          <w:color w:val="auto"/>
          <w:sz w:val="24"/>
          <w:szCs w:val="24"/>
        </w:rPr>
        <w:t>投标人须知</w:t>
      </w:r>
      <w:r>
        <w:rPr>
          <w:rFonts w:hint="eastAsia" w:ascii="Times New Roman" w:hAnsi="Times New Roman"/>
          <w:color w:val="auto"/>
          <w:sz w:val="24"/>
          <w:szCs w:val="24"/>
          <w:lang w:eastAsia="zh-CN"/>
        </w:rPr>
        <w:t>”</w:t>
      </w:r>
      <w:r>
        <w:rPr>
          <w:rFonts w:ascii="Times New Roman" w:hAnsi="Times New Roman"/>
          <w:color w:val="auto"/>
          <w:sz w:val="24"/>
          <w:szCs w:val="24"/>
        </w:rPr>
        <w:t>规定的有关证明和证件的原件，以便核验。评标委员会依据本章第2.1款规定的标准对投标文件进行初步评审。有一项不符合评审标准的，评标委员会应当否决其投标。</w:t>
      </w:r>
    </w:p>
    <w:p>
      <w:pPr>
        <w:spacing w:line="400" w:lineRule="exact"/>
        <w:ind w:firstLine="480" w:firstLineChars="200"/>
        <w:rPr>
          <w:rFonts w:ascii="Times New Roman" w:hAnsi="Times New Roman"/>
          <w:color w:val="auto"/>
          <w:sz w:val="24"/>
          <w:szCs w:val="24"/>
        </w:rPr>
      </w:pPr>
      <w:r>
        <w:rPr>
          <w:rFonts w:ascii="Times New Roman" w:hAnsi="Times New Roman"/>
          <w:color w:val="auto"/>
          <w:sz w:val="24"/>
          <w:szCs w:val="24"/>
        </w:rPr>
        <w:t>3.1.2 投标人有以下情形之一的，评标委员会应当否决其投标：</w:t>
      </w:r>
    </w:p>
    <w:p>
      <w:pPr>
        <w:spacing w:line="400" w:lineRule="exact"/>
        <w:ind w:firstLine="480" w:firstLineChars="200"/>
        <w:rPr>
          <w:rFonts w:ascii="Times New Roman" w:hAnsi="Times New Roman"/>
          <w:color w:val="auto"/>
          <w:sz w:val="24"/>
          <w:szCs w:val="24"/>
        </w:rPr>
      </w:pPr>
      <w:r>
        <w:rPr>
          <w:rFonts w:ascii="Times New Roman" w:hAnsi="Times New Roman"/>
          <w:color w:val="auto"/>
          <w:sz w:val="24"/>
          <w:szCs w:val="24"/>
        </w:rPr>
        <w:t>（1）投标文件没有对招标文件的实质性要求和条件作出响应，或者对招标文件的偏差超出招标文件规定的偏差范围或最高项数；</w:t>
      </w:r>
    </w:p>
    <w:p>
      <w:pPr>
        <w:spacing w:line="400" w:lineRule="exact"/>
        <w:ind w:firstLine="480" w:firstLineChars="200"/>
        <w:rPr>
          <w:rFonts w:ascii="Times New Roman" w:hAnsi="Times New Roman"/>
          <w:color w:val="auto"/>
          <w:sz w:val="24"/>
          <w:szCs w:val="24"/>
        </w:rPr>
      </w:pPr>
      <w:r>
        <w:rPr>
          <w:rFonts w:ascii="Times New Roman" w:hAnsi="Times New Roman"/>
          <w:color w:val="auto"/>
          <w:sz w:val="24"/>
          <w:szCs w:val="24"/>
        </w:rPr>
        <w:t>（2）有串通投标、弄虚作假、行贿等违法行为。</w:t>
      </w:r>
    </w:p>
    <w:p>
      <w:pPr>
        <w:spacing w:line="400" w:lineRule="exact"/>
        <w:ind w:firstLine="480" w:firstLineChars="200"/>
        <w:rPr>
          <w:rFonts w:ascii="Times New Roman" w:hAnsi="Times New Roman"/>
          <w:color w:val="auto"/>
          <w:sz w:val="24"/>
          <w:szCs w:val="24"/>
        </w:rPr>
      </w:pPr>
      <w:r>
        <w:rPr>
          <w:rFonts w:ascii="Times New Roman" w:hAnsi="Times New Roman"/>
          <w:color w:val="auto"/>
          <w:sz w:val="24"/>
          <w:szCs w:val="24"/>
        </w:rPr>
        <w:t>3.1.3 投标报价有算术错误及其他错误的，评标委员会按以下原则要求投标人对投标报价进</w:t>
      </w:r>
      <w:bookmarkStart w:id="519" w:name="_Toc2907"/>
      <w:bookmarkStart w:id="520" w:name="_Toc361508651"/>
      <w:bookmarkStart w:id="521" w:name="_Toc247527628"/>
      <w:bookmarkStart w:id="522" w:name="_Toc352691538"/>
      <w:bookmarkStart w:id="523" w:name="_Toc369531582"/>
      <w:bookmarkStart w:id="524" w:name="_Toc247514027"/>
      <w:bookmarkStart w:id="525" w:name="_Toc152045603"/>
      <w:bookmarkStart w:id="526" w:name="_Toc384308277"/>
      <w:bookmarkStart w:id="527" w:name="_Toc144974570"/>
      <w:bookmarkStart w:id="528" w:name="_Toc152042380"/>
      <w:bookmarkStart w:id="529" w:name="_Toc300835013"/>
      <w:r>
        <w:rPr>
          <w:rFonts w:ascii="Times New Roman" w:hAnsi="Times New Roman"/>
          <w:color w:val="auto"/>
          <w:sz w:val="24"/>
          <w:szCs w:val="24"/>
        </w:rPr>
        <w:t>行修正，并要求投标人书面澄清确认。</w:t>
      </w:r>
      <w:bookmarkEnd w:id="519"/>
      <w:bookmarkEnd w:id="520"/>
      <w:bookmarkEnd w:id="521"/>
      <w:bookmarkEnd w:id="522"/>
      <w:bookmarkEnd w:id="523"/>
      <w:bookmarkEnd w:id="524"/>
      <w:bookmarkEnd w:id="525"/>
      <w:bookmarkEnd w:id="526"/>
      <w:bookmarkEnd w:id="527"/>
      <w:bookmarkEnd w:id="528"/>
      <w:bookmarkEnd w:id="529"/>
      <w:r>
        <w:rPr>
          <w:rFonts w:ascii="Times New Roman" w:hAnsi="Times New Roman"/>
          <w:color w:val="auto"/>
          <w:sz w:val="24"/>
          <w:szCs w:val="24"/>
        </w:rPr>
        <w:t>投标人拒不澄清确认的，评标委员会应当否决其投标：</w:t>
      </w:r>
    </w:p>
    <w:p>
      <w:pPr>
        <w:spacing w:line="400" w:lineRule="exact"/>
        <w:ind w:firstLine="480" w:firstLineChars="200"/>
        <w:rPr>
          <w:rFonts w:ascii="Times New Roman" w:hAnsi="Times New Roman"/>
          <w:color w:val="auto"/>
          <w:sz w:val="24"/>
          <w:szCs w:val="24"/>
        </w:rPr>
      </w:pPr>
      <w:r>
        <w:rPr>
          <w:rFonts w:ascii="Times New Roman" w:hAnsi="Times New Roman"/>
          <w:color w:val="auto"/>
          <w:sz w:val="24"/>
          <w:szCs w:val="24"/>
        </w:rPr>
        <w:t>（1）投标文件中的大写金额与小写金额不一致的，以大写金额为准；</w:t>
      </w:r>
    </w:p>
    <w:p>
      <w:pPr>
        <w:spacing w:line="400" w:lineRule="exact"/>
        <w:ind w:firstLine="480" w:firstLineChars="200"/>
        <w:rPr>
          <w:rFonts w:ascii="Times New Roman" w:hAnsi="Times New Roman"/>
          <w:color w:val="auto"/>
          <w:sz w:val="24"/>
          <w:szCs w:val="24"/>
        </w:rPr>
      </w:pPr>
      <w:r>
        <w:rPr>
          <w:rFonts w:ascii="Times New Roman" w:hAnsi="Times New Roman"/>
          <w:color w:val="auto"/>
          <w:sz w:val="24"/>
          <w:szCs w:val="24"/>
        </w:rPr>
        <w:t>（2）总价金额与单价金额不一致的，以单价金额为准，但单价金额小数点有明显错误的除外</w:t>
      </w:r>
      <w:r>
        <w:rPr>
          <w:rFonts w:hint="eastAsia" w:ascii="Times New Roman" w:hAnsi="Times New Roman"/>
          <w:color w:val="auto"/>
          <w:sz w:val="24"/>
          <w:szCs w:val="24"/>
        </w:rPr>
        <w:t>。</w:t>
      </w:r>
    </w:p>
    <w:p>
      <w:pPr>
        <w:pStyle w:val="6"/>
        <w:keepNext w:val="0"/>
        <w:keepLines w:val="0"/>
        <w:spacing w:before="0" w:after="0" w:line="240" w:lineRule="auto"/>
        <w:ind w:firstLine="560" w:firstLineChars="200"/>
        <w:rPr>
          <w:rFonts w:ascii="Times New Roman" w:hAnsi="Times New Roman"/>
          <w:color w:val="auto"/>
        </w:rPr>
      </w:pPr>
      <w:bookmarkStart w:id="530" w:name="_Toc89870617"/>
      <w:r>
        <w:rPr>
          <w:rFonts w:ascii="Times New Roman" w:hAnsi="Times New Roman"/>
          <w:color w:val="auto"/>
        </w:rPr>
        <w:t>3.2 详细评审</w:t>
      </w:r>
      <w:bookmarkEnd w:id="530"/>
    </w:p>
    <w:p>
      <w:pPr>
        <w:spacing w:line="400" w:lineRule="exact"/>
        <w:ind w:firstLine="480" w:firstLineChars="200"/>
        <w:rPr>
          <w:rFonts w:ascii="Times New Roman" w:hAnsi="Times New Roman"/>
          <w:color w:val="auto"/>
          <w:sz w:val="24"/>
          <w:szCs w:val="24"/>
        </w:rPr>
      </w:pPr>
      <w:r>
        <w:rPr>
          <w:rFonts w:ascii="Times New Roman" w:hAnsi="Times New Roman"/>
          <w:color w:val="auto"/>
          <w:sz w:val="24"/>
          <w:szCs w:val="24"/>
        </w:rPr>
        <w:t>3.2.1 评标委员会按本章第2.2款规定的量化因素和分值进行打分，并计算出综合评估得分。</w:t>
      </w:r>
    </w:p>
    <w:p>
      <w:pPr>
        <w:spacing w:line="400" w:lineRule="exact"/>
        <w:ind w:firstLine="480" w:firstLineChars="200"/>
        <w:rPr>
          <w:rFonts w:ascii="Times New Roman" w:hAnsi="Times New Roman"/>
          <w:color w:val="auto"/>
          <w:sz w:val="24"/>
          <w:szCs w:val="24"/>
        </w:rPr>
      </w:pPr>
      <w:r>
        <w:rPr>
          <w:rFonts w:ascii="Times New Roman" w:hAnsi="Times New Roman"/>
          <w:color w:val="auto"/>
          <w:sz w:val="24"/>
          <w:szCs w:val="24"/>
        </w:rPr>
        <w:t>（1）按本章第2.2.4（1）目规定的评审因素和分值对资信业绩部分计算出得分A；</w:t>
      </w:r>
    </w:p>
    <w:p>
      <w:pPr>
        <w:spacing w:line="400" w:lineRule="exact"/>
        <w:ind w:firstLine="480" w:firstLineChars="200"/>
        <w:rPr>
          <w:rFonts w:ascii="Times New Roman" w:hAnsi="Times New Roman"/>
          <w:color w:val="auto"/>
          <w:sz w:val="24"/>
          <w:szCs w:val="24"/>
        </w:rPr>
      </w:pPr>
      <w:r>
        <w:rPr>
          <w:rFonts w:ascii="Times New Roman" w:hAnsi="Times New Roman"/>
          <w:color w:val="auto"/>
          <w:sz w:val="24"/>
          <w:szCs w:val="24"/>
        </w:rPr>
        <w:t>（2）按本章第2.2.4（2）目规定的评审因素和分值对监理大纲部分计算出得分B；</w:t>
      </w:r>
    </w:p>
    <w:p>
      <w:pPr>
        <w:spacing w:line="400" w:lineRule="exact"/>
        <w:ind w:firstLine="480" w:firstLineChars="200"/>
        <w:rPr>
          <w:rFonts w:ascii="Times New Roman" w:hAnsi="Times New Roman"/>
          <w:color w:val="auto"/>
          <w:sz w:val="24"/>
          <w:szCs w:val="24"/>
        </w:rPr>
      </w:pPr>
      <w:r>
        <w:rPr>
          <w:rFonts w:ascii="Times New Roman" w:hAnsi="Times New Roman"/>
          <w:color w:val="auto"/>
          <w:sz w:val="24"/>
          <w:szCs w:val="24"/>
        </w:rPr>
        <w:t>（3）按本章第2.2.4（3）目规定的评审因素和</w:t>
      </w:r>
      <w:bookmarkStart w:id="531" w:name="_Toc369531583"/>
      <w:bookmarkStart w:id="532" w:name="_Toc247514028"/>
      <w:bookmarkStart w:id="533" w:name="_Toc144974571"/>
      <w:bookmarkStart w:id="534" w:name="_Toc247527629"/>
      <w:bookmarkStart w:id="535" w:name="_Toc152045604"/>
      <w:bookmarkStart w:id="536" w:name="_Toc361508652"/>
      <w:bookmarkStart w:id="537" w:name="_Toc300835014"/>
      <w:bookmarkStart w:id="538" w:name="_Toc24330"/>
      <w:bookmarkStart w:id="539" w:name="_Toc384308278"/>
      <w:bookmarkStart w:id="540" w:name="_Toc152042381"/>
      <w:bookmarkStart w:id="541" w:name="_Toc352691539"/>
      <w:r>
        <w:rPr>
          <w:rFonts w:ascii="Times New Roman" w:hAnsi="Times New Roman"/>
          <w:color w:val="auto"/>
          <w:sz w:val="24"/>
          <w:szCs w:val="24"/>
        </w:rPr>
        <w:t>分值对投标报价</w:t>
      </w:r>
      <w:bookmarkEnd w:id="531"/>
      <w:bookmarkEnd w:id="532"/>
      <w:bookmarkEnd w:id="533"/>
      <w:bookmarkEnd w:id="534"/>
      <w:bookmarkEnd w:id="535"/>
      <w:bookmarkEnd w:id="536"/>
      <w:bookmarkEnd w:id="537"/>
      <w:bookmarkEnd w:id="538"/>
      <w:bookmarkEnd w:id="539"/>
      <w:bookmarkEnd w:id="540"/>
      <w:bookmarkEnd w:id="541"/>
      <w:r>
        <w:rPr>
          <w:rFonts w:ascii="Times New Roman" w:hAnsi="Times New Roman"/>
          <w:color w:val="auto"/>
          <w:sz w:val="24"/>
          <w:szCs w:val="24"/>
        </w:rPr>
        <w:t>计</w:t>
      </w:r>
      <w:bookmarkStart w:id="542" w:name="_Toc152042382"/>
      <w:bookmarkStart w:id="543" w:name="_Toc18141"/>
      <w:bookmarkStart w:id="544" w:name="_Toc152045605"/>
      <w:bookmarkStart w:id="545" w:name="_Toc247527630"/>
      <w:bookmarkStart w:id="546" w:name="_Toc144974572"/>
      <w:bookmarkStart w:id="547" w:name="_Toc300835015"/>
      <w:bookmarkStart w:id="548" w:name="_Toc384308279"/>
      <w:bookmarkStart w:id="549" w:name="_Toc361508653"/>
      <w:bookmarkStart w:id="550" w:name="_Toc247514029"/>
      <w:bookmarkStart w:id="551" w:name="_Toc369531584"/>
      <w:bookmarkStart w:id="552" w:name="_Toc352691540"/>
      <w:r>
        <w:rPr>
          <w:rFonts w:ascii="Times New Roman" w:hAnsi="Times New Roman"/>
          <w:color w:val="auto"/>
          <w:sz w:val="24"/>
          <w:szCs w:val="24"/>
        </w:rPr>
        <w:t>算出得分C；</w:t>
      </w:r>
    </w:p>
    <w:p>
      <w:pPr>
        <w:spacing w:line="400" w:lineRule="exact"/>
        <w:ind w:firstLine="480" w:firstLineChars="200"/>
        <w:rPr>
          <w:color w:val="auto"/>
        </w:rPr>
      </w:pPr>
      <w:r>
        <w:rPr>
          <w:rFonts w:hint="eastAsia" w:ascii="Times New Roman" w:hAnsi="Times New Roman"/>
          <w:color w:val="auto"/>
          <w:sz w:val="24"/>
          <w:szCs w:val="24"/>
        </w:rPr>
        <w:t>（</w:t>
      </w:r>
      <w:r>
        <w:rPr>
          <w:rFonts w:hint="eastAsia"/>
          <w:color w:val="auto"/>
          <w:sz w:val="24"/>
          <w:szCs w:val="24"/>
        </w:rPr>
        <w:t>4）</w:t>
      </w:r>
      <w:r>
        <w:rPr>
          <w:rFonts w:ascii="Times New Roman" w:hAnsi="Times New Roman"/>
          <w:color w:val="auto"/>
          <w:sz w:val="24"/>
          <w:szCs w:val="24"/>
        </w:rPr>
        <w:t>按本章第2.2.4（</w:t>
      </w:r>
      <w:r>
        <w:rPr>
          <w:rFonts w:hint="eastAsia" w:ascii="Times New Roman" w:hAnsi="Times New Roman"/>
          <w:color w:val="auto"/>
          <w:sz w:val="24"/>
          <w:szCs w:val="24"/>
        </w:rPr>
        <w:t>4</w:t>
      </w:r>
      <w:r>
        <w:rPr>
          <w:rFonts w:ascii="Times New Roman" w:hAnsi="Times New Roman"/>
          <w:color w:val="auto"/>
          <w:sz w:val="24"/>
          <w:szCs w:val="24"/>
        </w:rPr>
        <w:t>）目规定的评审因素和分值对其他因素计算出得分</w:t>
      </w:r>
      <w:r>
        <w:rPr>
          <w:rFonts w:hint="eastAsia" w:ascii="Times New Roman" w:hAnsi="Times New Roman"/>
          <w:color w:val="auto"/>
          <w:sz w:val="24"/>
          <w:szCs w:val="24"/>
        </w:rPr>
        <w:t>D。</w:t>
      </w:r>
    </w:p>
    <w:bookmarkEnd w:id="542"/>
    <w:bookmarkEnd w:id="543"/>
    <w:bookmarkEnd w:id="544"/>
    <w:bookmarkEnd w:id="545"/>
    <w:bookmarkEnd w:id="546"/>
    <w:bookmarkEnd w:id="547"/>
    <w:bookmarkEnd w:id="548"/>
    <w:bookmarkEnd w:id="549"/>
    <w:bookmarkEnd w:id="550"/>
    <w:bookmarkEnd w:id="551"/>
    <w:bookmarkEnd w:id="552"/>
    <w:p>
      <w:pPr>
        <w:spacing w:line="400" w:lineRule="exact"/>
        <w:ind w:firstLine="480" w:firstLineChars="200"/>
        <w:rPr>
          <w:rFonts w:ascii="Times New Roman" w:hAnsi="Times New Roman"/>
          <w:color w:val="auto"/>
          <w:sz w:val="24"/>
          <w:szCs w:val="24"/>
        </w:rPr>
      </w:pPr>
      <w:r>
        <w:rPr>
          <w:rFonts w:ascii="Times New Roman" w:hAnsi="Times New Roman"/>
          <w:color w:val="auto"/>
          <w:sz w:val="24"/>
          <w:szCs w:val="24"/>
        </w:rPr>
        <w:t>3.2.2 评分分值计算保留小数点后两位，小数点后第三位</w:t>
      </w:r>
      <w:r>
        <w:rPr>
          <w:rFonts w:hint="eastAsia" w:ascii="Times New Roman" w:hAnsi="Times New Roman"/>
          <w:color w:val="auto"/>
          <w:sz w:val="24"/>
          <w:szCs w:val="24"/>
          <w:lang w:eastAsia="zh-CN"/>
        </w:rPr>
        <w:t>“</w:t>
      </w:r>
      <w:r>
        <w:rPr>
          <w:rFonts w:ascii="Times New Roman" w:hAnsi="Times New Roman"/>
          <w:color w:val="auto"/>
          <w:sz w:val="24"/>
          <w:szCs w:val="24"/>
        </w:rPr>
        <w:t>四舍五入</w:t>
      </w:r>
      <w:r>
        <w:rPr>
          <w:rFonts w:hint="eastAsia" w:ascii="Times New Roman" w:hAnsi="Times New Roman"/>
          <w:color w:val="auto"/>
          <w:sz w:val="24"/>
          <w:szCs w:val="24"/>
          <w:lang w:eastAsia="zh-CN"/>
        </w:rPr>
        <w:t>”</w:t>
      </w:r>
      <w:r>
        <w:rPr>
          <w:rFonts w:ascii="Times New Roman" w:hAnsi="Times New Roman"/>
          <w:color w:val="auto"/>
          <w:sz w:val="24"/>
          <w:szCs w:val="24"/>
        </w:rPr>
        <w:t>。</w:t>
      </w:r>
    </w:p>
    <w:p>
      <w:pPr>
        <w:spacing w:line="400" w:lineRule="exact"/>
        <w:ind w:firstLine="480" w:firstLineChars="200"/>
        <w:rPr>
          <w:rFonts w:ascii="Times New Roman" w:hAnsi="Times New Roman"/>
          <w:color w:val="auto"/>
          <w:sz w:val="24"/>
          <w:szCs w:val="24"/>
          <w:u w:val="single"/>
        </w:rPr>
      </w:pPr>
      <w:r>
        <w:rPr>
          <w:rFonts w:ascii="Times New Roman" w:hAnsi="Times New Roman"/>
          <w:color w:val="auto"/>
          <w:sz w:val="24"/>
          <w:szCs w:val="24"/>
        </w:rPr>
        <w:t>3.2.3</w:t>
      </w:r>
      <w:r>
        <w:rPr>
          <w:rFonts w:hint="eastAsia" w:ascii="Times New Roman" w:hAnsi="Times New Roman"/>
          <w:color w:val="auto"/>
          <w:sz w:val="24"/>
          <w:szCs w:val="24"/>
          <w:u w:val="single"/>
        </w:rPr>
        <w:t>投标人总得分＝投标人综合得分（A+B+C）*95%+企业诚信得分D*5%。</w:t>
      </w:r>
    </w:p>
    <w:p>
      <w:pPr>
        <w:spacing w:line="400" w:lineRule="exact"/>
        <w:ind w:firstLine="480" w:firstLineChars="200"/>
        <w:rPr>
          <w:rFonts w:ascii="Times New Roman" w:hAnsi="Times New Roman"/>
          <w:color w:val="auto"/>
          <w:sz w:val="24"/>
          <w:szCs w:val="24"/>
        </w:rPr>
      </w:pPr>
      <w:r>
        <w:rPr>
          <w:rFonts w:hint="eastAsia" w:ascii="Times New Roman" w:hAnsi="Times New Roman"/>
          <w:color w:val="auto"/>
          <w:sz w:val="24"/>
          <w:szCs w:val="24"/>
          <w:u w:val="single"/>
        </w:rPr>
        <w:t>投标人综合得分为各评委A+B+C为各评委的评分去掉一个最高分和一个最低分后计取的算术平均分（分数出现小数点时，保留小数点后二位，第三位小数四舍五入）。</w:t>
      </w:r>
    </w:p>
    <w:p>
      <w:pPr>
        <w:spacing w:line="400" w:lineRule="exact"/>
        <w:ind w:firstLine="480" w:firstLineChars="200"/>
        <w:rPr>
          <w:rFonts w:ascii="Times New Roman" w:hAnsi="Times New Roman"/>
          <w:color w:val="auto"/>
          <w:sz w:val="24"/>
          <w:szCs w:val="24"/>
        </w:rPr>
      </w:pPr>
      <w:r>
        <w:rPr>
          <w:rFonts w:ascii="Times New Roman" w:hAnsi="Times New Roman"/>
          <w:color w:val="auto"/>
          <w:sz w:val="24"/>
          <w:szCs w:val="24"/>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pStyle w:val="6"/>
        <w:keepNext w:val="0"/>
        <w:keepLines w:val="0"/>
        <w:spacing w:before="0" w:after="0" w:line="240" w:lineRule="auto"/>
        <w:ind w:firstLine="560" w:firstLineChars="200"/>
        <w:rPr>
          <w:rFonts w:ascii="Times New Roman" w:hAnsi="Times New Roman"/>
          <w:color w:val="auto"/>
        </w:rPr>
      </w:pPr>
      <w:bookmarkStart w:id="553" w:name="_Toc89870618"/>
      <w:r>
        <w:rPr>
          <w:rFonts w:ascii="Times New Roman" w:hAnsi="Times New Roman"/>
          <w:color w:val="auto"/>
        </w:rPr>
        <w:t>3.3 投标文件的澄清</w:t>
      </w:r>
      <w:bookmarkEnd w:id="553"/>
    </w:p>
    <w:p>
      <w:pPr>
        <w:spacing w:line="400" w:lineRule="exact"/>
        <w:ind w:firstLine="480" w:firstLineChars="200"/>
        <w:rPr>
          <w:rFonts w:ascii="Times New Roman" w:hAnsi="Times New Roman"/>
          <w:color w:val="auto"/>
          <w:sz w:val="24"/>
          <w:szCs w:val="24"/>
        </w:rPr>
      </w:pPr>
      <w:r>
        <w:rPr>
          <w:rFonts w:ascii="Times New Roman" w:hAnsi="Times New Roman"/>
          <w:color w:val="auto"/>
          <w:sz w:val="24"/>
          <w:szCs w:val="24"/>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400" w:lineRule="exact"/>
        <w:ind w:firstLine="480" w:firstLineChars="200"/>
        <w:rPr>
          <w:rFonts w:ascii="Times New Roman" w:hAnsi="Times New Roman"/>
          <w:color w:val="auto"/>
          <w:sz w:val="24"/>
          <w:szCs w:val="24"/>
        </w:rPr>
      </w:pPr>
      <w:r>
        <w:rPr>
          <w:rFonts w:ascii="Times New Roman" w:hAnsi="Times New Roman"/>
          <w:color w:val="auto"/>
          <w:sz w:val="24"/>
          <w:szCs w:val="24"/>
        </w:rPr>
        <w:t>3.3.2 澄清、说明或补正不得超出投标文件的范围且不得改变投标文件的实质性内容，并构成投标文件的组成部分。</w:t>
      </w:r>
    </w:p>
    <w:p>
      <w:pPr>
        <w:spacing w:line="400" w:lineRule="exact"/>
        <w:ind w:firstLine="480" w:firstLineChars="200"/>
        <w:rPr>
          <w:rFonts w:ascii="Times New Roman" w:hAnsi="Times New Roman"/>
          <w:color w:val="auto"/>
          <w:sz w:val="24"/>
          <w:szCs w:val="24"/>
        </w:rPr>
      </w:pPr>
      <w:r>
        <w:rPr>
          <w:rFonts w:ascii="Times New Roman" w:hAnsi="Times New Roman"/>
          <w:color w:val="auto"/>
          <w:sz w:val="24"/>
          <w:szCs w:val="24"/>
        </w:rPr>
        <w:t>3.3.3 评标委员会对投标人提交的澄清、说明或补正有疑问的，可以要求投标人进一步澄清、说明或补正，直至满足评标委员会的要求。</w:t>
      </w:r>
    </w:p>
    <w:p>
      <w:pPr>
        <w:pStyle w:val="6"/>
        <w:keepNext w:val="0"/>
        <w:keepLines w:val="0"/>
        <w:spacing w:before="0" w:after="0" w:line="240" w:lineRule="auto"/>
        <w:ind w:firstLine="560" w:firstLineChars="200"/>
        <w:rPr>
          <w:rFonts w:ascii="Times New Roman" w:hAnsi="Times New Roman"/>
          <w:color w:val="auto"/>
        </w:rPr>
      </w:pPr>
      <w:bookmarkStart w:id="554" w:name="_Toc89870619"/>
      <w:r>
        <w:rPr>
          <w:rFonts w:ascii="Times New Roman" w:hAnsi="Times New Roman"/>
          <w:color w:val="auto"/>
        </w:rPr>
        <w:t>3.4 评标结果</w:t>
      </w:r>
      <w:bookmarkEnd w:id="554"/>
    </w:p>
    <w:p>
      <w:pPr>
        <w:spacing w:line="400" w:lineRule="exact"/>
        <w:ind w:firstLine="480" w:firstLineChars="200"/>
        <w:rPr>
          <w:rFonts w:ascii="Times New Roman" w:hAnsi="Times New Roman"/>
          <w:color w:val="auto"/>
          <w:sz w:val="24"/>
          <w:szCs w:val="24"/>
        </w:rPr>
      </w:pPr>
      <w:r>
        <w:rPr>
          <w:rFonts w:ascii="Times New Roman" w:hAnsi="Times New Roman"/>
          <w:color w:val="auto"/>
          <w:sz w:val="24"/>
          <w:szCs w:val="24"/>
        </w:rPr>
        <w:t>3.4.1 除第二章</w:t>
      </w:r>
      <w:r>
        <w:rPr>
          <w:rFonts w:hint="eastAsia" w:ascii="Times New Roman" w:hAnsi="Times New Roman"/>
          <w:color w:val="auto"/>
          <w:sz w:val="24"/>
          <w:szCs w:val="24"/>
          <w:lang w:eastAsia="zh-CN"/>
        </w:rPr>
        <w:t>“</w:t>
      </w:r>
      <w:r>
        <w:rPr>
          <w:rFonts w:ascii="Times New Roman" w:hAnsi="Times New Roman"/>
          <w:color w:val="auto"/>
          <w:sz w:val="24"/>
          <w:szCs w:val="24"/>
        </w:rPr>
        <w:t>投标人须知</w:t>
      </w:r>
      <w:r>
        <w:rPr>
          <w:rFonts w:hint="eastAsia" w:ascii="Times New Roman" w:hAnsi="Times New Roman"/>
          <w:color w:val="auto"/>
          <w:sz w:val="24"/>
          <w:szCs w:val="24"/>
          <w:lang w:eastAsia="zh-CN"/>
        </w:rPr>
        <w:t>”</w:t>
      </w:r>
      <w:r>
        <w:rPr>
          <w:rFonts w:ascii="Times New Roman" w:hAnsi="Times New Roman"/>
          <w:color w:val="auto"/>
          <w:sz w:val="24"/>
          <w:szCs w:val="24"/>
        </w:rPr>
        <w:t>前附表授权直接确定中标人外，评标委员会按照得分由高到低的顺序推荐中标候选人，并标明排序。</w:t>
      </w:r>
    </w:p>
    <w:p>
      <w:pPr>
        <w:spacing w:line="400" w:lineRule="exact"/>
        <w:ind w:firstLine="480" w:firstLineChars="200"/>
        <w:rPr>
          <w:rFonts w:ascii="Times New Roman" w:hAnsi="Times New Roman"/>
          <w:color w:val="auto"/>
          <w:sz w:val="24"/>
          <w:szCs w:val="24"/>
        </w:rPr>
      </w:pPr>
      <w:r>
        <w:rPr>
          <w:rFonts w:ascii="Times New Roman" w:hAnsi="Times New Roman"/>
          <w:color w:val="auto"/>
          <w:sz w:val="24"/>
          <w:szCs w:val="24"/>
        </w:rPr>
        <w:t>3.4.2 评标委员会完成评标后，应当向招标人提交书面评标报告和中标候选人名单。</w:t>
      </w:r>
    </w:p>
    <w:p>
      <w:pPr>
        <w:ind w:firstLine="883" w:firstLineChars="200"/>
        <w:rPr>
          <w:rFonts w:ascii="Times New Roman" w:hAnsi="Times New Roman"/>
          <w:b/>
          <w:color w:val="auto"/>
          <w:kern w:val="44"/>
          <w:sz w:val="44"/>
          <w:szCs w:val="20"/>
        </w:rPr>
      </w:pPr>
    </w:p>
    <w:p>
      <w:pPr>
        <w:ind w:firstLine="420" w:firstLineChars="200"/>
        <w:rPr>
          <w:color w:val="auto"/>
        </w:rPr>
      </w:pPr>
    </w:p>
    <w:p>
      <w:pPr>
        <w:ind w:firstLine="420" w:firstLineChars="200"/>
        <w:rPr>
          <w:color w:val="auto"/>
        </w:rPr>
      </w:pPr>
    </w:p>
    <w:p>
      <w:pPr>
        <w:ind w:firstLine="420" w:firstLineChars="200"/>
        <w:rPr>
          <w:color w:val="auto"/>
        </w:rPr>
      </w:pPr>
    </w:p>
    <w:p>
      <w:pPr>
        <w:ind w:firstLine="420" w:firstLineChars="200"/>
        <w:rPr>
          <w:color w:val="auto"/>
        </w:rPr>
      </w:pPr>
    </w:p>
    <w:p>
      <w:pPr>
        <w:ind w:firstLine="420" w:firstLineChars="200"/>
        <w:rPr>
          <w:color w:val="auto"/>
        </w:rPr>
      </w:pPr>
    </w:p>
    <w:p>
      <w:pPr>
        <w:ind w:firstLine="420" w:firstLineChars="200"/>
        <w:rPr>
          <w:color w:val="auto"/>
        </w:rPr>
      </w:pPr>
    </w:p>
    <w:p>
      <w:pPr>
        <w:pStyle w:val="4"/>
        <w:keepNext w:val="0"/>
        <w:keepLines w:val="0"/>
        <w:spacing w:before="100" w:after="100" w:line="360" w:lineRule="auto"/>
        <w:jc w:val="center"/>
        <w:rPr>
          <w:color w:val="auto"/>
        </w:rPr>
      </w:pPr>
      <w:r>
        <w:rPr>
          <w:color w:val="auto"/>
        </w:rPr>
        <w:br w:type="page"/>
      </w:r>
      <w:bookmarkStart w:id="555" w:name="_Toc89870620"/>
      <w:r>
        <w:rPr>
          <w:color w:val="auto"/>
        </w:rPr>
        <w:t>第四章</w:t>
      </w:r>
      <w:r>
        <w:rPr>
          <w:rFonts w:hint="eastAsia"/>
          <w:color w:val="auto"/>
        </w:rPr>
        <w:t xml:space="preserve"> </w:t>
      </w:r>
      <w:r>
        <w:rPr>
          <w:color w:val="auto"/>
        </w:rPr>
        <w:t>合同条款及格式</w:t>
      </w:r>
      <w:bookmarkEnd w:id="555"/>
    </w:p>
    <w:p>
      <w:pPr>
        <w:pStyle w:val="31"/>
        <w:spacing w:line="360" w:lineRule="auto"/>
        <w:ind w:firstLine="480" w:firstLineChars="200"/>
        <w:jc w:val="both"/>
        <w:rPr>
          <w:rFonts w:ascii="宋体" w:hAnsi="宋体"/>
          <w:color w:val="auto"/>
        </w:rPr>
      </w:pPr>
    </w:p>
    <w:p>
      <w:pPr>
        <w:pStyle w:val="31"/>
        <w:spacing w:line="360" w:lineRule="auto"/>
        <w:ind w:firstLine="480" w:firstLineChars="200"/>
        <w:jc w:val="both"/>
        <w:rPr>
          <w:rFonts w:ascii="宋体" w:hAnsi="宋体"/>
          <w:color w:val="auto"/>
        </w:rPr>
      </w:pPr>
    </w:p>
    <w:p>
      <w:pPr>
        <w:pStyle w:val="31"/>
        <w:spacing w:line="360" w:lineRule="auto"/>
        <w:ind w:firstLine="480" w:firstLineChars="200"/>
        <w:jc w:val="both"/>
        <w:rPr>
          <w:rFonts w:ascii="宋体" w:hAnsi="宋体"/>
          <w:color w:val="auto"/>
        </w:rPr>
      </w:pPr>
    </w:p>
    <w:p>
      <w:pPr>
        <w:pStyle w:val="31"/>
        <w:spacing w:line="360" w:lineRule="auto"/>
        <w:ind w:firstLine="480" w:firstLineChars="200"/>
        <w:jc w:val="both"/>
        <w:rPr>
          <w:rFonts w:ascii="宋体" w:hAnsi="宋体"/>
          <w:color w:val="auto"/>
        </w:rPr>
      </w:pPr>
    </w:p>
    <w:p>
      <w:pPr>
        <w:pStyle w:val="31"/>
        <w:spacing w:line="360" w:lineRule="auto"/>
        <w:ind w:firstLine="480" w:firstLineChars="200"/>
        <w:jc w:val="both"/>
        <w:rPr>
          <w:rFonts w:ascii="宋体" w:hAnsi="宋体"/>
          <w:color w:val="auto"/>
        </w:rPr>
      </w:pPr>
    </w:p>
    <w:p>
      <w:pPr>
        <w:pStyle w:val="31"/>
        <w:spacing w:line="360" w:lineRule="auto"/>
        <w:ind w:firstLine="480" w:firstLineChars="200"/>
        <w:jc w:val="both"/>
        <w:rPr>
          <w:rFonts w:ascii="宋体" w:hAnsi="宋体"/>
          <w:color w:val="auto"/>
        </w:rPr>
      </w:pPr>
    </w:p>
    <w:p>
      <w:pPr>
        <w:pStyle w:val="31"/>
        <w:spacing w:line="360" w:lineRule="auto"/>
        <w:ind w:firstLine="480" w:firstLineChars="200"/>
        <w:jc w:val="both"/>
        <w:rPr>
          <w:rFonts w:ascii="宋体" w:hAnsi="宋体"/>
          <w:color w:val="auto"/>
        </w:rPr>
      </w:pPr>
    </w:p>
    <w:p>
      <w:pPr>
        <w:pStyle w:val="31"/>
        <w:spacing w:line="360" w:lineRule="auto"/>
        <w:ind w:firstLine="480" w:firstLineChars="200"/>
        <w:jc w:val="both"/>
        <w:rPr>
          <w:rFonts w:ascii="宋体" w:hAnsi="宋体"/>
          <w:color w:val="auto"/>
        </w:rPr>
      </w:pPr>
    </w:p>
    <w:p>
      <w:pPr>
        <w:pStyle w:val="31"/>
        <w:spacing w:line="360" w:lineRule="auto"/>
        <w:ind w:firstLine="480" w:firstLineChars="200"/>
        <w:jc w:val="both"/>
        <w:rPr>
          <w:rFonts w:ascii="宋体" w:hAnsi="宋体"/>
          <w:color w:val="auto"/>
        </w:rPr>
      </w:pPr>
    </w:p>
    <w:p>
      <w:pPr>
        <w:pStyle w:val="31"/>
        <w:spacing w:line="360" w:lineRule="auto"/>
        <w:ind w:firstLine="480" w:firstLineChars="200"/>
        <w:jc w:val="both"/>
        <w:rPr>
          <w:rFonts w:ascii="宋体" w:hAnsi="宋体"/>
          <w:color w:val="auto"/>
        </w:rPr>
      </w:pPr>
    </w:p>
    <w:p>
      <w:pPr>
        <w:pStyle w:val="31"/>
        <w:spacing w:line="360" w:lineRule="auto"/>
        <w:ind w:firstLine="480" w:firstLineChars="200"/>
        <w:jc w:val="both"/>
        <w:rPr>
          <w:rFonts w:ascii="宋体" w:hAnsi="宋体"/>
          <w:color w:val="auto"/>
        </w:rPr>
      </w:pPr>
    </w:p>
    <w:p>
      <w:pPr>
        <w:pStyle w:val="31"/>
        <w:spacing w:line="360" w:lineRule="auto"/>
        <w:ind w:firstLine="480" w:firstLineChars="200"/>
        <w:jc w:val="both"/>
        <w:rPr>
          <w:rFonts w:ascii="宋体" w:hAnsi="宋体"/>
          <w:color w:val="auto"/>
        </w:rPr>
      </w:pPr>
    </w:p>
    <w:p>
      <w:pPr>
        <w:pStyle w:val="31"/>
        <w:spacing w:line="360" w:lineRule="auto"/>
        <w:ind w:firstLine="480" w:firstLineChars="200"/>
        <w:jc w:val="both"/>
        <w:rPr>
          <w:rFonts w:ascii="宋体" w:hAnsi="宋体"/>
          <w:color w:val="auto"/>
        </w:rPr>
      </w:pPr>
    </w:p>
    <w:p>
      <w:pPr>
        <w:pStyle w:val="31"/>
        <w:spacing w:line="360" w:lineRule="auto"/>
        <w:ind w:firstLine="480" w:firstLineChars="200"/>
        <w:jc w:val="both"/>
        <w:rPr>
          <w:rFonts w:ascii="宋体" w:hAnsi="宋体"/>
          <w:color w:val="auto"/>
        </w:rPr>
      </w:pPr>
    </w:p>
    <w:p>
      <w:pPr>
        <w:pStyle w:val="31"/>
        <w:spacing w:line="360" w:lineRule="auto"/>
        <w:ind w:firstLine="480" w:firstLineChars="200"/>
        <w:jc w:val="both"/>
        <w:rPr>
          <w:rFonts w:ascii="宋体" w:hAnsi="宋体"/>
          <w:color w:val="auto"/>
        </w:rPr>
      </w:pPr>
    </w:p>
    <w:p>
      <w:pPr>
        <w:pStyle w:val="31"/>
        <w:spacing w:line="360" w:lineRule="auto"/>
        <w:ind w:firstLine="480" w:firstLineChars="200"/>
        <w:jc w:val="both"/>
        <w:rPr>
          <w:rFonts w:ascii="宋体" w:hAnsi="宋体"/>
          <w:color w:val="auto"/>
        </w:rPr>
      </w:pPr>
    </w:p>
    <w:p>
      <w:pPr>
        <w:pStyle w:val="31"/>
        <w:spacing w:line="360" w:lineRule="auto"/>
        <w:ind w:firstLine="480" w:firstLineChars="200"/>
        <w:jc w:val="both"/>
        <w:rPr>
          <w:rFonts w:ascii="宋体" w:hAnsi="宋体"/>
          <w:color w:val="auto"/>
        </w:rPr>
      </w:pPr>
    </w:p>
    <w:p>
      <w:pPr>
        <w:pStyle w:val="31"/>
        <w:spacing w:line="360" w:lineRule="auto"/>
        <w:ind w:firstLine="480" w:firstLineChars="200"/>
        <w:jc w:val="both"/>
        <w:rPr>
          <w:rFonts w:ascii="宋体" w:hAnsi="宋体"/>
          <w:color w:val="auto"/>
        </w:rPr>
      </w:pPr>
    </w:p>
    <w:p>
      <w:pPr>
        <w:pStyle w:val="31"/>
        <w:spacing w:line="360" w:lineRule="auto"/>
        <w:ind w:firstLine="480" w:firstLineChars="200"/>
        <w:jc w:val="both"/>
        <w:rPr>
          <w:rFonts w:ascii="宋体" w:hAnsi="宋体"/>
          <w:color w:val="auto"/>
        </w:rPr>
      </w:pPr>
    </w:p>
    <w:p>
      <w:pPr>
        <w:pStyle w:val="31"/>
        <w:spacing w:line="360" w:lineRule="auto"/>
        <w:ind w:firstLine="480" w:firstLineChars="200"/>
        <w:jc w:val="both"/>
        <w:rPr>
          <w:rFonts w:ascii="宋体" w:hAnsi="宋体"/>
          <w:color w:val="auto"/>
        </w:rPr>
      </w:pPr>
    </w:p>
    <w:p>
      <w:pPr>
        <w:pStyle w:val="31"/>
        <w:spacing w:line="360" w:lineRule="auto"/>
        <w:ind w:firstLine="480" w:firstLineChars="200"/>
        <w:jc w:val="both"/>
        <w:rPr>
          <w:rFonts w:ascii="宋体" w:hAnsi="宋体"/>
          <w:color w:val="auto"/>
        </w:rPr>
      </w:pPr>
    </w:p>
    <w:p>
      <w:pPr>
        <w:pStyle w:val="31"/>
        <w:spacing w:line="360" w:lineRule="auto"/>
        <w:ind w:firstLine="480" w:firstLineChars="200"/>
        <w:jc w:val="both"/>
        <w:rPr>
          <w:rFonts w:ascii="宋体" w:hAnsi="宋体"/>
          <w:color w:val="auto"/>
        </w:rPr>
      </w:pPr>
    </w:p>
    <w:p>
      <w:pPr>
        <w:pStyle w:val="31"/>
        <w:spacing w:line="360" w:lineRule="auto"/>
        <w:ind w:firstLine="480" w:firstLineChars="200"/>
        <w:jc w:val="both"/>
        <w:rPr>
          <w:rFonts w:ascii="宋体" w:hAnsi="宋体"/>
          <w:color w:val="auto"/>
        </w:rPr>
      </w:pPr>
    </w:p>
    <w:p>
      <w:pPr>
        <w:pStyle w:val="31"/>
        <w:spacing w:line="360" w:lineRule="auto"/>
        <w:ind w:firstLine="480" w:firstLineChars="200"/>
        <w:jc w:val="both"/>
        <w:rPr>
          <w:rFonts w:ascii="宋体" w:hAnsi="宋体"/>
          <w:color w:val="auto"/>
        </w:rPr>
      </w:pPr>
    </w:p>
    <w:p>
      <w:pPr>
        <w:pStyle w:val="31"/>
        <w:spacing w:line="360" w:lineRule="auto"/>
        <w:ind w:firstLine="480" w:firstLineChars="200"/>
        <w:jc w:val="both"/>
        <w:rPr>
          <w:rFonts w:ascii="宋体" w:hAnsi="宋体"/>
          <w:color w:val="auto"/>
        </w:rPr>
      </w:pPr>
    </w:p>
    <w:p>
      <w:pPr>
        <w:pStyle w:val="31"/>
        <w:spacing w:line="360" w:lineRule="auto"/>
        <w:ind w:firstLine="480" w:firstLineChars="200"/>
        <w:jc w:val="both"/>
        <w:rPr>
          <w:rFonts w:ascii="宋体" w:hAnsi="宋体"/>
          <w:color w:val="auto"/>
        </w:rPr>
      </w:pPr>
    </w:p>
    <w:p>
      <w:pPr>
        <w:pStyle w:val="31"/>
        <w:spacing w:line="360" w:lineRule="auto"/>
        <w:ind w:firstLine="480" w:firstLineChars="200"/>
        <w:jc w:val="both"/>
        <w:rPr>
          <w:rFonts w:ascii="宋体" w:hAnsi="宋体"/>
          <w:color w:val="auto"/>
        </w:rPr>
      </w:pPr>
    </w:p>
    <w:p>
      <w:pPr>
        <w:pStyle w:val="31"/>
        <w:spacing w:line="360" w:lineRule="auto"/>
        <w:ind w:firstLine="480" w:firstLineChars="200"/>
        <w:jc w:val="both"/>
        <w:rPr>
          <w:rFonts w:ascii="宋体" w:hAnsi="宋体"/>
          <w:color w:val="auto"/>
        </w:rPr>
      </w:pPr>
    </w:p>
    <w:p>
      <w:pPr>
        <w:pStyle w:val="31"/>
        <w:spacing w:line="360" w:lineRule="auto"/>
        <w:ind w:firstLine="480" w:firstLineChars="200"/>
        <w:jc w:val="both"/>
        <w:rPr>
          <w:rFonts w:ascii="宋体" w:hAnsi="宋体"/>
          <w:color w:val="auto"/>
        </w:rPr>
      </w:pPr>
    </w:p>
    <w:p>
      <w:pPr>
        <w:pStyle w:val="31"/>
        <w:spacing w:line="360" w:lineRule="auto"/>
        <w:ind w:firstLine="480" w:firstLineChars="200"/>
        <w:jc w:val="both"/>
        <w:rPr>
          <w:rFonts w:ascii="宋体" w:hAnsi="宋体"/>
          <w:color w:val="auto"/>
        </w:rPr>
      </w:pPr>
    </w:p>
    <w:p>
      <w:pPr>
        <w:pStyle w:val="6"/>
        <w:spacing w:before="0" w:after="0"/>
        <w:ind w:firstLine="1410" w:firstLineChars="200"/>
        <w:rPr>
          <w:color w:val="auto"/>
        </w:rPr>
      </w:pPr>
      <w:r>
        <w:rPr>
          <w:rFonts w:hint="eastAsia"/>
          <w:color w:val="auto"/>
          <w:w w:val="98"/>
          <w:sz w:val="72"/>
          <w:szCs w:val="72"/>
        </w:rPr>
        <w:t>建设工程监理合同</w:t>
      </w:r>
    </w:p>
    <w:p>
      <w:pPr>
        <w:ind w:firstLine="643" w:firstLineChars="200"/>
        <w:rPr>
          <w:b/>
          <w:color w:val="auto"/>
          <w:sz w:val="32"/>
        </w:rPr>
      </w:pPr>
    </w:p>
    <w:p>
      <w:pPr>
        <w:ind w:firstLine="643" w:firstLineChars="200"/>
        <w:rPr>
          <w:b/>
          <w:color w:val="auto"/>
          <w:sz w:val="32"/>
        </w:rPr>
      </w:pPr>
    </w:p>
    <w:p>
      <w:pPr>
        <w:pStyle w:val="14"/>
        <w:rPr>
          <w:b/>
          <w:color w:val="auto"/>
          <w:sz w:val="32"/>
        </w:rPr>
      </w:pPr>
    </w:p>
    <w:p>
      <w:pPr>
        <w:ind w:firstLine="643" w:firstLineChars="200"/>
        <w:rPr>
          <w:b/>
          <w:color w:val="auto"/>
          <w:sz w:val="32"/>
        </w:rPr>
      </w:pPr>
    </w:p>
    <w:p>
      <w:pPr>
        <w:ind w:firstLine="643" w:firstLineChars="200"/>
        <w:rPr>
          <w:b/>
          <w:color w:val="auto"/>
          <w:sz w:val="32"/>
        </w:rPr>
      </w:pPr>
    </w:p>
    <w:p>
      <w:pPr>
        <w:ind w:firstLine="643" w:firstLineChars="200"/>
        <w:rPr>
          <w:b/>
          <w:color w:val="auto"/>
          <w:sz w:val="32"/>
        </w:rPr>
      </w:pPr>
    </w:p>
    <w:p>
      <w:pPr>
        <w:ind w:firstLine="1285" w:firstLineChars="400"/>
        <w:rPr>
          <w:color w:val="auto"/>
          <w:sz w:val="28"/>
        </w:rPr>
      </w:pPr>
      <w:r>
        <w:rPr>
          <w:b/>
          <w:color w:val="auto"/>
          <w:sz w:val="32"/>
        </w:rPr>
        <w:t>合同编号：</w:t>
      </w:r>
      <w:r>
        <w:rPr>
          <w:color w:val="auto"/>
          <w:sz w:val="28"/>
        </w:rPr>
        <w:t xml:space="preserve"> </w:t>
      </w:r>
    </w:p>
    <w:p>
      <w:pPr>
        <w:pStyle w:val="12"/>
        <w:spacing w:after="0"/>
        <w:ind w:firstLine="420" w:firstLineChars="200"/>
        <w:rPr>
          <w:color w:val="auto"/>
        </w:rPr>
      </w:pPr>
    </w:p>
    <w:p>
      <w:pPr>
        <w:pStyle w:val="14"/>
        <w:rPr>
          <w:color w:val="auto"/>
          <w:sz w:val="28"/>
        </w:rPr>
      </w:pPr>
    </w:p>
    <w:p>
      <w:pPr>
        <w:rPr>
          <w:color w:val="auto"/>
        </w:rPr>
      </w:pPr>
    </w:p>
    <w:p>
      <w:pPr>
        <w:pStyle w:val="14"/>
        <w:rPr>
          <w:color w:val="auto"/>
          <w:sz w:val="28"/>
        </w:rPr>
      </w:pPr>
    </w:p>
    <w:p>
      <w:pPr>
        <w:pStyle w:val="14"/>
        <w:rPr>
          <w:color w:val="auto"/>
        </w:rPr>
      </w:pPr>
    </w:p>
    <w:p>
      <w:pPr>
        <w:rPr>
          <w:color w:val="auto"/>
        </w:rPr>
      </w:pPr>
    </w:p>
    <w:p>
      <w:pPr>
        <w:ind w:firstLine="560" w:firstLineChars="200"/>
        <w:rPr>
          <w:color w:val="auto"/>
          <w:sz w:val="28"/>
        </w:rPr>
      </w:pPr>
      <w:r>
        <w:rPr>
          <w:color w:val="auto"/>
          <w:sz w:val="28"/>
        </w:rPr>
        <w:t xml:space="preserve"> </w:t>
      </w:r>
    </w:p>
    <w:p>
      <w:pPr>
        <w:ind w:firstLine="560" w:firstLineChars="200"/>
        <w:rPr>
          <w:color w:val="auto"/>
          <w:sz w:val="28"/>
        </w:rPr>
      </w:pPr>
      <w:r>
        <w:rPr>
          <w:color w:val="auto"/>
          <w:sz w:val="28"/>
        </w:rPr>
        <w:t xml:space="preserve"> </w:t>
      </w:r>
    </w:p>
    <w:p>
      <w:pPr>
        <w:ind w:firstLine="560" w:firstLineChars="200"/>
        <w:rPr>
          <w:color w:val="auto"/>
          <w:sz w:val="28"/>
        </w:rPr>
      </w:pPr>
      <w:r>
        <w:rPr>
          <w:color w:val="auto"/>
          <w:sz w:val="28"/>
        </w:rPr>
        <w:t xml:space="preserve"> </w:t>
      </w:r>
    </w:p>
    <w:p>
      <w:pPr>
        <w:ind w:firstLine="1960" w:firstLineChars="700"/>
        <w:rPr>
          <w:color w:val="auto"/>
          <w:sz w:val="28"/>
        </w:rPr>
      </w:pPr>
      <w:r>
        <w:rPr>
          <w:color w:val="auto"/>
          <w:sz w:val="28"/>
        </w:rPr>
        <w:t>项目名称：</w:t>
      </w:r>
      <w:r>
        <w:rPr>
          <w:rFonts w:hint="eastAsia"/>
          <w:color w:val="auto"/>
          <w:sz w:val="28"/>
          <w:u w:val="single"/>
        </w:rPr>
        <w:t>增城区农村供水改造工程（第二批）</w:t>
      </w:r>
      <w:r>
        <w:rPr>
          <w:rFonts w:hint="eastAsia"/>
          <w:color w:val="auto"/>
          <w:sz w:val="28"/>
          <w:u w:val="single"/>
          <w:lang w:val="en-US" w:eastAsia="zh-CN"/>
        </w:rPr>
        <w:t>监理</w:t>
      </w:r>
      <w:r>
        <w:rPr>
          <w:color w:val="auto"/>
          <w:sz w:val="28"/>
        </w:rPr>
        <w:t xml:space="preserve">  </w:t>
      </w:r>
    </w:p>
    <w:p>
      <w:pPr>
        <w:ind w:firstLine="560" w:firstLineChars="200"/>
        <w:rPr>
          <w:color w:val="auto"/>
          <w:sz w:val="28"/>
        </w:rPr>
      </w:pPr>
      <w:r>
        <w:rPr>
          <w:color w:val="auto"/>
          <w:sz w:val="28"/>
        </w:rPr>
        <w:t xml:space="preserve">          委托人：</w:t>
      </w:r>
      <w:r>
        <w:rPr>
          <w:rFonts w:hint="eastAsia"/>
          <w:color w:val="auto"/>
          <w:sz w:val="28"/>
          <w:u w:val="single"/>
        </w:rPr>
        <w:t>广州增城区东进供水有限公司</w:t>
      </w:r>
      <w:r>
        <w:rPr>
          <w:color w:val="auto"/>
          <w:sz w:val="28"/>
        </w:rPr>
        <w:t xml:space="preserve"> </w:t>
      </w:r>
    </w:p>
    <w:p>
      <w:pPr>
        <w:ind w:firstLine="560" w:firstLineChars="200"/>
        <w:rPr>
          <w:color w:val="auto"/>
          <w:sz w:val="28"/>
        </w:rPr>
      </w:pPr>
      <w:r>
        <w:rPr>
          <w:color w:val="auto"/>
          <w:sz w:val="28"/>
        </w:rPr>
        <w:t xml:space="preserve">          监理人：</w:t>
      </w:r>
      <w:r>
        <w:rPr>
          <w:color w:val="auto"/>
          <w:sz w:val="28"/>
          <w:u w:val="single"/>
        </w:rPr>
        <w:t xml:space="preserve">        </w:t>
      </w:r>
      <w:r>
        <w:rPr>
          <w:rFonts w:hint="eastAsia"/>
          <w:color w:val="auto"/>
          <w:sz w:val="28"/>
          <w:u w:val="single"/>
        </w:rPr>
        <w:t xml:space="preserve">    </w:t>
      </w:r>
      <w:r>
        <w:rPr>
          <w:rFonts w:hint="eastAsia"/>
          <w:color w:val="auto"/>
          <w:sz w:val="28"/>
          <w:u w:val="single"/>
          <w:lang w:val="en-US" w:eastAsia="zh-CN"/>
        </w:rPr>
        <w:t xml:space="preserve">      </w:t>
      </w:r>
      <w:r>
        <w:rPr>
          <w:rFonts w:hint="eastAsia"/>
          <w:color w:val="auto"/>
          <w:sz w:val="28"/>
          <w:u w:val="single"/>
        </w:rPr>
        <w:t xml:space="preserve">   </w:t>
      </w:r>
      <w:r>
        <w:rPr>
          <w:color w:val="auto"/>
          <w:sz w:val="28"/>
          <w:u w:val="single"/>
        </w:rPr>
        <w:t xml:space="preserve">     </w:t>
      </w:r>
      <w:r>
        <w:rPr>
          <w:color w:val="auto"/>
          <w:sz w:val="28"/>
        </w:rPr>
        <w:t xml:space="preserve"> </w:t>
      </w:r>
    </w:p>
    <w:p>
      <w:pPr>
        <w:ind w:firstLine="560" w:firstLineChars="200"/>
        <w:rPr>
          <w:color w:val="auto"/>
          <w:sz w:val="28"/>
        </w:rPr>
      </w:pPr>
      <w:r>
        <w:rPr>
          <w:color w:val="auto"/>
          <w:sz w:val="28"/>
        </w:rPr>
        <w:t xml:space="preserve">          合同签订日期：</w:t>
      </w:r>
      <w:r>
        <w:rPr>
          <w:color w:val="auto"/>
          <w:sz w:val="28"/>
          <w:u w:val="single"/>
        </w:rPr>
        <w:t xml:space="preserve">        </w:t>
      </w:r>
      <w:r>
        <w:rPr>
          <w:color w:val="auto"/>
          <w:sz w:val="28"/>
        </w:rPr>
        <w:t xml:space="preserve"> </w:t>
      </w:r>
    </w:p>
    <w:p>
      <w:pPr>
        <w:ind w:firstLine="560" w:firstLineChars="200"/>
        <w:rPr>
          <w:color w:val="auto"/>
          <w:sz w:val="28"/>
        </w:rPr>
      </w:pPr>
      <w:r>
        <w:rPr>
          <w:color w:val="auto"/>
          <w:sz w:val="28"/>
        </w:rPr>
        <w:t xml:space="preserve">          签订地点：</w:t>
      </w:r>
      <w:r>
        <w:rPr>
          <w:color w:val="auto"/>
          <w:sz w:val="28"/>
          <w:u w:val="single"/>
        </w:rPr>
        <w:t>广州市增城区</w:t>
      </w:r>
      <w:r>
        <w:rPr>
          <w:color w:val="auto"/>
          <w:sz w:val="28"/>
        </w:rPr>
        <w:t xml:space="preserve"> </w:t>
      </w:r>
    </w:p>
    <w:p>
      <w:pPr>
        <w:ind w:firstLine="560" w:firstLineChars="200"/>
        <w:rPr>
          <w:color w:val="auto"/>
          <w:sz w:val="28"/>
        </w:rPr>
        <w:sectPr>
          <w:pgSz w:w="12240" w:h="15840"/>
          <w:pgMar w:top="1440" w:right="1803" w:bottom="1440" w:left="1803" w:header="0" w:footer="623" w:gutter="0"/>
          <w:cols w:space="720" w:num="1"/>
        </w:sectPr>
      </w:pPr>
    </w:p>
    <w:p>
      <w:pPr>
        <w:ind w:firstLine="629" w:firstLineChars="200"/>
        <w:rPr>
          <w:b/>
          <w:color w:val="auto"/>
          <w:sz w:val="33"/>
        </w:rPr>
      </w:pPr>
      <w:r>
        <w:rPr>
          <w:b/>
          <w:color w:val="auto"/>
          <w:w w:val="98"/>
          <w:sz w:val="32"/>
        </w:rPr>
        <w:t xml:space="preserve"> </w:t>
      </w:r>
    </w:p>
    <w:p>
      <w:pPr>
        <w:pStyle w:val="6"/>
        <w:spacing w:before="0" w:after="0"/>
        <w:ind w:firstLine="643" w:firstLineChars="200"/>
        <w:jc w:val="center"/>
        <w:rPr>
          <w:rFonts w:ascii="宋体" w:hAnsi="宋体" w:cs="宋体"/>
          <w:b/>
          <w:bCs/>
          <w:color w:val="auto"/>
          <w:sz w:val="32"/>
          <w:szCs w:val="28"/>
        </w:rPr>
      </w:pPr>
      <w:r>
        <w:rPr>
          <w:rFonts w:hint="eastAsia" w:ascii="宋体" w:hAnsi="宋体" w:eastAsia="宋体" w:cs="宋体"/>
          <w:b/>
          <w:bCs/>
          <w:color w:val="auto"/>
          <w:sz w:val="32"/>
          <w:szCs w:val="28"/>
        </w:rPr>
        <w:t>第一章</w:t>
      </w:r>
      <w:r>
        <w:rPr>
          <w:rFonts w:ascii="宋体" w:hAnsi="宋体" w:eastAsia="宋体" w:cs="宋体"/>
          <w:b/>
          <w:bCs/>
          <w:color w:val="auto"/>
          <w:sz w:val="32"/>
          <w:szCs w:val="28"/>
        </w:rPr>
        <w:t xml:space="preserve"> </w:t>
      </w:r>
      <w:r>
        <w:rPr>
          <w:rFonts w:hint="eastAsia" w:ascii="宋体" w:hAnsi="宋体" w:eastAsia="宋体" w:cs="宋体"/>
          <w:b/>
          <w:bCs/>
          <w:color w:val="auto"/>
          <w:sz w:val="32"/>
          <w:szCs w:val="28"/>
        </w:rPr>
        <w:t>协议书</w:t>
      </w:r>
    </w:p>
    <w:p>
      <w:pPr>
        <w:pStyle w:val="12"/>
        <w:spacing w:after="0"/>
        <w:ind w:firstLine="402" w:firstLineChars="200"/>
        <w:rPr>
          <w:b/>
          <w:color w:val="auto"/>
          <w:sz w:val="20"/>
        </w:rPr>
      </w:pPr>
    </w:p>
    <w:p>
      <w:pPr>
        <w:pStyle w:val="12"/>
        <w:spacing w:after="0"/>
        <w:ind w:firstLine="542" w:firstLineChars="200"/>
        <w:rPr>
          <w:b/>
          <w:color w:val="auto"/>
          <w:sz w:val="27"/>
        </w:rPr>
      </w:pPr>
    </w:p>
    <w:p>
      <w:pPr>
        <w:pStyle w:val="12"/>
        <w:spacing w:after="0" w:line="360" w:lineRule="auto"/>
        <w:ind w:firstLine="480" w:firstLineChars="200"/>
        <w:rPr>
          <w:rFonts w:ascii="宋体" w:hAnsi="宋体" w:cs="宋体"/>
          <w:b/>
          <w:color w:val="auto"/>
          <w:sz w:val="24"/>
          <w:szCs w:val="24"/>
        </w:rPr>
      </w:pPr>
      <w:r>
        <w:rPr>
          <w:rFonts w:hint="eastAsia" w:ascii="宋体" w:hAnsi="宋体" w:cs="宋体"/>
          <w:color w:val="auto"/>
          <w:sz w:val="24"/>
          <w:szCs w:val="24"/>
        </w:rPr>
        <w:t>广州增城区东进供水有限公司（以下称委托人）与</w:t>
      </w:r>
      <w:r>
        <w:rPr>
          <w:rFonts w:hint="eastAsia" w:ascii="宋体" w:hAnsi="宋体" w:cs="宋体"/>
          <w:color w:val="auto"/>
          <w:sz w:val="24"/>
          <w:szCs w:val="24"/>
          <w:u w:val="single"/>
        </w:rPr>
        <w:t xml:space="preserve">                 </w:t>
      </w:r>
      <w:r>
        <w:rPr>
          <w:rFonts w:hint="eastAsia" w:ascii="宋体" w:hAnsi="宋体" w:cs="宋体"/>
          <w:color w:val="auto"/>
          <w:sz w:val="24"/>
          <w:szCs w:val="24"/>
        </w:rPr>
        <w:t>（以下称监理人）依照《中华人民共和国民法典》、《中华人民共和国建筑法》及其他有关法律、行政法规、部门规章、地方性法规和规章，遵循平等、自愿、公平和诚实信用的原则，双方就</w:t>
      </w:r>
      <w:r>
        <w:rPr>
          <w:rFonts w:hint="eastAsia" w:ascii="宋体" w:hAnsi="宋体" w:cs="宋体"/>
          <w:color w:val="auto"/>
          <w:sz w:val="24"/>
          <w:szCs w:val="24"/>
          <w:u w:val="single"/>
        </w:rPr>
        <w:t>增城区农村供水改造工程（第二批）</w:t>
      </w:r>
      <w:r>
        <w:rPr>
          <w:rFonts w:hint="eastAsia" w:ascii="宋体" w:hAnsi="宋体" w:cs="宋体"/>
          <w:color w:val="auto"/>
          <w:sz w:val="24"/>
          <w:szCs w:val="24"/>
        </w:rPr>
        <w:t>委托监理事宜协商一致，订立本合同。</w:t>
      </w:r>
      <w:r>
        <w:rPr>
          <w:rFonts w:hint="eastAsia" w:ascii="宋体" w:hAnsi="宋体" w:cs="宋体"/>
          <w:b/>
          <w:color w:val="auto"/>
          <w:w w:val="99"/>
          <w:sz w:val="24"/>
          <w:szCs w:val="24"/>
        </w:rPr>
        <w:t xml:space="preserve"> </w:t>
      </w:r>
    </w:p>
    <w:p>
      <w:pPr>
        <w:pStyle w:val="12"/>
        <w:spacing w:after="0" w:line="360"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一、监理工程概况 </w:t>
      </w:r>
    </w:p>
    <w:p>
      <w:pPr>
        <w:pStyle w:val="32"/>
        <w:numPr>
          <w:ilvl w:val="255"/>
          <w:numId w:val="0"/>
        </w:numPr>
        <w:tabs>
          <w:tab w:val="left" w:pos="1190"/>
        </w:tabs>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（1）工程名称：</w:t>
      </w:r>
      <w:r>
        <w:rPr>
          <w:rFonts w:hint="eastAsia" w:ascii="宋体" w:hAnsi="宋体" w:cs="宋体"/>
          <w:color w:val="auto"/>
          <w:sz w:val="24"/>
          <w:szCs w:val="24"/>
          <w:u w:val="single"/>
        </w:rPr>
        <w:t>增城区农村供水改造工程（第二批）</w:t>
      </w:r>
      <w:r>
        <w:rPr>
          <w:rFonts w:hint="eastAsia" w:ascii="宋体" w:hAnsi="宋体" w:cs="宋体"/>
          <w:color w:val="auto"/>
          <w:sz w:val="24"/>
          <w:szCs w:val="24"/>
        </w:rPr>
        <w:t xml:space="preserve">。 </w:t>
      </w:r>
    </w:p>
    <w:p>
      <w:pPr>
        <w:pStyle w:val="32"/>
        <w:numPr>
          <w:ilvl w:val="255"/>
          <w:numId w:val="0"/>
        </w:numPr>
        <w:tabs>
          <w:tab w:val="left" w:pos="1190"/>
        </w:tabs>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（2）工程地点：</w:t>
      </w:r>
      <w:r>
        <w:rPr>
          <w:rFonts w:hint="eastAsia" w:ascii="宋体" w:hAnsi="宋体" w:cs="宋体"/>
          <w:color w:val="auto"/>
          <w:sz w:val="24"/>
          <w:szCs w:val="24"/>
          <w:u w:val="single"/>
        </w:rPr>
        <w:t>广州市增城区派潭镇、朱村镇、荔城街、仙村镇和中新镇</w:t>
      </w:r>
      <w:r>
        <w:rPr>
          <w:rFonts w:hint="eastAsia" w:ascii="宋体" w:hAnsi="宋体" w:cs="宋体"/>
          <w:color w:val="auto"/>
          <w:sz w:val="24"/>
          <w:szCs w:val="24"/>
        </w:rPr>
        <w:t xml:space="preserve">。 </w:t>
      </w:r>
    </w:p>
    <w:p>
      <w:pPr>
        <w:pStyle w:val="32"/>
        <w:widowControl/>
        <w:numPr>
          <w:ilvl w:val="255"/>
          <w:numId w:val="0"/>
        </w:numPr>
        <w:tabs>
          <w:tab w:val="left" w:pos="1190"/>
        </w:tabs>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（3）工程规模：</w:t>
      </w:r>
      <w:r>
        <w:rPr>
          <w:rFonts w:hint="eastAsia"/>
          <w:color w:val="auto"/>
          <w:sz w:val="24"/>
          <w:szCs w:val="24"/>
          <w:u w:val="single"/>
          <w:lang w:val="en-US" w:eastAsia="zh-CN"/>
        </w:rPr>
        <w:t>本项目供水管网改造范围包含增城区派潭镇、朱村街、荔城街、仙村镇和中新镇等 5 个镇街，对总计 39 个农村供水管网及 5 个片区的市政路供水主管老旧配套设施进行升级改造，建立一套完善与安全的供水体系，服务人口 54854 人，供水量约 1.6 万 m3/d，铺设DN20-DN600管道共计约700公里；新建阀门井 1870 座，排气井 400 座，排泥井 237 座；新建加压泵站 13 座，新建集中式 一体化供水站 7套等</w:t>
      </w:r>
      <w:r>
        <w:rPr>
          <w:rFonts w:hint="eastAsia"/>
          <w:color w:val="auto"/>
          <w:sz w:val="24"/>
          <w:szCs w:val="24"/>
          <w:u w:val="single"/>
        </w:rPr>
        <w:t>（</w:t>
      </w:r>
      <w:r>
        <w:rPr>
          <w:rFonts w:hint="eastAsia"/>
          <w:color w:val="auto"/>
          <w:sz w:val="24"/>
          <w:szCs w:val="24"/>
          <w:u w:val="single"/>
          <w:lang w:val="en-US" w:eastAsia="zh-CN"/>
        </w:rPr>
        <w:t>最终以施工图为准。</w:t>
      </w:r>
      <w:r>
        <w:rPr>
          <w:rFonts w:hint="eastAsia"/>
          <w:color w:val="auto"/>
          <w:sz w:val="24"/>
          <w:szCs w:val="24"/>
          <w:u w:val="single"/>
        </w:rPr>
        <w:t>）</w:t>
      </w:r>
    </w:p>
    <w:p>
      <w:pPr>
        <w:pStyle w:val="32"/>
        <w:numPr>
          <w:ilvl w:val="255"/>
          <w:numId w:val="0"/>
        </w:numPr>
        <w:tabs>
          <w:tab w:val="left" w:pos="1190"/>
        </w:tabs>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（4）工程建安费投资：</w:t>
      </w:r>
      <w:r>
        <w:rPr>
          <w:rFonts w:hint="eastAsia" w:ascii="宋体" w:hAnsi="宋体" w:cs="宋体"/>
          <w:color w:val="auto"/>
          <w:sz w:val="24"/>
          <w:szCs w:val="24"/>
          <w:u w:val="single"/>
        </w:rPr>
        <w:t>建安工程费约为¥41786.43万元</w:t>
      </w:r>
      <w:r>
        <w:rPr>
          <w:rFonts w:hint="eastAsia" w:ascii="宋体" w:hAnsi="宋体" w:cs="宋体"/>
          <w:color w:val="auto"/>
          <w:sz w:val="24"/>
          <w:szCs w:val="24"/>
        </w:rPr>
        <w:t xml:space="preserve">。 </w:t>
      </w:r>
    </w:p>
    <w:p>
      <w:pPr>
        <w:pStyle w:val="32"/>
        <w:numPr>
          <w:ilvl w:val="255"/>
          <w:numId w:val="0"/>
        </w:numPr>
        <w:tabs>
          <w:tab w:val="left" w:pos="1190"/>
        </w:tabs>
        <w:spacing w:line="360" w:lineRule="auto"/>
        <w:ind w:firstLine="472" w:firstLineChars="200"/>
        <w:rPr>
          <w:rFonts w:ascii="宋体" w:hAnsi="宋体" w:cs="宋体"/>
          <w:color w:val="auto"/>
          <w:sz w:val="24"/>
          <w:szCs w:val="24"/>
        </w:rPr>
      </w:pPr>
      <w:r>
        <w:rPr>
          <w:rFonts w:hint="eastAsia" w:ascii="宋体" w:hAnsi="宋体" w:cs="宋体"/>
          <w:color w:val="auto"/>
          <w:spacing w:val="-2"/>
          <w:sz w:val="24"/>
          <w:szCs w:val="24"/>
        </w:rPr>
        <w:t>（5）工程质量标准：</w:t>
      </w:r>
      <w:r>
        <w:rPr>
          <w:rFonts w:hint="eastAsia" w:ascii="宋体" w:hAnsi="宋体" w:cs="宋体"/>
          <w:color w:val="auto"/>
          <w:sz w:val="24"/>
          <w:szCs w:val="24"/>
        </w:rPr>
        <w:t xml:space="preserve">按国家相关规定执行的合格标准。 </w:t>
      </w:r>
    </w:p>
    <w:p>
      <w:pPr>
        <w:pStyle w:val="32"/>
        <w:numPr>
          <w:ilvl w:val="255"/>
          <w:numId w:val="0"/>
        </w:numPr>
        <w:tabs>
          <w:tab w:val="left" w:pos="1190"/>
        </w:tabs>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（6）施工要求：符合设计图纸要求和《中华人民共和国特种设备安全法》、《</w:t>
      </w:r>
      <w:r>
        <w:rPr>
          <w:rFonts w:hint="eastAsia" w:ascii="宋体" w:hAnsi="宋体" w:cs="宋体"/>
          <w:color w:val="auto"/>
          <w:spacing w:val="-3"/>
          <w:sz w:val="24"/>
          <w:szCs w:val="24"/>
        </w:rPr>
        <w:t>建筑工程施</w:t>
      </w:r>
      <w:r>
        <w:rPr>
          <w:rFonts w:hint="eastAsia" w:ascii="宋体" w:hAnsi="宋体" w:cs="宋体"/>
          <w:color w:val="auto"/>
          <w:spacing w:val="-1"/>
          <w:sz w:val="24"/>
          <w:szCs w:val="24"/>
        </w:rPr>
        <w:t>工质量验收</w:t>
      </w:r>
      <w:r>
        <w:rPr>
          <w:rFonts w:hint="eastAsia" w:ascii="宋体" w:hAnsi="宋体" w:cs="宋体"/>
          <w:color w:val="auto"/>
          <w:sz w:val="24"/>
          <w:szCs w:val="24"/>
        </w:rPr>
        <w:t>统一标准》（GB50300—2013）、《建筑设计防火规范》（GB50016－2014）、《给水排水管道工程施工及验收规范》（GB5026</w:t>
      </w:r>
      <w:r>
        <w:rPr>
          <w:rFonts w:hint="eastAsia" w:ascii="宋体" w:hAnsi="宋体" w:cs="宋体"/>
          <w:color w:val="auto"/>
          <w:spacing w:val="-1"/>
          <w:sz w:val="24"/>
          <w:szCs w:val="24"/>
        </w:rPr>
        <w:t>8－2008）</w:t>
      </w:r>
      <w:r>
        <w:rPr>
          <w:rFonts w:hint="eastAsia" w:ascii="宋体" w:hAnsi="宋体" w:cs="宋体"/>
          <w:color w:val="auto"/>
          <w:spacing w:val="-8"/>
          <w:sz w:val="24"/>
          <w:szCs w:val="24"/>
        </w:rPr>
        <w:t>等国家、省、市相关法律法规规定、要求及</w:t>
      </w:r>
      <w:r>
        <w:rPr>
          <w:rFonts w:hint="eastAsia" w:ascii="宋体" w:hAnsi="宋体" w:cs="宋体"/>
          <w:color w:val="auto"/>
          <w:sz w:val="24"/>
          <w:szCs w:val="24"/>
        </w:rPr>
        <w:t xml:space="preserve">行业颁发的工程质量合格标准。 </w:t>
      </w:r>
    </w:p>
    <w:p>
      <w:pPr>
        <w:pStyle w:val="32"/>
        <w:numPr>
          <w:ilvl w:val="255"/>
          <w:numId w:val="0"/>
        </w:numPr>
        <w:spacing w:line="520" w:lineRule="exact"/>
        <w:ind w:firstLine="480"/>
        <w:rPr>
          <w:rFonts w:ascii="宋体" w:hAnsi="宋体" w:cs="宋体"/>
          <w:color w:val="auto"/>
          <w:sz w:val="24"/>
          <w:szCs w:val="24"/>
          <w:u w:val="single"/>
        </w:rPr>
      </w:pPr>
      <w:r>
        <w:rPr>
          <w:rFonts w:hint="eastAsia" w:ascii="宋体" w:hAnsi="宋体" w:cs="宋体"/>
          <w:color w:val="auto"/>
          <w:sz w:val="24"/>
          <w:szCs w:val="24"/>
          <w:u w:val="single"/>
        </w:rPr>
        <w:t>（7）监理人要求：监理人必须按照投标文件的承诺组建现场监理机构，进驻现场开展监理工作，并配备相应的办公和生活设施；否则，将承担相应的违约责任。</w:t>
      </w:r>
    </w:p>
    <w:p>
      <w:pPr>
        <w:tabs>
          <w:tab w:val="left" w:pos="1190"/>
        </w:tabs>
        <w:spacing w:line="520" w:lineRule="exact"/>
        <w:ind w:firstLine="480" w:firstLineChars="200"/>
        <w:rPr>
          <w:rFonts w:ascii="宋体" w:hAnsi="宋体" w:cs="宋体"/>
          <w:color w:val="auto"/>
          <w:sz w:val="24"/>
          <w:szCs w:val="24"/>
          <w:u w:val="single"/>
        </w:rPr>
      </w:pPr>
      <w:r>
        <w:rPr>
          <w:rFonts w:hint="eastAsia" w:ascii="宋体" w:hAnsi="宋体" w:cs="宋体"/>
          <w:color w:val="auto"/>
          <w:sz w:val="24"/>
          <w:szCs w:val="24"/>
          <w:u w:val="single"/>
        </w:rPr>
        <w:t>监理人向委托人承诺：监理人在监理工作中如违反了相关法律、法规、规章、规程等监理制度的，或者本项目被区级以上行政管理部门书面通报三次或以上的，或者所承接的增城区不同水务项目一年内被区级以上行政管理部门书面通报三次或以上的，监理人无条件接受委托人上报建设行政管理部门并停止监理人两年内再参与广州市增城区各级财政投资的所有建设项目的招标活动，并上报省、市主管部门建议取消其参加广州地区省、市重大项目的投标资格，并由委托人予以公告。”如属恶意煽动并造成社会不良影响的，发包人将提请司法部门追究其法律责任。</w:t>
      </w:r>
    </w:p>
    <w:p>
      <w:pPr>
        <w:pStyle w:val="32"/>
        <w:tabs>
          <w:tab w:val="left" w:pos="950"/>
        </w:tabs>
        <w:spacing w:line="410" w:lineRule="exact"/>
        <w:ind w:firstLine="480"/>
        <w:rPr>
          <w:rFonts w:ascii="宋体" w:hAnsi="宋体" w:cs="宋体"/>
          <w:color w:val="auto"/>
          <w:sz w:val="24"/>
          <w:szCs w:val="24"/>
        </w:rPr>
      </w:pPr>
      <w:r>
        <w:rPr>
          <w:rFonts w:hint="eastAsia" w:ascii="宋体" w:hAnsi="宋体" w:cs="宋体"/>
          <w:color w:val="auto"/>
          <w:sz w:val="24"/>
          <w:szCs w:val="24"/>
        </w:rPr>
        <w:t xml:space="preserve">二、监理报酬 </w:t>
      </w:r>
    </w:p>
    <w:p>
      <w:pPr>
        <w:keepNext w:val="0"/>
        <w:keepLines w:val="0"/>
        <w:pageBreakBefore w:val="0"/>
        <w:widowControl/>
        <w:numPr>
          <w:ilvl w:val="-1"/>
          <w:numId w:val="0"/>
        </w:numPr>
        <w:tabs>
          <w:tab w:val="left" w:pos="1190"/>
        </w:tabs>
        <w:kinsoku/>
        <w:wordWrap/>
        <w:overflowPunct/>
        <w:topLinePunct w:val="0"/>
        <w:autoSpaceDE/>
        <w:autoSpaceDN/>
        <w:bidi w:val="0"/>
        <w:adjustRightInd/>
        <w:snapToGrid/>
        <w:spacing w:line="410" w:lineRule="exact"/>
        <w:ind w:right="0" w:rightChars="0" w:firstLine="480" w:firstLineChars="200"/>
        <w:jc w:val="left"/>
        <w:textAlignment w:val="auto"/>
        <w:rPr>
          <w:rFonts w:hint="eastAsia" w:ascii="宋体" w:hAnsi="宋体" w:eastAsia="宋体" w:cs="宋体"/>
          <w:color w:val="auto"/>
          <w:kern w:val="2"/>
          <w:sz w:val="24"/>
          <w:szCs w:val="24"/>
          <w:u w:val="single"/>
          <w:lang w:val="en-US" w:eastAsia="zh-CN" w:bidi="ar-SA"/>
        </w:rPr>
      </w:pPr>
      <w:r>
        <w:rPr>
          <w:rFonts w:hint="eastAsia" w:ascii="宋体" w:hAnsi="宋体" w:eastAsia="宋体" w:cs="宋体"/>
          <w:color w:val="auto"/>
          <w:sz w:val="24"/>
          <w:szCs w:val="24"/>
          <w:u w:val="none"/>
          <w:lang w:val="en-US"/>
        </w:rPr>
        <w:t>本合同工程监理报酬总额</w:t>
      </w:r>
      <w:r>
        <w:rPr>
          <w:rFonts w:hint="eastAsia" w:ascii="宋体" w:hAnsi="宋体" w:cs="宋体"/>
          <w:color w:val="auto"/>
          <w:sz w:val="24"/>
          <w:szCs w:val="24"/>
          <w:u w:val="none"/>
          <w:lang w:val="en-US" w:eastAsia="zh-CN"/>
        </w:rPr>
        <w:t>（含增值税）</w:t>
      </w:r>
      <w:r>
        <w:rPr>
          <w:rFonts w:hint="eastAsia" w:ascii="宋体" w:hAnsi="宋体" w:eastAsia="宋体" w:cs="宋体"/>
          <w:color w:val="auto"/>
          <w:sz w:val="24"/>
          <w:szCs w:val="24"/>
          <w:u w:val="none"/>
          <w:lang w:val="en-US"/>
        </w:rPr>
        <w:t>暂定为</w:t>
      </w:r>
      <w:r>
        <w:rPr>
          <w:rFonts w:hint="eastAsia" w:ascii="宋体" w:hAnsi="宋体" w:cs="宋体"/>
          <w:color w:val="auto"/>
          <w:sz w:val="24"/>
          <w:szCs w:val="24"/>
          <w:u w:val="none"/>
          <w:lang w:val="en-US" w:eastAsia="zh-CN"/>
        </w:rPr>
        <w:t>大写人民币</w:t>
      </w:r>
      <w:r>
        <w:rPr>
          <w:rFonts w:hint="eastAsia" w:ascii="宋体" w:hAnsi="宋体" w:eastAsia="宋体" w:cs="宋体"/>
          <w:color w:val="auto"/>
          <w:spacing w:val="0"/>
          <w:sz w:val="24"/>
          <w:szCs w:val="24"/>
          <w:u w:val="single"/>
          <w:lang w:val="en-US"/>
        </w:rPr>
        <w:t xml:space="preserve">  </w:t>
      </w:r>
      <w:r>
        <w:rPr>
          <w:rFonts w:hint="eastAsia" w:ascii="宋体" w:hAnsi="宋体" w:eastAsia="宋体" w:cs="宋体"/>
          <w:color w:val="auto"/>
          <w:kern w:val="2"/>
          <w:sz w:val="24"/>
          <w:szCs w:val="24"/>
          <w:u w:val="single"/>
          <w:lang w:val="zh-CN" w:eastAsia="zh-CN" w:bidi="ar-SA"/>
        </w:rPr>
        <w:t xml:space="preserve">  </w:t>
      </w:r>
      <w:r>
        <w:rPr>
          <w:rFonts w:hint="eastAsia" w:ascii="宋体" w:hAnsi="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u w:val="single"/>
          <w:lang w:val="en-US" w:eastAsia="zh-CN" w:bidi="ar-SA"/>
        </w:rPr>
        <w:t>元（小写：    元）</w:t>
      </w:r>
      <w:r>
        <w:rPr>
          <w:rFonts w:hint="eastAsia" w:ascii="宋体" w:hAnsi="宋体" w:eastAsia="宋体" w:cs="宋体"/>
          <w:color w:val="auto"/>
          <w:kern w:val="2"/>
          <w:sz w:val="24"/>
          <w:szCs w:val="24"/>
          <w:u w:val="none"/>
          <w:lang w:val="en-US" w:eastAsia="zh-CN" w:bidi="ar-SA"/>
        </w:rPr>
        <w:t>，其中不含税金额</w:t>
      </w:r>
      <w:r>
        <w:rPr>
          <w:rFonts w:hint="eastAsia" w:ascii="宋体" w:hAnsi="宋体" w:eastAsia="宋体" w:cs="宋体"/>
          <w:color w:val="auto"/>
          <w:kern w:val="2"/>
          <w:sz w:val="24"/>
          <w:szCs w:val="24"/>
          <w:u w:val="single"/>
          <w:lang w:val="en-US" w:eastAsia="zh-CN" w:bidi="ar-SA"/>
        </w:rPr>
        <w:t xml:space="preserve">        元</w:t>
      </w:r>
      <w:r>
        <w:rPr>
          <w:rFonts w:hint="eastAsia" w:ascii="宋体" w:hAnsi="宋体" w:eastAsia="宋体" w:cs="宋体"/>
          <w:color w:val="auto"/>
          <w:kern w:val="2"/>
          <w:sz w:val="24"/>
          <w:szCs w:val="24"/>
          <w:u w:val="none"/>
          <w:lang w:val="en-US" w:eastAsia="zh-CN" w:bidi="ar-SA"/>
        </w:rPr>
        <w:t>，税率</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u w:val="none"/>
          <w:lang w:val="en-US" w:eastAsia="zh-CN" w:bidi="ar-SA"/>
        </w:rPr>
        <w:t>，增值税金额</w:t>
      </w:r>
      <w:r>
        <w:rPr>
          <w:rFonts w:hint="eastAsia" w:ascii="宋体" w:hAnsi="宋体" w:eastAsia="宋体" w:cs="宋体"/>
          <w:color w:val="auto"/>
          <w:kern w:val="2"/>
          <w:sz w:val="24"/>
          <w:szCs w:val="24"/>
          <w:u w:val="single"/>
          <w:lang w:val="en-US" w:eastAsia="zh-CN" w:bidi="ar-SA"/>
        </w:rPr>
        <w:t xml:space="preserve">       元</w:t>
      </w:r>
      <w:r>
        <w:rPr>
          <w:rFonts w:hint="eastAsia" w:ascii="宋体" w:hAnsi="宋体" w:eastAsia="宋体" w:cs="宋体"/>
          <w:color w:val="auto"/>
          <w:kern w:val="2"/>
          <w:sz w:val="24"/>
          <w:szCs w:val="24"/>
          <w:u w:val="none"/>
          <w:lang w:val="en-US" w:eastAsia="zh-CN" w:bidi="ar-SA"/>
        </w:rPr>
        <w:t>。</w:t>
      </w:r>
    </w:p>
    <w:p>
      <w:pPr>
        <w:keepNext w:val="0"/>
        <w:keepLines w:val="0"/>
        <w:pageBreakBefore w:val="0"/>
        <w:widowControl/>
        <w:numPr>
          <w:ilvl w:val="-1"/>
          <w:numId w:val="0"/>
        </w:numPr>
        <w:tabs>
          <w:tab w:val="left" w:pos="1190"/>
        </w:tabs>
        <w:kinsoku/>
        <w:wordWrap/>
        <w:overflowPunct/>
        <w:topLinePunct w:val="0"/>
        <w:autoSpaceDE/>
        <w:autoSpaceDN/>
        <w:bidi w:val="0"/>
        <w:adjustRightInd/>
        <w:snapToGrid/>
        <w:spacing w:line="410" w:lineRule="exact"/>
        <w:ind w:leftChars="0" w:right="0" w:rightChars="0" w:firstLine="480" w:firstLineChars="200"/>
        <w:jc w:val="left"/>
        <w:textAlignment w:val="auto"/>
        <w:rPr>
          <w:rFonts w:hint="eastAsia" w:ascii="宋体" w:hAnsi="宋体" w:cs="宋体"/>
          <w:color w:val="auto"/>
          <w:sz w:val="24"/>
          <w:szCs w:val="24"/>
          <w:u w:val="none"/>
          <w:lang w:val="en-US" w:eastAsia="zh-CN"/>
        </w:rPr>
      </w:pPr>
      <w:r>
        <w:rPr>
          <w:rFonts w:hint="eastAsia" w:ascii="宋体" w:hAnsi="宋体" w:eastAsia="宋体" w:cs="宋体"/>
          <w:color w:val="auto"/>
          <w:sz w:val="24"/>
          <w:szCs w:val="24"/>
          <w:u w:val="none"/>
          <w:lang w:val="en-US"/>
        </w:rPr>
        <w:t>最终结算监理费</w:t>
      </w:r>
      <w:r>
        <w:rPr>
          <w:rFonts w:hint="eastAsia" w:ascii="宋体" w:hAnsi="宋体" w:cs="宋体"/>
          <w:color w:val="auto"/>
          <w:sz w:val="24"/>
          <w:szCs w:val="24"/>
          <w:u w:val="none"/>
          <w:lang w:val="en-US" w:eastAsia="zh-CN"/>
        </w:rPr>
        <w:t>按下列三个金额中最低者为准执行。</w:t>
      </w:r>
    </w:p>
    <w:p>
      <w:pPr>
        <w:keepNext w:val="0"/>
        <w:keepLines w:val="0"/>
        <w:pageBreakBefore w:val="0"/>
        <w:widowControl/>
        <w:numPr>
          <w:ilvl w:val="-1"/>
          <w:numId w:val="0"/>
        </w:numPr>
        <w:tabs>
          <w:tab w:val="left" w:pos="1190"/>
        </w:tabs>
        <w:kinsoku/>
        <w:wordWrap/>
        <w:overflowPunct/>
        <w:topLinePunct w:val="0"/>
        <w:autoSpaceDE/>
        <w:autoSpaceDN/>
        <w:bidi w:val="0"/>
        <w:adjustRightInd/>
        <w:snapToGrid/>
        <w:spacing w:line="410" w:lineRule="exact"/>
        <w:ind w:leftChars="0" w:right="0" w:rightChars="0" w:firstLine="480" w:firstLineChars="200"/>
        <w:jc w:val="left"/>
        <w:textAlignment w:val="auto"/>
        <w:rPr>
          <w:rFonts w:hint="eastAsia" w:ascii="宋体" w:hAnsi="宋体" w:eastAsia="宋体" w:cs="宋体"/>
          <w:color w:val="auto"/>
          <w:sz w:val="24"/>
          <w:szCs w:val="24"/>
          <w:u w:val="single"/>
          <w:lang w:val="en-US"/>
        </w:rPr>
      </w:pPr>
      <w:r>
        <w:rPr>
          <w:rFonts w:hint="eastAsia" w:ascii="宋体" w:hAnsi="宋体" w:cs="宋体"/>
          <w:color w:val="auto"/>
          <w:sz w:val="24"/>
          <w:szCs w:val="24"/>
          <w:u w:val="none"/>
          <w:lang w:val="en-US" w:eastAsia="zh-CN"/>
        </w:rPr>
        <w:t>（1）</w:t>
      </w:r>
      <w:r>
        <w:rPr>
          <w:rFonts w:hint="eastAsia" w:ascii="宋体" w:hAnsi="宋体" w:eastAsia="宋体" w:cs="宋体"/>
          <w:color w:val="auto"/>
          <w:sz w:val="24"/>
          <w:szCs w:val="24"/>
          <w:u w:val="none"/>
          <w:lang w:val="en-US"/>
        </w:rPr>
        <w:t>以经委托人或委托人委托的第三方审核单位或增城区财政投资评审中心（如有）审定的结算价中建筑安装工程费作为计费基数，计算公式为：参照发改价格[2007]670号文规定计算的监理收费基价结合各调整系数</w:t>
      </w:r>
      <w:r>
        <w:rPr>
          <w:rFonts w:hint="eastAsia" w:ascii="宋体" w:hAnsi="宋体" w:cs="宋体"/>
          <w:color w:val="auto"/>
          <w:sz w:val="24"/>
          <w:szCs w:val="24"/>
          <w:u w:val="none"/>
          <w:lang w:val="en-US" w:eastAsia="zh-CN"/>
        </w:rPr>
        <w:t>得到的</w:t>
      </w:r>
      <w:r>
        <w:rPr>
          <w:rFonts w:hint="eastAsia" w:ascii="宋体" w:hAnsi="宋体" w:eastAsia="宋体" w:cs="宋体"/>
          <w:color w:val="auto"/>
          <w:sz w:val="24"/>
          <w:szCs w:val="24"/>
          <w:u w:val="none"/>
          <w:lang w:val="en-US"/>
        </w:rPr>
        <w:t>价格×</w:t>
      </w:r>
      <w:r>
        <w:rPr>
          <w:rFonts w:hint="eastAsia" w:ascii="宋体" w:hAnsi="宋体" w:cs="宋体"/>
          <w:color w:val="auto"/>
          <w:sz w:val="24"/>
          <w:szCs w:val="24"/>
          <w:u w:val="none"/>
          <w:lang w:val="en-US" w:eastAsia="zh-CN"/>
        </w:rPr>
        <w:t>（1-发包下浮率</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none"/>
          <w:lang w:val="en-US" w:eastAsia="zh-CN"/>
        </w:rPr>
        <w:t>）</w:t>
      </w:r>
      <w:r>
        <w:rPr>
          <w:rFonts w:hint="eastAsia" w:ascii="宋体" w:hAnsi="宋体" w:eastAsia="宋体" w:cs="宋体"/>
          <w:color w:val="auto"/>
          <w:sz w:val="24"/>
          <w:szCs w:val="24"/>
          <w:u w:val="none"/>
          <w:lang w:val="en-US"/>
        </w:rPr>
        <w:t>×（1-中标下浮率</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rPr>
        <w:t xml:space="preserve">）。 </w:t>
      </w:r>
      <w:r>
        <w:rPr>
          <w:rFonts w:hint="eastAsia" w:ascii="宋体" w:hAnsi="宋体" w:eastAsia="宋体" w:cs="宋体"/>
          <w:color w:val="auto"/>
          <w:sz w:val="24"/>
          <w:szCs w:val="24"/>
          <w:u w:val="none"/>
          <w:lang w:val="zh-CN"/>
        </w:rPr>
        <w:t>其中，</w:t>
      </w:r>
      <w:r>
        <w:rPr>
          <w:rFonts w:hint="eastAsia" w:ascii="宋体" w:hAnsi="宋体" w:eastAsia="宋体" w:cs="宋体"/>
          <w:color w:val="auto"/>
          <w:sz w:val="24"/>
          <w:szCs w:val="24"/>
          <w:u w:val="none"/>
          <w:lang w:val="en-US"/>
        </w:rPr>
        <w:t>专业调整系数为</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u w:val="single"/>
          <w:lang w:val="en-US"/>
        </w:rPr>
        <w:t xml:space="preserve">   </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u w:val="none"/>
          <w:lang w:val="en-US"/>
        </w:rPr>
        <w:t>、工程复杂程度调整系数为</w:t>
      </w:r>
      <w:r>
        <w:rPr>
          <w:rFonts w:hint="eastAsia" w:ascii="宋体" w:hAnsi="宋体" w:eastAsia="宋体" w:cs="宋体"/>
          <w:color w:val="auto"/>
          <w:sz w:val="24"/>
          <w:szCs w:val="24"/>
          <w:u w:val="single"/>
          <w:lang w:val="en-US"/>
        </w:rPr>
        <w:t xml:space="preserve">     </w:t>
      </w:r>
      <w:r>
        <w:rPr>
          <w:rFonts w:hint="eastAsia" w:ascii="宋体" w:hAnsi="宋体" w:eastAsia="宋体" w:cs="宋体"/>
          <w:color w:val="auto"/>
          <w:sz w:val="24"/>
          <w:szCs w:val="24"/>
          <w:u w:val="none"/>
          <w:lang w:val="en-US"/>
        </w:rPr>
        <w:t>、高程调整系数为</w:t>
      </w:r>
      <w:r>
        <w:rPr>
          <w:rFonts w:hint="eastAsia" w:ascii="宋体" w:hAnsi="宋体" w:eastAsia="宋体" w:cs="宋体"/>
          <w:color w:val="auto"/>
          <w:sz w:val="24"/>
          <w:szCs w:val="24"/>
          <w:u w:val="single"/>
          <w:lang w:val="en-US"/>
        </w:rPr>
        <w:t xml:space="preserve">     </w:t>
      </w:r>
      <w:r>
        <w:rPr>
          <w:rFonts w:hint="eastAsia" w:ascii="宋体" w:hAnsi="宋体" w:eastAsia="宋体" w:cs="宋体"/>
          <w:color w:val="auto"/>
          <w:sz w:val="24"/>
          <w:szCs w:val="24"/>
          <w:u w:val="none"/>
          <w:lang w:val="en-US"/>
        </w:rPr>
        <w:t>。</w:t>
      </w:r>
    </w:p>
    <w:p>
      <w:pPr>
        <w:keepNext w:val="0"/>
        <w:keepLines w:val="0"/>
        <w:pageBreakBefore w:val="0"/>
        <w:widowControl/>
        <w:numPr>
          <w:ilvl w:val="-1"/>
          <w:numId w:val="0"/>
        </w:numPr>
        <w:tabs>
          <w:tab w:val="left" w:pos="1190"/>
        </w:tabs>
        <w:kinsoku/>
        <w:wordWrap/>
        <w:overflowPunct/>
        <w:topLinePunct w:val="0"/>
        <w:autoSpaceDE/>
        <w:autoSpaceDN/>
        <w:bidi w:val="0"/>
        <w:adjustRightInd/>
        <w:snapToGrid/>
        <w:spacing w:line="410" w:lineRule="exact"/>
        <w:ind w:firstLine="480" w:firstLineChars="200"/>
        <w:textAlignment w:val="auto"/>
        <w:rPr>
          <w:rFonts w:hint="eastAsia" w:ascii="宋体" w:hAnsi="宋体" w:cs="宋体"/>
          <w:color w:val="auto"/>
          <w:kern w:val="2"/>
          <w:sz w:val="24"/>
          <w:szCs w:val="24"/>
          <w:u w:val="single"/>
          <w:lang w:val="en-US" w:eastAsia="zh-CN" w:bidi="ar-SA"/>
        </w:rPr>
      </w:pPr>
      <w:r>
        <w:rPr>
          <w:rFonts w:hint="eastAsia" w:ascii="宋体" w:hAnsi="宋体" w:cs="宋体"/>
          <w:color w:val="auto"/>
          <w:sz w:val="24"/>
          <w:szCs w:val="24"/>
          <w:u w:val="none"/>
          <w:lang w:val="en-US" w:eastAsia="zh-CN"/>
        </w:rPr>
        <w:t>（2）</w:t>
      </w:r>
      <w:r>
        <w:rPr>
          <w:rFonts w:hint="eastAsia" w:ascii="宋体" w:hAnsi="宋体" w:eastAsia="宋体" w:cs="宋体"/>
          <w:color w:val="auto"/>
          <w:kern w:val="2"/>
          <w:sz w:val="24"/>
          <w:szCs w:val="24"/>
          <w:u w:val="none"/>
          <w:lang w:val="en-US" w:eastAsia="zh-CN" w:bidi="ar-SA"/>
        </w:rPr>
        <w:t>以委托人或委托人委托的第三方审核单位或增城区财政投资评审中心审定的</w:t>
      </w:r>
      <w:r>
        <w:rPr>
          <w:rFonts w:hint="eastAsia" w:ascii="宋体" w:hAnsi="宋体" w:cs="宋体"/>
          <w:color w:val="auto"/>
          <w:kern w:val="2"/>
          <w:sz w:val="24"/>
          <w:szCs w:val="24"/>
          <w:u w:val="none"/>
          <w:lang w:val="en-US" w:eastAsia="zh-CN" w:bidi="ar-SA"/>
        </w:rPr>
        <w:t>概算（达预算标准）评审报告中</w:t>
      </w:r>
      <w:r>
        <w:rPr>
          <w:rFonts w:hint="eastAsia" w:ascii="宋体" w:hAnsi="宋体" w:eastAsia="宋体" w:cs="宋体"/>
          <w:color w:val="auto"/>
          <w:kern w:val="2"/>
          <w:sz w:val="24"/>
          <w:szCs w:val="24"/>
          <w:u w:val="none"/>
          <w:lang w:val="en-US" w:eastAsia="zh-CN" w:bidi="ar-SA"/>
        </w:rPr>
        <w:t>监理费用，</w:t>
      </w:r>
      <w:r>
        <w:rPr>
          <w:rFonts w:hint="eastAsia" w:ascii="宋体" w:hAnsi="宋体" w:cs="宋体"/>
          <w:color w:val="auto"/>
          <w:kern w:val="2"/>
          <w:sz w:val="24"/>
          <w:szCs w:val="24"/>
          <w:u w:val="none"/>
          <w:lang w:val="en-US" w:eastAsia="zh-CN" w:bidi="ar-SA"/>
        </w:rPr>
        <w:t>结合结算下浮率（发包下浮率</w:t>
      </w:r>
      <w:r>
        <w:rPr>
          <w:rFonts w:hint="eastAsia" w:ascii="宋体" w:hAnsi="宋体" w:cs="宋体"/>
          <w:color w:val="auto"/>
          <w:kern w:val="2"/>
          <w:sz w:val="24"/>
          <w:szCs w:val="24"/>
          <w:u w:val="single"/>
          <w:lang w:val="en-US" w:eastAsia="zh-CN" w:bidi="ar-SA"/>
        </w:rPr>
        <w:t xml:space="preserve">   </w:t>
      </w:r>
      <w:r>
        <w:rPr>
          <w:rFonts w:hint="eastAsia" w:ascii="宋体" w:hAnsi="宋体" w:cs="宋体"/>
          <w:color w:val="auto"/>
          <w:kern w:val="2"/>
          <w:sz w:val="24"/>
          <w:szCs w:val="24"/>
          <w:u w:val="none"/>
          <w:lang w:val="en-US" w:eastAsia="zh-CN" w:bidi="ar-SA"/>
        </w:rPr>
        <w:t>%及中标下浮率</w:t>
      </w:r>
      <w:r>
        <w:rPr>
          <w:rFonts w:hint="eastAsia" w:ascii="宋体" w:hAnsi="宋体" w:cs="宋体"/>
          <w:color w:val="auto"/>
          <w:kern w:val="2"/>
          <w:sz w:val="24"/>
          <w:szCs w:val="24"/>
          <w:u w:val="single"/>
          <w:lang w:val="en-US" w:eastAsia="zh-CN" w:bidi="ar-SA"/>
        </w:rPr>
        <w:t xml:space="preserve">   %</w:t>
      </w:r>
      <w:r>
        <w:rPr>
          <w:rFonts w:hint="eastAsia" w:ascii="宋体" w:hAnsi="宋体" w:cs="宋体"/>
          <w:color w:val="auto"/>
          <w:kern w:val="2"/>
          <w:sz w:val="24"/>
          <w:szCs w:val="24"/>
          <w:u w:val="none"/>
          <w:lang w:val="en-US" w:eastAsia="zh-CN" w:bidi="ar-SA"/>
        </w:rPr>
        <w:t>）。</w:t>
      </w:r>
    </w:p>
    <w:p>
      <w:pPr>
        <w:keepNext w:val="0"/>
        <w:keepLines w:val="0"/>
        <w:pageBreakBefore w:val="0"/>
        <w:widowControl/>
        <w:numPr>
          <w:ilvl w:val="-1"/>
          <w:numId w:val="0"/>
        </w:numPr>
        <w:tabs>
          <w:tab w:val="left" w:pos="1190"/>
        </w:tabs>
        <w:kinsoku/>
        <w:wordWrap/>
        <w:overflowPunct/>
        <w:topLinePunct w:val="0"/>
        <w:autoSpaceDE/>
        <w:autoSpaceDN/>
        <w:bidi w:val="0"/>
        <w:adjustRightInd/>
        <w:snapToGrid/>
        <w:spacing w:line="410" w:lineRule="exact"/>
        <w:ind w:firstLine="480" w:firstLineChars="200"/>
        <w:textAlignment w:val="auto"/>
        <w:rPr>
          <w:rFonts w:hint="eastAsia" w:ascii="宋体" w:hAnsi="宋体" w:cs="宋体"/>
          <w:color w:val="auto"/>
          <w:sz w:val="24"/>
          <w:szCs w:val="24"/>
          <w:u w:val="none"/>
          <w:lang w:val="en-US" w:eastAsia="zh-CN"/>
        </w:rPr>
      </w:pPr>
      <w:r>
        <w:rPr>
          <w:rFonts w:hint="eastAsia" w:ascii="宋体" w:hAnsi="宋体" w:cs="宋体"/>
          <w:color w:val="auto"/>
          <w:sz w:val="24"/>
          <w:szCs w:val="24"/>
          <w:u w:val="none"/>
          <w:lang w:val="en-US" w:eastAsia="zh-CN"/>
        </w:rPr>
        <w:t>（3）本合同第一章协议书第二条约定的暂定总额。</w:t>
      </w:r>
    </w:p>
    <w:p>
      <w:pPr>
        <w:pStyle w:val="12"/>
        <w:spacing w:after="0" w:line="410" w:lineRule="exact"/>
        <w:ind w:firstLine="450" w:firstLineChars="200"/>
        <w:rPr>
          <w:rFonts w:ascii="宋体" w:hAnsi="宋体" w:cs="宋体"/>
          <w:color w:val="auto"/>
          <w:sz w:val="24"/>
          <w:szCs w:val="24"/>
        </w:rPr>
      </w:pPr>
      <w:r>
        <w:rPr>
          <w:rFonts w:hint="eastAsia" w:ascii="宋体" w:hAnsi="宋体" w:cs="宋体"/>
          <w:b/>
          <w:color w:val="auto"/>
          <w:spacing w:val="-8"/>
          <w:sz w:val="24"/>
          <w:szCs w:val="24"/>
        </w:rPr>
        <w:t>三、</w:t>
      </w:r>
      <w:r>
        <w:rPr>
          <w:rFonts w:hint="eastAsia" w:ascii="宋体" w:hAnsi="宋体" w:cs="宋体"/>
          <w:color w:val="auto"/>
          <w:spacing w:val="-7"/>
          <w:sz w:val="24"/>
          <w:szCs w:val="24"/>
        </w:rPr>
        <w:t>本协议书中的有关词语含义与本合同《专用条款》、《标准条款》中赋予它们的定义</w:t>
      </w:r>
      <w:r>
        <w:rPr>
          <w:rFonts w:hint="eastAsia" w:ascii="宋体" w:hAnsi="宋体" w:cs="宋体"/>
          <w:color w:val="auto"/>
          <w:sz w:val="24"/>
          <w:szCs w:val="24"/>
        </w:rPr>
        <w:t xml:space="preserve">相同。 </w:t>
      </w:r>
    </w:p>
    <w:p>
      <w:pPr>
        <w:pStyle w:val="12"/>
        <w:spacing w:after="0" w:line="410" w:lineRule="exact"/>
        <w:ind w:firstLine="440" w:firstLineChars="200"/>
        <w:rPr>
          <w:rFonts w:ascii="宋体" w:hAnsi="宋体" w:cs="宋体"/>
          <w:color w:val="auto"/>
          <w:sz w:val="24"/>
          <w:szCs w:val="24"/>
        </w:rPr>
      </w:pPr>
      <w:r>
        <w:rPr>
          <w:rFonts w:hint="eastAsia" w:ascii="宋体" w:hAnsi="宋体" w:cs="宋体"/>
          <w:color w:val="auto"/>
          <w:spacing w:val="-10"/>
          <w:sz w:val="24"/>
          <w:szCs w:val="24"/>
        </w:rPr>
        <w:t>四、下列文件应被认为是组成本合同的一部分，并互为补充和解释，如各文件存在冲突之</w:t>
      </w:r>
      <w:r>
        <w:rPr>
          <w:rFonts w:hint="eastAsia" w:ascii="宋体" w:hAnsi="宋体" w:cs="宋体"/>
          <w:color w:val="auto"/>
          <w:sz w:val="24"/>
          <w:szCs w:val="24"/>
        </w:rPr>
        <w:t xml:space="preserve">处，以如下排列次序在前者优先适用： </w:t>
      </w:r>
    </w:p>
    <w:p>
      <w:pPr>
        <w:pStyle w:val="32"/>
        <w:numPr>
          <w:ilvl w:val="255"/>
          <w:numId w:val="0"/>
        </w:numPr>
        <w:tabs>
          <w:tab w:val="left" w:pos="640"/>
        </w:tabs>
        <w:spacing w:line="410" w:lineRule="exact"/>
        <w:ind w:left="420" w:leftChars="200"/>
        <w:rPr>
          <w:rFonts w:ascii="宋体" w:hAnsi="宋体" w:cs="宋体"/>
          <w:color w:val="auto"/>
          <w:sz w:val="24"/>
          <w:szCs w:val="24"/>
        </w:rPr>
      </w:pPr>
      <w:r>
        <w:rPr>
          <w:rFonts w:hint="eastAsia" w:ascii="宋体" w:hAnsi="宋体" w:cs="宋体"/>
          <w:color w:val="auto"/>
          <w:sz w:val="24"/>
          <w:szCs w:val="24"/>
        </w:rPr>
        <w:t xml:space="preserve">（1）本合同履行期间委托人与监理人双方签订的补充合同（协议）或修正文件； </w:t>
      </w:r>
    </w:p>
    <w:p>
      <w:pPr>
        <w:pStyle w:val="32"/>
        <w:numPr>
          <w:ilvl w:val="255"/>
          <w:numId w:val="0"/>
        </w:numPr>
        <w:tabs>
          <w:tab w:val="left" w:pos="640"/>
        </w:tabs>
        <w:spacing w:line="410" w:lineRule="exact"/>
        <w:ind w:left="420" w:leftChars="200"/>
        <w:rPr>
          <w:rFonts w:ascii="宋体" w:hAnsi="宋体" w:cs="宋体"/>
          <w:color w:val="auto"/>
          <w:sz w:val="24"/>
          <w:szCs w:val="24"/>
        </w:rPr>
      </w:pPr>
      <w:r>
        <w:rPr>
          <w:rFonts w:hint="eastAsia" w:ascii="宋体" w:hAnsi="宋体" w:cs="宋体"/>
          <w:color w:val="auto"/>
          <w:sz w:val="24"/>
          <w:szCs w:val="24"/>
        </w:rPr>
        <w:t>（2）国家和广东省、广州市、增城区关于</w:t>
      </w:r>
      <w:r>
        <w:rPr>
          <w:rFonts w:hint="eastAsia" w:ascii="宋体" w:hAnsi="宋体" w:cs="宋体"/>
          <w:color w:val="auto"/>
          <w:sz w:val="24"/>
          <w:szCs w:val="24"/>
          <w:u w:val="single"/>
        </w:rPr>
        <w:t>增城区农村供水改造工程（第二批）</w:t>
      </w:r>
      <w:r>
        <w:rPr>
          <w:rFonts w:hint="eastAsia" w:ascii="宋体" w:hAnsi="宋体" w:cs="宋体"/>
          <w:color w:val="auto"/>
          <w:spacing w:val="-4"/>
          <w:sz w:val="24"/>
          <w:szCs w:val="24"/>
        </w:rPr>
        <w:t>的有关文</w:t>
      </w:r>
      <w:r>
        <w:rPr>
          <w:rFonts w:hint="eastAsia" w:ascii="宋体" w:hAnsi="宋体" w:cs="宋体"/>
          <w:color w:val="auto"/>
          <w:sz w:val="24"/>
          <w:szCs w:val="24"/>
        </w:rPr>
        <w:t xml:space="preserve">件； </w:t>
      </w:r>
    </w:p>
    <w:p>
      <w:pPr>
        <w:pStyle w:val="32"/>
        <w:numPr>
          <w:ilvl w:val="255"/>
          <w:numId w:val="0"/>
        </w:numPr>
        <w:tabs>
          <w:tab w:val="left" w:pos="640"/>
        </w:tabs>
        <w:spacing w:line="410" w:lineRule="exact"/>
        <w:ind w:left="420" w:leftChars="200"/>
        <w:rPr>
          <w:rFonts w:ascii="宋体" w:hAnsi="宋体" w:cs="宋体"/>
          <w:color w:val="auto"/>
          <w:sz w:val="24"/>
          <w:szCs w:val="24"/>
        </w:rPr>
      </w:pPr>
      <w:r>
        <w:rPr>
          <w:rFonts w:hint="eastAsia" w:ascii="宋体" w:hAnsi="宋体" w:cs="宋体"/>
          <w:color w:val="auto"/>
          <w:sz w:val="24"/>
          <w:szCs w:val="24"/>
        </w:rPr>
        <w:t xml:space="preserve">（3）本协议书； </w:t>
      </w:r>
    </w:p>
    <w:p>
      <w:pPr>
        <w:pStyle w:val="32"/>
        <w:numPr>
          <w:ilvl w:val="255"/>
          <w:numId w:val="0"/>
        </w:numPr>
        <w:tabs>
          <w:tab w:val="left" w:pos="640"/>
        </w:tabs>
        <w:spacing w:line="410" w:lineRule="exact"/>
        <w:ind w:left="420" w:leftChars="200"/>
        <w:rPr>
          <w:rFonts w:ascii="宋体" w:hAnsi="宋体" w:cs="宋体"/>
          <w:color w:val="auto"/>
          <w:sz w:val="24"/>
          <w:szCs w:val="24"/>
        </w:rPr>
      </w:pPr>
      <w:r>
        <w:rPr>
          <w:rFonts w:hint="eastAsia" w:ascii="宋体" w:hAnsi="宋体" w:cs="宋体"/>
          <w:color w:val="auto"/>
          <w:sz w:val="24"/>
          <w:szCs w:val="24"/>
        </w:rPr>
        <w:t xml:space="preserve">（4）中标通知书； </w:t>
      </w:r>
    </w:p>
    <w:p>
      <w:pPr>
        <w:pStyle w:val="32"/>
        <w:numPr>
          <w:ilvl w:val="255"/>
          <w:numId w:val="0"/>
        </w:numPr>
        <w:tabs>
          <w:tab w:val="left" w:pos="640"/>
        </w:tabs>
        <w:spacing w:line="410" w:lineRule="exact"/>
        <w:ind w:left="420" w:leftChars="200"/>
        <w:rPr>
          <w:rFonts w:ascii="宋体" w:hAnsi="宋体" w:cs="宋体"/>
          <w:color w:val="auto"/>
          <w:sz w:val="24"/>
          <w:szCs w:val="24"/>
        </w:rPr>
      </w:pPr>
      <w:r>
        <w:rPr>
          <w:rFonts w:hint="eastAsia" w:ascii="宋体" w:hAnsi="宋体" w:cs="宋体"/>
          <w:color w:val="auto"/>
          <w:sz w:val="24"/>
          <w:szCs w:val="24"/>
        </w:rPr>
        <w:t xml:space="preserve">（5）本合同专用条款； </w:t>
      </w:r>
    </w:p>
    <w:p>
      <w:pPr>
        <w:pStyle w:val="32"/>
        <w:numPr>
          <w:ilvl w:val="255"/>
          <w:numId w:val="0"/>
        </w:numPr>
        <w:tabs>
          <w:tab w:val="left" w:pos="640"/>
        </w:tabs>
        <w:spacing w:line="410" w:lineRule="exact"/>
        <w:ind w:left="420" w:leftChars="200"/>
        <w:rPr>
          <w:rFonts w:ascii="宋体" w:hAnsi="宋体" w:cs="宋体"/>
          <w:color w:val="auto"/>
          <w:sz w:val="24"/>
          <w:szCs w:val="24"/>
        </w:rPr>
      </w:pPr>
      <w:r>
        <w:rPr>
          <w:rFonts w:hint="eastAsia" w:ascii="宋体" w:hAnsi="宋体" w:cs="宋体"/>
          <w:color w:val="auto"/>
          <w:sz w:val="24"/>
          <w:szCs w:val="24"/>
        </w:rPr>
        <w:t xml:space="preserve">（6）本合同附件； </w:t>
      </w:r>
    </w:p>
    <w:p>
      <w:pPr>
        <w:pStyle w:val="32"/>
        <w:numPr>
          <w:ilvl w:val="255"/>
          <w:numId w:val="0"/>
        </w:numPr>
        <w:tabs>
          <w:tab w:val="left" w:pos="640"/>
        </w:tabs>
        <w:spacing w:line="410" w:lineRule="exact"/>
        <w:ind w:left="420" w:leftChars="200"/>
        <w:rPr>
          <w:rFonts w:ascii="宋体" w:hAnsi="宋体" w:cs="宋体"/>
          <w:color w:val="auto"/>
          <w:sz w:val="24"/>
          <w:szCs w:val="24"/>
        </w:rPr>
      </w:pPr>
      <w:r>
        <w:rPr>
          <w:rFonts w:hint="eastAsia" w:ascii="宋体" w:hAnsi="宋体" w:cs="宋体"/>
          <w:color w:val="auto"/>
          <w:sz w:val="24"/>
          <w:szCs w:val="24"/>
        </w:rPr>
        <w:t xml:space="preserve">（7）本合同标准条款； </w:t>
      </w:r>
    </w:p>
    <w:p>
      <w:pPr>
        <w:pStyle w:val="32"/>
        <w:numPr>
          <w:ilvl w:val="255"/>
          <w:numId w:val="0"/>
        </w:numPr>
        <w:tabs>
          <w:tab w:val="left" w:pos="640"/>
        </w:tabs>
        <w:spacing w:line="410" w:lineRule="exact"/>
        <w:ind w:left="420" w:leftChars="200"/>
        <w:rPr>
          <w:rFonts w:ascii="宋体" w:hAnsi="宋体" w:cs="宋体"/>
          <w:color w:val="auto"/>
          <w:sz w:val="24"/>
          <w:szCs w:val="24"/>
        </w:rPr>
      </w:pPr>
      <w:r>
        <w:rPr>
          <w:rFonts w:hint="eastAsia" w:ascii="宋体" w:hAnsi="宋体" w:cs="宋体"/>
          <w:color w:val="auto"/>
          <w:sz w:val="24"/>
          <w:szCs w:val="24"/>
        </w:rPr>
        <w:t>（8）本合同监理招标文件（</w:t>
      </w:r>
      <w:r>
        <w:rPr>
          <w:rFonts w:hint="eastAsia" w:ascii="宋体" w:hAnsi="宋体" w:cs="宋体"/>
          <w:color w:val="auto"/>
          <w:spacing w:val="-1"/>
          <w:sz w:val="24"/>
          <w:szCs w:val="24"/>
        </w:rPr>
        <w:t>含招标文件补充文件、澄清文件、答疑文件等，属本条</w:t>
      </w:r>
      <w:r>
        <w:rPr>
          <w:rFonts w:hint="eastAsia" w:ascii="宋体" w:hAnsi="宋体" w:cs="宋体"/>
          <w:color w:val="auto"/>
          <w:spacing w:val="-30"/>
          <w:sz w:val="24"/>
          <w:szCs w:val="24"/>
        </w:rPr>
        <w:t xml:space="preserve">第 </w:t>
      </w:r>
      <w:r>
        <w:rPr>
          <w:rFonts w:hint="eastAsia" w:ascii="宋体" w:hAnsi="宋体" w:cs="宋体"/>
          <w:color w:val="auto"/>
          <w:sz w:val="24"/>
          <w:szCs w:val="24"/>
        </w:rPr>
        <w:t>7</w:t>
      </w:r>
      <w:r>
        <w:rPr>
          <w:rFonts w:hint="eastAsia" w:ascii="宋体" w:hAnsi="宋体" w:cs="宋体"/>
          <w:color w:val="auto"/>
          <w:spacing w:val="-10"/>
          <w:sz w:val="24"/>
          <w:szCs w:val="24"/>
        </w:rPr>
        <w:t xml:space="preserve"> 项内容的除外</w:t>
      </w:r>
      <w:r>
        <w:rPr>
          <w:rFonts w:hint="eastAsia" w:ascii="宋体" w:hAnsi="宋体" w:cs="宋体"/>
          <w:color w:val="auto"/>
          <w:sz w:val="24"/>
          <w:szCs w:val="24"/>
        </w:rPr>
        <w:t xml:space="preserve">）； </w:t>
      </w:r>
    </w:p>
    <w:p>
      <w:pPr>
        <w:pStyle w:val="32"/>
        <w:numPr>
          <w:ilvl w:val="255"/>
          <w:numId w:val="0"/>
        </w:numPr>
        <w:tabs>
          <w:tab w:val="left" w:pos="640"/>
        </w:tabs>
        <w:spacing w:line="410" w:lineRule="exact"/>
        <w:ind w:left="420" w:leftChars="200"/>
        <w:rPr>
          <w:rFonts w:ascii="宋体" w:hAnsi="宋体" w:cs="宋体"/>
          <w:color w:val="auto"/>
          <w:sz w:val="24"/>
          <w:szCs w:val="24"/>
        </w:rPr>
      </w:pPr>
      <w:r>
        <w:rPr>
          <w:rFonts w:hint="eastAsia" w:ascii="宋体" w:hAnsi="宋体" w:cs="宋体"/>
          <w:color w:val="auto"/>
          <w:sz w:val="24"/>
          <w:szCs w:val="24"/>
        </w:rPr>
        <w:t>（9）本合同监理报价文件（</w:t>
      </w:r>
      <w:r>
        <w:rPr>
          <w:rFonts w:hint="eastAsia" w:ascii="宋体" w:hAnsi="宋体" w:cs="宋体"/>
          <w:color w:val="auto"/>
          <w:spacing w:val="-6"/>
          <w:sz w:val="24"/>
          <w:szCs w:val="24"/>
        </w:rPr>
        <w:t xml:space="preserve">含澄清等，属本条第 </w:t>
      </w:r>
      <w:r>
        <w:rPr>
          <w:rFonts w:hint="eastAsia" w:ascii="宋体" w:hAnsi="宋体" w:cs="宋体"/>
          <w:color w:val="auto"/>
          <w:sz w:val="24"/>
          <w:szCs w:val="24"/>
        </w:rPr>
        <w:t>7</w:t>
      </w:r>
      <w:r>
        <w:rPr>
          <w:rFonts w:hint="eastAsia" w:ascii="宋体" w:hAnsi="宋体" w:cs="宋体"/>
          <w:color w:val="auto"/>
          <w:spacing w:val="-9"/>
          <w:sz w:val="24"/>
          <w:szCs w:val="24"/>
        </w:rPr>
        <w:t xml:space="preserve"> 项内容的除外</w:t>
      </w:r>
      <w:r>
        <w:rPr>
          <w:rFonts w:hint="eastAsia" w:ascii="宋体" w:hAnsi="宋体" w:cs="宋体"/>
          <w:color w:val="auto"/>
          <w:sz w:val="24"/>
          <w:szCs w:val="24"/>
        </w:rPr>
        <w:t xml:space="preserve">）； </w:t>
      </w:r>
    </w:p>
    <w:p>
      <w:pPr>
        <w:pStyle w:val="32"/>
        <w:numPr>
          <w:ilvl w:val="255"/>
          <w:numId w:val="0"/>
        </w:numPr>
        <w:tabs>
          <w:tab w:val="left" w:pos="1310"/>
        </w:tabs>
        <w:spacing w:line="410" w:lineRule="exact"/>
        <w:ind w:left="420" w:leftChars="200"/>
        <w:rPr>
          <w:rFonts w:ascii="宋体" w:hAnsi="宋体" w:cs="宋体"/>
          <w:color w:val="auto"/>
          <w:sz w:val="24"/>
          <w:szCs w:val="24"/>
        </w:rPr>
      </w:pPr>
      <w:r>
        <w:rPr>
          <w:rFonts w:hint="eastAsia" w:ascii="宋体" w:hAnsi="宋体" w:cs="宋体"/>
          <w:color w:val="auto"/>
          <w:sz w:val="24"/>
          <w:szCs w:val="24"/>
        </w:rPr>
        <w:t xml:space="preserve">（10）委托人关于工程管理的各项制度、规定； </w:t>
      </w:r>
    </w:p>
    <w:p>
      <w:pPr>
        <w:pStyle w:val="32"/>
        <w:numPr>
          <w:ilvl w:val="255"/>
          <w:numId w:val="0"/>
        </w:numPr>
        <w:tabs>
          <w:tab w:val="left" w:pos="1310"/>
        </w:tabs>
        <w:spacing w:line="410" w:lineRule="exact"/>
        <w:ind w:left="420" w:leftChars="200"/>
        <w:rPr>
          <w:rFonts w:ascii="宋体" w:hAnsi="宋体" w:cs="宋体"/>
          <w:color w:val="auto"/>
          <w:sz w:val="24"/>
          <w:szCs w:val="24"/>
        </w:rPr>
      </w:pPr>
      <w:r>
        <w:rPr>
          <w:rFonts w:hint="eastAsia" w:ascii="宋体" w:hAnsi="宋体" w:cs="宋体"/>
          <w:color w:val="auto"/>
          <w:sz w:val="24"/>
          <w:szCs w:val="24"/>
        </w:rPr>
        <w:t xml:space="preserve">（11）组成本合同的其他文件。 </w:t>
      </w:r>
    </w:p>
    <w:p>
      <w:pPr>
        <w:pStyle w:val="12"/>
        <w:spacing w:after="0" w:line="480" w:lineRule="exact"/>
        <w:ind w:firstLine="460" w:firstLineChars="200"/>
        <w:rPr>
          <w:rFonts w:ascii="宋体" w:hAnsi="宋体" w:cs="宋体"/>
          <w:color w:val="auto"/>
          <w:sz w:val="24"/>
          <w:szCs w:val="24"/>
        </w:rPr>
      </w:pPr>
      <w:r>
        <w:rPr>
          <w:rFonts w:hint="eastAsia" w:ascii="宋体" w:hAnsi="宋体" w:cs="宋体"/>
          <w:color w:val="auto"/>
          <w:spacing w:val="-5"/>
          <w:sz w:val="24"/>
          <w:szCs w:val="24"/>
        </w:rPr>
        <w:t>通过上述顺序解释仍无法明确的事项，由委托人与监理人协商解决；如协商不成，由委托</w:t>
      </w:r>
      <w:r>
        <w:rPr>
          <w:rFonts w:hint="eastAsia" w:ascii="宋体" w:hAnsi="宋体" w:cs="宋体"/>
          <w:color w:val="auto"/>
          <w:sz w:val="24"/>
          <w:szCs w:val="24"/>
        </w:rPr>
        <w:t xml:space="preserve">人按照公平合理和有利于本合同工程建设的原则作出决定，监理人应无条件执行。 </w:t>
      </w:r>
    </w:p>
    <w:p>
      <w:pPr>
        <w:pStyle w:val="12"/>
        <w:spacing w:after="0" w:line="360" w:lineRule="auto"/>
        <w:ind w:firstLine="460" w:firstLineChars="200"/>
        <w:rPr>
          <w:rFonts w:ascii="宋体" w:hAnsi="宋体" w:cs="宋体"/>
          <w:color w:val="auto"/>
          <w:sz w:val="24"/>
          <w:szCs w:val="24"/>
        </w:rPr>
      </w:pPr>
      <w:r>
        <w:rPr>
          <w:rFonts w:hint="eastAsia" w:ascii="宋体" w:hAnsi="宋体" w:cs="宋体"/>
          <w:color w:val="auto"/>
          <w:spacing w:val="-5"/>
          <w:sz w:val="24"/>
          <w:szCs w:val="24"/>
        </w:rPr>
        <w:t>五、本合同自委托人、监理人双方法定代表人（或其授权代理人）签字并加盖法人公章或合同专用章之日起生效，本合同的有效期一直至本合同工程质量缺陷责任期满且本合同工程竣工结算完毕并完成工程竣工档案备案后经委托人审定满 60 日并且双方的责任、义务履行完毕时才终止。</w:t>
      </w:r>
    </w:p>
    <w:p>
      <w:pPr>
        <w:pStyle w:val="12"/>
        <w:spacing w:after="0" w:line="360" w:lineRule="auto"/>
        <w:ind w:firstLine="480" w:firstLineChars="200"/>
        <w:rPr>
          <w:rFonts w:ascii="宋体" w:hAnsi="宋体" w:cs="宋体"/>
          <w:color w:val="auto"/>
          <w:sz w:val="24"/>
          <w:szCs w:val="24"/>
        </w:rPr>
      </w:pPr>
      <w:r>
        <w:rPr>
          <w:rFonts w:hint="eastAsia" w:ascii="宋体" w:hAnsi="宋体" w:cs="宋体"/>
          <w:color w:val="auto"/>
          <w:sz w:val="24"/>
          <w:szCs w:val="24"/>
        </w:rPr>
        <w:t>六、本合同一式陆份，委托人、监理人各执叁份。其中正本贰份，副本肆份。</w:t>
      </w:r>
    </w:p>
    <w:p>
      <w:pPr>
        <w:pStyle w:val="12"/>
        <w:spacing w:after="0" w:line="360" w:lineRule="auto"/>
        <w:ind w:firstLine="480" w:firstLineChars="200"/>
        <w:rPr>
          <w:rFonts w:ascii="宋体" w:hAnsi="宋体" w:cs="宋体"/>
          <w:color w:val="auto"/>
          <w:sz w:val="24"/>
          <w:szCs w:val="24"/>
        </w:rPr>
      </w:pPr>
      <w:r>
        <w:rPr>
          <w:rFonts w:hint="eastAsia" w:ascii="宋体" w:hAnsi="宋体" w:cs="宋体"/>
          <w:color w:val="auto"/>
          <w:sz w:val="24"/>
          <w:szCs w:val="24"/>
        </w:rPr>
        <w:t>七、合同未尽事宜，双方另行签订补充协议。补充协议是合同的组成部分。</w:t>
      </w:r>
    </w:p>
    <w:p>
      <w:pPr>
        <w:pStyle w:val="12"/>
        <w:spacing w:after="0"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八、</w:t>
      </w:r>
      <w:r>
        <w:rPr>
          <w:rFonts w:hint="eastAsia" w:ascii="宋体" w:hAnsi="宋体" w:cs="宋体"/>
          <w:color w:val="auto"/>
          <w:sz w:val="24"/>
          <w:szCs w:val="24"/>
        </w:rPr>
        <w:t>本合同工程总监理工程师姓名：</w:t>
      </w:r>
      <w:r>
        <w:rPr>
          <w:rFonts w:hint="eastAsia" w:ascii="宋体" w:hAnsi="宋体" w:cs="宋体"/>
          <w:color w:val="auto"/>
          <w:sz w:val="24"/>
          <w:szCs w:val="24"/>
          <w:u w:val="single"/>
        </w:rPr>
        <w:t xml:space="preserve">        </w:t>
      </w:r>
      <w:r>
        <w:rPr>
          <w:rFonts w:hint="eastAsia" w:ascii="宋体" w:hAnsi="宋体" w:cs="宋体"/>
          <w:color w:val="auto"/>
          <w:sz w:val="24"/>
          <w:szCs w:val="24"/>
          <w:u w:val="none"/>
          <w:lang w:eastAsia="zh-CN"/>
        </w:rPr>
        <w:t>；</w:t>
      </w:r>
      <w:r>
        <w:rPr>
          <w:rFonts w:hint="eastAsia" w:ascii="宋体" w:hAnsi="宋体" w:cs="宋体"/>
          <w:color w:val="auto"/>
          <w:sz w:val="24"/>
          <w:szCs w:val="24"/>
        </w:rPr>
        <w:t>职务（职称）：</w:t>
      </w:r>
      <w:r>
        <w:rPr>
          <w:rFonts w:hint="eastAsia" w:ascii="宋体" w:hAnsi="宋体" w:cs="宋体"/>
          <w:color w:val="auto"/>
          <w:sz w:val="24"/>
          <w:szCs w:val="24"/>
          <w:u w:val="single"/>
        </w:rPr>
        <w:t xml:space="preserve">      </w:t>
      </w:r>
      <w:r>
        <w:rPr>
          <w:rFonts w:hint="eastAsia" w:ascii="宋体" w:hAnsi="宋体" w:cs="宋体"/>
          <w:color w:val="auto"/>
          <w:sz w:val="24"/>
          <w:szCs w:val="24"/>
          <w:u w:val="none"/>
        </w:rPr>
        <w:t xml:space="preserve"> </w:t>
      </w:r>
      <w:r>
        <w:rPr>
          <w:rFonts w:hint="eastAsia" w:ascii="宋体" w:hAnsi="宋体" w:cs="宋体"/>
          <w:color w:val="auto"/>
          <w:sz w:val="24"/>
          <w:szCs w:val="24"/>
          <w:u w:val="none"/>
          <w:lang w:eastAsia="zh-CN"/>
        </w:rPr>
        <w:t>；</w:t>
      </w:r>
      <w:r>
        <w:rPr>
          <w:rFonts w:hint="eastAsia" w:ascii="宋体" w:hAnsi="宋体" w:cs="宋体"/>
          <w:color w:val="auto"/>
          <w:sz w:val="24"/>
          <w:szCs w:val="24"/>
          <w:u w:val="none"/>
          <w:lang w:val="en-US" w:eastAsia="zh-CN"/>
        </w:rPr>
        <w:t>证书编号：</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none"/>
          <w:lang w:val="en-US" w:eastAsia="zh-CN"/>
        </w:rPr>
        <w:t>。</w:t>
      </w:r>
    </w:p>
    <w:p>
      <w:pPr>
        <w:ind w:firstLine="480" w:firstLineChars="200"/>
        <w:rPr>
          <w:rFonts w:ascii="宋体" w:hAnsi="宋体" w:cs="宋体"/>
          <w:color w:val="auto"/>
          <w:sz w:val="24"/>
          <w:szCs w:val="24"/>
        </w:rPr>
      </w:pPr>
    </w:p>
    <w:tbl>
      <w:tblPr>
        <w:tblStyle w:val="23"/>
        <w:tblW w:w="9377" w:type="dxa"/>
        <w:jc w:val="center"/>
        <w:tblLayout w:type="fixed"/>
        <w:tblCellMar>
          <w:top w:w="0" w:type="dxa"/>
          <w:left w:w="0" w:type="dxa"/>
          <w:bottom w:w="0" w:type="dxa"/>
          <w:right w:w="0" w:type="dxa"/>
        </w:tblCellMar>
      </w:tblPr>
      <w:tblGrid>
        <w:gridCol w:w="3469"/>
        <w:gridCol w:w="1258"/>
        <w:gridCol w:w="3404"/>
        <w:gridCol w:w="1246"/>
      </w:tblGrid>
      <w:tr>
        <w:tblPrEx>
          <w:tblCellMar>
            <w:top w:w="0" w:type="dxa"/>
            <w:left w:w="0" w:type="dxa"/>
            <w:bottom w:w="0" w:type="dxa"/>
            <w:right w:w="0" w:type="dxa"/>
          </w:tblCellMar>
        </w:tblPrEx>
        <w:trPr>
          <w:trHeight w:val="506" w:hRule="atLeast"/>
          <w:jc w:val="center"/>
        </w:trPr>
        <w:tc>
          <w:tcPr>
            <w:tcW w:w="3469" w:type="dxa"/>
          </w:tcPr>
          <w:p>
            <w:pPr>
              <w:ind w:firstLine="480" w:firstLineChars="200"/>
              <w:rPr>
                <w:rFonts w:ascii="宋体" w:hAnsi="宋体" w:cs="宋体"/>
                <w:color w:val="auto"/>
                <w:sz w:val="24"/>
                <w:szCs w:val="24"/>
              </w:rPr>
            </w:pPr>
            <w:r>
              <w:rPr>
                <w:rFonts w:hint="eastAsia" w:ascii="宋体" w:hAnsi="宋体" w:cs="宋体"/>
                <w:color w:val="auto"/>
                <w:sz w:val="24"/>
                <w:szCs w:val="24"/>
              </w:rPr>
              <w:t>委托人： （盖公章）</w:t>
            </w:r>
          </w:p>
          <w:p>
            <w:pPr>
              <w:ind w:firstLine="480" w:firstLineChars="200"/>
              <w:rPr>
                <w:rFonts w:ascii="宋体" w:hAnsi="宋体" w:cs="宋体"/>
                <w:color w:val="auto"/>
                <w:sz w:val="24"/>
                <w:szCs w:val="24"/>
              </w:rPr>
            </w:pPr>
          </w:p>
        </w:tc>
        <w:tc>
          <w:tcPr>
            <w:tcW w:w="1258" w:type="dxa"/>
          </w:tcPr>
          <w:p>
            <w:pPr>
              <w:ind w:firstLine="480" w:firstLineChars="200"/>
              <w:rPr>
                <w:rFonts w:ascii="宋体" w:hAnsi="宋体" w:cs="宋体"/>
                <w:color w:val="auto"/>
                <w:sz w:val="24"/>
                <w:szCs w:val="24"/>
              </w:rPr>
            </w:pPr>
          </w:p>
        </w:tc>
        <w:tc>
          <w:tcPr>
            <w:tcW w:w="3404" w:type="dxa"/>
          </w:tcPr>
          <w:p>
            <w:pPr>
              <w:ind w:firstLine="480" w:firstLineChars="200"/>
              <w:rPr>
                <w:rFonts w:ascii="宋体" w:hAnsi="宋体" w:cs="宋体"/>
                <w:color w:val="auto"/>
                <w:sz w:val="24"/>
                <w:szCs w:val="24"/>
              </w:rPr>
            </w:pPr>
            <w:r>
              <w:rPr>
                <w:rFonts w:hint="eastAsia" w:ascii="宋体" w:hAnsi="宋体" w:cs="宋体"/>
                <w:color w:val="auto"/>
                <w:sz w:val="24"/>
                <w:szCs w:val="24"/>
              </w:rPr>
              <w:t>监理人：（盖公章）</w:t>
            </w:r>
          </w:p>
        </w:tc>
        <w:tc>
          <w:tcPr>
            <w:tcW w:w="1246" w:type="dxa"/>
          </w:tcPr>
          <w:p>
            <w:pPr>
              <w:ind w:firstLine="480" w:firstLineChars="200"/>
              <w:rPr>
                <w:rFonts w:ascii="宋体" w:hAnsi="宋体" w:cs="宋体"/>
                <w:color w:val="auto"/>
                <w:sz w:val="24"/>
                <w:szCs w:val="24"/>
              </w:rPr>
            </w:pPr>
            <w:r>
              <w:rPr>
                <w:rFonts w:hint="eastAsia" w:ascii="宋体" w:hAnsi="宋体" w:cs="宋体"/>
                <w:color w:val="auto"/>
                <w:sz w:val="24"/>
                <w:szCs w:val="24"/>
              </w:rPr>
              <w:t xml:space="preserve">                        </w:t>
            </w:r>
          </w:p>
        </w:tc>
      </w:tr>
      <w:tr>
        <w:tblPrEx>
          <w:tblCellMar>
            <w:top w:w="0" w:type="dxa"/>
            <w:left w:w="0" w:type="dxa"/>
            <w:bottom w:w="0" w:type="dxa"/>
            <w:right w:w="0" w:type="dxa"/>
          </w:tblCellMar>
        </w:tblPrEx>
        <w:trPr>
          <w:trHeight w:val="558" w:hRule="atLeast"/>
          <w:jc w:val="center"/>
        </w:trPr>
        <w:tc>
          <w:tcPr>
            <w:tcW w:w="3469" w:type="dxa"/>
          </w:tcPr>
          <w:p>
            <w:pPr>
              <w:ind w:firstLine="480" w:firstLineChars="200"/>
              <w:rPr>
                <w:rFonts w:ascii="宋体" w:hAnsi="宋体" w:cs="宋体"/>
                <w:color w:val="auto"/>
                <w:sz w:val="24"/>
                <w:szCs w:val="24"/>
              </w:rPr>
            </w:pPr>
            <w:r>
              <w:rPr>
                <w:rFonts w:hint="eastAsia" w:ascii="宋体" w:hAnsi="宋体" w:cs="宋体"/>
                <w:color w:val="auto"/>
                <w:sz w:val="24"/>
                <w:szCs w:val="24"/>
              </w:rPr>
              <w:t xml:space="preserve">法定代表人（签字）： </w:t>
            </w:r>
          </w:p>
        </w:tc>
        <w:tc>
          <w:tcPr>
            <w:tcW w:w="1258" w:type="dxa"/>
          </w:tcPr>
          <w:p>
            <w:pPr>
              <w:ind w:firstLine="480" w:firstLineChars="200"/>
              <w:rPr>
                <w:rFonts w:ascii="宋体" w:hAnsi="宋体" w:cs="宋体"/>
                <w:color w:val="auto"/>
                <w:sz w:val="24"/>
                <w:szCs w:val="24"/>
              </w:rPr>
            </w:pPr>
            <w:r>
              <w:rPr>
                <w:rFonts w:hint="eastAsia" w:ascii="宋体" w:hAnsi="宋体" w:cs="宋体"/>
                <w:color w:val="auto"/>
                <w:sz w:val="24"/>
                <w:szCs w:val="24"/>
              </w:rPr>
              <w:t xml:space="preserve"> </w:t>
            </w:r>
          </w:p>
        </w:tc>
        <w:tc>
          <w:tcPr>
            <w:tcW w:w="3404" w:type="dxa"/>
          </w:tcPr>
          <w:p>
            <w:pPr>
              <w:ind w:firstLine="480" w:firstLineChars="200"/>
              <w:rPr>
                <w:rFonts w:ascii="宋体" w:hAnsi="宋体" w:cs="宋体"/>
                <w:color w:val="auto"/>
                <w:sz w:val="24"/>
                <w:szCs w:val="24"/>
              </w:rPr>
            </w:pPr>
            <w:r>
              <w:rPr>
                <w:rFonts w:hint="eastAsia" w:ascii="宋体" w:hAnsi="宋体" w:cs="宋体"/>
                <w:color w:val="auto"/>
                <w:sz w:val="24"/>
                <w:szCs w:val="24"/>
              </w:rPr>
              <w:t xml:space="preserve">法定代表人（签字）： </w:t>
            </w:r>
          </w:p>
        </w:tc>
        <w:tc>
          <w:tcPr>
            <w:tcW w:w="1246" w:type="dxa"/>
          </w:tcPr>
          <w:p>
            <w:pPr>
              <w:ind w:firstLine="480" w:firstLineChars="200"/>
              <w:rPr>
                <w:rFonts w:ascii="宋体" w:hAnsi="宋体" w:cs="宋体"/>
                <w:color w:val="auto"/>
                <w:sz w:val="24"/>
                <w:szCs w:val="24"/>
              </w:rPr>
            </w:pPr>
          </w:p>
        </w:tc>
      </w:tr>
      <w:tr>
        <w:tblPrEx>
          <w:tblCellMar>
            <w:top w:w="0" w:type="dxa"/>
            <w:left w:w="0" w:type="dxa"/>
            <w:bottom w:w="0" w:type="dxa"/>
            <w:right w:w="0" w:type="dxa"/>
          </w:tblCellMar>
        </w:tblPrEx>
        <w:trPr>
          <w:trHeight w:val="559" w:hRule="atLeast"/>
          <w:jc w:val="center"/>
        </w:trPr>
        <w:tc>
          <w:tcPr>
            <w:tcW w:w="3469" w:type="dxa"/>
          </w:tcPr>
          <w:p>
            <w:pPr>
              <w:ind w:firstLine="480" w:firstLineChars="200"/>
              <w:rPr>
                <w:rFonts w:ascii="宋体" w:hAnsi="宋体" w:cs="宋体"/>
                <w:color w:val="auto"/>
                <w:sz w:val="24"/>
                <w:szCs w:val="24"/>
              </w:rPr>
            </w:pPr>
            <w:r>
              <w:rPr>
                <w:rFonts w:hint="eastAsia" w:ascii="宋体" w:hAnsi="宋体" w:cs="宋体"/>
                <w:color w:val="auto"/>
                <w:sz w:val="24"/>
                <w:szCs w:val="24"/>
              </w:rPr>
              <w:t xml:space="preserve">授权代理人（签字）： </w:t>
            </w:r>
          </w:p>
        </w:tc>
        <w:tc>
          <w:tcPr>
            <w:tcW w:w="1258" w:type="dxa"/>
          </w:tcPr>
          <w:p>
            <w:pPr>
              <w:ind w:firstLine="480" w:firstLineChars="200"/>
              <w:rPr>
                <w:rFonts w:ascii="宋体" w:hAnsi="宋体" w:cs="宋体"/>
                <w:color w:val="auto"/>
                <w:sz w:val="24"/>
                <w:szCs w:val="24"/>
              </w:rPr>
            </w:pPr>
            <w:r>
              <w:rPr>
                <w:rFonts w:hint="eastAsia" w:ascii="宋体" w:hAnsi="宋体" w:cs="宋体"/>
                <w:color w:val="auto"/>
                <w:sz w:val="24"/>
                <w:szCs w:val="24"/>
              </w:rPr>
              <w:t xml:space="preserve"> </w:t>
            </w:r>
          </w:p>
        </w:tc>
        <w:tc>
          <w:tcPr>
            <w:tcW w:w="3404" w:type="dxa"/>
          </w:tcPr>
          <w:p>
            <w:pPr>
              <w:ind w:firstLine="480" w:firstLineChars="200"/>
              <w:rPr>
                <w:rFonts w:ascii="宋体" w:hAnsi="宋体" w:cs="宋体"/>
                <w:color w:val="auto"/>
                <w:sz w:val="24"/>
                <w:szCs w:val="24"/>
              </w:rPr>
            </w:pPr>
            <w:r>
              <w:rPr>
                <w:rFonts w:hint="eastAsia" w:ascii="宋体" w:hAnsi="宋体" w:cs="宋体"/>
                <w:color w:val="auto"/>
                <w:sz w:val="24"/>
                <w:szCs w:val="24"/>
              </w:rPr>
              <w:t xml:space="preserve">授权代理人（签字）： </w:t>
            </w:r>
          </w:p>
        </w:tc>
        <w:tc>
          <w:tcPr>
            <w:tcW w:w="1246" w:type="dxa"/>
          </w:tcPr>
          <w:p>
            <w:pPr>
              <w:ind w:firstLine="480" w:firstLineChars="200"/>
              <w:rPr>
                <w:rFonts w:ascii="宋体" w:hAnsi="宋体" w:cs="宋体"/>
                <w:color w:val="auto"/>
                <w:sz w:val="24"/>
                <w:szCs w:val="24"/>
              </w:rPr>
            </w:pPr>
            <w:r>
              <w:rPr>
                <w:rFonts w:hint="eastAsia" w:ascii="宋体" w:hAnsi="宋体" w:cs="宋体"/>
                <w:color w:val="auto"/>
                <w:sz w:val="24"/>
                <w:szCs w:val="24"/>
              </w:rPr>
              <w:t xml:space="preserve"> </w:t>
            </w:r>
          </w:p>
        </w:tc>
      </w:tr>
      <w:tr>
        <w:tblPrEx>
          <w:tblCellMar>
            <w:top w:w="0" w:type="dxa"/>
            <w:left w:w="0" w:type="dxa"/>
            <w:bottom w:w="0" w:type="dxa"/>
            <w:right w:w="0" w:type="dxa"/>
          </w:tblCellMar>
        </w:tblPrEx>
        <w:trPr>
          <w:trHeight w:val="368" w:hRule="atLeast"/>
          <w:jc w:val="center"/>
        </w:trPr>
        <w:tc>
          <w:tcPr>
            <w:tcW w:w="3469" w:type="dxa"/>
          </w:tcPr>
          <w:p>
            <w:pPr>
              <w:ind w:firstLine="480" w:firstLineChars="200"/>
              <w:rPr>
                <w:rFonts w:ascii="宋体" w:hAnsi="宋体" w:cs="宋体"/>
                <w:color w:val="auto"/>
                <w:sz w:val="24"/>
                <w:szCs w:val="24"/>
              </w:rPr>
            </w:pPr>
            <w:r>
              <w:rPr>
                <w:rFonts w:hint="eastAsia" w:ascii="宋体" w:hAnsi="宋体" w:cs="宋体"/>
                <w:color w:val="auto"/>
                <w:sz w:val="24"/>
                <w:szCs w:val="24"/>
              </w:rPr>
              <w:t>住所：</w:t>
            </w:r>
          </w:p>
        </w:tc>
        <w:tc>
          <w:tcPr>
            <w:tcW w:w="1258" w:type="dxa"/>
          </w:tcPr>
          <w:p>
            <w:pPr>
              <w:ind w:firstLine="480" w:firstLineChars="200"/>
              <w:rPr>
                <w:rFonts w:ascii="宋体" w:hAnsi="宋体" w:cs="宋体"/>
                <w:color w:val="auto"/>
                <w:sz w:val="24"/>
                <w:szCs w:val="24"/>
              </w:rPr>
            </w:pPr>
            <w:r>
              <w:rPr>
                <w:rFonts w:hint="eastAsia" w:ascii="宋体" w:hAnsi="宋体" w:cs="宋体"/>
                <w:color w:val="auto"/>
                <w:sz w:val="24"/>
                <w:szCs w:val="24"/>
              </w:rPr>
              <w:t xml:space="preserve"> </w:t>
            </w:r>
          </w:p>
        </w:tc>
        <w:tc>
          <w:tcPr>
            <w:tcW w:w="3404" w:type="dxa"/>
          </w:tcPr>
          <w:p>
            <w:pPr>
              <w:ind w:firstLine="480" w:firstLineChars="200"/>
              <w:rPr>
                <w:rFonts w:ascii="宋体" w:hAnsi="宋体" w:cs="宋体"/>
                <w:color w:val="auto"/>
                <w:sz w:val="24"/>
                <w:szCs w:val="24"/>
              </w:rPr>
            </w:pPr>
            <w:r>
              <w:rPr>
                <w:rFonts w:hint="eastAsia" w:ascii="宋体" w:hAnsi="宋体" w:cs="宋体"/>
                <w:color w:val="auto"/>
                <w:sz w:val="24"/>
                <w:szCs w:val="24"/>
              </w:rPr>
              <w:t>住所：</w:t>
            </w:r>
          </w:p>
        </w:tc>
        <w:tc>
          <w:tcPr>
            <w:tcW w:w="1246" w:type="dxa"/>
          </w:tcPr>
          <w:p>
            <w:pPr>
              <w:ind w:firstLine="480" w:firstLineChars="200"/>
              <w:rPr>
                <w:rFonts w:ascii="宋体" w:hAnsi="宋体" w:cs="宋体"/>
                <w:color w:val="auto"/>
                <w:sz w:val="24"/>
                <w:szCs w:val="24"/>
              </w:rPr>
            </w:pPr>
          </w:p>
        </w:tc>
      </w:tr>
      <w:tr>
        <w:tblPrEx>
          <w:tblCellMar>
            <w:top w:w="0" w:type="dxa"/>
            <w:left w:w="0" w:type="dxa"/>
            <w:bottom w:w="0" w:type="dxa"/>
            <w:right w:w="0" w:type="dxa"/>
          </w:tblCellMar>
        </w:tblPrEx>
        <w:trPr>
          <w:trHeight w:val="368" w:hRule="atLeast"/>
          <w:jc w:val="center"/>
        </w:trPr>
        <w:tc>
          <w:tcPr>
            <w:tcW w:w="3469" w:type="dxa"/>
          </w:tcPr>
          <w:p>
            <w:pPr>
              <w:ind w:firstLine="480" w:firstLineChars="200"/>
              <w:rPr>
                <w:rFonts w:ascii="宋体" w:hAnsi="宋体" w:cs="宋体"/>
                <w:color w:val="auto"/>
                <w:sz w:val="24"/>
                <w:szCs w:val="24"/>
              </w:rPr>
            </w:pPr>
            <w:r>
              <w:rPr>
                <w:rFonts w:hint="eastAsia" w:ascii="宋体" w:hAnsi="宋体" w:cs="宋体"/>
                <w:color w:val="auto"/>
                <w:sz w:val="24"/>
                <w:szCs w:val="24"/>
              </w:rPr>
              <w:t xml:space="preserve">电话： </w:t>
            </w:r>
          </w:p>
        </w:tc>
        <w:tc>
          <w:tcPr>
            <w:tcW w:w="1258" w:type="dxa"/>
          </w:tcPr>
          <w:p>
            <w:pPr>
              <w:ind w:firstLine="480" w:firstLineChars="200"/>
              <w:rPr>
                <w:rFonts w:ascii="宋体" w:hAnsi="宋体" w:cs="宋体"/>
                <w:color w:val="auto"/>
                <w:sz w:val="24"/>
                <w:szCs w:val="24"/>
              </w:rPr>
            </w:pPr>
            <w:r>
              <w:rPr>
                <w:rFonts w:hint="eastAsia" w:ascii="宋体" w:hAnsi="宋体" w:cs="宋体"/>
                <w:color w:val="auto"/>
                <w:sz w:val="24"/>
                <w:szCs w:val="24"/>
              </w:rPr>
              <w:t xml:space="preserve"> </w:t>
            </w:r>
          </w:p>
        </w:tc>
        <w:tc>
          <w:tcPr>
            <w:tcW w:w="3404" w:type="dxa"/>
          </w:tcPr>
          <w:p>
            <w:pPr>
              <w:ind w:firstLine="480" w:firstLineChars="200"/>
              <w:rPr>
                <w:rFonts w:ascii="宋体" w:hAnsi="宋体" w:cs="宋体"/>
                <w:color w:val="auto"/>
                <w:sz w:val="24"/>
                <w:szCs w:val="24"/>
              </w:rPr>
            </w:pPr>
            <w:r>
              <w:rPr>
                <w:rFonts w:hint="eastAsia" w:ascii="宋体" w:hAnsi="宋体" w:cs="宋体"/>
                <w:color w:val="auto"/>
                <w:sz w:val="24"/>
                <w:szCs w:val="24"/>
              </w:rPr>
              <w:t xml:space="preserve">电话： </w:t>
            </w:r>
          </w:p>
        </w:tc>
        <w:tc>
          <w:tcPr>
            <w:tcW w:w="1246" w:type="dxa"/>
          </w:tcPr>
          <w:p>
            <w:pPr>
              <w:ind w:firstLine="480" w:firstLineChars="200"/>
              <w:rPr>
                <w:rFonts w:ascii="宋体" w:hAnsi="宋体" w:cs="宋体"/>
                <w:color w:val="auto"/>
                <w:sz w:val="24"/>
                <w:szCs w:val="24"/>
              </w:rPr>
            </w:pPr>
          </w:p>
        </w:tc>
      </w:tr>
      <w:tr>
        <w:tblPrEx>
          <w:tblCellMar>
            <w:top w:w="0" w:type="dxa"/>
            <w:left w:w="0" w:type="dxa"/>
            <w:bottom w:w="0" w:type="dxa"/>
            <w:right w:w="0" w:type="dxa"/>
          </w:tblCellMar>
        </w:tblPrEx>
        <w:trPr>
          <w:trHeight w:val="368" w:hRule="atLeast"/>
          <w:jc w:val="center"/>
        </w:trPr>
        <w:tc>
          <w:tcPr>
            <w:tcW w:w="3469" w:type="dxa"/>
          </w:tcPr>
          <w:p>
            <w:pPr>
              <w:ind w:firstLine="480" w:firstLineChars="200"/>
              <w:rPr>
                <w:rFonts w:ascii="宋体" w:hAnsi="宋体" w:cs="宋体"/>
                <w:color w:val="auto"/>
                <w:sz w:val="24"/>
                <w:szCs w:val="24"/>
              </w:rPr>
            </w:pPr>
            <w:r>
              <w:rPr>
                <w:rFonts w:hint="eastAsia" w:ascii="宋体" w:hAnsi="宋体" w:cs="宋体"/>
                <w:color w:val="auto"/>
                <w:sz w:val="24"/>
                <w:szCs w:val="24"/>
              </w:rPr>
              <w:t xml:space="preserve">传真： </w:t>
            </w:r>
          </w:p>
        </w:tc>
        <w:tc>
          <w:tcPr>
            <w:tcW w:w="1258" w:type="dxa"/>
          </w:tcPr>
          <w:p>
            <w:pPr>
              <w:ind w:firstLine="480" w:firstLineChars="200"/>
              <w:rPr>
                <w:rFonts w:ascii="宋体" w:hAnsi="宋体" w:cs="宋体"/>
                <w:color w:val="auto"/>
                <w:sz w:val="24"/>
                <w:szCs w:val="24"/>
              </w:rPr>
            </w:pPr>
            <w:r>
              <w:rPr>
                <w:rFonts w:hint="eastAsia" w:ascii="宋体" w:hAnsi="宋体" w:cs="宋体"/>
                <w:color w:val="auto"/>
                <w:sz w:val="24"/>
                <w:szCs w:val="24"/>
              </w:rPr>
              <w:t xml:space="preserve"> </w:t>
            </w:r>
          </w:p>
        </w:tc>
        <w:tc>
          <w:tcPr>
            <w:tcW w:w="3404" w:type="dxa"/>
          </w:tcPr>
          <w:p>
            <w:pPr>
              <w:ind w:firstLine="480" w:firstLineChars="200"/>
              <w:rPr>
                <w:rFonts w:ascii="宋体" w:hAnsi="宋体" w:cs="宋体"/>
                <w:color w:val="auto"/>
                <w:sz w:val="24"/>
                <w:szCs w:val="24"/>
              </w:rPr>
            </w:pPr>
            <w:r>
              <w:rPr>
                <w:rFonts w:hint="eastAsia" w:ascii="宋体" w:hAnsi="宋体" w:cs="宋体"/>
                <w:color w:val="auto"/>
                <w:sz w:val="24"/>
                <w:szCs w:val="24"/>
              </w:rPr>
              <w:t xml:space="preserve">传真： </w:t>
            </w:r>
          </w:p>
        </w:tc>
        <w:tc>
          <w:tcPr>
            <w:tcW w:w="1246" w:type="dxa"/>
          </w:tcPr>
          <w:p>
            <w:pPr>
              <w:ind w:firstLine="480" w:firstLineChars="200"/>
              <w:rPr>
                <w:rFonts w:ascii="宋体" w:hAnsi="宋体" w:cs="宋体"/>
                <w:color w:val="auto"/>
                <w:sz w:val="24"/>
                <w:szCs w:val="24"/>
              </w:rPr>
            </w:pPr>
          </w:p>
        </w:tc>
      </w:tr>
      <w:tr>
        <w:tblPrEx>
          <w:tblCellMar>
            <w:top w:w="0" w:type="dxa"/>
            <w:left w:w="0" w:type="dxa"/>
            <w:bottom w:w="0" w:type="dxa"/>
            <w:right w:w="0" w:type="dxa"/>
          </w:tblCellMar>
        </w:tblPrEx>
        <w:trPr>
          <w:trHeight w:val="368" w:hRule="atLeast"/>
          <w:jc w:val="center"/>
        </w:trPr>
        <w:tc>
          <w:tcPr>
            <w:tcW w:w="3469" w:type="dxa"/>
          </w:tcPr>
          <w:p>
            <w:pPr>
              <w:ind w:firstLine="480" w:firstLineChars="200"/>
              <w:rPr>
                <w:rFonts w:ascii="宋体" w:hAnsi="宋体" w:cs="宋体"/>
                <w:color w:val="auto"/>
                <w:sz w:val="24"/>
                <w:szCs w:val="24"/>
              </w:rPr>
            </w:pPr>
            <w:r>
              <w:rPr>
                <w:rFonts w:hint="eastAsia" w:ascii="宋体" w:hAnsi="宋体" w:cs="宋体"/>
                <w:color w:val="auto"/>
                <w:sz w:val="24"/>
                <w:szCs w:val="24"/>
              </w:rPr>
              <w:t>开户银行</w:t>
            </w:r>
          </w:p>
        </w:tc>
        <w:tc>
          <w:tcPr>
            <w:tcW w:w="1258" w:type="dxa"/>
          </w:tcPr>
          <w:p>
            <w:pPr>
              <w:ind w:firstLine="480" w:firstLineChars="200"/>
              <w:rPr>
                <w:rFonts w:ascii="宋体" w:hAnsi="宋体" w:cs="宋体"/>
                <w:color w:val="auto"/>
                <w:sz w:val="24"/>
                <w:szCs w:val="24"/>
              </w:rPr>
            </w:pPr>
            <w:r>
              <w:rPr>
                <w:rFonts w:hint="eastAsia" w:ascii="宋体" w:hAnsi="宋体" w:cs="宋体"/>
                <w:color w:val="auto"/>
                <w:sz w:val="24"/>
                <w:szCs w:val="24"/>
              </w:rPr>
              <w:t xml:space="preserve"> </w:t>
            </w:r>
          </w:p>
        </w:tc>
        <w:tc>
          <w:tcPr>
            <w:tcW w:w="3404" w:type="dxa"/>
          </w:tcPr>
          <w:p>
            <w:pPr>
              <w:ind w:firstLine="480" w:firstLineChars="200"/>
              <w:rPr>
                <w:rFonts w:ascii="宋体" w:hAnsi="宋体" w:cs="宋体"/>
                <w:color w:val="auto"/>
                <w:sz w:val="24"/>
                <w:szCs w:val="24"/>
              </w:rPr>
            </w:pPr>
            <w:r>
              <w:rPr>
                <w:rFonts w:hint="eastAsia" w:ascii="宋体" w:hAnsi="宋体" w:cs="宋体"/>
                <w:color w:val="auto"/>
                <w:sz w:val="24"/>
                <w:szCs w:val="24"/>
              </w:rPr>
              <w:t>开户银行：</w:t>
            </w:r>
          </w:p>
        </w:tc>
        <w:tc>
          <w:tcPr>
            <w:tcW w:w="1246" w:type="dxa"/>
          </w:tcPr>
          <w:p>
            <w:pPr>
              <w:ind w:firstLine="480" w:firstLineChars="200"/>
              <w:rPr>
                <w:rFonts w:ascii="宋体" w:hAnsi="宋体" w:cs="宋体"/>
                <w:color w:val="auto"/>
                <w:sz w:val="24"/>
                <w:szCs w:val="24"/>
              </w:rPr>
            </w:pPr>
          </w:p>
        </w:tc>
      </w:tr>
      <w:tr>
        <w:tblPrEx>
          <w:tblCellMar>
            <w:top w:w="0" w:type="dxa"/>
            <w:left w:w="0" w:type="dxa"/>
            <w:bottom w:w="0" w:type="dxa"/>
            <w:right w:w="0" w:type="dxa"/>
          </w:tblCellMar>
        </w:tblPrEx>
        <w:trPr>
          <w:trHeight w:val="102" w:hRule="atLeast"/>
          <w:jc w:val="center"/>
        </w:trPr>
        <w:tc>
          <w:tcPr>
            <w:tcW w:w="3469" w:type="dxa"/>
          </w:tcPr>
          <w:p>
            <w:pPr>
              <w:ind w:firstLine="480" w:firstLineChars="200"/>
              <w:rPr>
                <w:rFonts w:ascii="宋体" w:hAnsi="宋体" w:cs="宋体"/>
                <w:color w:val="auto"/>
                <w:sz w:val="24"/>
                <w:szCs w:val="24"/>
              </w:rPr>
            </w:pPr>
            <w:r>
              <w:rPr>
                <w:rFonts w:hint="eastAsia" w:ascii="宋体" w:hAnsi="宋体" w:cs="宋体"/>
                <w:color w:val="auto"/>
                <w:sz w:val="24"/>
                <w:szCs w:val="24"/>
              </w:rPr>
              <w:t>账号</w:t>
            </w:r>
          </w:p>
          <w:p>
            <w:pPr>
              <w:rPr>
                <w:color w:val="auto"/>
              </w:rPr>
            </w:pPr>
          </w:p>
        </w:tc>
        <w:tc>
          <w:tcPr>
            <w:tcW w:w="1258" w:type="dxa"/>
          </w:tcPr>
          <w:p>
            <w:pPr>
              <w:ind w:firstLine="480" w:firstLineChars="200"/>
              <w:rPr>
                <w:rFonts w:ascii="宋体" w:hAnsi="宋体" w:cs="宋体"/>
                <w:color w:val="auto"/>
                <w:sz w:val="24"/>
                <w:szCs w:val="24"/>
              </w:rPr>
            </w:pPr>
            <w:r>
              <w:rPr>
                <w:rFonts w:hint="eastAsia" w:ascii="宋体" w:hAnsi="宋体" w:cs="宋体"/>
                <w:color w:val="auto"/>
                <w:sz w:val="24"/>
                <w:szCs w:val="24"/>
              </w:rPr>
              <w:t xml:space="preserve"> </w:t>
            </w:r>
          </w:p>
        </w:tc>
        <w:tc>
          <w:tcPr>
            <w:tcW w:w="3404" w:type="dxa"/>
          </w:tcPr>
          <w:p>
            <w:pPr>
              <w:ind w:firstLine="480" w:firstLineChars="200"/>
              <w:rPr>
                <w:rFonts w:ascii="宋体" w:hAnsi="宋体" w:cs="宋体"/>
                <w:color w:val="auto"/>
                <w:sz w:val="24"/>
                <w:szCs w:val="24"/>
              </w:rPr>
            </w:pPr>
            <w:r>
              <w:rPr>
                <w:rFonts w:hint="eastAsia" w:ascii="宋体" w:hAnsi="宋体" w:cs="宋体"/>
                <w:color w:val="auto"/>
                <w:sz w:val="24"/>
                <w:szCs w:val="24"/>
              </w:rPr>
              <w:t>账号：</w:t>
            </w:r>
          </w:p>
        </w:tc>
        <w:tc>
          <w:tcPr>
            <w:tcW w:w="1246" w:type="dxa"/>
          </w:tcPr>
          <w:p>
            <w:pPr>
              <w:pStyle w:val="14"/>
              <w:ind w:firstLine="480" w:firstLineChars="200"/>
              <w:rPr>
                <w:rFonts w:hAnsi="宋体" w:cs="宋体"/>
                <w:color w:val="auto"/>
                <w:sz w:val="24"/>
                <w:szCs w:val="24"/>
              </w:rPr>
            </w:pPr>
          </w:p>
        </w:tc>
      </w:tr>
    </w:tbl>
    <w:p>
      <w:pPr>
        <w:spacing w:line="254" w:lineRule="exact"/>
        <w:ind w:firstLine="480" w:firstLineChars="200"/>
        <w:rPr>
          <w:rFonts w:ascii="宋体" w:hAnsi="宋体" w:cs="宋体"/>
          <w:color w:val="auto"/>
          <w:sz w:val="24"/>
          <w:szCs w:val="24"/>
        </w:rPr>
        <w:sectPr>
          <w:footerReference r:id="rId4" w:type="default"/>
          <w:pgSz w:w="12240" w:h="15840"/>
          <w:pgMar w:top="1440" w:right="1803" w:bottom="1440" w:left="1803" w:header="0" w:footer="623" w:gutter="0"/>
          <w:cols w:space="720" w:num="1"/>
        </w:sectPr>
      </w:pPr>
    </w:p>
    <w:p>
      <w:pPr>
        <w:pStyle w:val="6"/>
        <w:spacing w:before="0" w:after="0"/>
        <w:ind w:firstLine="562" w:firstLineChars="200"/>
        <w:jc w:val="center"/>
        <w:rPr>
          <w:rFonts w:ascii="宋体" w:hAnsi="宋体" w:eastAsia="宋体" w:cs="宋体"/>
          <w:color w:val="auto"/>
          <w:sz w:val="24"/>
          <w:szCs w:val="24"/>
        </w:rPr>
      </w:pPr>
      <w:r>
        <w:rPr>
          <w:rFonts w:hint="eastAsia" w:ascii="宋体" w:hAnsi="宋体" w:eastAsia="宋体" w:cs="宋体"/>
          <w:b/>
          <w:bCs/>
          <w:color w:val="auto"/>
          <w:szCs w:val="28"/>
        </w:rPr>
        <w:t>第二章 标准条款</w:t>
      </w:r>
    </w:p>
    <w:p>
      <w:pPr>
        <w:pStyle w:val="12"/>
        <w:spacing w:after="0"/>
        <w:ind w:firstLine="482" w:firstLineChars="200"/>
        <w:rPr>
          <w:rFonts w:ascii="宋体" w:hAnsi="宋体" w:cs="宋体"/>
          <w:b/>
          <w:color w:val="auto"/>
          <w:sz w:val="24"/>
          <w:szCs w:val="24"/>
        </w:rPr>
      </w:pPr>
    </w:p>
    <w:p>
      <w:pPr>
        <w:pStyle w:val="8"/>
        <w:spacing w:line="360" w:lineRule="auto"/>
        <w:ind w:left="0" w:firstLine="482" w:firstLineChars="200"/>
        <w:rPr>
          <w:rFonts w:ascii="宋体" w:hAnsi="宋体" w:cs="宋体"/>
          <w:b w:val="0"/>
          <w:color w:val="auto"/>
        </w:rPr>
      </w:pPr>
      <w:r>
        <w:rPr>
          <w:rFonts w:hint="eastAsia" w:ascii="宋体" w:hAnsi="宋体" w:cs="宋体"/>
          <w:color w:val="auto"/>
        </w:rPr>
        <w:t>词语定义、适用范围和法规</w:t>
      </w:r>
      <w:r>
        <w:rPr>
          <w:rFonts w:hint="eastAsia" w:ascii="宋体" w:hAnsi="宋体" w:cs="宋体"/>
          <w:b w:val="0"/>
          <w:color w:val="auto"/>
        </w:rPr>
        <w:t xml:space="preserve"> </w:t>
      </w:r>
    </w:p>
    <w:p>
      <w:pPr>
        <w:pStyle w:val="12"/>
        <w:spacing w:after="0" w:line="360" w:lineRule="auto"/>
        <w:ind w:firstLine="482" w:firstLineChars="200"/>
        <w:rPr>
          <w:rFonts w:ascii="宋体" w:hAnsi="宋体" w:cs="宋体"/>
          <w:color w:val="auto"/>
          <w:sz w:val="24"/>
          <w:szCs w:val="24"/>
        </w:rPr>
      </w:pPr>
      <w:r>
        <w:rPr>
          <w:rFonts w:hint="eastAsia" w:ascii="宋体" w:hAnsi="宋体" w:cs="宋体"/>
          <w:b/>
          <w:color w:val="auto"/>
          <w:sz w:val="24"/>
          <w:szCs w:val="24"/>
        </w:rPr>
        <w:t xml:space="preserve">第一条 </w:t>
      </w:r>
      <w:r>
        <w:rPr>
          <w:rFonts w:hint="eastAsia" w:ascii="宋体" w:hAnsi="宋体" w:cs="宋体"/>
          <w:color w:val="auto"/>
          <w:sz w:val="24"/>
          <w:szCs w:val="24"/>
        </w:rPr>
        <w:t xml:space="preserve">下列名词和用语，除上下文另有规定外，有如下含义： </w:t>
      </w:r>
    </w:p>
    <w:p>
      <w:pPr>
        <w:pStyle w:val="32"/>
        <w:numPr>
          <w:ilvl w:val="0"/>
          <w:numId w:val="3"/>
        </w:numPr>
        <w:tabs>
          <w:tab w:val="left" w:pos="1190"/>
        </w:tabs>
        <w:spacing w:line="360" w:lineRule="auto"/>
        <w:ind w:left="0" w:firstLine="480"/>
        <w:rPr>
          <w:rFonts w:ascii="宋体" w:hAnsi="宋体" w:cs="宋体"/>
          <w:color w:val="auto"/>
          <w:sz w:val="24"/>
          <w:szCs w:val="24"/>
        </w:rPr>
      </w:pPr>
      <w:r>
        <w:rPr>
          <w:rFonts w:hint="eastAsia" w:ascii="宋体" w:hAnsi="宋体" w:cs="宋体"/>
          <w:color w:val="auto"/>
          <w:sz w:val="24"/>
          <w:szCs w:val="24"/>
        </w:rPr>
        <w:t xml:space="preserve">“工程”是指委托人委托实施监理的工程。 </w:t>
      </w:r>
    </w:p>
    <w:p>
      <w:pPr>
        <w:pStyle w:val="32"/>
        <w:numPr>
          <w:ilvl w:val="0"/>
          <w:numId w:val="3"/>
        </w:numPr>
        <w:tabs>
          <w:tab w:val="left" w:pos="1190"/>
        </w:tabs>
        <w:spacing w:line="360" w:lineRule="auto"/>
        <w:ind w:left="0" w:firstLine="480"/>
        <w:rPr>
          <w:rFonts w:ascii="宋体" w:hAnsi="宋体" w:cs="宋体"/>
          <w:color w:val="auto"/>
          <w:sz w:val="24"/>
          <w:szCs w:val="24"/>
        </w:rPr>
      </w:pPr>
      <w:r>
        <w:rPr>
          <w:rFonts w:hint="eastAsia" w:ascii="宋体" w:hAnsi="宋体" w:cs="宋体"/>
          <w:color w:val="auto"/>
          <w:sz w:val="24"/>
          <w:szCs w:val="24"/>
        </w:rPr>
        <w:t xml:space="preserve">“委托人”是指委托监理业务的一方以及其合法继承人。 </w:t>
      </w:r>
    </w:p>
    <w:p>
      <w:pPr>
        <w:pStyle w:val="32"/>
        <w:numPr>
          <w:ilvl w:val="0"/>
          <w:numId w:val="3"/>
        </w:numPr>
        <w:tabs>
          <w:tab w:val="left" w:pos="1190"/>
        </w:tabs>
        <w:spacing w:line="360" w:lineRule="auto"/>
        <w:ind w:left="0" w:firstLine="480"/>
        <w:rPr>
          <w:rFonts w:ascii="宋体" w:hAnsi="宋体" w:cs="宋体"/>
          <w:color w:val="auto"/>
          <w:sz w:val="24"/>
          <w:szCs w:val="24"/>
        </w:rPr>
      </w:pPr>
      <w:r>
        <w:rPr>
          <w:rFonts w:hint="eastAsia" w:ascii="宋体" w:hAnsi="宋体" w:cs="宋体"/>
          <w:color w:val="auto"/>
          <w:sz w:val="24"/>
          <w:szCs w:val="24"/>
        </w:rPr>
        <w:t xml:space="preserve">“监理人”是指承担监理业务和监理责任的一方以及其合法继承人。 </w:t>
      </w:r>
    </w:p>
    <w:p>
      <w:pPr>
        <w:pStyle w:val="32"/>
        <w:numPr>
          <w:ilvl w:val="0"/>
          <w:numId w:val="3"/>
        </w:numPr>
        <w:tabs>
          <w:tab w:val="left" w:pos="1190"/>
        </w:tabs>
        <w:spacing w:line="360" w:lineRule="auto"/>
        <w:ind w:left="0" w:firstLine="480"/>
        <w:rPr>
          <w:rFonts w:ascii="宋体" w:hAnsi="宋体" w:cs="宋体"/>
          <w:color w:val="auto"/>
          <w:sz w:val="24"/>
          <w:szCs w:val="24"/>
        </w:rPr>
      </w:pPr>
      <w:r>
        <w:rPr>
          <w:rFonts w:hint="eastAsia" w:ascii="宋体" w:hAnsi="宋体" w:cs="宋体"/>
          <w:color w:val="auto"/>
          <w:sz w:val="24"/>
          <w:szCs w:val="24"/>
        </w:rPr>
        <w:t xml:space="preserve">“监理机构”是指监理人派驻本合同工程现场实施监理业务的组织。 </w:t>
      </w:r>
    </w:p>
    <w:p>
      <w:pPr>
        <w:pStyle w:val="32"/>
        <w:numPr>
          <w:ilvl w:val="0"/>
          <w:numId w:val="3"/>
        </w:numPr>
        <w:tabs>
          <w:tab w:val="left" w:pos="1190"/>
        </w:tabs>
        <w:spacing w:line="360" w:lineRule="auto"/>
        <w:ind w:left="0" w:firstLine="480"/>
        <w:rPr>
          <w:rFonts w:ascii="宋体" w:hAnsi="宋体" w:cs="宋体"/>
          <w:color w:val="auto"/>
          <w:sz w:val="24"/>
          <w:szCs w:val="24"/>
        </w:rPr>
      </w:pPr>
      <w:r>
        <w:rPr>
          <w:rFonts w:hint="eastAsia" w:ascii="宋体" w:hAnsi="宋体" w:cs="宋体"/>
          <w:color w:val="auto"/>
          <w:sz w:val="24"/>
          <w:szCs w:val="24"/>
        </w:rPr>
        <w:t>“总监理工程师”是指经委托人同意，由监理人法定代表人书面授权派到监理机构全面履行本合同的全权负责人。</w:t>
      </w:r>
      <w:r>
        <w:rPr>
          <w:rFonts w:ascii="宋体" w:hAnsi="宋体" w:cs="宋体"/>
          <w:color w:val="auto"/>
          <w:sz w:val="24"/>
          <w:szCs w:val="24"/>
        </w:rPr>
        <w:t xml:space="preserve"> </w:t>
      </w:r>
    </w:p>
    <w:p>
      <w:pPr>
        <w:pStyle w:val="32"/>
        <w:numPr>
          <w:ilvl w:val="0"/>
          <w:numId w:val="3"/>
        </w:numPr>
        <w:tabs>
          <w:tab w:val="left" w:pos="1190"/>
        </w:tabs>
        <w:spacing w:line="360" w:lineRule="auto"/>
        <w:ind w:left="0" w:firstLine="480"/>
        <w:rPr>
          <w:rFonts w:ascii="宋体" w:hAnsi="宋体" w:cs="宋体"/>
          <w:color w:val="auto"/>
          <w:sz w:val="24"/>
          <w:szCs w:val="24"/>
        </w:rPr>
      </w:pPr>
      <w:r>
        <w:rPr>
          <w:rFonts w:hint="eastAsia" w:ascii="宋体" w:hAnsi="宋体" w:cs="宋体"/>
          <w:color w:val="auto"/>
          <w:sz w:val="24"/>
          <w:szCs w:val="24"/>
        </w:rPr>
        <w:t xml:space="preserve">“承包人”是指除监理人以外，与委托人就工程建设有关事宜签订合同的当事人。 </w:t>
      </w:r>
    </w:p>
    <w:p>
      <w:pPr>
        <w:pStyle w:val="32"/>
        <w:numPr>
          <w:ilvl w:val="0"/>
          <w:numId w:val="3"/>
        </w:numPr>
        <w:tabs>
          <w:tab w:val="left" w:pos="1190"/>
        </w:tabs>
        <w:spacing w:line="360" w:lineRule="auto"/>
        <w:ind w:left="0" w:firstLine="476"/>
        <w:rPr>
          <w:rFonts w:ascii="宋体" w:hAnsi="宋体" w:cs="宋体"/>
          <w:color w:val="auto"/>
          <w:sz w:val="24"/>
          <w:szCs w:val="24"/>
        </w:rPr>
      </w:pPr>
      <w:r>
        <w:rPr>
          <w:rFonts w:hint="eastAsia" w:ascii="宋体" w:hAnsi="宋体" w:cs="宋体"/>
          <w:color w:val="auto"/>
          <w:spacing w:val="-1"/>
          <w:sz w:val="24"/>
          <w:szCs w:val="24"/>
        </w:rPr>
        <w:t>“工程监理的正常工作”是指双方在专用条款中约定，委托人委托的监理工作范围</w:t>
      </w:r>
      <w:r>
        <w:rPr>
          <w:rFonts w:hint="eastAsia" w:ascii="宋体" w:hAnsi="宋体" w:cs="宋体"/>
          <w:color w:val="auto"/>
          <w:sz w:val="24"/>
          <w:szCs w:val="24"/>
        </w:rPr>
        <w:t xml:space="preserve">和内容。 </w:t>
      </w:r>
    </w:p>
    <w:p>
      <w:pPr>
        <w:pStyle w:val="32"/>
        <w:numPr>
          <w:ilvl w:val="0"/>
          <w:numId w:val="3"/>
        </w:numPr>
        <w:tabs>
          <w:tab w:val="left" w:pos="1190"/>
        </w:tabs>
        <w:spacing w:line="360" w:lineRule="auto"/>
        <w:ind w:left="0" w:firstLine="476"/>
        <w:rPr>
          <w:rFonts w:ascii="宋体" w:hAnsi="宋体" w:cs="宋体"/>
          <w:color w:val="auto"/>
          <w:sz w:val="24"/>
          <w:szCs w:val="24"/>
        </w:rPr>
      </w:pPr>
      <w:r>
        <w:rPr>
          <w:rFonts w:hint="eastAsia" w:ascii="宋体" w:hAnsi="宋体" w:cs="宋体"/>
          <w:color w:val="auto"/>
          <w:spacing w:val="-1"/>
          <w:sz w:val="24"/>
          <w:szCs w:val="24"/>
        </w:rPr>
        <w:t>“工程监理的附加工作”是指：①委托人委托监理范围以外，委托人和监理人通过</w:t>
      </w:r>
      <w:r>
        <w:rPr>
          <w:rFonts w:hint="eastAsia" w:ascii="宋体" w:hAnsi="宋体" w:cs="宋体"/>
          <w:color w:val="auto"/>
          <w:spacing w:val="-7"/>
          <w:sz w:val="24"/>
          <w:szCs w:val="24"/>
        </w:rPr>
        <w:t>书面协议另外增加的工作内容；②由于委托人或承包人原因，使监理工作受到阻碍或延误，因</w:t>
      </w:r>
      <w:r>
        <w:rPr>
          <w:rFonts w:hint="eastAsia" w:ascii="宋体" w:hAnsi="宋体" w:cs="宋体"/>
          <w:color w:val="auto"/>
          <w:sz w:val="24"/>
          <w:szCs w:val="24"/>
        </w:rPr>
        <w:t xml:space="preserve">增加工作量或持续时间而增加的经委托人书面确认的工作。 </w:t>
      </w:r>
    </w:p>
    <w:p>
      <w:pPr>
        <w:pStyle w:val="32"/>
        <w:numPr>
          <w:ilvl w:val="0"/>
          <w:numId w:val="3"/>
        </w:numPr>
        <w:tabs>
          <w:tab w:val="left" w:pos="1190"/>
        </w:tabs>
        <w:spacing w:line="360" w:lineRule="auto"/>
        <w:ind w:left="0" w:firstLine="476"/>
        <w:rPr>
          <w:rFonts w:ascii="宋体" w:hAnsi="宋体" w:cs="宋体"/>
          <w:color w:val="auto"/>
          <w:sz w:val="24"/>
          <w:szCs w:val="24"/>
        </w:rPr>
      </w:pPr>
      <w:r>
        <w:rPr>
          <w:rFonts w:hint="eastAsia" w:ascii="宋体" w:hAnsi="宋体" w:cs="宋体"/>
          <w:color w:val="auto"/>
          <w:spacing w:val="-1"/>
          <w:sz w:val="24"/>
          <w:szCs w:val="24"/>
        </w:rPr>
        <w:t>“工程监理的额外工作”是指正常工作和附加工作以外，非监理人自己的原因而暂</w:t>
      </w:r>
      <w:r>
        <w:rPr>
          <w:rFonts w:hint="eastAsia" w:ascii="宋体" w:hAnsi="宋体" w:cs="宋体"/>
          <w:color w:val="auto"/>
          <w:sz w:val="24"/>
          <w:szCs w:val="24"/>
        </w:rPr>
        <w:t xml:space="preserve">停或终止监理业务，其善后工作及恢复监理业务的工作。 </w:t>
      </w:r>
    </w:p>
    <w:p>
      <w:pPr>
        <w:pStyle w:val="32"/>
        <w:numPr>
          <w:ilvl w:val="0"/>
          <w:numId w:val="3"/>
        </w:numPr>
        <w:tabs>
          <w:tab w:val="left" w:pos="1310"/>
        </w:tabs>
        <w:spacing w:line="360" w:lineRule="auto"/>
        <w:ind w:left="0" w:firstLine="480"/>
        <w:rPr>
          <w:rFonts w:ascii="宋体" w:hAnsi="宋体" w:cs="宋体"/>
          <w:color w:val="auto"/>
          <w:sz w:val="24"/>
          <w:szCs w:val="24"/>
        </w:rPr>
      </w:pPr>
      <w:r>
        <w:rPr>
          <w:rFonts w:hint="eastAsia" w:ascii="宋体" w:hAnsi="宋体" w:cs="宋体"/>
          <w:color w:val="auto"/>
          <w:sz w:val="24"/>
          <w:szCs w:val="24"/>
        </w:rPr>
        <w:t xml:space="preserve">“一方”是指委托人或监理人；“双方”是指委托人和监理人。 </w:t>
      </w:r>
    </w:p>
    <w:p>
      <w:pPr>
        <w:pStyle w:val="32"/>
        <w:numPr>
          <w:ilvl w:val="0"/>
          <w:numId w:val="3"/>
        </w:numPr>
        <w:tabs>
          <w:tab w:val="left" w:pos="1310"/>
        </w:tabs>
        <w:spacing w:line="360" w:lineRule="auto"/>
        <w:ind w:left="0" w:firstLine="468"/>
        <w:rPr>
          <w:rFonts w:ascii="宋体" w:hAnsi="宋体" w:cs="宋体"/>
          <w:color w:val="auto"/>
          <w:sz w:val="24"/>
          <w:szCs w:val="24"/>
        </w:rPr>
      </w:pPr>
      <w:r>
        <w:rPr>
          <w:rFonts w:hint="eastAsia" w:ascii="宋体" w:hAnsi="宋体" w:cs="宋体"/>
          <w:color w:val="auto"/>
          <w:spacing w:val="-3"/>
          <w:sz w:val="24"/>
          <w:szCs w:val="24"/>
        </w:rPr>
        <w:t>“书面形式”是指合同书、信件和数据电文</w:t>
      </w:r>
      <w:r>
        <w:rPr>
          <w:rFonts w:hint="eastAsia" w:ascii="宋体" w:hAnsi="宋体" w:cs="宋体"/>
          <w:color w:val="auto"/>
          <w:sz w:val="24"/>
          <w:szCs w:val="24"/>
        </w:rPr>
        <w:t>（</w:t>
      </w:r>
      <w:r>
        <w:rPr>
          <w:rFonts w:hint="eastAsia" w:ascii="宋体" w:hAnsi="宋体" w:cs="宋体"/>
          <w:color w:val="auto"/>
          <w:spacing w:val="-8"/>
          <w:sz w:val="24"/>
          <w:szCs w:val="24"/>
        </w:rPr>
        <w:t>包括电报、电传、传真、电子数据交</w:t>
      </w:r>
      <w:r>
        <w:rPr>
          <w:rFonts w:hint="eastAsia" w:ascii="宋体" w:hAnsi="宋体" w:cs="宋体"/>
          <w:color w:val="auto"/>
          <w:sz w:val="24"/>
          <w:szCs w:val="24"/>
        </w:rPr>
        <w:t xml:space="preserve">换和电子邮件）等可以有形地表现所载内容的形式。 </w:t>
      </w:r>
    </w:p>
    <w:p>
      <w:pPr>
        <w:pStyle w:val="32"/>
        <w:numPr>
          <w:ilvl w:val="0"/>
          <w:numId w:val="3"/>
        </w:numPr>
        <w:tabs>
          <w:tab w:val="left" w:pos="1310"/>
        </w:tabs>
        <w:spacing w:line="360" w:lineRule="auto"/>
        <w:ind w:left="0" w:firstLine="480"/>
        <w:rPr>
          <w:rFonts w:ascii="宋体" w:hAnsi="宋体" w:cs="宋体"/>
          <w:color w:val="auto"/>
          <w:sz w:val="24"/>
          <w:szCs w:val="24"/>
        </w:rPr>
      </w:pPr>
      <w:r>
        <w:rPr>
          <w:rFonts w:hint="eastAsia" w:ascii="宋体" w:hAnsi="宋体" w:cs="宋体"/>
          <w:color w:val="auto"/>
          <w:sz w:val="24"/>
          <w:szCs w:val="24"/>
        </w:rPr>
        <w:t xml:space="preserve">“日”是指任何一日零时至第二日零时的时间段。 </w:t>
      </w:r>
    </w:p>
    <w:p>
      <w:pPr>
        <w:pStyle w:val="32"/>
        <w:numPr>
          <w:ilvl w:val="0"/>
          <w:numId w:val="3"/>
        </w:numPr>
        <w:tabs>
          <w:tab w:val="left" w:pos="1310"/>
        </w:tabs>
        <w:spacing w:line="360" w:lineRule="auto"/>
        <w:ind w:left="0" w:firstLine="480"/>
        <w:rPr>
          <w:rFonts w:ascii="宋体" w:hAnsi="宋体" w:cs="宋体"/>
          <w:color w:val="auto"/>
          <w:sz w:val="24"/>
          <w:szCs w:val="24"/>
        </w:rPr>
      </w:pPr>
      <w:r>
        <w:rPr>
          <w:rFonts w:hint="eastAsia" w:ascii="宋体" w:hAnsi="宋体" w:cs="宋体"/>
          <w:color w:val="auto"/>
          <w:sz w:val="24"/>
          <w:szCs w:val="24"/>
        </w:rPr>
        <w:t>“月”是指根据公历从一个月份中任何一日开始到下一个月相应日期的前一日的</w:t>
      </w:r>
      <w:r>
        <w:rPr>
          <w:rFonts w:hint="eastAsia" w:ascii="宋体" w:hAnsi="宋体" w:cs="宋体"/>
          <w:color w:val="auto"/>
          <w:spacing w:val="-5"/>
          <w:sz w:val="24"/>
          <w:szCs w:val="24"/>
        </w:rPr>
        <w:t xml:space="preserve">时间段。 </w:t>
      </w:r>
    </w:p>
    <w:p>
      <w:pPr>
        <w:pStyle w:val="12"/>
        <w:spacing w:after="0" w:line="360" w:lineRule="auto"/>
        <w:ind w:firstLine="482" w:firstLineChars="200"/>
        <w:rPr>
          <w:rFonts w:ascii="宋体" w:hAnsi="宋体" w:cs="宋体"/>
          <w:color w:val="auto"/>
          <w:sz w:val="24"/>
          <w:szCs w:val="24"/>
        </w:rPr>
      </w:pPr>
      <w:r>
        <w:rPr>
          <w:rFonts w:hint="eastAsia" w:ascii="宋体" w:hAnsi="宋体" w:cs="宋体"/>
          <w:b/>
          <w:color w:val="auto"/>
          <w:sz w:val="24"/>
          <w:szCs w:val="24"/>
        </w:rPr>
        <w:t xml:space="preserve">第二条 </w:t>
      </w:r>
      <w:r>
        <w:rPr>
          <w:rFonts w:hint="eastAsia" w:ascii="宋体" w:hAnsi="宋体" w:cs="宋体"/>
          <w:color w:val="auto"/>
          <w:sz w:val="24"/>
          <w:szCs w:val="24"/>
        </w:rPr>
        <w:t xml:space="preserve">建设工程工程监理合同适用的法律是指国家的法律、行政法规，以及专用条款中议定的部门规章或工程所在地的地方法规、地方规章。 </w:t>
      </w:r>
    </w:p>
    <w:p>
      <w:pPr>
        <w:pStyle w:val="12"/>
        <w:spacing w:after="0" w:line="360" w:lineRule="auto"/>
        <w:ind w:firstLine="482" w:firstLineChars="200"/>
        <w:rPr>
          <w:rFonts w:ascii="宋体" w:hAnsi="宋体" w:cs="宋体"/>
          <w:color w:val="auto"/>
          <w:sz w:val="24"/>
          <w:szCs w:val="24"/>
        </w:rPr>
      </w:pPr>
      <w:r>
        <w:rPr>
          <w:rFonts w:hint="eastAsia" w:ascii="宋体" w:hAnsi="宋体" w:cs="宋体"/>
          <w:b/>
          <w:color w:val="auto"/>
          <w:sz w:val="24"/>
          <w:szCs w:val="24"/>
        </w:rPr>
        <w:t xml:space="preserve">第三条 </w:t>
      </w:r>
      <w:r>
        <w:rPr>
          <w:rFonts w:hint="eastAsia" w:ascii="宋体" w:hAnsi="宋体" w:cs="宋体"/>
          <w:color w:val="auto"/>
          <w:sz w:val="24"/>
          <w:szCs w:val="24"/>
        </w:rPr>
        <w:t>本合同文件使用汉语语言文字书写、解释和说明。如专用条款约定使用两种以上（含两种）语言文字时，汉语应为解释和说明本合同的标准语言文字。</w:t>
      </w:r>
    </w:p>
    <w:p>
      <w:pPr>
        <w:pStyle w:val="12"/>
        <w:tabs>
          <w:tab w:val="left" w:pos="4418"/>
        </w:tabs>
        <w:spacing w:after="0" w:line="360" w:lineRule="auto"/>
        <w:jc w:val="center"/>
        <w:rPr>
          <w:rFonts w:ascii="宋体" w:hAnsi="宋体" w:cs="宋体"/>
          <w:b/>
          <w:color w:val="auto"/>
          <w:sz w:val="24"/>
          <w:szCs w:val="24"/>
        </w:rPr>
      </w:pPr>
      <w:r>
        <w:rPr>
          <w:rFonts w:hint="eastAsia" w:ascii="宋体" w:hAnsi="宋体" w:cs="宋体"/>
          <w:b/>
          <w:bCs/>
          <w:color w:val="auto"/>
          <w:sz w:val="24"/>
          <w:szCs w:val="24"/>
        </w:rPr>
        <w:t>监理人义务</w:t>
      </w:r>
    </w:p>
    <w:p>
      <w:pPr>
        <w:pStyle w:val="12"/>
        <w:spacing w:after="0" w:line="360" w:lineRule="auto"/>
        <w:ind w:firstLine="482" w:firstLineChars="200"/>
        <w:rPr>
          <w:rFonts w:ascii="宋体" w:hAnsi="宋体" w:cs="宋体"/>
          <w:color w:val="auto"/>
          <w:sz w:val="24"/>
          <w:szCs w:val="24"/>
        </w:rPr>
      </w:pPr>
      <w:r>
        <w:rPr>
          <w:rFonts w:hint="eastAsia" w:ascii="宋体" w:hAnsi="宋体" w:cs="宋体"/>
          <w:b/>
          <w:color w:val="auto"/>
          <w:sz w:val="24"/>
          <w:szCs w:val="24"/>
        </w:rPr>
        <w:t>第四条</w:t>
      </w:r>
      <w:r>
        <w:rPr>
          <w:rFonts w:hint="eastAsia" w:ascii="宋体" w:hAnsi="宋体" w:cs="宋体"/>
          <w:b/>
          <w:color w:val="auto"/>
          <w:spacing w:val="2"/>
          <w:sz w:val="24"/>
          <w:szCs w:val="24"/>
        </w:rPr>
        <w:t xml:space="preserve"> </w:t>
      </w:r>
      <w:r>
        <w:rPr>
          <w:rFonts w:hint="eastAsia" w:ascii="宋体" w:hAnsi="宋体" w:cs="宋体"/>
          <w:color w:val="auto"/>
          <w:spacing w:val="-1"/>
          <w:sz w:val="24"/>
          <w:szCs w:val="24"/>
        </w:rPr>
        <w:t>监理人按合同约定派出监理工作需要的监理机构及监理人员，配备必要设备，向</w:t>
      </w:r>
      <w:r>
        <w:rPr>
          <w:rFonts w:hint="eastAsia" w:ascii="宋体" w:hAnsi="宋体" w:cs="宋体"/>
          <w:color w:val="auto"/>
          <w:spacing w:val="-5"/>
          <w:sz w:val="24"/>
          <w:szCs w:val="24"/>
        </w:rPr>
        <w:t>委托人报送委派的总监理工程师及其监理机构主要成员名单、监理规划，完成监理合同专用条</w:t>
      </w:r>
      <w:r>
        <w:rPr>
          <w:rFonts w:hint="eastAsia" w:ascii="宋体" w:hAnsi="宋体" w:cs="宋体"/>
          <w:color w:val="auto"/>
          <w:spacing w:val="-6"/>
          <w:sz w:val="24"/>
          <w:szCs w:val="24"/>
        </w:rPr>
        <w:t>款中约定的监理工程范围内的监理业务。在履行合同义务期间，应按合同约定定期向委托人报</w:t>
      </w:r>
      <w:r>
        <w:rPr>
          <w:rFonts w:hint="eastAsia" w:ascii="宋体" w:hAnsi="宋体" w:cs="宋体"/>
          <w:color w:val="auto"/>
          <w:sz w:val="24"/>
          <w:szCs w:val="24"/>
        </w:rPr>
        <w:t xml:space="preserve">告监理工作。 </w:t>
      </w:r>
    </w:p>
    <w:p>
      <w:pPr>
        <w:pStyle w:val="12"/>
        <w:spacing w:after="0" w:line="360" w:lineRule="auto"/>
        <w:ind w:firstLine="482" w:firstLineChars="200"/>
        <w:rPr>
          <w:rFonts w:ascii="宋体" w:hAnsi="宋体" w:cs="宋体"/>
          <w:color w:val="auto"/>
          <w:sz w:val="24"/>
          <w:szCs w:val="24"/>
        </w:rPr>
      </w:pPr>
      <w:r>
        <w:rPr>
          <w:rFonts w:hint="eastAsia" w:ascii="宋体" w:hAnsi="宋体" w:cs="宋体"/>
          <w:b/>
          <w:color w:val="auto"/>
          <w:sz w:val="24"/>
          <w:szCs w:val="24"/>
        </w:rPr>
        <w:t xml:space="preserve">第五条 </w:t>
      </w:r>
      <w:r>
        <w:rPr>
          <w:rFonts w:hint="eastAsia" w:ascii="宋体" w:hAnsi="宋体" w:cs="宋体"/>
          <w:color w:val="auto"/>
          <w:spacing w:val="-1"/>
          <w:sz w:val="24"/>
          <w:szCs w:val="24"/>
        </w:rPr>
        <w:t>监理人在履行本合同期间，应遵循职业道德准则和行为规范，严格按照法律法规、工程建设有关标准及本合同履行义务，应认真、勤奋地工作，为委托人提供与其水平相适应的咨询意见，公正维护各方面的合法权益。</w:t>
      </w:r>
      <w:r>
        <w:rPr>
          <w:rFonts w:hint="eastAsia" w:ascii="宋体" w:hAnsi="宋体" w:cs="宋体"/>
          <w:color w:val="auto"/>
          <w:sz w:val="24"/>
          <w:szCs w:val="24"/>
        </w:rPr>
        <w:t xml:space="preserve"> </w:t>
      </w:r>
    </w:p>
    <w:p>
      <w:pPr>
        <w:pStyle w:val="12"/>
        <w:spacing w:after="0" w:line="360" w:lineRule="auto"/>
        <w:ind w:firstLine="482" w:firstLineChars="200"/>
        <w:rPr>
          <w:rFonts w:ascii="宋体" w:hAnsi="宋体" w:cs="宋体"/>
          <w:color w:val="auto"/>
          <w:sz w:val="24"/>
          <w:szCs w:val="24"/>
        </w:rPr>
      </w:pPr>
      <w:r>
        <w:rPr>
          <w:rFonts w:hint="eastAsia" w:ascii="宋体" w:hAnsi="宋体" w:cs="宋体"/>
          <w:b/>
          <w:color w:val="auto"/>
          <w:sz w:val="24"/>
          <w:szCs w:val="24"/>
        </w:rPr>
        <w:t xml:space="preserve">第六条 </w:t>
      </w:r>
      <w:r>
        <w:rPr>
          <w:rFonts w:hint="eastAsia" w:ascii="宋体" w:hAnsi="宋体" w:cs="宋体"/>
          <w:color w:val="auto"/>
          <w:spacing w:val="-7"/>
          <w:sz w:val="24"/>
          <w:szCs w:val="24"/>
        </w:rPr>
        <w:t xml:space="preserve">监理人使用委托人提供的设施和物品属委托人的财产，监理人应妥善使用和保管， </w:t>
      </w:r>
      <w:r>
        <w:rPr>
          <w:rFonts w:hint="eastAsia" w:ascii="宋体" w:hAnsi="宋体" w:cs="宋体"/>
          <w:color w:val="auto"/>
          <w:spacing w:val="-1"/>
          <w:sz w:val="24"/>
          <w:szCs w:val="24"/>
        </w:rPr>
        <w:t xml:space="preserve">在监理工作完成或中止时，应将其设施和剩余的物品按合同约定的时间和方式移交给委托人， </w:t>
      </w:r>
      <w:r>
        <w:rPr>
          <w:rFonts w:hint="eastAsia" w:ascii="宋体" w:hAnsi="宋体" w:cs="宋体"/>
          <w:color w:val="auto"/>
          <w:sz w:val="24"/>
          <w:szCs w:val="24"/>
        </w:rPr>
        <w:t xml:space="preserve">移交给委托人的设施和物品应经委托人书面确认。 </w:t>
      </w:r>
    </w:p>
    <w:p>
      <w:pPr>
        <w:pStyle w:val="12"/>
        <w:spacing w:after="0"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 xml:space="preserve">第七条 </w:t>
      </w:r>
      <w:r>
        <w:rPr>
          <w:rFonts w:hint="eastAsia" w:ascii="宋体" w:hAnsi="宋体" w:cs="宋体"/>
          <w:color w:val="auto"/>
          <w:sz w:val="24"/>
          <w:szCs w:val="24"/>
        </w:rPr>
        <w:t>在合同期内或合同终止后，未征得一方书面同意，任何一方不得泄露与本合同工程、本合同业务有关的未公开资料。</w:t>
      </w:r>
      <w:r>
        <w:rPr>
          <w:rFonts w:hint="eastAsia" w:ascii="宋体" w:hAnsi="宋体" w:cs="宋体"/>
          <w:b/>
          <w:color w:val="auto"/>
          <w:w w:val="99"/>
          <w:sz w:val="24"/>
          <w:szCs w:val="24"/>
        </w:rPr>
        <w:t xml:space="preserve"> </w:t>
      </w:r>
    </w:p>
    <w:p>
      <w:pPr>
        <w:pStyle w:val="8"/>
        <w:spacing w:line="360" w:lineRule="auto"/>
        <w:ind w:left="0"/>
        <w:jc w:val="center"/>
        <w:rPr>
          <w:rFonts w:ascii="宋体" w:hAnsi="宋体" w:cs="宋体"/>
          <w:color w:val="auto"/>
        </w:rPr>
      </w:pPr>
      <w:r>
        <w:rPr>
          <w:rFonts w:hint="eastAsia" w:ascii="宋体" w:hAnsi="宋体" w:cs="宋体"/>
          <w:color w:val="auto"/>
        </w:rPr>
        <w:t>委托人义务</w:t>
      </w:r>
    </w:p>
    <w:p>
      <w:pPr>
        <w:pStyle w:val="12"/>
        <w:spacing w:after="0" w:line="360" w:lineRule="auto"/>
        <w:ind w:firstLine="482" w:firstLineChars="200"/>
        <w:rPr>
          <w:rFonts w:ascii="宋体" w:hAnsi="宋体" w:cs="宋体"/>
          <w:color w:val="auto"/>
          <w:sz w:val="24"/>
          <w:szCs w:val="24"/>
        </w:rPr>
      </w:pPr>
      <w:r>
        <w:rPr>
          <w:rFonts w:hint="eastAsia" w:ascii="宋体" w:hAnsi="宋体" w:cs="宋体"/>
          <w:b/>
          <w:color w:val="auto"/>
          <w:sz w:val="24"/>
          <w:szCs w:val="24"/>
        </w:rPr>
        <w:t xml:space="preserve">第八条 </w:t>
      </w:r>
      <w:r>
        <w:rPr>
          <w:rFonts w:hint="eastAsia" w:ascii="宋体" w:hAnsi="宋体" w:cs="宋体"/>
          <w:color w:val="auto"/>
          <w:sz w:val="24"/>
          <w:szCs w:val="24"/>
        </w:rPr>
        <w:t xml:space="preserve">委托人应按本合同约定向监理人支付监理报酬。 </w:t>
      </w:r>
    </w:p>
    <w:p>
      <w:pPr>
        <w:pStyle w:val="12"/>
        <w:spacing w:after="0" w:line="360" w:lineRule="auto"/>
        <w:ind w:firstLine="482" w:firstLineChars="200"/>
        <w:rPr>
          <w:rFonts w:ascii="宋体" w:hAnsi="宋体" w:cs="宋体"/>
          <w:color w:val="auto"/>
          <w:sz w:val="24"/>
          <w:szCs w:val="24"/>
        </w:rPr>
      </w:pPr>
      <w:r>
        <w:rPr>
          <w:rFonts w:hint="eastAsia" w:ascii="宋体" w:hAnsi="宋体" w:cs="宋体"/>
          <w:b/>
          <w:color w:val="auto"/>
          <w:sz w:val="24"/>
          <w:szCs w:val="24"/>
        </w:rPr>
        <w:t xml:space="preserve">第九条 </w:t>
      </w:r>
      <w:r>
        <w:rPr>
          <w:rFonts w:hint="eastAsia" w:ascii="宋体" w:hAnsi="宋体" w:cs="宋体"/>
          <w:color w:val="auto"/>
          <w:spacing w:val="-1"/>
          <w:sz w:val="24"/>
          <w:szCs w:val="24"/>
        </w:rPr>
        <w:t>委托人应当负责工程建设的所有外部关系的协调，为监理工作提供必要的外部条</w:t>
      </w:r>
      <w:r>
        <w:rPr>
          <w:rFonts w:hint="eastAsia" w:ascii="宋体" w:hAnsi="宋体" w:cs="宋体"/>
          <w:color w:val="auto"/>
          <w:spacing w:val="-11"/>
          <w:sz w:val="24"/>
          <w:szCs w:val="24"/>
        </w:rPr>
        <w:t>件。根据需要，如将部分或全部协调工作委托监理人承担，则应在专用条款中明确委托的工作</w:t>
      </w:r>
      <w:r>
        <w:rPr>
          <w:rFonts w:hint="eastAsia" w:ascii="宋体" w:hAnsi="宋体" w:cs="宋体"/>
          <w:color w:val="auto"/>
          <w:sz w:val="24"/>
          <w:szCs w:val="24"/>
        </w:rPr>
        <w:t xml:space="preserve">和相应的报酬。 </w:t>
      </w:r>
    </w:p>
    <w:p>
      <w:pPr>
        <w:pStyle w:val="12"/>
        <w:spacing w:after="0" w:line="360" w:lineRule="auto"/>
        <w:ind w:firstLine="482" w:firstLineChars="200"/>
        <w:rPr>
          <w:rFonts w:ascii="宋体" w:hAnsi="宋体" w:cs="宋体"/>
          <w:color w:val="auto"/>
          <w:spacing w:val="-1"/>
          <w:sz w:val="24"/>
          <w:szCs w:val="24"/>
        </w:rPr>
      </w:pPr>
      <w:r>
        <w:rPr>
          <w:rFonts w:hint="eastAsia" w:ascii="宋体" w:hAnsi="宋体" w:cs="宋体"/>
          <w:b/>
          <w:color w:val="auto"/>
          <w:sz w:val="24"/>
          <w:szCs w:val="24"/>
        </w:rPr>
        <w:t xml:space="preserve">第十条 </w:t>
      </w:r>
      <w:r>
        <w:rPr>
          <w:rFonts w:hint="eastAsia" w:ascii="宋体" w:hAnsi="宋体" w:cs="宋体"/>
          <w:color w:val="auto"/>
          <w:spacing w:val="-1"/>
          <w:sz w:val="24"/>
          <w:szCs w:val="24"/>
        </w:rPr>
        <w:t>委托人应及时免费向监理人提供与工程有关的为监理工作所需要的工程资料。</w:t>
      </w:r>
    </w:p>
    <w:p>
      <w:pPr>
        <w:pStyle w:val="12"/>
        <w:spacing w:after="0" w:line="360" w:lineRule="auto"/>
        <w:ind w:firstLine="482" w:firstLineChars="200"/>
        <w:rPr>
          <w:rFonts w:ascii="宋体" w:hAnsi="宋体" w:cs="宋体"/>
          <w:color w:val="auto"/>
          <w:spacing w:val="-8"/>
          <w:sz w:val="24"/>
          <w:szCs w:val="24"/>
        </w:rPr>
      </w:pPr>
      <w:r>
        <w:rPr>
          <w:rFonts w:hint="eastAsia" w:ascii="宋体" w:hAnsi="宋体" w:cs="宋体"/>
          <w:b/>
          <w:color w:val="auto"/>
          <w:sz w:val="24"/>
          <w:szCs w:val="24"/>
        </w:rPr>
        <w:t xml:space="preserve">第十一条 </w:t>
      </w:r>
      <w:r>
        <w:rPr>
          <w:rFonts w:hint="eastAsia" w:ascii="宋体" w:hAnsi="宋体" w:cs="宋体"/>
          <w:color w:val="auto"/>
          <w:spacing w:val="-10"/>
          <w:sz w:val="24"/>
          <w:szCs w:val="24"/>
        </w:rPr>
        <w:t xml:space="preserve">委托人应在 </w:t>
      </w:r>
      <w:r>
        <w:rPr>
          <w:rFonts w:hint="eastAsia" w:ascii="宋体" w:hAnsi="宋体" w:cs="宋体"/>
          <w:color w:val="auto"/>
          <w:sz w:val="24"/>
          <w:szCs w:val="24"/>
        </w:rPr>
        <w:t>3</w:t>
      </w:r>
      <w:r>
        <w:rPr>
          <w:rFonts w:hint="eastAsia" w:ascii="宋体" w:hAnsi="宋体" w:cs="宋体"/>
          <w:color w:val="auto"/>
          <w:spacing w:val="-8"/>
          <w:sz w:val="24"/>
          <w:szCs w:val="24"/>
        </w:rPr>
        <w:t xml:space="preserve"> 日内就监理人书面提交并要求做出决定的事宜作出书面决定。</w:t>
      </w:r>
    </w:p>
    <w:p>
      <w:pPr>
        <w:pStyle w:val="12"/>
        <w:spacing w:after="0" w:line="360" w:lineRule="auto"/>
        <w:ind w:firstLine="482" w:firstLineChars="200"/>
        <w:rPr>
          <w:rFonts w:ascii="宋体" w:hAnsi="宋体" w:cs="宋体"/>
          <w:color w:val="auto"/>
          <w:sz w:val="24"/>
          <w:szCs w:val="24"/>
        </w:rPr>
      </w:pPr>
      <w:r>
        <w:rPr>
          <w:rFonts w:hint="eastAsia" w:ascii="宋体" w:hAnsi="宋体" w:cs="宋体"/>
          <w:b/>
          <w:color w:val="auto"/>
          <w:sz w:val="24"/>
          <w:szCs w:val="24"/>
        </w:rPr>
        <w:t>第十二条</w:t>
      </w:r>
      <w:r>
        <w:rPr>
          <w:rFonts w:hint="eastAsia" w:ascii="宋体" w:hAnsi="宋体" w:cs="宋体"/>
          <w:b/>
          <w:color w:val="auto"/>
          <w:spacing w:val="-5"/>
          <w:sz w:val="24"/>
          <w:szCs w:val="24"/>
        </w:rPr>
        <w:t xml:space="preserve"> </w:t>
      </w:r>
      <w:r>
        <w:rPr>
          <w:rFonts w:hint="eastAsia" w:ascii="宋体" w:hAnsi="宋体" w:cs="宋体"/>
          <w:color w:val="auto"/>
          <w:spacing w:val="-1"/>
          <w:sz w:val="24"/>
          <w:szCs w:val="24"/>
        </w:rPr>
        <w:t>委托人应当授权一名熟悉工程情况、能在规定时间内做出决定的常驻代表，负</w:t>
      </w:r>
      <w:r>
        <w:rPr>
          <w:rFonts w:hint="eastAsia" w:ascii="宋体" w:hAnsi="宋体" w:cs="宋体"/>
          <w:color w:val="auto"/>
          <w:sz w:val="24"/>
          <w:szCs w:val="24"/>
        </w:rPr>
        <w:t xml:space="preserve">责与监理人联系。更换常驻代表，要提前通知监理人。 </w:t>
      </w:r>
    </w:p>
    <w:p>
      <w:pPr>
        <w:pStyle w:val="12"/>
        <w:spacing w:after="0"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 xml:space="preserve">第十三条 </w:t>
      </w:r>
      <w:r>
        <w:rPr>
          <w:rFonts w:hint="eastAsia" w:ascii="宋体" w:hAnsi="宋体" w:cs="宋体"/>
          <w:color w:val="auto"/>
          <w:sz w:val="24"/>
          <w:szCs w:val="24"/>
        </w:rPr>
        <w:t>委托人应当将授予监理人的监理权利，以及监理人主要成员的职能分工、监理权限及时书面通知已选定的承包合同的承包人，并在与第三人签订的合同中予以明确。</w:t>
      </w:r>
      <w:r>
        <w:rPr>
          <w:rFonts w:hint="eastAsia" w:ascii="宋体" w:hAnsi="宋体" w:cs="宋体"/>
          <w:b/>
          <w:color w:val="auto"/>
          <w:w w:val="99"/>
          <w:sz w:val="24"/>
          <w:szCs w:val="24"/>
        </w:rPr>
        <w:t xml:space="preserve"> </w:t>
      </w:r>
    </w:p>
    <w:p>
      <w:pPr>
        <w:pStyle w:val="12"/>
        <w:spacing w:after="0" w:line="360" w:lineRule="auto"/>
        <w:ind w:firstLine="482" w:firstLineChars="200"/>
        <w:rPr>
          <w:rFonts w:ascii="宋体" w:hAnsi="宋体" w:cs="宋体"/>
          <w:color w:val="auto"/>
          <w:sz w:val="24"/>
          <w:szCs w:val="24"/>
        </w:rPr>
      </w:pPr>
      <w:r>
        <w:rPr>
          <w:rFonts w:hint="eastAsia" w:ascii="宋体" w:hAnsi="宋体" w:cs="宋体"/>
          <w:b/>
          <w:color w:val="auto"/>
          <w:sz w:val="24"/>
          <w:szCs w:val="24"/>
        </w:rPr>
        <w:t xml:space="preserve">第十四条 </w:t>
      </w:r>
      <w:r>
        <w:rPr>
          <w:rFonts w:hint="eastAsia" w:ascii="宋体" w:hAnsi="宋体" w:cs="宋体"/>
          <w:color w:val="auto"/>
          <w:sz w:val="24"/>
          <w:szCs w:val="24"/>
        </w:rPr>
        <w:t xml:space="preserve">委托人应在不影响监理人开展监理工作的时间内提供如下资料： </w:t>
      </w:r>
    </w:p>
    <w:p>
      <w:pPr>
        <w:numPr>
          <w:ilvl w:val="255"/>
          <w:numId w:val="0"/>
        </w:num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（1）与本合同工程合作的原材料、构配件、设备等生产厂家名录。</w:t>
      </w:r>
      <w:r>
        <w:rPr>
          <w:rFonts w:ascii="宋体" w:hAnsi="宋体" w:cs="宋体"/>
          <w:color w:val="auto"/>
          <w:sz w:val="24"/>
          <w:szCs w:val="24"/>
        </w:rPr>
        <w:t xml:space="preserve"> </w:t>
      </w:r>
    </w:p>
    <w:p>
      <w:pPr>
        <w:spacing w:line="360" w:lineRule="auto"/>
        <w:ind w:firstLine="480" w:firstLineChars="200"/>
        <w:rPr>
          <w:rFonts w:ascii="宋体" w:hAnsi="宋体" w:cs="宋体"/>
          <w:b/>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）提供与本合同工程有关的协作单位、配合单位的名录。</w:t>
      </w:r>
      <w:r>
        <w:rPr>
          <w:rFonts w:ascii="宋体" w:hAnsi="宋体" w:cs="宋体"/>
          <w:b/>
          <w:color w:val="auto"/>
          <w:w w:val="99"/>
          <w:sz w:val="24"/>
          <w:szCs w:val="24"/>
        </w:rPr>
        <w:t xml:space="preserve"> </w:t>
      </w:r>
    </w:p>
    <w:p>
      <w:pPr>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 xml:space="preserve">第十五条 </w:t>
      </w:r>
      <w:r>
        <w:rPr>
          <w:rFonts w:hint="eastAsia" w:ascii="宋体" w:hAnsi="宋体" w:cs="宋体"/>
          <w:color w:val="auto"/>
          <w:sz w:val="24"/>
          <w:szCs w:val="24"/>
        </w:rPr>
        <w:t xml:space="preserve">委托人应免费向监理人提供办公用房、通讯设施、监理人员工地住房及合同专用条款约定的设施，对监理人自备的设施给予合理的经济补偿（补偿金额=设施在工程使用时间占折旧年限的比例×设施原值＋管理费）。 </w:t>
      </w:r>
    </w:p>
    <w:p>
      <w:pPr>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 xml:space="preserve">第十六条 </w:t>
      </w:r>
      <w:r>
        <w:rPr>
          <w:rFonts w:hint="eastAsia" w:ascii="宋体" w:hAnsi="宋体" w:cs="宋体"/>
          <w:color w:val="auto"/>
          <w:sz w:val="24"/>
          <w:szCs w:val="24"/>
        </w:rPr>
        <w:t>根据情况需要，如果双方约定，由委托人免费向监理人提供其他人员，应在监理合同专用条款中予以明确。</w:t>
      </w:r>
      <w:r>
        <w:rPr>
          <w:rFonts w:hint="eastAsia" w:ascii="宋体" w:hAnsi="宋体" w:cs="宋体"/>
          <w:b/>
          <w:color w:val="auto"/>
          <w:w w:val="99"/>
          <w:sz w:val="24"/>
          <w:szCs w:val="24"/>
        </w:rPr>
        <w:t xml:space="preserve"> </w:t>
      </w:r>
    </w:p>
    <w:p>
      <w:pPr>
        <w:pStyle w:val="8"/>
        <w:spacing w:line="360" w:lineRule="auto"/>
        <w:ind w:left="0"/>
        <w:jc w:val="center"/>
        <w:rPr>
          <w:rFonts w:ascii="宋体" w:hAnsi="宋体" w:cs="宋体"/>
          <w:color w:val="auto"/>
        </w:rPr>
      </w:pPr>
      <w:r>
        <w:rPr>
          <w:rFonts w:hint="eastAsia" w:ascii="宋体" w:hAnsi="宋体" w:cs="宋体"/>
          <w:color w:val="auto"/>
        </w:rPr>
        <w:t>监理人权利</w:t>
      </w:r>
    </w:p>
    <w:p>
      <w:pPr>
        <w:pStyle w:val="12"/>
        <w:spacing w:after="0" w:line="360" w:lineRule="auto"/>
        <w:ind w:firstLine="482" w:firstLineChars="200"/>
        <w:rPr>
          <w:rFonts w:ascii="宋体" w:hAnsi="宋体" w:cs="宋体"/>
          <w:color w:val="auto"/>
          <w:sz w:val="24"/>
          <w:szCs w:val="24"/>
        </w:rPr>
      </w:pPr>
      <w:r>
        <w:rPr>
          <w:rFonts w:hint="eastAsia" w:ascii="宋体" w:hAnsi="宋体" w:cs="宋体"/>
          <w:b/>
          <w:color w:val="auto"/>
          <w:sz w:val="24"/>
          <w:szCs w:val="24"/>
        </w:rPr>
        <w:t xml:space="preserve">第十七条 </w:t>
      </w:r>
      <w:r>
        <w:rPr>
          <w:rFonts w:hint="eastAsia" w:ascii="宋体" w:hAnsi="宋体" w:cs="宋体"/>
          <w:color w:val="auto"/>
          <w:sz w:val="24"/>
          <w:szCs w:val="24"/>
        </w:rPr>
        <w:t xml:space="preserve">监理人在委托人委托的工程范围内，享有以下权利： </w:t>
      </w:r>
    </w:p>
    <w:p>
      <w:pPr>
        <w:pStyle w:val="32"/>
        <w:numPr>
          <w:ilvl w:val="0"/>
          <w:numId w:val="4"/>
        </w:numPr>
        <w:tabs>
          <w:tab w:val="left" w:pos="1190"/>
        </w:tabs>
        <w:spacing w:line="360" w:lineRule="auto"/>
        <w:ind w:left="0" w:firstLine="480"/>
        <w:rPr>
          <w:rFonts w:ascii="宋体" w:hAnsi="宋体" w:cs="宋体"/>
          <w:color w:val="auto"/>
          <w:sz w:val="24"/>
          <w:szCs w:val="24"/>
        </w:rPr>
      </w:pPr>
      <w:r>
        <w:rPr>
          <w:rFonts w:hint="eastAsia" w:ascii="宋体" w:hAnsi="宋体" w:cs="宋体"/>
          <w:color w:val="auto"/>
          <w:sz w:val="24"/>
          <w:szCs w:val="24"/>
        </w:rPr>
        <w:t xml:space="preserve">选择施工总承包人的建议权。 </w:t>
      </w:r>
    </w:p>
    <w:p>
      <w:pPr>
        <w:pStyle w:val="32"/>
        <w:numPr>
          <w:ilvl w:val="0"/>
          <w:numId w:val="4"/>
        </w:numPr>
        <w:tabs>
          <w:tab w:val="left" w:pos="1190"/>
        </w:tabs>
        <w:spacing w:line="360" w:lineRule="auto"/>
        <w:ind w:left="0" w:firstLine="480"/>
        <w:rPr>
          <w:rFonts w:ascii="宋体" w:hAnsi="宋体" w:cs="宋体"/>
          <w:color w:val="auto"/>
          <w:sz w:val="24"/>
          <w:szCs w:val="24"/>
        </w:rPr>
      </w:pPr>
      <w:r>
        <w:rPr>
          <w:rFonts w:hint="eastAsia" w:ascii="宋体" w:hAnsi="宋体" w:cs="宋体"/>
          <w:color w:val="auto"/>
          <w:sz w:val="24"/>
          <w:szCs w:val="24"/>
        </w:rPr>
        <w:t xml:space="preserve">选择工程分包人的认可权。 </w:t>
      </w:r>
    </w:p>
    <w:p>
      <w:pPr>
        <w:pStyle w:val="32"/>
        <w:numPr>
          <w:ilvl w:val="0"/>
          <w:numId w:val="4"/>
        </w:numPr>
        <w:tabs>
          <w:tab w:val="left" w:pos="1190"/>
        </w:tabs>
        <w:spacing w:line="360" w:lineRule="auto"/>
        <w:ind w:left="0" w:firstLine="476"/>
        <w:rPr>
          <w:rFonts w:ascii="宋体" w:hAnsi="宋体" w:cs="宋体"/>
          <w:color w:val="auto"/>
          <w:sz w:val="24"/>
          <w:szCs w:val="24"/>
        </w:rPr>
      </w:pPr>
      <w:r>
        <w:rPr>
          <w:rFonts w:hint="eastAsia" w:ascii="宋体" w:hAnsi="宋体" w:cs="宋体"/>
          <w:color w:val="auto"/>
          <w:spacing w:val="-1"/>
          <w:sz w:val="24"/>
          <w:szCs w:val="24"/>
        </w:rPr>
        <w:t>对工程建设有关事项包括工程规模、设计标准、规划设计、生产工艺设计和使用功</w:t>
      </w:r>
      <w:r>
        <w:rPr>
          <w:rFonts w:hint="eastAsia" w:ascii="宋体" w:hAnsi="宋体" w:cs="宋体"/>
          <w:color w:val="auto"/>
          <w:sz w:val="24"/>
          <w:szCs w:val="24"/>
        </w:rPr>
        <w:t xml:space="preserve">能要求，向委托人的建议权。 </w:t>
      </w:r>
    </w:p>
    <w:p>
      <w:pPr>
        <w:pStyle w:val="32"/>
        <w:numPr>
          <w:ilvl w:val="0"/>
          <w:numId w:val="4"/>
        </w:numPr>
        <w:tabs>
          <w:tab w:val="left" w:pos="1190"/>
        </w:tabs>
        <w:spacing w:line="360" w:lineRule="auto"/>
        <w:ind w:left="0" w:firstLine="476"/>
        <w:rPr>
          <w:rFonts w:ascii="宋体" w:hAnsi="宋体" w:cs="宋体"/>
          <w:color w:val="auto"/>
          <w:sz w:val="24"/>
          <w:szCs w:val="24"/>
        </w:rPr>
      </w:pPr>
      <w:r>
        <w:rPr>
          <w:rFonts w:hint="eastAsia" w:ascii="宋体" w:hAnsi="宋体" w:cs="宋体"/>
          <w:color w:val="auto"/>
          <w:spacing w:val="-1"/>
          <w:sz w:val="24"/>
          <w:szCs w:val="24"/>
        </w:rPr>
        <w:t>对工程设计中的技术问题，按照安全和优化的原则，向委托人提出建议；如果拟提</w:t>
      </w:r>
      <w:r>
        <w:rPr>
          <w:rFonts w:hint="eastAsia" w:ascii="宋体" w:hAnsi="宋体" w:cs="宋体"/>
          <w:color w:val="auto"/>
          <w:spacing w:val="-7"/>
          <w:sz w:val="24"/>
          <w:szCs w:val="24"/>
        </w:rPr>
        <w:t>出的建议可能会提高工程造价，或延长工期，应当事先征得委托人的同意。当发现工程设计不</w:t>
      </w:r>
      <w:r>
        <w:rPr>
          <w:rFonts w:hint="eastAsia" w:ascii="宋体" w:hAnsi="宋体" w:cs="宋体"/>
          <w:color w:val="auto"/>
          <w:spacing w:val="-5"/>
          <w:sz w:val="24"/>
          <w:szCs w:val="24"/>
        </w:rPr>
        <w:t>符合国家颁布的建设工程质量标准或设计合同约定的质量标准时，监理人应当书面报告委托人</w:t>
      </w:r>
      <w:r>
        <w:rPr>
          <w:rFonts w:hint="eastAsia" w:ascii="宋体" w:hAnsi="宋体" w:cs="宋体"/>
          <w:color w:val="auto"/>
          <w:sz w:val="24"/>
          <w:szCs w:val="24"/>
        </w:rPr>
        <w:t xml:space="preserve">并要求设计人更正。 </w:t>
      </w:r>
    </w:p>
    <w:p>
      <w:pPr>
        <w:pStyle w:val="32"/>
        <w:numPr>
          <w:ilvl w:val="0"/>
          <w:numId w:val="4"/>
        </w:numPr>
        <w:tabs>
          <w:tab w:val="left" w:pos="1190"/>
        </w:tabs>
        <w:spacing w:line="360" w:lineRule="auto"/>
        <w:ind w:left="0" w:firstLine="476"/>
        <w:rPr>
          <w:rFonts w:ascii="宋体" w:hAnsi="宋体" w:cs="宋体"/>
          <w:color w:val="auto"/>
          <w:sz w:val="24"/>
          <w:szCs w:val="24"/>
        </w:rPr>
      </w:pPr>
      <w:r>
        <w:rPr>
          <w:rFonts w:hint="eastAsia" w:ascii="宋体" w:hAnsi="宋体" w:cs="宋体"/>
          <w:color w:val="auto"/>
          <w:spacing w:val="-1"/>
          <w:sz w:val="24"/>
          <w:szCs w:val="24"/>
        </w:rPr>
        <w:t>审批工程施工组织设计和技术方案，按照保质量、保工期和降低成本的原则，向承</w:t>
      </w:r>
      <w:r>
        <w:rPr>
          <w:rFonts w:hint="eastAsia" w:ascii="宋体" w:hAnsi="宋体" w:cs="宋体"/>
          <w:color w:val="auto"/>
          <w:sz w:val="24"/>
          <w:szCs w:val="24"/>
        </w:rPr>
        <w:t xml:space="preserve">包人提出建议，并向委托人提出书面报告。 </w:t>
      </w:r>
    </w:p>
    <w:p>
      <w:pPr>
        <w:pStyle w:val="32"/>
        <w:numPr>
          <w:ilvl w:val="0"/>
          <w:numId w:val="4"/>
        </w:numPr>
        <w:tabs>
          <w:tab w:val="left" w:pos="1190"/>
        </w:tabs>
        <w:spacing w:line="360" w:lineRule="auto"/>
        <w:ind w:left="0" w:firstLine="480"/>
        <w:rPr>
          <w:rFonts w:ascii="宋体" w:hAnsi="宋体" w:cs="宋体"/>
          <w:color w:val="auto"/>
          <w:sz w:val="24"/>
          <w:szCs w:val="24"/>
        </w:rPr>
      </w:pPr>
      <w:r>
        <w:rPr>
          <w:rFonts w:hint="eastAsia" w:ascii="宋体" w:hAnsi="宋体" w:cs="宋体"/>
          <w:color w:val="auto"/>
          <w:sz w:val="24"/>
          <w:szCs w:val="24"/>
        </w:rPr>
        <w:t xml:space="preserve">主持工程建设有关协作单位的组织协调，重要协调事项应当事先向委托人报告。 </w:t>
      </w:r>
    </w:p>
    <w:p>
      <w:pPr>
        <w:pStyle w:val="32"/>
        <w:numPr>
          <w:ilvl w:val="0"/>
          <w:numId w:val="4"/>
        </w:numPr>
        <w:tabs>
          <w:tab w:val="left" w:pos="1190"/>
        </w:tabs>
        <w:spacing w:line="360" w:lineRule="auto"/>
        <w:ind w:left="0" w:firstLine="476"/>
        <w:rPr>
          <w:rFonts w:ascii="宋体" w:hAnsi="宋体" w:cs="宋体"/>
          <w:color w:val="auto"/>
          <w:sz w:val="24"/>
          <w:szCs w:val="24"/>
        </w:rPr>
      </w:pPr>
      <w:r>
        <w:rPr>
          <w:rFonts w:hint="eastAsia" w:ascii="宋体" w:hAnsi="宋体" w:cs="宋体"/>
          <w:color w:val="auto"/>
          <w:spacing w:val="-1"/>
          <w:sz w:val="24"/>
          <w:szCs w:val="24"/>
        </w:rPr>
        <w:t>征得委托人同意，监理人有权发布开工令、停工令、复工令，但应当事先向委托人</w:t>
      </w:r>
      <w:r>
        <w:rPr>
          <w:rFonts w:hint="eastAsia" w:ascii="宋体" w:hAnsi="宋体" w:cs="宋体"/>
          <w:color w:val="auto"/>
          <w:spacing w:val="-3"/>
          <w:sz w:val="24"/>
          <w:szCs w:val="24"/>
        </w:rPr>
        <w:t xml:space="preserve">报告。如在紧急情况下未能事先报告时，则应在 </w:t>
      </w:r>
      <w:r>
        <w:rPr>
          <w:rFonts w:hint="eastAsia" w:ascii="宋体" w:hAnsi="宋体" w:cs="宋体"/>
          <w:color w:val="auto"/>
          <w:sz w:val="24"/>
          <w:szCs w:val="24"/>
        </w:rPr>
        <w:t>24</w:t>
      </w:r>
      <w:r>
        <w:rPr>
          <w:rFonts w:hint="eastAsia" w:ascii="宋体" w:hAnsi="宋体" w:cs="宋体"/>
          <w:color w:val="auto"/>
          <w:spacing w:val="-8"/>
          <w:sz w:val="24"/>
          <w:szCs w:val="24"/>
        </w:rPr>
        <w:t xml:space="preserve"> 小时内向委托人做出书面报告。 </w:t>
      </w:r>
    </w:p>
    <w:p>
      <w:pPr>
        <w:pStyle w:val="32"/>
        <w:numPr>
          <w:ilvl w:val="0"/>
          <w:numId w:val="4"/>
        </w:numPr>
        <w:tabs>
          <w:tab w:val="left" w:pos="1190"/>
        </w:tabs>
        <w:spacing w:line="360" w:lineRule="auto"/>
        <w:ind w:left="0" w:firstLine="476"/>
        <w:rPr>
          <w:rFonts w:ascii="宋体" w:hAnsi="宋体" w:cs="宋体"/>
          <w:color w:val="auto"/>
          <w:spacing w:val="-1"/>
          <w:sz w:val="24"/>
          <w:szCs w:val="24"/>
        </w:rPr>
      </w:pPr>
      <w:r>
        <w:rPr>
          <w:rFonts w:hint="eastAsia" w:ascii="宋体" w:hAnsi="宋体" w:cs="宋体"/>
          <w:color w:val="auto"/>
          <w:spacing w:val="-1"/>
          <w:sz w:val="24"/>
          <w:szCs w:val="24"/>
        </w:rPr>
        <w:t>工程上使用的材料和施工质量的检验权。对于不符合设计要求和合同约定及国家质量标准的材料、构配件、设备，有权通知承包人停止使用；对于不符合规范和质量标准的工序、分部</w:t>
      </w:r>
      <w:r>
        <w:rPr>
          <w:rFonts w:hint="eastAsia" w:ascii="宋体" w:hAnsi="宋体" w:cs="宋体"/>
          <w:color w:val="auto"/>
          <w:spacing w:val="-7"/>
          <w:sz w:val="24"/>
          <w:szCs w:val="24"/>
        </w:rPr>
        <w:t>分项工</w:t>
      </w:r>
      <w:r>
        <w:rPr>
          <w:rFonts w:hint="eastAsia" w:ascii="宋体" w:hAnsi="宋体" w:cs="宋体"/>
          <w:color w:val="auto"/>
          <w:spacing w:val="-1"/>
          <w:sz w:val="24"/>
          <w:szCs w:val="24"/>
        </w:rPr>
        <w:t>程和不安全施工作业，有权通知承包人停工整改、返工。承包人得到项目监理机构复工令后才能复工。</w:t>
      </w:r>
      <w:r>
        <w:rPr>
          <w:rFonts w:ascii="宋体" w:hAnsi="宋体" w:cs="宋体"/>
          <w:color w:val="auto"/>
          <w:spacing w:val="-1"/>
          <w:sz w:val="24"/>
          <w:szCs w:val="24"/>
        </w:rPr>
        <w:t xml:space="preserve"> </w:t>
      </w:r>
    </w:p>
    <w:p>
      <w:pPr>
        <w:pStyle w:val="32"/>
        <w:numPr>
          <w:ilvl w:val="0"/>
          <w:numId w:val="4"/>
        </w:numPr>
        <w:tabs>
          <w:tab w:val="left" w:pos="1190"/>
        </w:tabs>
        <w:spacing w:line="360" w:lineRule="auto"/>
        <w:ind w:left="0" w:firstLine="476"/>
        <w:rPr>
          <w:rFonts w:ascii="宋体" w:hAnsi="宋体" w:cs="宋体"/>
          <w:color w:val="auto"/>
          <w:sz w:val="24"/>
          <w:szCs w:val="24"/>
        </w:rPr>
      </w:pPr>
      <w:r>
        <w:rPr>
          <w:rFonts w:hint="eastAsia" w:ascii="宋体" w:hAnsi="宋体" w:cs="宋体"/>
          <w:color w:val="auto"/>
          <w:spacing w:val="-1"/>
          <w:sz w:val="24"/>
          <w:szCs w:val="24"/>
        </w:rPr>
        <w:t>工程施工进度的检查、监督权，以及工程实际竣工日期提前或超过工程施工合同规</w:t>
      </w:r>
      <w:r>
        <w:rPr>
          <w:rFonts w:hint="eastAsia" w:ascii="宋体" w:hAnsi="宋体" w:cs="宋体"/>
          <w:color w:val="auto"/>
          <w:sz w:val="24"/>
          <w:szCs w:val="24"/>
        </w:rPr>
        <w:t xml:space="preserve">定的竣工期限的签认权。 </w:t>
      </w:r>
    </w:p>
    <w:p>
      <w:pPr>
        <w:pStyle w:val="32"/>
        <w:numPr>
          <w:ilvl w:val="0"/>
          <w:numId w:val="4"/>
        </w:numPr>
        <w:tabs>
          <w:tab w:val="left" w:pos="1310"/>
        </w:tabs>
        <w:spacing w:line="360" w:lineRule="auto"/>
        <w:ind w:left="0" w:firstLine="468"/>
        <w:rPr>
          <w:rFonts w:ascii="宋体" w:hAnsi="宋体" w:cs="宋体"/>
          <w:color w:val="auto"/>
          <w:sz w:val="24"/>
          <w:szCs w:val="24"/>
        </w:rPr>
      </w:pPr>
      <w:r>
        <w:rPr>
          <w:rFonts w:hint="eastAsia" w:ascii="宋体" w:hAnsi="宋体" w:cs="宋体"/>
          <w:color w:val="auto"/>
          <w:spacing w:val="-3"/>
          <w:sz w:val="24"/>
          <w:szCs w:val="24"/>
        </w:rPr>
        <w:t>在</w:t>
      </w:r>
      <w:r>
        <w:rPr>
          <w:rFonts w:hint="eastAsia" w:ascii="宋体" w:hAnsi="宋体" w:cs="宋体"/>
          <w:color w:val="auto"/>
          <w:spacing w:val="-1"/>
          <w:sz w:val="24"/>
          <w:szCs w:val="24"/>
        </w:rPr>
        <w:t>工程施工</w:t>
      </w:r>
      <w:r>
        <w:rPr>
          <w:rFonts w:hint="eastAsia" w:ascii="宋体" w:hAnsi="宋体" w:cs="宋体"/>
          <w:color w:val="auto"/>
          <w:spacing w:val="-3"/>
          <w:sz w:val="24"/>
          <w:szCs w:val="24"/>
        </w:rPr>
        <w:t>合同约定的工程价格范围内，工程款支付的审核和签认权，以及工程</w:t>
      </w:r>
      <w:r>
        <w:rPr>
          <w:rFonts w:hint="eastAsia" w:ascii="宋体" w:hAnsi="宋体" w:cs="宋体"/>
          <w:color w:val="auto"/>
          <w:spacing w:val="-4"/>
          <w:sz w:val="24"/>
          <w:szCs w:val="24"/>
        </w:rPr>
        <w:t xml:space="preserve">结算的复核确认权与否决权。未经总监理工程师签字确认，委托人不支付工程款。 </w:t>
      </w:r>
    </w:p>
    <w:p>
      <w:pPr>
        <w:pStyle w:val="12"/>
        <w:spacing w:after="0" w:line="360" w:lineRule="auto"/>
        <w:ind w:firstLine="490" w:firstLineChars="200"/>
        <w:rPr>
          <w:rFonts w:ascii="宋体" w:hAnsi="宋体" w:cs="宋体"/>
          <w:color w:val="auto"/>
          <w:spacing w:val="-1"/>
          <w:sz w:val="24"/>
          <w:szCs w:val="24"/>
        </w:rPr>
      </w:pPr>
      <w:r>
        <w:rPr>
          <w:rFonts w:hint="eastAsia" w:ascii="宋体" w:hAnsi="宋体" w:cs="宋体"/>
          <w:b/>
          <w:color w:val="auto"/>
          <w:spacing w:val="2"/>
          <w:sz w:val="24"/>
          <w:szCs w:val="24"/>
        </w:rPr>
        <w:t xml:space="preserve">第十八条 </w:t>
      </w:r>
      <w:r>
        <w:rPr>
          <w:rFonts w:hint="eastAsia" w:ascii="宋体" w:hAnsi="宋体" w:cs="宋体"/>
          <w:color w:val="auto"/>
          <w:spacing w:val="-1"/>
          <w:sz w:val="24"/>
          <w:szCs w:val="24"/>
        </w:rPr>
        <w:t>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承包人人员工作不力，项目监理机构可要求承包人调换有关人员。</w:t>
      </w:r>
      <w:r>
        <w:rPr>
          <w:rFonts w:ascii="宋体" w:hAnsi="宋体" w:cs="宋体"/>
          <w:color w:val="auto"/>
          <w:spacing w:val="-1"/>
          <w:sz w:val="24"/>
          <w:szCs w:val="24"/>
        </w:rPr>
        <w:t xml:space="preserve"> </w:t>
      </w:r>
    </w:p>
    <w:p>
      <w:pPr>
        <w:pStyle w:val="12"/>
        <w:spacing w:after="0" w:line="360" w:lineRule="auto"/>
        <w:ind w:firstLine="490" w:firstLineChars="200"/>
        <w:rPr>
          <w:rFonts w:ascii="宋体" w:hAnsi="宋体" w:cs="宋体"/>
          <w:b/>
          <w:color w:val="auto"/>
          <w:sz w:val="24"/>
          <w:szCs w:val="24"/>
        </w:rPr>
      </w:pPr>
      <w:r>
        <w:rPr>
          <w:rFonts w:hint="eastAsia" w:ascii="宋体" w:hAnsi="宋体" w:cs="宋体"/>
          <w:b/>
          <w:color w:val="auto"/>
          <w:spacing w:val="2"/>
          <w:sz w:val="24"/>
          <w:szCs w:val="24"/>
        </w:rPr>
        <w:t xml:space="preserve">第十九条 </w:t>
      </w:r>
      <w:r>
        <w:rPr>
          <w:rFonts w:hint="eastAsia" w:ascii="宋体" w:hAnsi="宋体" w:cs="宋体"/>
          <w:color w:val="auto"/>
          <w:sz w:val="24"/>
          <w:szCs w:val="24"/>
        </w:rPr>
        <w:t>在委托的工程范围内，委托人或承包人对对方的任何意见和要求（</w:t>
      </w:r>
      <w:r>
        <w:rPr>
          <w:rFonts w:hint="eastAsia" w:ascii="宋体" w:hAnsi="宋体" w:cs="宋体"/>
          <w:color w:val="auto"/>
          <w:spacing w:val="-3"/>
          <w:sz w:val="24"/>
          <w:szCs w:val="24"/>
        </w:rPr>
        <w:t>包括索赔要</w:t>
      </w:r>
      <w:r>
        <w:rPr>
          <w:rFonts w:hint="eastAsia" w:ascii="宋体" w:hAnsi="宋体" w:cs="宋体"/>
          <w:color w:val="auto"/>
          <w:sz w:val="24"/>
          <w:szCs w:val="24"/>
        </w:rPr>
        <w:t>求</w:t>
      </w:r>
      <w:r>
        <w:rPr>
          <w:rFonts w:hint="eastAsia" w:ascii="宋体" w:hAnsi="宋体" w:cs="宋体"/>
          <w:color w:val="auto"/>
          <w:spacing w:val="-20"/>
          <w:sz w:val="24"/>
          <w:szCs w:val="24"/>
        </w:rPr>
        <w:t>），</w:t>
      </w:r>
      <w:r>
        <w:rPr>
          <w:rFonts w:hint="eastAsia" w:ascii="宋体" w:hAnsi="宋体" w:cs="宋体"/>
          <w:color w:val="auto"/>
          <w:spacing w:val="-5"/>
          <w:sz w:val="24"/>
          <w:szCs w:val="24"/>
        </w:rPr>
        <w:t>均必须首先向监理机构提出，由</w:t>
      </w:r>
      <w:r>
        <w:rPr>
          <w:rFonts w:hint="eastAsia" w:ascii="宋体" w:hAnsi="宋体" w:cs="宋体"/>
          <w:color w:val="auto"/>
          <w:spacing w:val="-1"/>
          <w:sz w:val="24"/>
          <w:szCs w:val="24"/>
        </w:rPr>
        <w:t>监理</w:t>
      </w:r>
      <w:r>
        <w:rPr>
          <w:rFonts w:hint="eastAsia" w:ascii="宋体" w:hAnsi="宋体" w:cs="宋体"/>
          <w:color w:val="auto"/>
          <w:spacing w:val="-5"/>
          <w:sz w:val="24"/>
          <w:szCs w:val="24"/>
        </w:rPr>
        <w:t>机构研究处置意见，再同双方协商确定。当委托人</w:t>
      </w:r>
      <w:r>
        <w:rPr>
          <w:rFonts w:hint="eastAsia" w:ascii="宋体" w:hAnsi="宋体" w:cs="宋体"/>
          <w:color w:val="auto"/>
          <w:spacing w:val="-7"/>
          <w:sz w:val="24"/>
          <w:szCs w:val="24"/>
        </w:rPr>
        <w:t>和承包人发生争议时，监理机构应根据自己的职能，以独立的身份判断，公正地进行调解。当</w:t>
      </w:r>
      <w:r>
        <w:rPr>
          <w:rFonts w:hint="eastAsia" w:ascii="宋体" w:hAnsi="宋体" w:cs="宋体"/>
          <w:color w:val="auto"/>
          <w:sz w:val="24"/>
          <w:szCs w:val="24"/>
        </w:rPr>
        <w:t>双方的争议由仲裁机关仲裁时，监理人应当提供作证的事实材料。</w:t>
      </w:r>
      <w:r>
        <w:rPr>
          <w:rFonts w:hint="eastAsia" w:ascii="宋体" w:hAnsi="宋体" w:cs="宋体"/>
          <w:b/>
          <w:color w:val="auto"/>
          <w:w w:val="99"/>
          <w:sz w:val="24"/>
          <w:szCs w:val="24"/>
        </w:rPr>
        <w:t xml:space="preserve"> </w:t>
      </w:r>
    </w:p>
    <w:p>
      <w:pPr>
        <w:pStyle w:val="8"/>
        <w:spacing w:line="360" w:lineRule="auto"/>
        <w:ind w:left="0" w:firstLine="482" w:firstLineChars="200"/>
        <w:jc w:val="center"/>
        <w:rPr>
          <w:rFonts w:ascii="宋体" w:hAnsi="宋体" w:cs="宋体"/>
          <w:color w:val="auto"/>
        </w:rPr>
      </w:pPr>
      <w:r>
        <w:rPr>
          <w:rFonts w:hint="eastAsia" w:ascii="宋体" w:hAnsi="宋体" w:cs="宋体"/>
          <w:color w:val="auto"/>
        </w:rPr>
        <w:t>委托人权利</w:t>
      </w:r>
    </w:p>
    <w:p>
      <w:pPr>
        <w:pStyle w:val="12"/>
        <w:spacing w:after="0" w:line="360" w:lineRule="auto"/>
        <w:ind w:firstLine="482" w:firstLineChars="200"/>
        <w:rPr>
          <w:rFonts w:ascii="宋体" w:hAnsi="宋体" w:cs="宋体"/>
          <w:color w:val="auto"/>
          <w:sz w:val="24"/>
          <w:szCs w:val="24"/>
        </w:rPr>
      </w:pPr>
      <w:r>
        <w:rPr>
          <w:rFonts w:hint="eastAsia" w:ascii="宋体" w:hAnsi="宋体" w:cs="宋体"/>
          <w:b/>
          <w:color w:val="auto"/>
          <w:sz w:val="24"/>
          <w:szCs w:val="24"/>
        </w:rPr>
        <w:t xml:space="preserve">第二十条 </w:t>
      </w:r>
      <w:r>
        <w:rPr>
          <w:rFonts w:hint="eastAsia" w:ascii="宋体" w:hAnsi="宋体" w:cs="宋体"/>
          <w:color w:val="auto"/>
          <w:sz w:val="24"/>
          <w:szCs w:val="24"/>
        </w:rPr>
        <w:t xml:space="preserve">委托人有选定施工总承包人，以及与其订立合同的权利。 </w:t>
      </w:r>
    </w:p>
    <w:p>
      <w:pPr>
        <w:pStyle w:val="12"/>
        <w:spacing w:after="0" w:line="360" w:lineRule="auto"/>
        <w:ind w:firstLine="482" w:firstLineChars="200"/>
        <w:rPr>
          <w:rFonts w:ascii="宋体" w:hAnsi="宋体" w:cs="宋体"/>
          <w:color w:val="auto"/>
          <w:sz w:val="24"/>
          <w:szCs w:val="24"/>
        </w:rPr>
      </w:pPr>
      <w:r>
        <w:rPr>
          <w:rFonts w:hint="eastAsia" w:ascii="宋体" w:hAnsi="宋体" w:cs="宋体"/>
          <w:b/>
          <w:color w:val="auto"/>
          <w:sz w:val="24"/>
          <w:szCs w:val="24"/>
        </w:rPr>
        <w:t xml:space="preserve">第二十一条 </w:t>
      </w:r>
      <w:r>
        <w:rPr>
          <w:rFonts w:hint="eastAsia" w:ascii="宋体" w:hAnsi="宋体" w:cs="宋体"/>
          <w:color w:val="auto"/>
          <w:sz w:val="24"/>
          <w:szCs w:val="24"/>
        </w:rPr>
        <w:t xml:space="preserve">委托人有对工程规模、设计标准、规划设计、生产工艺设计和设计使用功能要求的认定权，以及对工程设计变更的审批权。 </w:t>
      </w:r>
    </w:p>
    <w:p>
      <w:pPr>
        <w:pStyle w:val="12"/>
        <w:spacing w:after="0" w:line="360" w:lineRule="auto"/>
        <w:ind w:firstLine="482" w:firstLineChars="200"/>
        <w:rPr>
          <w:rFonts w:ascii="宋体" w:hAnsi="宋体" w:cs="宋体"/>
          <w:color w:val="auto"/>
          <w:sz w:val="24"/>
          <w:szCs w:val="24"/>
        </w:rPr>
      </w:pPr>
      <w:r>
        <w:rPr>
          <w:rFonts w:hint="eastAsia" w:ascii="宋体" w:hAnsi="宋体" w:cs="宋体"/>
          <w:b/>
          <w:color w:val="auto"/>
          <w:sz w:val="24"/>
          <w:szCs w:val="24"/>
        </w:rPr>
        <w:t xml:space="preserve">第二十二条 </w:t>
      </w:r>
      <w:r>
        <w:rPr>
          <w:rFonts w:hint="eastAsia" w:ascii="宋体" w:hAnsi="宋体" w:cs="宋体"/>
          <w:color w:val="auto"/>
          <w:sz w:val="24"/>
          <w:szCs w:val="24"/>
        </w:rPr>
        <w:t>监理人</w:t>
      </w:r>
      <w:r>
        <w:rPr>
          <w:rFonts w:hint="eastAsia" w:ascii="宋体" w:hAnsi="宋体" w:cs="宋体"/>
          <w:color w:val="auto"/>
          <w:spacing w:val="-1"/>
          <w:sz w:val="24"/>
          <w:szCs w:val="24"/>
        </w:rPr>
        <w:t>调换</w:t>
      </w:r>
      <w:r>
        <w:rPr>
          <w:rFonts w:hint="eastAsia" w:ascii="宋体" w:hAnsi="宋体" w:cs="宋体"/>
          <w:color w:val="auto"/>
          <w:sz w:val="24"/>
          <w:szCs w:val="24"/>
        </w:rPr>
        <w:t xml:space="preserve">总监理工程师须事先经委托人书面同意。 </w:t>
      </w:r>
    </w:p>
    <w:p>
      <w:pPr>
        <w:pStyle w:val="12"/>
        <w:spacing w:after="0" w:line="360" w:lineRule="auto"/>
        <w:ind w:firstLine="482" w:firstLineChars="200"/>
        <w:rPr>
          <w:rFonts w:ascii="宋体" w:hAnsi="宋体" w:cs="宋体"/>
          <w:color w:val="auto"/>
          <w:sz w:val="24"/>
          <w:szCs w:val="24"/>
        </w:rPr>
      </w:pPr>
      <w:r>
        <w:rPr>
          <w:rFonts w:hint="eastAsia" w:ascii="宋体" w:hAnsi="宋体" w:cs="宋体"/>
          <w:b/>
          <w:color w:val="auto"/>
          <w:sz w:val="24"/>
          <w:szCs w:val="24"/>
        </w:rPr>
        <w:t xml:space="preserve">第二十三条 </w:t>
      </w:r>
      <w:r>
        <w:rPr>
          <w:rFonts w:hint="eastAsia" w:ascii="宋体" w:hAnsi="宋体" w:cs="宋体"/>
          <w:color w:val="auto"/>
          <w:sz w:val="24"/>
          <w:szCs w:val="24"/>
        </w:rPr>
        <w:t>委托人有权要求</w:t>
      </w:r>
      <w:r>
        <w:rPr>
          <w:rFonts w:hint="eastAsia" w:ascii="宋体" w:hAnsi="宋体" w:cs="宋体"/>
          <w:color w:val="auto"/>
          <w:spacing w:val="-1"/>
          <w:sz w:val="24"/>
          <w:szCs w:val="24"/>
        </w:rPr>
        <w:t>监理</w:t>
      </w:r>
      <w:r>
        <w:rPr>
          <w:rFonts w:hint="eastAsia" w:ascii="宋体" w:hAnsi="宋体" w:cs="宋体"/>
          <w:color w:val="auto"/>
          <w:sz w:val="24"/>
          <w:szCs w:val="24"/>
        </w:rPr>
        <w:t>人提交监理工作月报及监理业务范围内的专项报告。</w:t>
      </w:r>
    </w:p>
    <w:p>
      <w:pPr>
        <w:pStyle w:val="12"/>
        <w:spacing w:after="0"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 xml:space="preserve">第二十四条 </w:t>
      </w:r>
      <w:r>
        <w:rPr>
          <w:rFonts w:hint="eastAsia" w:ascii="宋体" w:hAnsi="宋体" w:cs="宋体"/>
          <w:color w:val="auto"/>
          <w:sz w:val="24"/>
          <w:szCs w:val="24"/>
        </w:rPr>
        <w:t>当委托人发现监理人员不按监理合同履行监理职责，或与承包人串通给委托</w:t>
      </w:r>
      <w:r>
        <w:rPr>
          <w:rFonts w:hint="eastAsia" w:ascii="宋体" w:hAnsi="宋体" w:cs="宋体"/>
          <w:color w:val="auto"/>
          <w:spacing w:val="-8"/>
          <w:sz w:val="24"/>
          <w:szCs w:val="24"/>
        </w:rPr>
        <w:t>人或工程造成损失的，委托人有权要求监理人更换监理人员，直到终止合同并要求监理人承担</w:t>
      </w:r>
      <w:r>
        <w:rPr>
          <w:rFonts w:hint="eastAsia" w:ascii="宋体" w:hAnsi="宋体" w:cs="宋体"/>
          <w:color w:val="auto"/>
          <w:sz w:val="24"/>
          <w:szCs w:val="24"/>
        </w:rPr>
        <w:t>相应的赔偿责任或连带赔偿责任。</w:t>
      </w:r>
      <w:r>
        <w:rPr>
          <w:rFonts w:hint="eastAsia" w:ascii="宋体" w:hAnsi="宋体" w:cs="宋体"/>
          <w:b/>
          <w:color w:val="auto"/>
          <w:w w:val="99"/>
          <w:sz w:val="24"/>
          <w:szCs w:val="24"/>
        </w:rPr>
        <w:t xml:space="preserve"> </w:t>
      </w:r>
    </w:p>
    <w:p>
      <w:pPr>
        <w:pStyle w:val="8"/>
        <w:spacing w:line="360" w:lineRule="auto"/>
        <w:ind w:left="0" w:firstLine="482" w:firstLineChars="200"/>
        <w:jc w:val="center"/>
        <w:rPr>
          <w:rFonts w:ascii="宋体" w:hAnsi="宋体" w:cs="宋体"/>
          <w:color w:val="auto"/>
        </w:rPr>
      </w:pPr>
      <w:r>
        <w:rPr>
          <w:rFonts w:hint="eastAsia" w:ascii="宋体" w:hAnsi="宋体" w:cs="宋体"/>
          <w:color w:val="auto"/>
        </w:rPr>
        <w:t>监理人责任</w:t>
      </w:r>
    </w:p>
    <w:p>
      <w:pPr>
        <w:pStyle w:val="12"/>
        <w:spacing w:after="0" w:line="360" w:lineRule="auto"/>
        <w:ind w:firstLine="482" w:firstLineChars="200"/>
        <w:rPr>
          <w:rFonts w:ascii="宋体" w:hAnsi="宋体" w:cs="宋体"/>
          <w:color w:val="auto"/>
          <w:sz w:val="24"/>
          <w:szCs w:val="24"/>
        </w:rPr>
      </w:pPr>
      <w:r>
        <w:rPr>
          <w:rFonts w:hint="eastAsia" w:ascii="宋体" w:hAnsi="宋体" w:cs="宋体"/>
          <w:b/>
          <w:color w:val="auto"/>
          <w:sz w:val="24"/>
          <w:szCs w:val="24"/>
        </w:rPr>
        <w:t xml:space="preserve">第二十五条 </w:t>
      </w:r>
      <w:r>
        <w:rPr>
          <w:rFonts w:hint="eastAsia" w:ascii="宋体" w:hAnsi="宋体" w:cs="宋体"/>
          <w:color w:val="auto"/>
          <w:sz w:val="24"/>
          <w:szCs w:val="24"/>
        </w:rPr>
        <w:t xml:space="preserve">监理人的责任期即本监理合同有效期。在监理过程中，如果因工程建设进度的推迟或延误而超过书面约定的日期，双方应进一步约定相应延长的合同期。 </w:t>
      </w:r>
    </w:p>
    <w:p>
      <w:pPr>
        <w:pStyle w:val="12"/>
        <w:spacing w:after="0" w:line="360" w:lineRule="auto"/>
        <w:ind w:firstLine="482" w:firstLineChars="200"/>
        <w:rPr>
          <w:rFonts w:ascii="宋体" w:hAnsi="宋体" w:cs="宋体"/>
          <w:color w:val="auto"/>
          <w:sz w:val="24"/>
          <w:szCs w:val="24"/>
        </w:rPr>
      </w:pPr>
      <w:r>
        <w:rPr>
          <w:rFonts w:hint="eastAsia" w:ascii="宋体" w:hAnsi="宋体" w:cs="宋体"/>
          <w:b/>
          <w:color w:val="auto"/>
          <w:sz w:val="24"/>
          <w:szCs w:val="24"/>
        </w:rPr>
        <w:t xml:space="preserve">第二十六条 </w:t>
      </w:r>
      <w:r>
        <w:rPr>
          <w:rFonts w:hint="eastAsia" w:ascii="宋体" w:hAnsi="宋体" w:cs="宋体"/>
          <w:color w:val="auto"/>
          <w:sz w:val="24"/>
          <w:szCs w:val="24"/>
        </w:rPr>
        <w:t xml:space="preserve">监理人在责任期内，应当履行约定的义务，如果因监理人过失而造成了委托人的经济损失，应当向委托人赔偿，累计赔偿总额（除本合同专用条款第二十四条规定以外）不应超过监理报酬总额（除去税金）。 </w:t>
      </w:r>
    </w:p>
    <w:p>
      <w:pPr>
        <w:pStyle w:val="12"/>
        <w:spacing w:after="0" w:line="360" w:lineRule="auto"/>
        <w:ind w:firstLine="486" w:firstLineChars="200"/>
        <w:rPr>
          <w:rFonts w:ascii="宋体" w:hAnsi="宋体" w:cs="宋体"/>
          <w:color w:val="auto"/>
          <w:sz w:val="24"/>
          <w:szCs w:val="24"/>
        </w:rPr>
      </w:pPr>
      <w:r>
        <w:rPr>
          <w:rFonts w:hint="eastAsia" w:ascii="宋体" w:hAnsi="宋体" w:cs="宋体"/>
          <w:b/>
          <w:color w:val="auto"/>
          <w:spacing w:val="1"/>
          <w:sz w:val="24"/>
          <w:szCs w:val="24"/>
        </w:rPr>
        <w:t xml:space="preserve">第二十七条 </w:t>
      </w:r>
      <w:r>
        <w:rPr>
          <w:rFonts w:hint="eastAsia" w:ascii="宋体" w:hAnsi="宋体" w:cs="宋体"/>
          <w:color w:val="auto"/>
          <w:sz w:val="24"/>
          <w:szCs w:val="24"/>
        </w:rPr>
        <w:t>监理人对承包人违反合同规定的质量要求和完工（交图、交货）</w:t>
      </w:r>
      <w:r>
        <w:rPr>
          <w:rFonts w:hint="eastAsia" w:ascii="宋体" w:hAnsi="宋体" w:cs="宋体"/>
          <w:color w:val="auto"/>
          <w:spacing w:val="-3"/>
          <w:sz w:val="24"/>
          <w:szCs w:val="24"/>
        </w:rPr>
        <w:t>时限，不承</w:t>
      </w:r>
      <w:r>
        <w:rPr>
          <w:rFonts w:hint="eastAsia" w:ascii="宋体" w:hAnsi="宋体" w:cs="宋体"/>
          <w:color w:val="auto"/>
          <w:spacing w:val="-9"/>
          <w:sz w:val="24"/>
          <w:szCs w:val="24"/>
        </w:rPr>
        <w:t>担责任。因不可抗力导致工程监理合同不能全部或部分履行，监理人不承担责任。但对违反本</w:t>
      </w:r>
      <w:r>
        <w:rPr>
          <w:rFonts w:hint="eastAsia" w:ascii="宋体" w:hAnsi="宋体" w:cs="宋体"/>
          <w:color w:val="auto"/>
          <w:sz w:val="24"/>
          <w:szCs w:val="24"/>
        </w:rPr>
        <w:t xml:space="preserve">合同标准条款第五条规定引起的与之有关的事宜，应向委托人承担赔偿责任。 </w:t>
      </w:r>
    </w:p>
    <w:p>
      <w:pPr>
        <w:pStyle w:val="12"/>
        <w:spacing w:after="0"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 xml:space="preserve">第二十八条 </w:t>
      </w:r>
      <w:r>
        <w:rPr>
          <w:rFonts w:hint="eastAsia" w:ascii="宋体" w:hAnsi="宋体" w:cs="宋体"/>
          <w:color w:val="auto"/>
          <w:sz w:val="24"/>
          <w:szCs w:val="24"/>
        </w:rPr>
        <w:t>监理人向委托人提出赔偿要求不能成立时，监理人应当补偿由于该索赔所导致委托人的各种费用支出。</w:t>
      </w:r>
      <w:r>
        <w:rPr>
          <w:rFonts w:hint="eastAsia" w:ascii="宋体" w:hAnsi="宋体" w:cs="宋体"/>
          <w:b/>
          <w:color w:val="auto"/>
          <w:w w:val="99"/>
          <w:sz w:val="24"/>
          <w:szCs w:val="24"/>
        </w:rPr>
        <w:t xml:space="preserve"> </w:t>
      </w:r>
    </w:p>
    <w:p>
      <w:pPr>
        <w:pStyle w:val="8"/>
        <w:spacing w:line="360" w:lineRule="auto"/>
        <w:ind w:left="0" w:firstLine="482" w:firstLineChars="200"/>
        <w:jc w:val="center"/>
        <w:rPr>
          <w:rFonts w:ascii="宋体" w:hAnsi="宋体" w:cs="宋体"/>
          <w:color w:val="auto"/>
        </w:rPr>
      </w:pPr>
      <w:r>
        <w:rPr>
          <w:rFonts w:hint="eastAsia" w:ascii="宋体" w:hAnsi="宋体" w:cs="宋体"/>
          <w:color w:val="auto"/>
        </w:rPr>
        <w:t>委托人责任</w:t>
      </w:r>
    </w:p>
    <w:p>
      <w:pPr>
        <w:pStyle w:val="12"/>
        <w:spacing w:after="0" w:line="360" w:lineRule="auto"/>
        <w:ind w:firstLine="482" w:firstLineChars="200"/>
        <w:rPr>
          <w:rFonts w:ascii="宋体" w:hAnsi="宋体" w:cs="宋体"/>
          <w:color w:val="auto"/>
          <w:sz w:val="24"/>
          <w:szCs w:val="24"/>
        </w:rPr>
      </w:pPr>
      <w:r>
        <w:rPr>
          <w:rFonts w:hint="eastAsia" w:ascii="宋体" w:hAnsi="宋体" w:cs="宋体"/>
          <w:b/>
          <w:color w:val="auto"/>
          <w:sz w:val="24"/>
          <w:szCs w:val="24"/>
        </w:rPr>
        <w:t xml:space="preserve">第二十九条 </w:t>
      </w:r>
      <w:r>
        <w:rPr>
          <w:rFonts w:hint="eastAsia" w:ascii="宋体" w:hAnsi="宋体" w:cs="宋体"/>
          <w:color w:val="auto"/>
          <w:sz w:val="24"/>
          <w:szCs w:val="24"/>
        </w:rPr>
        <w:t>委托人应当履行本合同约定的义务，如有违反则应当承担违约责任，赔偿给监理人造成的经济损失，赔偿总额不超过监理报酬的</w:t>
      </w:r>
      <w:r>
        <w:rPr>
          <w:rFonts w:ascii="宋体" w:hAnsi="宋体" w:cs="宋体"/>
          <w:color w:val="auto"/>
          <w:sz w:val="24"/>
          <w:szCs w:val="24"/>
        </w:rPr>
        <w:t>20%</w:t>
      </w:r>
      <w:r>
        <w:rPr>
          <w:rFonts w:hint="eastAsia" w:ascii="宋体" w:hAnsi="宋体" w:cs="宋体"/>
          <w:color w:val="auto"/>
          <w:sz w:val="24"/>
          <w:szCs w:val="24"/>
        </w:rPr>
        <w:t>。监理人处理委托业务时，因委托人原因的事由受到损失的，可以向委托人要求补偿损失。</w:t>
      </w:r>
    </w:p>
    <w:p>
      <w:pPr>
        <w:pStyle w:val="12"/>
        <w:spacing w:after="0"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 xml:space="preserve">第三十条 </w:t>
      </w:r>
      <w:r>
        <w:rPr>
          <w:rFonts w:hint="eastAsia" w:ascii="宋体" w:hAnsi="宋体" w:cs="宋体"/>
          <w:color w:val="auto"/>
          <w:sz w:val="24"/>
          <w:szCs w:val="24"/>
        </w:rPr>
        <w:t>委托人如果向监理人提出赔偿的要求不能成立，则应当补偿由该索赔所引起的监理人的各种费用支出。</w:t>
      </w:r>
      <w:r>
        <w:rPr>
          <w:rFonts w:hint="eastAsia" w:ascii="宋体" w:hAnsi="宋体" w:cs="宋体"/>
          <w:b/>
          <w:color w:val="auto"/>
          <w:w w:val="99"/>
          <w:sz w:val="24"/>
          <w:szCs w:val="24"/>
        </w:rPr>
        <w:t xml:space="preserve"> </w:t>
      </w:r>
    </w:p>
    <w:p>
      <w:pPr>
        <w:pStyle w:val="8"/>
        <w:spacing w:line="360" w:lineRule="auto"/>
        <w:ind w:left="0" w:firstLine="482" w:firstLineChars="200"/>
        <w:rPr>
          <w:rFonts w:ascii="宋体" w:hAnsi="宋体" w:cs="宋体"/>
          <w:color w:val="auto"/>
        </w:rPr>
      </w:pPr>
      <w:r>
        <w:rPr>
          <w:rFonts w:hint="eastAsia" w:ascii="宋体" w:hAnsi="宋体" w:cs="宋体"/>
          <w:color w:val="auto"/>
        </w:rPr>
        <w:t>合同生效、变更与终止</w:t>
      </w:r>
      <w:r>
        <w:rPr>
          <w:rFonts w:hint="eastAsia" w:ascii="宋体" w:hAnsi="宋体" w:cs="宋体"/>
          <w:color w:val="auto"/>
          <w:w w:val="99"/>
        </w:rPr>
        <w:t xml:space="preserve"> </w:t>
      </w:r>
    </w:p>
    <w:p>
      <w:pPr>
        <w:pStyle w:val="12"/>
        <w:spacing w:after="0" w:line="360" w:lineRule="auto"/>
        <w:ind w:firstLine="486" w:firstLineChars="200"/>
        <w:rPr>
          <w:rFonts w:ascii="宋体" w:hAnsi="宋体" w:cs="宋体"/>
          <w:color w:val="auto"/>
          <w:spacing w:val="-1"/>
          <w:sz w:val="24"/>
          <w:szCs w:val="24"/>
        </w:rPr>
      </w:pPr>
      <w:r>
        <w:rPr>
          <w:rFonts w:hint="eastAsia" w:ascii="宋体" w:hAnsi="宋体" w:cs="宋体"/>
          <w:b/>
          <w:color w:val="auto"/>
          <w:spacing w:val="1"/>
          <w:sz w:val="24"/>
          <w:szCs w:val="24"/>
        </w:rPr>
        <w:t xml:space="preserve">第三十一条 </w:t>
      </w:r>
      <w:r>
        <w:rPr>
          <w:rFonts w:hint="eastAsia" w:ascii="宋体" w:hAnsi="宋体" w:cs="宋体"/>
          <w:color w:val="auto"/>
          <w:spacing w:val="-1"/>
          <w:sz w:val="24"/>
          <w:szCs w:val="24"/>
        </w:rPr>
        <w:t>由于委托人或承包人的原因使监理工作受到阻碍或延误，以致发生了附加工作或延长了持续时间，则监理人应当将此情况与可能产生的影响及时通知委托人。经委托人书面确认，完成监理业务的时间相应延长，并得到附加工作的报酬。</w:t>
      </w:r>
      <w:r>
        <w:rPr>
          <w:rFonts w:ascii="宋体" w:hAnsi="宋体" w:cs="宋体"/>
          <w:color w:val="auto"/>
          <w:spacing w:val="-1"/>
          <w:sz w:val="24"/>
          <w:szCs w:val="24"/>
        </w:rPr>
        <w:t xml:space="preserve"> </w:t>
      </w:r>
    </w:p>
    <w:p>
      <w:pPr>
        <w:pStyle w:val="12"/>
        <w:spacing w:after="0" w:line="360" w:lineRule="auto"/>
        <w:ind w:firstLine="482" w:firstLineChars="200"/>
        <w:rPr>
          <w:rFonts w:ascii="宋体" w:hAnsi="宋体" w:cs="宋体"/>
          <w:color w:val="auto"/>
          <w:spacing w:val="-1"/>
          <w:sz w:val="24"/>
          <w:szCs w:val="24"/>
        </w:rPr>
      </w:pPr>
      <w:r>
        <w:rPr>
          <w:rFonts w:hint="eastAsia" w:ascii="宋体" w:hAnsi="宋体" w:cs="宋体"/>
          <w:b/>
          <w:color w:val="auto"/>
          <w:sz w:val="24"/>
          <w:szCs w:val="24"/>
        </w:rPr>
        <w:t xml:space="preserve">第三十二条 </w:t>
      </w:r>
      <w:r>
        <w:rPr>
          <w:rFonts w:hint="eastAsia" w:ascii="宋体" w:hAnsi="宋体" w:cs="宋体"/>
          <w:color w:val="auto"/>
          <w:sz w:val="24"/>
          <w:szCs w:val="24"/>
        </w:rPr>
        <w:t>在本合</w:t>
      </w:r>
      <w:r>
        <w:rPr>
          <w:rFonts w:hint="eastAsia" w:ascii="宋体" w:hAnsi="宋体" w:cs="宋体"/>
          <w:color w:val="auto"/>
          <w:spacing w:val="-1"/>
          <w:sz w:val="24"/>
          <w:szCs w:val="24"/>
        </w:rPr>
        <w:t>同签订后，实际情况发生变化，使得监理人不能全部或部分执行监理业务时，监理人应当立即通知委托人。该监理业务的完成时间应予延长。当恢复执行监理业务时，应当增加不超过</w:t>
      </w:r>
      <w:r>
        <w:rPr>
          <w:rFonts w:ascii="宋体" w:hAnsi="宋体" w:cs="宋体"/>
          <w:color w:val="auto"/>
          <w:spacing w:val="-1"/>
          <w:sz w:val="24"/>
          <w:szCs w:val="24"/>
        </w:rPr>
        <w:t xml:space="preserve"> 42 日的时间用于恢复执行监理业务，并按双方约定的数量支付监理报酬。 </w:t>
      </w:r>
    </w:p>
    <w:p>
      <w:pPr>
        <w:pStyle w:val="12"/>
        <w:spacing w:after="0" w:line="360" w:lineRule="auto"/>
        <w:ind w:firstLine="486" w:firstLineChars="200"/>
        <w:rPr>
          <w:rFonts w:ascii="宋体" w:hAnsi="宋体" w:cs="宋体"/>
          <w:color w:val="auto"/>
          <w:spacing w:val="-1"/>
          <w:sz w:val="24"/>
          <w:szCs w:val="24"/>
        </w:rPr>
      </w:pPr>
      <w:r>
        <w:rPr>
          <w:rFonts w:hint="eastAsia" w:ascii="宋体" w:hAnsi="宋体" w:cs="宋体"/>
          <w:b/>
          <w:color w:val="auto"/>
          <w:spacing w:val="1"/>
          <w:sz w:val="24"/>
          <w:szCs w:val="24"/>
        </w:rPr>
        <w:t xml:space="preserve">第三十三条 </w:t>
      </w:r>
      <w:r>
        <w:rPr>
          <w:rFonts w:hint="eastAsia" w:ascii="宋体" w:hAnsi="宋体" w:cs="宋体"/>
          <w:color w:val="auto"/>
          <w:spacing w:val="-1"/>
          <w:sz w:val="24"/>
          <w:szCs w:val="24"/>
        </w:rPr>
        <w:t>监理人向委托人办理完竣工验收或工程移交手续，承包人和委托人已签订工程保修责任书，监理人收到监理报酬尾款，本合同即终止。保修期间的责任，双方在专用条款中约定。</w:t>
      </w:r>
      <w:r>
        <w:rPr>
          <w:rFonts w:ascii="宋体" w:hAnsi="宋体" w:cs="宋体"/>
          <w:color w:val="auto"/>
          <w:spacing w:val="-1"/>
          <w:sz w:val="24"/>
          <w:szCs w:val="24"/>
        </w:rPr>
        <w:t xml:space="preserve"> </w:t>
      </w:r>
    </w:p>
    <w:p>
      <w:pPr>
        <w:pStyle w:val="12"/>
        <w:spacing w:after="0" w:line="360" w:lineRule="auto"/>
        <w:ind w:firstLine="478" w:firstLineChars="200"/>
        <w:rPr>
          <w:rFonts w:ascii="宋体" w:hAnsi="宋体" w:cs="宋体"/>
          <w:color w:val="auto"/>
          <w:spacing w:val="-1"/>
          <w:sz w:val="24"/>
          <w:szCs w:val="24"/>
        </w:rPr>
      </w:pPr>
      <w:r>
        <w:rPr>
          <w:rFonts w:hint="eastAsia" w:ascii="宋体" w:hAnsi="宋体" w:cs="宋体"/>
          <w:b/>
          <w:color w:val="auto"/>
          <w:spacing w:val="-1"/>
          <w:sz w:val="24"/>
          <w:szCs w:val="24"/>
        </w:rPr>
        <w:t xml:space="preserve">第三十四条 </w:t>
      </w:r>
      <w:r>
        <w:rPr>
          <w:rFonts w:hint="eastAsia" w:ascii="宋体" w:hAnsi="宋体" w:cs="宋体"/>
          <w:color w:val="auto"/>
          <w:spacing w:val="-7"/>
          <w:sz w:val="24"/>
          <w:szCs w:val="24"/>
        </w:rPr>
        <w:t>当事人</w:t>
      </w:r>
      <w:r>
        <w:rPr>
          <w:rFonts w:hint="eastAsia" w:ascii="宋体" w:hAnsi="宋体" w:cs="宋体"/>
          <w:color w:val="auto"/>
          <w:spacing w:val="-1"/>
          <w:sz w:val="24"/>
          <w:szCs w:val="24"/>
        </w:rPr>
        <w:t>一方根据法律规定或本合同约定要求变更或解除合同时，应当在</w:t>
      </w:r>
      <w:r>
        <w:rPr>
          <w:rFonts w:ascii="宋体" w:hAnsi="宋体" w:cs="宋体"/>
          <w:color w:val="auto"/>
          <w:spacing w:val="-1"/>
          <w:sz w:val="24"/>
          <w:szCs w:val="24"/>
        </w:rPr>
        <w:t>42</w:t>
      </w:r>
      <w:r>
        <w:rPr>
          <w:rFonts w:hint="eastAsia" w:ascii="宋体" w:hAnsi="宋体" w:cs="宋体"/>
          <w:color w:val="auto"/>
          <w:spacing w:val="-1"/>
          <w:sz w:val="24"/>
          <w:szCs w:val="24"/>
        </w:rPr>
        <w:t>日前通知对方，因解除合同使一方遭受损失的，除依法可以免除责任的外，应由责任方负责赔偿。</w:t>
      </w:r>
      <w:r>
        <w:rPr>
          <w:rFonts w:ascii="宋体" w:hAnsi="宋体" w:cs="宋体"/>
          <w:color w:val="auto"/>
          <w:spacing w:val="-1"/>
          <w:sz w:val="24"/>
          <w:szCs w:val="24"/>
        </w:rPr>
        <w:t xml:space="preserve"> </w:t>
      </w:r>
      <w:r>
        <w:rPr>
          <w:rFonts w:hint="eastAsia" w:ascii="宋体" w:hAnsi="宋体" w:cs="宋体"/>
          <w:color w:val="auto"/>
          <w:spacing w:val="-1"/>
          <w:sz w:val="24"/>
          <w:szCs w:val="24"/>
        </w:rPr>
        <w:t>变更或解除合同的通知或协议必须采取书面形式，协议未达成之前，原合同仍然有效。</w:t>
      </w:r>
      <w:r>
        <w:rPr>
          <w:rFonts w:ascii="宋体" w:hAnsi="宋体" w:cs="宋体"/>
          <w:color w:val="auto"/>
          <w:spacing w:val="-1"/>
          <w:sz w:val="24"/>
          <w:szCs w:val="24"/>
        </w:rPr>
        <w:t xml:space="preserve"> </w:t>
      </w:r>
    </w:p>
    <w:p>
      <w:pPr>
        <w:pStyle w:val="12"/>
        <w:spacing w:after="0" w:line="360" w:lineRule="auto"/>
        <w:ind w:firstLine="482" w:firstLineChars="200"/>
        <w:rPr>
          <w:rFonts w:ascii="宋体" w:hAnsi="宋体" w:cs="宋体"/>
          <w:color w:val="auto"/>
          <w:spacing w:val="-1"/>
          <w:sz w:val="24"/>
          <w:szCs w:val="24"/>
        </w:rPr>
      </w:pPr>
      <w:r>
        <w:rPr>
          <w:rFonts w:hint="eastAsia" w:ascii="宋体" w:hAnsi="宋体" w:cs="宋体"/>
          <w:b/>
          <w:color w:val="auto"/>
          <w:sz w:val="24"/>
          <w:szCs w:val="24"/>
        </w:rPr>
        <w:t xml:space="preserve">第三十五条 </w:t>
      </w:r>
      <w:r>
        <w:rPr>
          <w:rFonts w:hint="eastAsia" w:ascii="宋体" w:hAnsi="宋体" w:cs="宋体"/>
          <w:color w:val="auto"/>
          <w:sz w:val="24"/>
          <w:szCs w:val="24"/>
        </w:rPr>
        <w:t>监理人在应</w:t>
      </w:r>
      <w:r>
        <w:rPr>
          <w:rFonts w:hint="eastAsia" w:ascii="宋体" w:hAnsi="宋体" w:cs="宋体"/>
          <w:color w:val="auto"/>
          <w:spacing w:val="-1"/>
          <w:sz w:val="24"/>
          <w:szCs w:val="24"/>
        </w:rPr>
        <w:t>当获得监理报酬之日起</w:t>
      </w:r>
      <w:r>
        <w:rPr>
          <w:rFonts w:ascii="宋体" w:hAnsi="宋体" w:cs="宋体"/>
          <w:color w:val="auto"/>
          <w:spacing w:val="-1"/>
          <w:sz w:val="24"/>
          <w:szCs w:val="24"/>
        </w:rPr>
        <w:t xml:space="preserve"> 30</w:t>
      </w:r>
      <w:r>
        <w:rPr>
          <w:rFonts w:hint="eastAsia" w:ascii="宋体" w:hAnsi="宋体" w:cs="宋体"/>
          <w:color w:val="auto"/>
          <w:spacing w:val="-1"/>
          <w:sz w:val="24"/>
          <w:szCs w:val="24"/>
        </w:rPr>
        <w:t xml:space="preserve"> 日内仍未收到支付单据，而委托人又未对监理人提出任何书面解释时，监理人可向委托人发出终止合同的通知，发出通知后</w:t>
      </w:r>
      <w:r>
        <w:rPr>
          <w:rFonts w:ascii="宋体" w:hAnsi="宋体" w:cs="宋体"/>
          <w:color w:val="auto"/>
          <w:spacing w:val="-1"/>
          <w:sz w:val="24"/>
          <w:szCs w:val="24"/>
        </w:rPr>
        <w:t>14</w:t>
      </w:r>
      <w:r>
        <w:rPr>
          <w:rFonts w:hint="eastAsia" w:ascii="宋体" w:hAnsi="宋体" w:cs="宋体"/>
          <w:color w:val="auto"/>
          <w:spacing w:val="-1"/>
          <w:sz w:val="24"/>
          <w:szCs w:val="24"/>
        </w:rPr>
        <w:t>日内仍未得到委托人答复，可进一步发出终止合同的通知，如果第二份通知发出后</w:t>
      </w:r>
      <w:r>
        <w:rPr>
          <w:rFonts w:ascii="宋体" w:hAnsi="宋体" w:cs="宋体"/>
          <w:color w:val="auto"/>
          <w:spacing w:val="-1"/>
          <w:sz w:val="24"/>
          <w:szCs w:val="24"/>
        </w:rPr>
        <w:t>42</w:t>
      </w:r>
      <w:r>
        <w:rPr>
          <w:rFonts w:hint="eastAsia" w:ascii="宋体" w:hAnsi="宋体" w:cs="宋体"/>
          <w:color w:val="auto"/>
          <w:spacing w:val="-1"/>
          <w:sz w:val="24"/>
          <w:szCs w:val="24"/>
        </w:rPr>
        <w:t>日内仍未得到委托人答复，可终止合同或自行暂停或继续暂停执行全部或部分监理业务。委托人承担违约责任。</w:t>
      </w:r>
      <w:r>
        <w:rPr>
          <w:rFonts w:ascii="宋体" w:hAnsi="宋体" w:cs="宋体"/>
          <w:color w:val="auto"/>
          <w:spacing w:val="-1"/>
          <w:sz w:val="24"/>
          <w:szCs w:val="24"/>
        </w:rPr>
        <w:t xml:space="preserve"> </w:t>
      </w:r>
    </w:p>
    <w:p>
      <w:pPr>
        <w:pStyle w:val="12"/>
        <w:spacing w:after="0" w:line="360" w:lineRule="auto"/>
        <w:ind w:firstLine="482" w:firstLineChars="200"/>
        <w:rPr>
          <w:rFonts w:ascii="宋体" w:hAnsi="宋体" w:cs="宋体"/>
          <w:color w:val="auto"/>
          <w:sz w:val="24"/>
          <w:szCs w:val="24"/>
        </w:rPr>
      </w:pPr>
      <w:r>
        <w:rPr>
          <w:rFonts w:hint="eastAsia" w:ascii="宋体" w:hAnsi="宋体" w:cs="宋体"/>
          <w:b/>
          <w:color w:val="auto"/>
          <w:sz w:val="24"/>
          <w:szCs w:val="24"/>
        </w:rPr>
        <w:t xml:space="preserve">第三十六条 </w:t>
      </w:r>
      <w:r>
        <w:rPr>
          <w:rFonts w:hint="eastAsia" w:ascii="宋体" w:hAnsi="宋体" w:cs="宋体"/>
          <w:color w:val="auto"/>
          <w:sz w:val="24"/>
          <w:szCs w:val="24"/>
        </w:rPr>
        <w:t xml:space="preserve">监理人由于非自己的原因而暂停或终止执行监理业务，其善后工作以及恢复执行监理业务的工作，应当视为额外工作，有权得到额外的报酬。 </w:t>
      </w:r>
    </w:p>
    <w:p>
      <w:pPr>
        <w:pStyle w:val="12"/>
        <w:spacing w:after="0" w:line="360" w:lineRule="auto"/>
        <w:ind w:firstLine="486" w:firstLineChars="200"/>
        <w:rPr>
          <w:rFonts w:ascii="宋体" w:hAnsi="宋体" w:cs="宋体"/>
          <w:color w:val="auto"/>
          <w:spacing w:val="-8"/>
          <w:sz w:val="24"/>
          <w:szCs w:val="24"/>
        </w:rPr>
      </w:pPr>
      <w:r>
        <w:rPr>
          <w:rFonts w:hint="eastAsia" w:ascii="宋体" w:hAnsi="宋体" w:cs="宋体"/>
          <w:b/>
          <w:color w:val="auto"/>
          <w:spacing w:val="1"/>
          <w:sz w:val="24"/>
          <w:szCs w:val="24"/>
        </w:rPr>
        <w:t xml:space="preserve">第三十七条 </w:t>
      </w:r>
      <w:r>
        <w:rPr>
          <w:rFonts w:hint="eastAsia" w:ascii="宋体" w:hAnsi="宋体" w:cs="宋体"/>
          <w:color w:val="auto"/>
          <w:spacing w:val="-1"/>
          <w:sz w:val="24"/>
          <w:szCs w:val="24"/>
        </w:rPr>
        <w:t>当委托人认为监理人无正当理由而又未履行监理义务时，可向监理人发出</w:t>
      </w:r>
      <w:r>
        <w:rPr>
          <w:rFonts w:hint="eastAsia" w:ascii="宋体" w:hAnsi="宋体" w:cs="宋体"/>
          <w:color w:val="auto"/>
          <w:spacing w:val="-3"/>
          <w:sz w:val="24"/>
          <w:szCs w:val="24"/>
        </w:rPr>
        <w:t>指明其未履行义务的通知。若委托人发出通知后</w:t>
      </w:r>
      <w:r>
        <w:rPr>
          <w:rFonts w:hint="eastAsia" w:ascii="宋体" w:hAnsi="宋体" w:cs="宋体"/>
          <w:color w:val="auto"/>
          <w:sz w:val="24"/>
          <w:szCs w:val="24"/>
        </w:rPr>
        <w:t>21</w:t>
      </w:r>
      <w:r>
        <w:rPr>
          <w:rFonts w:hint="eastAsia" w:ascii="宋体" w:hAnsi="宋体" w:cs="宋体"/>
          <w:color w:val="auto"/>
          <w:spacing w:val="-8"/>
          <w:sz w:val="24"/>
          <w:szCs w:val="24"/>
        </w:rPr>
        <w:t>日内没有收到答复，可在第一个通知发出</w:t>
      </w:r>
      <w:r>
        <w:rPr>
          <w:rFonts w:hint="eastAsia" w:ascii="宋体" w:hAnsi="宋体" w:cs="宋体"/>
          <w:color w:val="auto"/>
          <w:spacing w:val="-30"/>
          <w:sz w:val="24"/>
          <w:szCs w:val="24"/>
        </w:rPr>
        <w:t xml:space="preserve">后 </w:t>
      </w:r>
      <w:r>
        <w:rPr>
          <w:rFonts w:hint="eastAsia" w:ascii="宋体" w:hAnsi="宋体" w:cs="宋体"/>
          <w:color w:val="auto"/>
          <w:sz w:val="24"/>
          <w:szCs w:val="24"/>
        </w:rPr>
        <w:t>35</w:t>
      </w:r>
      <w:r>
        <w:rPr>
          <w:rFonts w:hint="eastAsia" w:ascii="宋体" w:hAnsi="宋体" w:cs="宋体"/>
          <w:color w:val="auto"/>
          <w:spacing w:val="-8"/>
          <w:sz w:val="24"/>
          <w:szCs w:val="24"/>
        </w:rPr>
        <w:t>日内发出终止委托监理合同的通知，合同即行终止。监理人承担违约责任。</w:t>
      </w:r>
    </w:p>
    <w:p>
      <w:pPr>
        <w:pStyle w:val="12"/>
        <w:spacing w:after="0" w:line="360" w:lineRule="auto"/>
        <w:ind w:firstLine="454" w:firstLineChars="200"/>
        <w:rPr>
          <w:rFonts w:ascii="宋体" w:hAnsi="宋体" w:cs="宋体"/>
          <w:bCs/>
          <w:color w:val="auto"/>
          <w:sz w:val="24"/>
          <w:szCs w:val="24"/>
        </w:rPr>
      </w:pPr>
      <w:r>
        <w:rPr>
          <w:rFonts w:hint="eastAsia" w:ascii="宋体" w:hAnsi="宋体" w:cs="宋体"/>
          <w:b/>
          <w:color w:val="auto"/>
          <w:spacing w:val="-7"/>
          <w:sz w:val="24"/>
          <w:szCs w:val="24"/>
        </w:rPr>
        <w:t>第三十八条</w:t>
      </w:r>
      <w:r>
        <w:rPr>
          <w:rFonts w:hint="eastAsia" w:ascii="宋体" w:hAnsi="宋体" w:cs="宋体"/>
          <w:bCs/>
          <w:color w:val="auto"/>
          <w:spacing w:val="-7"/>
          <w:sz w:val="24"/>
          <w:szCs w:val="24"/>
        </w:rPr>
        <w:t xml:space="preserve"> </w:t>
      </w:r>
      <w:r>
        <w:rPr>
          <w:rFonts w:hint="eastAsia" w:ascii="宋体" w:hAnsi="宋体" w:cs="宋体"/>
          <w:bCs/>
          <w:color w:val="auto"/>
          <w:spacing w:val="-1"/>
          <w:sz w:val="24"/>
          <w:szCs w:val="24"/>
        </w:rPr>
        <w:t>合同协议的终止并不影响各方应有的权利和应当承担的责任。</w:t>
      </w:r>
    </w:p>
    <w:p>
      <w:pPr>
        <w:pStyle w:val="12"/>
        <w:spacing w:after="0" w:line="360" w:lineRule="auto"/>
        <w:jc w:val="center"/>
        <w:rPr>
          <w:rFonts w:ascii="宋体" w:hAnsi="宋体" w:cs="宋体"/>
          <w:b/>
          <w:color w:val="auto"/>
          <w:sz w:val="24"/>
          <w:szCs w:val="24"/>
        </w:rPr>
      </w:pPr>
      <w:r>
        <w:rPr>
          <w:rFonts w:hint="eastAsia" w:ascii="宋体" w:hAnsi="宋体" w:cs="宋体"/>
          <w:b/>
          <w:color w:val="auto"/>
          <w:sz w:val="24"/>
          <w:szCs w:val="24"/>
        </w:rPr>
        <w:t>监理报酬</w:t>
      </w:r>
    </w:p>
    <w:p>
      <w:pPr>
        <w:pStyle w:val="12"/>
        <w:spacing w:after="0" w:line="360" w:lineRule="auto"/>
        <w:ind w:firstLine="482" w:firstLineChars="200"/>
        <w:rPr>
          <w:rFonts w:ascii="宋体" w:hAnsi="宋体" w:cs="宋体"/>
          <w:color w:val="auto"/>
          <w:sz w:val="24"/>
          <w:szCs w:val="24"/>
        </w:rPr>
      </w:pPr>
      <w:r>
        <w:rPr>
          <w:rFonts w:hint="eastAsia" w:ascii="宋体" w:hAnsi="宋体" w:cs="宋体"/>
          <w:b/>
          <w:color w:val="auto"/>
          <w:sz w:val="24"/>
          <w:szCs w:val="24"/>
        </w:rPr>
        <w:t xml:space="preserve">第三十九条 </w:t>
      </w:r>
      <w:r>
        <w:rPr>
          <w:rFonts w:hint="eastAsia" w:ascii="宋体" w:hAnsi="宋体" w:cs="宋体"/>
          <w:color w:val="auto"/>
          <w:sz w:val="24"/>
          <w:szCs w:val="24"/>
        </w:rPr>
        <w:t xml:space="preserve">正常的监理工作、附加工作和额外工作的报酬，按照监理合同专用条款中第三十九条的方法计算，并按约定的时间和数额支付。 </w:t>
      </w:r>
    </w:p>
    <w:p>
      <w:pPr>
        <w:pStyle w:val="12"/>
        <w:spacing w:after="0" w:line="360" w:lineRule="auto"/>
        <w:ind w:firstLine="498" w:firstLineChars="200"/>
        <w:rPr>
          <w:rFonts w:ascii="宋体" w:hAnsi="宋体" w:cs="宋体"/>
          <w:color w:val="auto"/>
          <w:sz w:val="24"/>
          <w:szCs w:val="24"/>
        </w:rPr>
      </w:pPr>
      <w:r>
        <w:rPr>
          <w:rFonts w:hint="eastAsia" w:ascii="宋体" w:hAnsi="宋体" w:cs="宋体"/>
          <w:b/>
          <w:color w:val="auto"/>
          <w:spacing w:val="4"/>
          <w:sz w:val="24"/>
          <w:szCs w:val="24"/>
        </w:rPr>
        <w:t xml:space="preserve">第四十条 </w:t>
      </w:r>
      <w:r>
        <w:rPr>
          <w:rFonts w:hint="eastAsia" w:ascii="宋体" w:hAnsi="宋体" w:cs="宋体"/>
          <w:color w:val="auto"/>
          <w:sz w:val="24"/>
          <w:szCs w:val="24"/>
        </w:rPr>
        <w:t>如果委托人在规定的支付期限内未支付监理报酬，自规定之日起，还应向监理人</w:t>
      </w:r>
      <w:r>
        <w:rPr>
          <w:rFonts w:hint="eastAsia" w:ascii="宋体" w:hAnsi="宋体" w:cs="宋体"/>
          <w:color w:val="auto"/>
          <w:spacing w:val="-14"/>
          <w:sz w:val="24"/>
          <w:szCs w:val="24"/>
        </w:rPr>
        <w:t xml:space="preserve">支付滞纳金。滞纳金从规定支付期限最后一日起计算。滞纳金累计不超过未付监理报酬的 </w:t>
      </w:r>
      <w:r>
        <w:rPr>
          <w:rFonts w:hint="eastAsia" w:ascii="宋体" w:hAnsi="宋体" w:cs="宋体"/>
          <w:color w:val="auto"/>
          <w:sz w:val="24"/>
          <w:szCs w:val="24"/>
        </w:rPr>
        <w:t>5%</w:t>
      </w:r>
      <w:r>
        <w:rPr>
          <w:rFonts w:hint="eastAsia" w:ascii="宋体" w:hAnsi="宋体" w:cs="宋体"/>
          <w:color w:val="auto"/>
          <w:spacing w:val="-120"/>
          <w:sz w:val="24"/>
          <w:szCs w:val="24"/>
        </w:rPr>
        <w:t>。</w:t>
      </w:r>
      <w:r>
        <w:rPr>
          <w:rFonts w:hint="eastAsia" w:ascii="宋体" w:hAnsi="宋体" w:cs="宋体"/>
          <w:color w:val="auto"/>
          <w:sz w:val="24"/>
          <w:szCs w:val="24"/>
        </w:rPr>
        <w:t xml:space="preserve"> </w:t>
      </w:r>
    </w:p>
    <w:p>
      <w:pPr>
        <w:pStyle w:val="12"/>
        <w:spacing w:after="0" w:line="360" w:lineRule="auto"/>
        <w:ind w:firstLine="482" w:firstLineChars="200"/>
        <w:rPr>
          <w:rFonts w:ascii="宋体" w:hAnsi="宋体" w:cs="宋体"/>
          <w:color w:val="auto"/>
          <w:sz w:val="24"/>
          <w:szCs w:val="24"/>
        </w:rPr>
      </w:pPr>
      <w:r>
        <w:rPr>
          <w:rFonts w:hint="eastAsia" w:ascii="宋体" w:hAnsi="宋体" w:cs="宋体"/>
          <w:b/>
          <w:color w:val="auto"/>
          <w:sz w:val="24"/>
          <w:szCs w:val="24"/>
        </w:rPr>
        <w:t xml:space="preserve">第四十一条 </w:t>
      </w:r>
      <w:r>
        <w:rPr>
          <w:rFonts w:hint="eastAsia" w:ascii="宋体" w:hAnsi="宋体" w:cs="宋体"/>
          <w:color w:val="auto"/>
          <w:sz w:val="24"/>
          <w:szCs w:val="24"/>
        </w:rPr>
        <w:t xml:space="preserve">支付监理报酬所采取的货币币种、汇率由合同专用条款约定。 </w:t>
      </w:r>
    </w:p>
    <w:p>
      <w:pPr>
        <w:pStyle w:val="12"/>
        <w:spacing w:after="0" w:line="360" w:lineRule="auto"/>
        <w:ind w:firstLine="486" w:firstLineChars="200"/>
        <w:rPr>
          <w:rFonts w:ascii="宋体" w:hAnsi="宋体" w:cs="宋体"/>
          <w:b/>
          <w:color w:val="auto"/>
          <w:sz w:val="24"/>
          <w:szCs w:val="24"/>
        </w:rPr>
      </w:pPr>
      <w:r>
        <w:rPr>
          <w:rFonts w:hint="eastAsia" w:ascii="宋体" w:hAnsi="宋体" w:cs="宋体"/>
          <w:b/>
          <w:color w:val="auto"/>
          <w:spacing w:val="1"/>
          <w:sz w:val="24"/>
          <w:szCs w:val="24"/>
        </w:rPr>
        <w:t xml:space="preserve">第四十二条 </w:t>
      </w:r>
      <w:r>
        <w:rPr>
          <w:rFonts w:hint="eastAsia" w:ascii="宋体" w:hAnsi="宋体" w:cs="宋体"/>
          <w:color w:val="auto"/>
          <w:spacing w:val="-1"/>
          <w:sz w:val="24"/>
          <w:szCs w:val="24"/>
        </w:rPr>
        <w:t>如果委托人对监理人提交的支付通知中报酬或部分报酬项目提出异议，应当</w:t>
      </w:r>
      <w:r>
        <w:rPr>
          <w:rFonts w:hint="eastAsia" w:ascii="宋体" w:hAnsi="宋体" w:cs="宋体"/>
          <w:color w:val="auto"/>
          <w:spacing w:val="-6"/>
          <w:sz w:val="24"/>
          <w:szCs w:val="24"/>
        </w:rPr>
        <w:t>在收到支付通知书</w:t>
      </w:r>
      <w:r>
        <w:rPr>
          <w:rFonts w:hint="eastAsia" w:ascii="宋体" w:hAnsi="宋体" w:cs="宋体"/>
          <w:color w:val="auto"/>
          <w:sz w:val="24"/>
          <w:szCs w:val="24"/>
        </w:rPr>
        <w:t>24</w:t>
      </w:r>
      <w:r>
        <w:rPr>
          <w:rFonts w:hint="eastAsia" w:ascii="宋体" w:hAnsi="宋体" w:cs="宋体"/>
          <w:color w:val="auto"/>
          <w:spacing w:val="-8"/>
          <w:sz w:val="24"/>
          <w:szCs w:val="24"/>
        </w:rPr>
        <w:t>小时内向监理人发出表示异议的通知，但委托人不得拖延其他无异议报</w:t>
      </w:r>
      <w:r>
        <w:rPr>
          <w:rFonts w:hint="eastAsia" w:ascii="宋体" w:hAnsi="宋体" w:cs="宋体"/>
          <w:color w:val="auto"/>
          <w:sz w:val="24"/>
          <w:szCs w:val="24"/>
        </w:rPr>
        <w:t>酬项目的支付。</w:t>
      </w:r>
      <w:r>
        <w:rPr>
          <w:rFonts w:hint="eastAsia" w:ascii="宋体" w:hAnsi="宋体" w:cs="宋体"/>
          <w:b/>
          <w:color w:val="auto"/>
          <w:w w:val="99"/>
          <w:sz w:val="24"/>
          <w:szCs w:val="24"/>
        </w:rPr>
        <w:t xml:space="preserve"> </w:t>
      </w:r>
    </w:p>
    <w:p>
      <w:pPr>
        <w:pStyle w:val="8"/>
        <w:spacing w:line="360" w:lineRule="auto"/>
        <w:ind w:left="0" w:firstLine="482" w:firstLineChars="200"/>
        <w:rPr>
          <w:rFonts w:ascii="宋体" w:hAnsi="宋体" w:cs="宋体"/>
          <w:color w:val="auto"/>
        </w:rPr>
      </w:pPr>
      <w:r>
        <w:rPr>
          <w:rFonts w:hint="eastAsia" w:ascii="宋体" w:hAnsi="宋体" w:cs="宋体"/>
          <w:color w:val="auto"/>
        </w:rPr>
        <w:t>其他</w:t>
      </w:r>
      <w:r>
        <w:rPr>
          <w:rFonts w:hint="eastAsia" w:ascii="宋体" w:hAnsi="宋体" w:cs="宋体"/>
          <w:color w:val="auto"/>
          <w:w w:val="99"/>
        </w:rPr>
        <w:t xml:space="preserve"> </w:t>
      </w:r>
    </w:p>
    <w:p>
      <w:pPr>
        <w:pStyle w:val="12"/>
        <w:spacing w:after="0" w:line="360" w:lineRule="auto"/>
        <w:ind w:firstLine="486" w:firstLineChars="200"/>
        <w:rPr>
          <w:rFonts w:ascii="宋体" w:hAnsi="宋体" w:cs="宋体"/>
          <w:color w:val="auto"/>
          <w:sz w:val="24"/>
          <w:szCs w:val="24"/>
        </w:rPr>
      </w:pPr>
      <w:r>
        <w:rPr>
          <w:rFonts w:hint="eastAsia" w:ascii="宋体" w:hAnsi="宋体" w:cs="宋体"/>
          <w:b/>
          <w:color w:val="auto"/>
          <w:spacing w:val="1"/>
          <w:sz w:val="24"/>
          <w:szCs w:val="24"/>
        </w:rPr>
        <w:t xml:space="preserve">第四十三条 </w:t>
      </w:r>
      <w:r>
        <w:rPr>
          <w:rFonts w:hint="eastAsia" w:ascii="宋体" w:hAnsi="宋体" w:cs="宋体"/>
          <w:color w:val="auto"/>
          <w:spacing w:val="-1"/>
          <w:sz w:val="24"/>
          <w:szCs w:val="24"/>
        </w:rPr>
        <w:t>委托的建设工程监理所必要的监理人员出外考察、材料设备复试，其费用支</w:t>
      </w:r>
      <w:r>
        <w:rPr>
          <w:rFonts w:hint="eastAsia" w:ascii="宋体" w:hAnsi="宋体" w:cs="宋体"/>
          <w:color w:val="auto"/>
          <w:sz w:val="24"/>
          <w:szCs w:val="24"/>
        </w:rPr>
        <w:t xml:space="preserve">出经委托人同意的，在预算范围内  向委托人实报实销。 </w:t>
      </w:r>
    </w:p>
    <w:p>
      <w:pPr>
        <w:pStyle w:val="12"/>
        <w:spacing w:after="0" w:line="360" w:lineRule="auto"/>
        <w:ind w:firstLine="486" w:firstLineChars="200"/>
        <w:rPr>
          <w:rFonts w:ascii="宋体" w:hAnsi="宋体" w:cs="宋体"/>
          <w:color w:val="auto"/>
          <w:sz w:val="24"/>
          <w:szCs w:val="24"/>
        </w:rPr>
      </w:pPr>
      <w:r>
        <w:rPr>
          <w:rFonts w:hint="eastAsia" w:ascii="宋体" w:hAnsi="宋体" w:cs="宋体"/>
          <w:b/>
          <w:color w:val="auto"/>
          <w:spacing w:val="1"/>
          <w:sz w:val="24"/>
          <w:szCs w:val="24"/>
        </w:rPr>
        <w:t xml:space="preserve">第四十四条 </w:t>
      </w:r>
      <w:r>
        <w:rPr>
          <w:rFonts w:hint="eastAsia" w:ascii="宋体" w:hAnsi="宋体" w:cs="宋体"/>
          <w:color w:val="auto"/>
          <w:spacing w:val="-1"/>
          <w:sz w:val="24"/>
          <w:szCs w:val="24"/>
        </w:rPr>
        <w:t>在监理业务范围内，如需聘用专家咨询或协助，由监理人聘用的，其费用由</w:t>
      </w:r>
      <w:r>
        <w:rPr>
          <w:rFonts w:hint="eastAsia" w:ascii="宋体" w:hAnsi="宋体" w:cs="宋体"/>
          <w:color w:val="auto"/>
          <w:sz w:val="24"/>
          <w:szCs w:val="24"/>
        </w:rPr>
        <w:t xml:space="preserve">监理人承担；由委托人聘用的，其费用由委托人承担。 </w:t>
      </w:r>
    </w:p>
    <w:p>
      <w:pPr>
        <w:pStyle w:val="12"/>
        <w:spacing w:after="0" w:line="360" w:lineRule="auto"/>
        <w:ind w:firstLine="482" w:firstLineChars="200"/>
        <w:rPr>
          <w:rFonts w:ascii="宋体" w:hAnsi="宋体" w:cs="宋体"/>
          <w:color w:val="auto"/>
          <w:sz w:val="24"/>
          <w:szCs w:val="24"/>
        </w:rPr>
      </w:pPr>
      <w:r>
        <w:rPr>
          <w:rFonts w:hint="eastAsia" w:ascii="宋体" w:hAnsi="宋体" w:cs="宋体"/>
          <w:b/>
          <w:color w:val="auto"/>
          <w:sz w:val="24"/>
          <w:szCs w:val="24"/>
        </w:rPr>
        <w:t xml:space="preserve">第四十五条 </w:t>
      </w:r>
      <w:r>
        <w:rPr>
          <w:rFonts w:hint="eastAsia" w:ascii="宋体" w:hAnsi="宋体" w:cs="宋体"/>
          <w:color w:val="auto"/>
          <w:sz w:val="24"/>
          <w:szCs w:val="24"/>
        </w:rPr>
        <w:t xml:space="preserve">监理人在监理工作过程中提出的合理化建议，使委托人得到了经济效益，委托人应按专用条款中的约定给予经济奖励。 </w:t>
      </w:r>
    </w:p>
    <w:p>
      <w:pPr>
        <w:pStyle w:val="12"/>
        <w:spacing w:after="0" w:line="360" w:lineRule="auto"/>
        <w:ind w:firstLine="482" w:firstLineChars="200"/>
        <w:rPr>
          <w:rFonts w:ascii="宋体" w:hAnsi="宋体" w:cs="宋体"/>
          <w:color w:val="auto"/>
          <w:sz w:val="24"/>
          <w:szCs w:val="24"/>
        </w:rPr>
      </w:pPr>
      <w:r>
        <w:rPr>
          <w:rFonts w:hint="eastAsia" w:ascii="宋体" w:hAnsi="宋体" w:cs="宋体"/>
          <w:b/>
          <w:color w:val="auto"/>
          <w:sz w:val="24"/>
          <w:szCs w:val="24"/>
        </w:rPr>
        <w:t xml:space="preserve">第四十六条 </w:t>
      </w:r>
      <w:r>
        <w:rPr>
          <w:rFonts w:hint="eastAsia" w:ascii="宋体" w:hAnsi="宋体" w:cs="宋体"/>
          <w:color w:val="auto"/>
          <w:sz w:val="24"/>
          <w:szCs w:val="24"/>
        </w:rPr>
        <w:t xml:space="preserve">监理人驻地项目监理机构及其职员不得接受监理工程项目承包人的任何报酬或者经济利益。 </w:t>
      </w:r>
    </w:p>
    <w:p>
      <w:pPr>
        <w:pStyle w:val="12"/>
        <w:spacing w:after="0" w:line="360"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监理人不得参与可能与合同规定的与委托人的利益相冲突的任何活动。 </w:t>
      </w:r>
    </w:p>
    <w:p>
      <w:pPr>
        <w:pStyle w:val="12"/>
        <w:spacing w:after="0" w:line="360" w:lineRule="auto"/>
        <w:ind w:firstLine="482" w:firstLineChars="200"/>
        <w:rPr>
          <w:rFonts w:ascii="宋体" w:hAnsi="宋体" w:cs="宋体"/>
          <w:color w:val="auto"/>
          <w:sz w:val="24"/>
          <w:szCs w:val="24"/>
        </w:rPr>
      </w:pPr>
      <w:r>
        <w:rPr>
          <w:rFonts w:hint="eastAsia" w:ascii="宋体" w:hAnsi="宋体" w:cs="宋体"/>
          <w:b/>
          <w:color w:val="auto"/>
          <w:sz w:val="24"/>
          <w:szCs w:val="24"/>
        </w:rPr>
        <w:t xml:space="preserve">第四十七条 </w:t>
      </w:r>
      <w:r>
        <w:rPr>
          <w:rFonts w:hint="eastAsia" w:ascii="宋体" w:hAnsi="宋体" w:cs="宋体"/>
          <w:color w:val="auto"/>
          <w:sz w:val="24"/>
          <w:szCs w:val="24"/>
        </w:rPr>
        <w:t xml:space="preserve">监理人在监理过程中，不得泄露委托人申明的秘密，监理人亦不得泄露设计人、承包人等提供并申明的秘密。 </w:t>
      </w:r>
    </w:p>
    <w:p>
      <w:pPr>
        <w:pStyle w:val="12"/>
        <w:spacing w:after="0"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 xml:space="preserve">第四十八条 </w:t>
      </w:r>
      <w:r>
        <w:rPr>
          <w:rFonts w:hint="eastAsia" w:ascii="宋体" w:hAnsi="宋体" w:cs="宋体"/>
          <w:color w:val="auto"/>
          <w:sz w:val="24"/>
          <w:szCs w:val="24"/>
        </w:rPr>
        <w:t>监理人对于由其编制的所有文件拥有版权，委托人仅有权为本合同工程使用或复制此类文件。</w:t>
      </w:r>
      <w:r>
        <w:rPr>
          <w:rFonts w:hint="eastAsia" w:ascii="宋体" w:hAnsi="宋体" w:cs="宋体"/>
          <w:b/>
          <w:color w:val="auto"/>
          <w:w w:val="99"/>
          <w:sz w:val="24"/>
          <w:szCs w:val="24"/>
        </w:rPr>
        <w:t xml:space="preserve"> </w:t>
      </w:r>
    </w:p>
    <w:p>
      <w:pPr>
        <w:pStyle w:val="8"/>
        <w:spacing w:line="360" w:lineRule="auto"/>
        <w:ind w:left="0" w:firstLine="482" w:firstLineChars="200"/>
        <w:jc w:val="center"/>
        <w:rPr>
          <w:rFonts w:ascii="宋体" w:hAnsi="宋体" w:cs="宋体"/>
          <w:color w:val="auto"/>
        </w:rPr>
      </w:pPr>
      <w:r>
        <w:rPr>
          <w:rFonts w:hint="eastAsia" w:ascii="宋体" w:hAnsi="宋体" w:cs="宋体"/>
          <w:color w:val="auto"/>
        </w:rPr>
        <w:t>争议的解决</w:t>
      </w:r>
    </w:p>
    <w:p>
      <w:pPr>
        <w:pStyle w:val="12"/>
        <w:spacing w:after="0" w:line="360" w:lineRule="auto"/>
        <w:ind w:firstLine="494" w:firstLineChars="200"/>
        <w:rPr>
          <w:rFonts w:ascii="宋体" w:hAnsi="宋体" w:cs="宋体"/>
          <w:color w:val="auto"/>
          <w:sz w:val="24"/>
          <w:szCs w:val="24"/>
        </w:rPr>
      </w:pPr>
      <w:r>
        <w:rPr>
          <w:rFonts w:hint="eastAsia" w:ascii="宋体" w:hAnsi="宋体" w:cs="宋体"/>
          <w:b/>
          <w:color w:val="auto"/>
          <w:spacing w:val="3"/>
          <w:sz w:val="24"/>
          <w:szCs w:val="24"/>
        </w:rPr>
        <w:t xml:space="preserve">第四十九条 </w:t>
      </w:r>
      <w:r>
        <w:rPr>
          <w:rFonts w:hint="eastAsia" w:ascii="宋体" w:hAnsi="宋体" w:cs="宋体"/>
          <w:color w:val="auto"/>
          <w:spacing w:val="-1"/>
          <w:sz w:val="24"/>
          <w:szCs w:val="24"/>
        </w:rPr>
        <w:t xml:space="preserve">因违反或终止合同而引起的对对方损失和损害的赔偿，双方应当协商解决， </w:t>
      </w:r>
      <w:r>
        <w:rPr>
          <w:rFonts w:hint="eastAsia" w:ascii="宋体" w:hAnsi="宋体" w:cs="宋体"/>
          <w:color w:val="auto"/>
          <w:spacing w:val="-7"/>
          <w:sz w:val="24"/>
          <w:szCs w:val="24"/>
        </w:rPr>
        <w:t xml:space="preserve">如未能达成一致，可提交主管部门协调，如仍未能达成一致时，根据双方约定提交仲裁机关仲裁，或向人民法院起诉。 </w:t>
      </w:r>
    </w:p>
    <w:p>
      <w:pPr>
        <w:pStyle w:val="4"/>
        <w:spacing w:before="0" w:after="0"/>
        <w:ind w:firstLine="482" w:firstLineChars="200"/>
        <w:rPr>
          <w:rFonts w:ascii="宋体" w:hAnsi="宋体" w:cs="宋体"/>
          <w:color w:val="auto"/>
          <w:sz w:val="24"/>
          <w:szCs w:val="24"/>
        </w:rPr>
        <w:sectPr>
          <w:pgSz w:w="12240" w:h="15840"/>
          <w:pgMar w:top="1440" w:right="1803" w:bottom="1440" w:left="1803" w:header="0" w:footer="623" w:gutter="0"/>
          <w:cols w:space="720" w:num="1"/>
        </w:sectPr>
      </w:pPr>
    </w:p>
    <w:p>
      <w:pPr>
        <w:pStyle w:val="6"/>
        <w:spacing w:before="0" w:after="0"/>
        <w:ind w:firstLine="0" w:firstLineChars="0"/>
        <w:jc w:val="center"/>
        <w:rPr>
          <w:rFonts w:ascii="宋体" w:hAnsi="宋体" w:eastAsia="宋体" w:cs="宋体"/>
          <w:color w:val="auto"/>
          <w:sz w:val="24"/>
          <w:szCs w:val="24"/>
        </w:rPr>
      </w:pPr>
      <w:r>
        <w:rPr>
          <w:rFonts w:hint="eastAsia" w:ascii="宋体" w:hAnsi="宋体" w:eastAsia="宋体" w:cs="宋体"/>
          <w:b/>
          <w:bCs/>
          <w:color w:val="auto"/>
          <w:szCs w:val="28"/>
        </w:rPr>
        <w:t>第三章 专用条款</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pacing w:val="-1"/>
          <w:sz w:val="24"/>
          <w:szCs w:val="24"/>
        </w:rPr>
        <w:t>本部分条款的编号与标准条款的编号相对应，是根据本合同工程的实际情况对标准条款中</w:t>
      </w:r>
      <w:r>
        <w:rPr>
          <w:rFonts w:hint="eastAsia" w:ascii="宋体" w:hAnsi="宋体" w:cs="宋体"/>
          <w:color w:val="auto"/>
          <w:sz w:val="24"/>
          <w:szCs w:val="24"/>
        </w:rPr>
        <w:t xml:space="preserve">相对应条款进行修改、补充或否定，其适用顺序优先于标准条款。本部分条款未阐明的内容，则按标准条款的有关约定执行） </w:t>
      </w:r>
    </w:p>
    <w:p>
      <w:pPr>
        <w:pStyle w:val="12"/>
        <w:spacing w:after="0" w:line="307"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 </w:t>
      </w:r>
    </w:p>
    <w:p>
      <w:pPr>
        <w:pStyle w:val="32"/>
        <w:tabs>
          <w:tab w:val="left" w:pos="1310"/>
        </w:tabs>
        <w:spacing w:line="362" w:lineRule="auto"/>
        <w:ind w:firstLine="470"/>
        <w:rPr>
          <w:rFonts w:ascii="宋体" w:hAnsi="宋体" w:cs="宋体"/>
          <w:b/>
          <w:color w:val="auto"/>
          <w:spacing w:val="-3"/>
        </w:rPr>
      </w:pPr>
      <w:r>
        <w:rPr>
          <w:rFonts w:hint="eastAsia" w:ascii="宋体" w:hAnsi="宋体" w:cs="宋体"/>
          <w:b/>
          <w:bCs/>
          <w:color w:val="auto"/>
          <w:spacing w:val="-3"/>
          <w:sz w:val="24"/>
          <w:szCs w:val="24"/>
        </w:rPr>
        <w:t>第一条</w:t>
      </w:r>
      <w:r>
        <w:rPr>
          <w:rFonts w:ascii="宋体" w:hAnsi="宋体" w:cs="宋体"/>
          <w:b/>
          <w:bCs/>
          <w:color w:val="auto"/>
          <w:spacing w:val="-3"/>
          <w:sz w:val="24"/>
          <w:szCs w:val="24"/>
        </w:rPr>
        <w:t xml:space="preserve"> </w:t>
      </w:r>
      <w:r>
        <w:rPr>
          <w:rFonts w:hint="eastAsia" w:ascii="宋体" w:hAnsi="宋体" w:cs="宋体"/>
          <w:b/>
          <w:bCs/>
          <w:color w:val="auto"/>
          <w:spacing w:val="-3"/>
          <w:sz w:val="24"/>
          <w:szCs w:val="24"/>
        </w:rPr>
        <w:t>词语定义</w:t>
      </w:r>
      <w:r>
        <w:rPr>
          <w:rFonts w:ascii="宋体" w:hAnsi="宋体" w:cs="宋体"/>
          <w:b/>
          <w:bCs/>
          <w:color w:val="auto"/>
          <w:spacing w:val="-3"/>
          <w:sz w:val="24"/>
          <w:szCs w:val="24"/>
        </w:rPr>
        <w:t xml:space="preserve"> </w:t>
      </w:r>
    </w:p>
    <w:p>
      <w:pPr>
        <w:pStyle w:val="32"/>
        <w:tabs>
          <w:tab w:val="left" w:pos="1310"/>
        </w:tabs>
        <w:spacing w:line="362" w:lineRule="auto"/>
        <w:ind w:firstLine="480" w:firstLineChars="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w:t>
      </w:r>
      <w:r>
        <w:rPr>
          <w:rFonts w:hint="eastAsia" w:ascii="宋体" w:hAnsi="宋体" w:cs="宋体"/>
          <w:color w:val="auto"/>
          <w:spacing w:val="-3"/>
          <w:sz w:val="24"/>
          <w:szCs w:val="24"/>
        </w:rPr>
        <w:t>“本合同工程”</w:t>
      </w:r>
      <w:r>
        <w:rPr>
          <w:rFonts w:hint="eastAsia" w:ascii="宋体" w:hAnsi="宋体" w:cs="宋体"/>
          <w:color w:val="auto"/>
          <w:sz w:val="24"/>
          <w:szCs w:val="24"/>
        </w:rPr>
        <w:t>指委托人委托监理人监理的工程。</w:t>
      </w:r>
      <w:r>
        <w:rPr>
          <w:rFonts w:ascii="宋体" w:hAnsi="宋体" w:cs="宋体"/>
          <w:color w:val="auto"/>
          <w:sz w:val="24"/>
          <w:szCs w:val="24"/>
        </w:rPr>
        <w:t xml:space="preserve"> </w:t>
      </w:r>
    </w:p>
    <w:p>
      <w:pPr>
        <w:pStyle w:val="32"/>
        <w:tabs>
          <w:tab w:val="left" w:pos="1310"/>
        </w:tabs>
        <w:spacing w:line="362" w:lineRule="auto"/>
        <w:ind w:firstLine="480" w:firstLineChars="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w:t>
      </w:r>
      <w:r>
        <w:rPr>
          <w:rFonts w:hint="eastAsia" w:ascii="宋体" w:hAnsi="宋体" w:cs="宋体"/>
          <w:color w:val="auto"/>
          <w:spacing w:val="-3"/>
          <w:sz w:val="24"/>
          <w:szCs w:val="24"/>
        </w:rPr>
        <w:t>委托人</w:t>
      </w:r>
      <w:r>
        <w:rPr>
          <w:rFonts w:ascii="宋体" w:hAnsi="宋体" w:cs="宋体"/>
          <w:color w:val="auto"/>
          <w:sz w:val="24"/>
          <w:szCs w:val="24"/>
        </w:rPr>
        <w:t xml:space="preserve"> </w:t>
      </w:r>
    </w:p>
    <w:p>
      <w:pPr>
        <w:pStyle w:val="32"/>
        <w:tabs>
          <w:tab w:val="left" w:pos="1310"/>
        </w:tabs>
        <w:spacing w:line="362" w:lineRule="auto"/>
        <w:ind w:firstLine="480"/>
        <w:rPr>
          <w:rFonts w:ascii="宋体" w:hAnsi="宋体" w:cs="宋体"/>
          <w:color w:val="auto"/>
          <w:sz w:val="24"/>
          <w:szCs w:val="24"/>
        </w:rPr>
      </w:pPr>
      <w:r>
        <w:rPr>
          <w:rFonts w:ascii="宋体" w:hAnsi="宋体" w:cs="宋体"/>
          <w:color w:val="auto"/>
          <w:sz w:val="24"/>
          <w:szCs w:val="24"/>
        </w:rPr>
        <w:t>1</w:t>
      </w:r>
      <w:r>
        <w:rPr>
          <w:rFonts w:hint="eastAsia" w:ascii="宋体" w:hAnsi="宋体" w:cs="宋体"/>
          <w:color w:val="auto"/>
          <w:sz w:val="24"/>
          <w:szCs w:val="24"/>
        </w:rPr>
        <w:t>）“委托人”在本</w:t>
      </w:r>
      <w:r>
        <w:rPr>
          <w:rFonts w:hint="eastAsia" w:ascii="宋体" w:hAnsi="宋体" w:cs="宋体"/>
          <w:color w:val="auto"/>
          <w:spacing w:val="-3"/>
          <w:sz w:val="24"/>
          <w:szCs w:val="24"/>
        </w:rPr>
        <w:t>合同</w:t>
      </w:r>
      <w:r>
        <w:rPr>
          <w:rFonts w:hint="eastAsia" w:ascii="宋体" w:hAnsi="宋体" w:cs="宋体"/>
          <w:color w:val="auto"/>
          <w:sz w:val="24"/>
          <w:szCs w:val="24"/>
        </w:rPr>
        <w:t>中特指</w:t>
      </w:r>
      <w:r>
        <w:rPr>
          <w:rFonts w:hint="eastAsia" w:ascii="宋体" w:hAnsi="宋体" w:cs="宋体"/>
          <w:color w:val="auto"/>
          <w:sz w:val="24"/>
          <w:szCs w:val="24"/>
          <w:u w:val="single"/>
        </w:rPr>
        <w:t>广州增城区东进供水有限公司</w:t>
      </w:r>
      <w:r>
        <w:rPr>
          <w:rFonts w:hint="eastAsia" w:ascii="宋体" w:hAnsi="宋体" w:cs="宋体"/>
          <w:color w:val="auto"/>
          <w:sz w:val="24"/>
          <w:szCs w:val="24"/>
        </w:rPr>
        <w:t>。</w:t>
      </w:r>
      <w:r>
        <w:rPr>
          <w:rFonts w:ascii="宋体" w:hAnsi="宋体" w:cs="宋体"/>
          <w:color w:val="auto"/>
          <w:sz w:val="24"/>
          <w:szCs w:val="24"/>
        </w:rPr>
        <w:t xml:space="preserve"> </w:t>
      </w:r>
    </w:p>
    <w:p>
      <w:pPr>
        <w:pStyle w:val="32"/>
        <w:tabs>
          <w:tab w:val="left" w:pos="1310"/>
        </w:tabs>
        <w:spacing w:line="362" w:lineRule="auto"/>
        <w:ind w:firstLine="480"/>
        <w:rPr>
          <w:rFonts w:ascii="宋体" w:hAnsi="宋体" w:cs="宋体"/>
          <w:color w:val="auto"/>
          <w:sz w:val="24"/>
          <w:szCs w:val="24"/>
        </w:rPr>
      </w:pPr>
      <w:r>
        <w:rPr>
          <w:rFonts w:hint="eastAsia" w:ascii="宋体" w:hAnsi="宋体" w:cs="宋体"/>
          <w:color w:val="auto"/>
          <w:sz w:val="24"/>
          <w:szCs w:val="24"/>
        </w:rPr>
        <w:t>2）“合法继承人”指工程竣工验收合格后，委托人依据规定，将工程移交给其承接使用的产权管理单位。在继承生效后，合法继承人享有委托人在本合同中的一切权利及承担相应的义务。</w:t>
      </w:r>
      <w:r>
        <w:rPr>
          <w:rFonts w:hint="eastAsia" w:ascii="宋体" w:hAnsi="宋体" w:cs="宋体"/>
          <w:color w:val="auto"/>
          <w:spacing w:val="-5"/>
          <w:sz w:val="24"/>
          <w:szCs w:val="24"/>
        </w:rPr>
        <w:t xml:space="preserve"> </w:t>
      </w:r>
    </w:p>
    <w:p>
      <w:pPr>
        <w:pStyle w:val="32"/>
        <w:tabs>
          <w:tab w:val="left" w:pos="1310"/>
        </w:tabs>
        <w:spacing w:line="362" w:lineRule="auto"/>
        <w:ind w:firstLine="468"/>
        <w:rPr>
          <w:rFonts w:ascii="宋体" w:hAnsi="宋体" w:cs="宋体"/>
          <w:color w:val="auto"/>
          <w:sz w:val="24"/>
          <w:szCs w:val="24"/>
        </w:rPr>
      </w:pPr>
      <w:r>
        <w:rPr>
          <w:rFonts w:hint="eastAsia" w:ascii="宋体" w:hAnsi="宋体" w:cs="宋体"/>
          <w:color w:val="auto"/>
          <w:spacing w:val="-3"/>
          <w:sz w:val="24"/>
          <w:szCs w:val="24"/>
        </w:rPr>
        <w:t>（14）“监理规划”指在总监理工程师的主持下编制、经监理人技术负责人批准，用来</w:t>
      </w:r>
      <w:r>
        <w:rPr>
          <w:rFonts w:hint="eastAsia" w:ascii="宋体" w:hAnsi="宋体" w:cs="宋体"/>
          <w:color w:val="auto"/>
          <w:spacing w:val="-4"/>
          <w:sz w:val="24"/>
          <w:szCs w:val="24"/>
        </w:rPr>
        <w:t xml:space="preserve">指导项目监理机构全面开展监理工作的指导性文件。 </w:t>
      </w:r>
    </w:p>
    <w:p>
      <w:pPr>
        <w:pStyle w:val="32"/>
        <w:tabs>
          <w:tab w:val="left" w:pos="1310"/>
        </w:tabs>
        <w:spacing w:line="362" w:lineRule="auto"/>
        <w:ind w:firstLine="464"/>
        <w:rPr>
          <w:rFonts w:ascii="宋体" w:hAnsi="宋体" w:cs="宋体"/>
          <w:color w:val="auto"/>
          <w:sz w:val="24"/>
          <w:szCs w:val="24"/>
        </w:rPr>
      </w:pPr>
      <w:r>
        <w:rPr>
          <w:rFonts w:hint="eastAsia" w:ascii="宋体" w:hAnsi="宋体" w:cs="宋体"/>
          <w:color w:val="auto"/>
          <w:spacing w:val="-4"/>
          <w:sz w:val="24"/>
          <w:szCs w:val="24"/>
        </w:rPr>
        <w:t xml:space="preserve">（15）“监理实施细则”指根据监理规划，由专业监理工程师编写，并经总监理工程师批准，针对工程项目中某一专业或某一方面监理工作的操作性文件。 </w:t>
      </w:r>
    </w:p>
    <w:p>
      <w:pPr>
        <w:pStyle w:val="32"/>
        <w:tabs>
          <w:tab w:val="left" w:pos="1310"/>
        </w:tabs>
        <w:spacing w:line="362" w:lineRule="auto"/>
        <w:ind w:firstLine="464"/>
        <w:rPr>
          <w:rFonts w:ascii="宋体" w:hAnsi="宋体" w:cs="宋体"/>
          <w:color w:val="auto"/>
          <w:sz w:val="24"/>
          <w:szCs w:val="24"/>
        </w:rPr>
      </w:pPr>
      <w:r>
        <w:rPr>
          <w:rFonts w:hint="eastAsia" w:ascii="宋体" w:hAnsi="宋体" w:cs="宋体"/>
          <w:color w:val="auto"/>
          <w:spacing w:val="-4"/>
          <w:sz w:val="24"/>
          <w:szCs w:val="24"/>
        </w:rPr>
        <w:t xml:space="preserve">（16）“工地例会”指在工程实施过程中针对工程质量、造价、进度、合同管理等事宜定期召开的，由建设有关单位参加的会议。 </w:t>
      </w:r>
    </w:p>
    <w:p>
      <w:pPr>
        <w:pStyle w:val="32"/>
        <w:tabs>
          <w:tab w:val="left" w:pos="1310"/>
        </w:tabs>
        <w:ind w:firstLine="444"/>
        <w:rPr>
          <w:rFonts w:ascii="宋体" w:hAnsi="宋体" w:cs="宋体"/>
          <w:color w:val="auto"/>
          <w:sz w:val="24"/>
          <w:szCs w:val="24"/>
        </w:rPr>
      </w:pPr>
      <w:r>
        <w:rPr>
          <w:rFonts w:hint="eastAsia" w:ascii="宋体" w:hAnsi="宋体" w:cs="宋体"/>
          <w:color w:val="auto"/>
          <w:spacing w:val="-9"/>
          <w:sz w:val="24"/>
          <w:szCs w:val="24"/>
        </w:rPr>
        <w:t>（17）“旁站”指在关键部位或关键工序施工过程中，由监理人员在现场进行的监督活动。</w:t>
      </w:r>
      <w:r>
        <w:rPr>
          <w:rFonts w:hint="eastAsia" w:ascii="宋体" w:hAnsi="宋体" w:cs="宋体"/>
          <w:color w:val="auto"/>
          <w:sz w:val="24"/>
          <w:szCs w:val="24"/>
        </w:rPr>
        <w:t xml:space="preserve"> </w:t>
      </w:r>
    </w:p>
    <w:p>
      <w:pPr>
        <w:pStyle w:val="32"/>
        <w:tabs>
          <w:tab w:val="left" w:pos="1310"/>
        </w:tabs>
        <w:spacing w:line="364" w:lineRule="auto"/>
        <w:ind w:firstLine="452"/>
        <w:rPr>
          <w:rFonts w:ascii="宋体" w:hAnsi="宋体" w:cs="宋体"/>
          <w:color w:val="auto"/>
          <w:sz w:val="24"/>
          <w:szCs w:val="24"/>
        </w:rPr>
      </w:pPr>
      <w:r>
        <w:rPr>
          <w:rFonts w:hint="eastAsia" w:ascii="宋体" w:hAnsi="宋体" w:cs="宋体"/>
          <w:color w:val="auto"/>
          <w:spacing w:val="-7"/>
          <w:sz w:val="24"/>
          <w:szCs w:val="24"/>
        </w:rPr>
        <w:t>（18）“节点工期”指在经委托人和总监理工程师批准的施工组织设计或者工程工期网络计划中载明的承包人按总日历天数（包括法定节假日）</w:t>
      </w:r>
      <w:r>
        <w:rPr>
          <w:rFonts w:hint="eastAsia" w:ascii="宋体" w:hAnsi="宋体" w:cs="宋体"/>
          <w:color w:val="auto"/>
          <w:spacing w:val="-8"/>
          <w:sz w:val="24"/>
          <w:szCs w:val="24"/>
        </w:rPr>
        <w:t>计算完成某一阶段或某一工序的期限。</w:t>
      </w:r>
      <w:r>
        <w:rPr>
          <w:rFonts w:hint="eastAsia" w:ascii="宋体" w:hAnsi="宋体" w:cs="宋体"/>
          <w:color w:val="auto"/>
          <w:sz w:val="24"/>
          <w:szCs w:val="24"/>
        </w:rPr>
        <w:t xml:space="preserve">按工期网络计划的一般线路和关键线路分为一般节点工期和关键节点工期。 </w:t>
      </w:r>
    </w:p>
    <w:p>
      <w:pPr>
        <w:pStyle w:val="32"/>
        <w:tabs>
          <w:tab w:val="left" w:pos="1310"/>
        </w:tabs>
        <w:spacing w:line="364" w:lineRule="auto"/>
        <w:ind w:firstLine="468"/>
        <w:rPr>
          <w:rFonts w:ascii="宋体" w:hAnsi="宋体" w:cs="宋体"/>
          <w:b/>
          <w:color w:val="auto"/>
          <w:sz w:val="24"/>
          <w:szCs w:val="24"/>
        </w:rPr>
      </w:pPr>
      <w:r>
        <w:rPr>
          <w:rFonts w:hint="eastAsia" w:ascii="宋体" w:hAnsi="宋体" w:cs="宋体"/>
          <w:color w:val="auto"/>
          <w:spacing w:val="-3"/>
          <w:sz w:val="24"/>
          <w:szCs w:val="24"/>
        </w:rPr>
        <w:t>（19）“通知”指合同中所提及的各方之间传达意思表示的方式，包括但不限于申请、</w:t>
      </w:r>
      <w:r>
        <w:rPr>
          <w:rFonts w:hint="eastAsia" w:ascii="宋体" w:hAnsi="宋体" w:cs="宋体"/>
          <w:color w:val="auto"/>
          <w:spacing w:val="-11"/>
          <w:sz w:val="24"/>
          <w:szCs w:val="24"/>
        </w:rPr>
        <w:t>报告、同意、答复、批准、指令、证书、决定，等等。除本合同专用条款有特别约定外，只有</w:t>
      </w:r>
      <w:r>
        <w:rPr>
          <w:rFonts w:hint="eastAsia" w:ascii="宋体" w:hAnsi="宋体" w:cs="宋体"/>
          <w:color w:val="auto"/>
          <w:spacing w:val="-4"/>
          <w:sz w:val="24"/>
          <w:szCs w:val="24"/>
        </w:rPr>
        <w:t>采用书面形式的通知才有效。</w:t>
      </w:r>
      <w:r>
        <w:rPr>
          <w:rFonts w:hint="eastAsia" w:ascii="宋体" w:hAnsi="宋体" w:cs="宋体"/>
          <w:b/>
          <w:color w:val="auto"/>
          <w:spacing w:val="-4"/>
          <w:w w:val="99"/>
          <w:sz w:val="24"/>
          <w:szCs w:val="24"/>
        </w:rPr>
        <w:t xml:space="preserve"> </w:t>
      </w:r>
    </w:p>
    <w:p>
      <w:pPr>
        <w:pStyle w:val="32"/>
        <w:tabs>
          <w:tab w:val="left" w:pos="1310"/>
        </w:tabs>
        <w:spacing w:line="362" w:lineRule="auto"/>
        <w:ind w:firstLine="470"/>
        <w:rPr>
          <w:rFonts w:ascii="宋体" w:hAnsi="宋体" w:cs="宋体"/>
          <w:b/>
          <w:color w:val="auto"/>
          <w:spacing w:val="-3"/>
        </w:rPr>
      </w:pPr>
      <w:r>
        <w:rPr>
          <w:rFonts w:hint="eastAsia" w:ascii="宋体" w:hAnsi="宋体" w:cs="宋体"/>
          <w:b/>
          <w:bCs/>
          <w:color w:val="auto"/>
          <w:spacing w:val="-3"/>
          <w:sz w:val="24"/>
          <w:szCs w:val="24"/>
        </w:rPr>
        <w:t>第二条</w:t>
      </w:r>
      <w:r>
        <w:rPr>
          <w:rFonts w:ascii="宋体" w:hAnsi="宋体" w:cs="宋体"/>
          <w:b/>
          <w:bCs/>
          <w:color w:val="auto"/>
          <w:spacing w:val="-3"/>
          <w:sz w:val="24"/>
          <w:szCs w:val="24"/>
        </w:rPr>
        <w:t xml:space="preserve"> </w:t>
      </w:r>
      <w:r>
        <w:rPr>
          <w:rFonts w:hint="eastAsia" w:ascii="宋体" w:hAnsi="宋体" w:cs="宋体"/>
          <w:b/>
          <w:bCs/>
          <w:color w:val="auto"/>
          <w:spacing w:val="-3"/>
          <w:sz w:val="24"/>
          <w:szCs w:val="24"/>
        </w:rPr>
        <w:t>本合同适用的法律法规及监理依据</w:t>
      </w:r>
      <w:r>
        <w:rPr>
          <w:rFonts w:ascii="宋体" w:hAnsi="宋体" w:cs="宋体"/>
          <w:b/>
          <w:bCs/>
          <w:color w:val="auto"/>
          <w:spacing w:val="-3"/>
          <w:sz w:val="24"/>
          <w:szCs w:val="24"/>
        </w:rPr>
        <w:t xml:space="preserve"> </w:t>
      </w:r>
    </w:p>
    <w:p>
      <w:pPr>
        <w:pStyle w:val="32"/>
        <w:tabs>
          <w:tab w:val="left" w:pos="1310"/>
        </w:tabs>
        <w:spacing w:line="364" w:lineRule="auto"/>
        <w:ind w:firstLine="480"/>
        <w:rPr>
          <w:rFonts w:ascii="宋体" w:hAnsi="宋体" w:cs="宋体"/>
          <w:color w:val="auto"/>
          <w:sz w:val="24"/>
          <w:szCs w:val="24"/>
        </w:rPr>
      </w:pPr>
      <w:r>
        <w:rPr>
          <w:rFonts w:hint="eastAsia" w:ascii="宋体" w:hAnsi="宋体" w:cs="宋体"/>
          <w:color w:val="auto"/>
          <w:sz w:val="24"/>
          <w:szCs w:val="24"/>
        </w:rPr>
        <w:t xml:space="preserve">（一）适用法规 </w:t>
      </w:r>
    </w:p>
    <w:p>
      <w:pPr>
        <w:pStyle w:val="32"/>
        <w:tabs>
          <w:tab w:val="left" w:pos="1310"/>
        </w:tabs>
        <w:spacing w:line="364" w:lineRule="auto"/>
        <w:ind w:firstLine="480"/>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pacing w:val="-3"/>
          <w:sz w:val="24"/>
          <w:szCs w:val="24"/>
        </w:rPr>
        <w:t>《中华人民共和国民法典》</w:t>
      </w:r>
      <w:r>
        <w:rPr>
          <w:rFonts w:hint="eastAsia" w:ascii="宋体" w:hAnsi="宋体" w:cs="宋体"/>
          <w:color w:val="auto"/>
          <w:sz w:val="24"/>
          <w:szCs w:val="24"/>
        </w:rPr>
        <w:t xml:space="preserve">、《中华人民共和国建筑法》及其他相关法律； </w:t>
      </w:r>
    </w:p>
    <w:p>
      <w:pPr>
        <w:pStyle w:val="32"/>
        <w:tabs>
          <w:tab w:val="left" w:pos="1310"/>
        </w:tabs>
        <w:spacing w:line="364" w:lineRule="auto"/>
        <w:ind w:firstLine="480"/>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pacing w:val="-3"/>
          <w:sz w:val="24"/>
          <w:szCs w:val="24"/>
        </w:rPr>
        <w:t>《建设工程质量管理条例》</w:t>
      </w:r>
      <w:r>
        <w:rPr>
          <w:rFonts w:hint="eastAsia" w:ascii="宋体" w:hAnsi="宋体" w:cs="宋体"/>
          <w:color w:val="auto"/>
          <w:sz w:val="24"/>
          <w:szCs w:val="24"/>
        </w:rPr>
        <w:t xml:space="preserve">及其它有关的法规、条例、规章； </w:t>
      </w:r>
    </w:p>
    <w:p>
      <w:pPr>
        <w:pStyle w:val="32"/>
        <w:tabs>
          <w:tab w:val="left" w:pos="1310"/>
        </w:tabs>
        <w:spacing w:line="364" w:lineRule="auto"/>
        <w:ind w:firstLine="480"/>
        <w:rPr>
          <w:rFonts w:ascii="宋体" w:hAnsi="宋体" w:cs="宋体"/>
          <w:color w:val="auto"/>
          <w:sz w:val="24"/>
          <w:szCs w:val="24"/>
        </w:rPr>
      </w:pPr>
      <w:r>
        <w:rPr>
          <w:rFonts w:hint="eastAsia" w:ascii="宋体" w:hAnsi="宋体" w:cs="宋体"/>
          <w:color w:val="auto"/>
          <w:sz w:val="24"/>
          <w:szCs w:val="24"/>
        </w:rPr>
        <w:t>3、广东省及</w:t>
      </w:r>
      <w:r>
        <w:rPr>
          <w:rFonts w:hint="eastAsia" w:ascii="宋体" w:hAnsi="宋体" w:cs="宋体"/>
          <w:color w:val="auto"/>
          <w:spacing w:val="-3"/>
          <w:sz w:val="24"/>
          <w:szCs w:val="24"/>
        </w:rPr>
        <w:t>广州市</w:t>
      </w:r>
      <w:r>
        <w:rPr>
          <w:rFonts w:hint="eastAsia" w:ascii="宋体" w:hAnsi="宋体" w:cs="宋体"/>
          <w:color w:val="auto"/>
          <w:sz w:val="24"/>
          <w:szCs w:val="24"/>
        </w:rPr>
        <w:t xml:space="preserve">有关工程建设管理方面的规定和办法。 </w:t>
      </w:r>
    </w:p>
    <w:p>
      <w:pPr>
        <w:pStyle w:val="32"/>
        <w:tabs>
          <w:tab w:val="left" w:pos="1310"/>
        </w:tabs>
        <w:spacing w:line="364" w:lineRule="auto"/>
        <w:ind w:firstLine="480"/>
        <w:rPr>
          <w:rFonts w:ascii="宋体" w:hAnsi="宋体" w:cs="宋体"/>
          <w:color w:val="auto"/>
          <w:sz w:val="24"/>
          <w:szCs w:val="24"/>
        </w:rPr>
      </w:pPr>
      <w:r>
        <w:rPr>
          <w:rFonts w:hint="eastAsia" w:ascii="宋体" w:hAnsi="宋体" w:cs="宋体"/>
          <w:color w:val="auto"/>
          <w:sz w:val="24"/>
          <w:szCs w:val="24"/>
        </w:rPr>
        <w:t>（二）监理</w:t>
      </w:r>
      <w:r>
        <w:rPr>
          <w:rFonts w:hint="eastAsia" w:ascii="宋体" w:hAnsi="宋体" w:cs="宋体"/>
          <w:color w:val="auto"/>
          <w:spacing w:val="-3"/>
          <w:sz w:val="24"/>
          <w:szCs w:val="24"/>
        </w:rPr>
        <w:t>依据</w:t>
      </w:r>
      <w:r>
        <w:rPr>
          <w:rFonts w:hint="eastAsia" w:ascii="宋体" w:hAnsi="宋体" w:cs="宋体"/>
          <w:color w:val="auto"/>
          <w:sz w:val="24"/>
          <w:szCs w:val="24"/>
        </w:rPr>
        <w:t xml:space="preserve"> </w:t>
      </w:r>
    </w:p>
    <w:p>
      <w:pPr>
        <w:pStyle w:val="32"/>
        <w:tabs>
          <w:tab w:val="left" w:pos="1310"/>
        </w:tabs>
        <w:spacing w:line="364" w:lineRule="auto"/>
        <w:ind w:firstLine="480"/>
        <w:rPr>
          <w:rFonts w:ascii="宋体" w:hAnsi="宋体" w:cs="宋体"/>
          <w:color w:val="auto"/>
          <w:sz w:val="24"/>
          <w:szCs w:val="24"/>
        </w:rPr>
      </w:pPr>
      <w:r>
        <w:rPr>
          <w:rFonts w:hint="eastAsia" w:ascii="宋体" w:hAnsi="宋体" w:cs="宋体"/>
          <w:color w:val="auto"/>
          <w:sz w:val="24"/>
          <w:szCs w:val="24"/>
        </w:rPr>
        <w:t>1、本委托</w:t>
      </w:r>
      <w:r>
        <w:rPr>
          <w:rFonts w:hint="eastAsia" w:ascii="宋体" w:hAnsi="宋体" w:cs="宋体"/>
          <w:color w:val="auto"/>
          <w:spacing w:val="-3"/>
          <w:sz w:val="24"/>
          <w:szCs w:val="24"/>
        </w:rPr>
        <w:t>监理</w:t>
      </w:r>
      <w:r>
        <w:rPr>
          <w:rFonts w:hint="eastAsia" w:ascii="宋体" w:hAnsi="宋体" w:cs="宋体"/>
          <w:color w:val="auto"/>
          <w:sz w:val="24"/>
          <w:szCs w:val="24"/>
        </w:rPr>
        <w:t xml:space="preserve">合同； </w:t>
      </w:r>
    </w:p>
    <w:p>
      <w:pPr>
        <w:pStyle w:val="32"/>
        <w:tabs>
          <w:tab w:val="left" w:pos="1310"/>
        </w:tabs>
        <w:spacing w:line="364" w:lineRule="auto"/>
        <w:ind w:firstLine="480"/>
        <w:rPr>
          <w:rFonts w:ascii="宋体" w:hAnsi="宋体" w:cs="宋体"/>
          <w:color w:val="auto"/>
          <w:sz w:val="24"/>
          <w:szCs w:val="24"/>
        </w:rPr>
      </w:pPr>
      <w:r>
        <w:rPr>
          <w:rFonts w:hint="eastAsia" w:ascii="宋体" w:hAnsi="宋体" w:cs="宋体"/>
          <w:color w:val="auto"/>
          <w:sz w:val="24"/>
          <w:szCs w:val="24"/>
        </w:rPr>
        <w:t>2、委托人和承包人签订的合同及补充协议或备忘录；</w:t>
      </w:r>
    </w:p>
    <w:p>
      <w:pPr>
        <w:pStyle w:val="32"/>
        <w:tabs>
          <w:tab w:val="left" w:pos="1310"/>
        </w:tabs>
        <w:spacing w:line="364" w:lineRule="auto"/>
        <w:ind w:firstLine="480"/>
        <w:rPr>
          <w:rFonts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pacing w:val="-15"/>
          <w:sz w:val="24"/>
          <w:szCs w:val="24"/>
        </w:rPr>
        <w:t>、</w:t>
      </w:r>
      <w:r>
        <w:rPr>
          <w:rFonts w:hint="eastAsia" w:ascii="宋体" w:hAnsi="宋体" w:cs="宋体"/>
          <w:color w:val="auto"/>
          <w:sz w:val="24"/>
          <w:szCs w:val="24"/>
        </w:rPr>
        <w:t xml:space="preserve">经委托人审查认可的本工程正式的工程地质勘察报告、施工图纸、说明以及会审记录、有关工程洽商的技术、施工洽商记录、设计文件及设计修改和变更文件； </w:t>
      </w:r>
    </w:p>
    <w:p>
      <w:pPr>
        <w:pStyle w:val="32"/>
        <w:tabs>
          <w:tab w:val="left" w:pos="1310"/>
        </w:tabs>
        <w:spacing w:line="364" w:lineRule="auto"/>
        <w:ind w:firstLine="480"/>
        <w:rPr>
          <w:rFonts w:ascii="宋体" w:hAnsi="宋体" w:cs="宋体"/>
          <w:color w:val="auto"/>
          <w:sz w:val="24"/>
          <w:szCs w:val="24"/>
        </w:rPr>
      </w:pPr>
      <w:r>
        <w:rPr>
          <w:rFonts w:hint="eastAsia" w:ascii="宋体" w:hAnsi="宋体" w:cs="宋体"/>
          <w:color w:val="auto"/>
          <w:sz w:val="24"/>
          <w:szCs w:val="24"/>
        </w:rPr>
        <w:t xml:space="preserve">4、省、市现行的有关工程预结算定额和文件； </w:t>
      </w:r>
    </w:p>
    <w:p>
      <w:pPr>
        <w:pStyle w:val="32"/>
        <w:tabs>
          <w:tab w:val="left" w:pos="1310"/>
        </w:tabs>
        <w:spacing w:line="364" w:lineRule="auto"/>
        <w:ind w:firstLine="480"/>
        <w:rPr>
          <w:rFonts w:ascii="宋体" w:hAnsi="宋体" w:cs="宋体"/>
          <w:color w:val="auto"/>
          <w:sz w:val="24"/>
          <w:szCs w:val="24"/>
        </w:rPr>
      </w:pPr>
      <w:r>
        <w:rPr>
          <w:rFonts w:hint="eastAsia" w:ascii="宋体" w:hAnsi="宋体" w:cs="宋体"/>
          <w:color w:val="auto"/>
          <w:sz w:val="24"/>
          <w:szCs w:val="24"/>
        </w:rPr>
        <w:t>5</w:t>
      </w:r>
      <w:r>
        <w:rPr>
          <w:rFonts w:hint="eastAsia" w:ascii="宋体" w:hAnsi="宋体" w:cs="宋体"/>
          <w:color w:val="auto"/>
          <w:spacing w:val="-7"/>
          <w:sz w:val="24"/>
          <w:szCs w:val="24"/>
        </w:rPr>
        <w:t>、国家和广州地区现行的设计规</w:t>
      </w:r>
      <w:r>
        <w:rPr>
          <w:rFonts w:hint="eastAsia" w:ascii="宋体" w:hAnsi="宋体" w:cs="宋体"/>
          <w:color w:val="auto"/>
          <w:sz w:val="24"/>
          <w:szCs w:val="24"/>
        </w:rPr>
        <w:t>范（规程）、建筑工程</w:t>
      </w:r>
      <w:r>
        <w:rPr>
          <w:rFonts w:hint="eastAsia" w:ascii="宋体" w:hAnsi="宋体" w:cs="宋体"/>
          <w:color w:val="auto"/>
          <w:spacing w:val="-8"/>
          <w:sz w:val="24"/>
          <w:szCs w:val="24"/>
        </w:rPr>
        <w:t>质量检验评定标准、施工和验收规</w:t>
      </w:r>
      <w:r>
        <w:rPr>
          <w:rFonts w:hint="eastAsia" w:ascii="宋体" w:hAnsi="宋体" w:cs="宋体"/>
          <w:color w:val="auto"/>
          <w:sz w:val="24"/>
          <w:szCs w:val="24"/>
        </w:rPr>
        <w:t xml:space="preserve">范； </w:t>
      </w:r>
    </w:p>
    <w:p>
      <w:pPr>
        <w:pStyle w:val="32"/>
        <w:tabs>
          <w:tab w:val="left" w:pos="1310"/>
        </w:tabs>
        <w:spacing w:line="364" w:lineRule="auto"/>
        <w:ind w:firstLine="480"/>
        <w:rPr>
          <w:rFonts w:ascii="宋体" w:hAnsi="宋体" w:cs="宋体"/>
          <w:color w:val="auto"/>
          <w:sz w:val="24"/>
          <w:szCs w:val="24"/>
        </w:rPr>
      </w:pPr>
      <w:r>
        <w:rPr>
          <w:rFonts w:hint="eastAsia" w:ascii="宋体" w:hAnsi="宋体" w:cs="宋体"/>
          <w:color w:val="auto"/>
          <w:sz w:val="24"/>
          <w:szCs w:val="24"/>
        </w:rPr>
        <w:t>6、</w:t>
      </w:r>
      <w:r>
        <w:rPr>
          <w:rFonts w:hint="eastAsia" w:ascii="宋体" w:hAnsi="宋体" w:cs="宋体"/>
          <w:color w:val="auto"/>
          <w:spacing w:val="-3"/>
          <w:sz w:val="24"/>
          <w:szCs w:val="24"/>
        </w:rPr>
        <w:t>《建设工程监理规范》</w:t>
      </w:r>
      <w:r>
        <w:rPr>
          <w:rFonts w:hint="eastAsia" w:ascii="宋体" w:hAnsi="宋体" w:cs="宋体"/>
          <w:color w:val="auto"/>
          <w:sz w:val="24"/>
          <w:szCs w:val="24"/>
        </w:rPr>
        <w:t xml:space="preserve">（GB50319—2013）； </w:t>
      </w:r>
    </w:p>
    <w:p>
      <w:pPr>
        <w:pStyle w:val="32"/>
        <w:tabs>
          <w:tab w:val="left" w:pos="1310"/>
        </w:tabs>
        <w:spacing w:line="364" w:lineRule="auto"/>
        <w:ind w:firstLine="480"/>
        <w:rPr>
          <w:rFonts w:ascii="宋体" w:hAnsi="宋体" w:cs="宋体"/>
          <w:color w:val="auto"/>
          <w:sz w:val="24"/>
          <w:szCs w:val="24"/>
        </w:rPr>
      </w:pPr>
      <w:r>
        <w:rPr>
          <w:rFonts w:hint="eastAsia" w:ascii="宋体" w:hAnsi="宋体" w:cs="宋体"/>
          <w:color w:val="auto"/>
          <w:sz w:val="24"/>
          <w:szCs w:val="24"/>
        </w:rPr>
        <w:t>7、经委托人</w:t>
      </w:r>
      <w:r>
        <w:rPr>
          <w:rFonts w:hint="eastAsia" w:ascii="宋体" w:hAnsi="宋体" w:cs="宋体"/>
          <w:color w:val="auto"/>
          <w:spacing w:val="-3"/>
          <w:sz w:val="24"/>
          <w:szCs w:val="24"/>
        </w:rPr>
        <w:t>审批</w:t>
      </w:r>
      <w:r>
        <w:rPr>
          <w:rFonts w:hint="eastAsia" w:ascii="宋体" w:hAnsi="宋体" w:cs="宋体"/>
          <w:color w:val="auto"/>
          <w:sz w:val="24"/>
          <w:szCs w:val="24"/>
        </w:rPr>
        <w:t xml:space="preserve">认可，由监理人编制的监理规划； </w:t>
      </w:r>
    </w:p>
    <w:p>
      <w:pPr>
        <w:pStyle w:val="32"/>
        <w:tabs>
          <w:tab w:val="left" w:pos="1310"/>
        </w:tabs>
        <w:spacing w:line="364" w:lineRule="auto"/>
        <w:ind w:firstLine="480"/>
        <w:rPr>
          <w:rFonts w:ascii="宋体" w:hAnsi="宋体" w:cs="宋体"/>
          <w:color w:val="auto"/>
          <w:sz w:val="24"/>
          <w:szCs w:val="24"/>
        </w:rPr>
      </w:pPr>
      <w:r>
        <w:rPr>
          <w:rFonts w:hint="eastAsia" w:ascii="宋体" w:hAnsi="宋体" w:cs="宋体"/>
          <w:color w:val="auto"/>
          <w:sz w:val="24"/>
          <w:szCs w:val="24"/>
        </w:rPr>
        <w:t>8、适用的法律、行政法规及部门规章，与工程有关的规范、标准、规程。</w:t>
      </w:r>
    </w:p>
    <w:p>
      <w:pPr>
        <w:spacing w:line="362" w:lineRule="auto"/>
        <w:ind w:firstLine="482" w:firstLineChars="200"/>
        <w:rPr>
          <w:rFonts w:ascii="宋体" w:hAnsi="宋体" w:cs="宋体"/>
          <w:color w:val="auto"/>
          <w:sz w:val="24"/>
          <w:szCs w:val="24"/>
        </w:rPr>
      </w:pPr>
      <w:r>
        <w:rPr>
          <w:rFonts w:hint="eastAsia" w:ascii="宋体" w:hAnsi="宋体" w:cs="宋体"/>
          <w:b/>
          <w:color w:val="auto"/>
          <w:sz w:val="24"/>
          <w:szCs w:val="24"/>
        </w:rPr>
        <w:t>第四条 监理范围、监理工作内容及监理机构</w:t>
      </w:r>
      <w:r>
        <w:rPr>
          <w:rFonts w:hint="eastAsia" w:ascii="宋体" w:hAnsi="宋体" w:cs="宋体"/>
          <w:color w:val="auto"/>
          <w:sz w:val="24"/>
          <w:szCs w:val="24"/>
        </w:rPr>
        <w:t xml:space="preserve"> </w:t>
      </w:r>
    </w:p>
    <w:p>
      <w:pPr>
        <w:pStyle w:val="32"/>
        <w:tabs>
          <w:tab w:val="left" w:pos="1310"/>
        </w:tabs>
        <w:spacing w:line="364" w:lineRule="auto"/>
        <w:ind w:firstLine="480"/>
        <w:rPr>
          <w:rFonts w:ascii="宋体" w:hAnsi="宋体" w:cs="宋体"/>
          <w:color w:val="auto"/>
          <w:sz w:val="24"/>
          <w:szCs w:val="24"/>
        </w:rPr>
      </w:pPr>
      <w:r>
        <w:rPr>
          <w:rFonts w:hint="eastAsia" w:ascii="宋体" w:hAnsi="宋体" w:cs="宋体"/>
          <w:color w:val="auto"/>
          <w:sz w:val="24"/>
          <w:szCs w:val="24"/>
        </w:rPr>
        <w:t xml:space="preserve">（一）监理范围 </w:t>
      </w:r>
    </w:p>
    <w:p>
      <w:pPr>
        <w:pStyle w:val="32"/>
        <w:tabs>
          <w:tab w:val="left" w:pos="1310"/>
        </w:tabs>
        <w:spacing w:line="364" w:lineRule="auto"/>
        <w:ind w:firstLine="480"/>
        <w:rPr>
          <w:rFonts w:ascii="宋体" w:hAnsi="宋体" w:cs="宋体"/>
          <w:color w:val="auto"/>
          <w:sz w:val="24"/>
          <w:szCs w:val="24"/>
        </w:rPr>
      </w:pPr>
      <w:r>
        <w:rPr>
          <w:rFonts w:hint="eastAsia" w:ascii="宋体" w:hAnsi="宋体" w:cs="宋体"/>
          <w:color w:val="auto"/>
          <w:sz w:val="24"/>
          <w:szCs w:val="24"/>
        </w:rPr>
        <w:t xml:space="preserve">1、包括但不限于以下内容：本工程的施工准备、施工、竣工结算、缺陷责任期、保修阶段的质量控制、职业健康、安全生产及环境监督管理、投资控制、进度控制、合同管理、信息管理、组织协调等监理工作及造价咨询（含进度款审核、变更签证造价审核、结算审核等造价咨询服务）等相关工作。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2、除上述工作范围外，监理人还须按委托人的要求提前进场参与开工前期的准备和筹划工作，协助委托人制定工程管理办法、各参建方职责及有关事务性工作等。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3、监理服务期自本合同生效之日起至本合同工程质量缺陷责任期满且本合同工程竣工结算完毕并完成工程竣工档案备案</w:t>
      </w:r>
      <w:r>
        <w:rPr>
          <w:rFonts w:hint="eastAsia" w:ascii="宋体" w:hAnsi="宋体" w:cs="宋体"/>
          <w:color w:val="auto"/>
          <w:spacing w:val="-14"/>
          <w:sz w:val="24"/>
          <w:szCs w:val="24"/>
        </w:rPr>
        <w:t>后</w:t>
      </w:r>
      <w:r>
        <w:rPr>
          <w:rFonts w:hint="eastAsia" w:ascii="宋体" w:hAnsi="宋体" w:cs="宋体"/>
          <w:color w:val="auto"/>
          <w:sz w:val="24"/>
          <w:szCs w:val="24"/>
        </w:rPr>
        <w:t xml:space="preserve">经委托人审定满 60 日且双方的责任义务履行完毕时止（以后到日期为准）。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（二）监理人监理工作内容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1、建设工程监理一般规定： </w:t>
      </w:r>
    </w:p>
    <w:p>
      <w:pPr>
        <w:tabs>
          <w:tab w:val="left" w:pos="1310"/>
        </w:tabs>
        <w:spacing w:line="364" w:lineRule="auto"/>
        <w:ind w:firstLine="480" w:firstLineChars="200"/>
        <w:rPr>
          <w:rFonts w:ascii="宋体" w:hAnsi="宋体" w:cs="宋体"/>
          <w:color w:val="auto"/>
          <w:sz w:val="24"/>
          <w:szCs w:val="24"/>
        </w:rPr>
      </w:pPr>
      <w:r>
        <w:rPr>
          <w:rFonts w:hint="eastAsia" w:ascii="宋体" w:hAnsi="宋体" w:cs="宋体"/>
          <w:color w:val="auto"/>
          <w:sz w:val="24"/>
          <w:szCs w:val="24"/>
        </w:rPr>
        <w:t>（1）实行总</w:t>
      </w:r>
      <w:r>
        <w:rPr>
          <w:rFonts w:hint="eastAsia" w:ascii="宋体" w:hAnsi="宋体" w:cs="宋体"/>
          <w:color w:val="auto"/>
          <w:spacing w:val="-3"/>
          <w:sz w:val="24"/>
          <w:szCs w:val="24"/>
        </w:rPr>
        <w:t>监理工程师</w:t>
      </w:r>
      <w:r>
        <w:rPr>
          <w:rFonts w:hint="eastAsia" w:ascii="宋体" w:hAnsi="宋体" w:cs="宋体"/>
          <w:color w:val="auto"/>
          <w:sz w:val="24"/>
          <w:szCs w:val="24"/>
        </w:rPr>
        <w:t>负责制。</w:t>
      </w:r>
      <w:r>
        <w:rPr>
          <w:rFonts w:ascii="宋体" w:hAnsi="宋体" w:cs="宋体"/>
          <w:color w:val="auto"/>
          <w:sz w:val="24"/>
          <w:szCs w:val="24"/>
        </w:rPr>
        <w:t xml:space="preserve"> </w:t>
      </w:r>
    </w:p>
    <w:p>
      <w:pPr>
        <w:tabs>
          <w:tab w:val="left" w:pos="1310"/>
        </w:tabs>
        <w:spacing w:line="364" w:lineRule="auto"/>
        <w:ind w:firstLine="480" w:firstLineChars="200"/>
        <w:rPr>
          <w:rFonts w:ascii="宋体" w:hAnsi="宋体" w:cs="宋体"/>
          <w:color w:val="auto"/>
          <w:sz w:val="24"/>
          <w:szCs w:val="24"/>
        </w:rPr>
      </w:pPr>
      <w:r>
        <w:rPr>
          <w:rFonts w:hint="eastAsia" w:ascii="宋体" w:hAnsi="宋体" w:cs="宋体"/>
          <w:color w:val="auto"/>
          <w:sz w:val="24"/>
          <w:szCs w:val="24"/>
        </w:rPr>
        <w:t>（2）监理人应公正、独立、自主地开展监理工作，维护委托人的合法权益。</w:t>
      </w:r>
    </w:p>
    <w:p>
      <w:pPr>
        <w:pStyle w:val="32"/>
        <w:tabs>
          <w:tab w:val="left" w:pos="1310"/>
        </w:tabs>
        <w:spacing w:line="364" w:lineRule="auto"/>
        <w:ind w:firstLine="480" w:firstLineChars="0"/>
        <w:rPr>
          <w:rFonts w:ascii="宋体" w:hAnsi="宋体" w:cs="宋体"/>
          <w:color w:val="auto"/>
          <w:sz w:val="24"/>
          <w:szCs w:val="24"/>
        </w:rPr>
      </w:pPr>
      <w:r>
        <w:rPr>
          <w:rFonts w:hint="eastAsia" w:ascii="宋体" w:hAnsi="宋体" w:cs="宋体"/>
          <w:color w:val="auto"/>
          <w:sz w:val="24"/>
          <w:szCs w:val="24"/>
        </w:rPr>
        <w:t>（3）监理人除应按《建设工程监理规范》（GB50319-2013）</w:t>
      </w:r>
      <w:r>
        <w:rPr>
          <w:rFonts w:hint="eastAsia" w:ascii="宋体" w:hAnsi="宋体" w:cs="宋体"/>
          <w:color w:val="auto"/>
          <w:spacing w:val="-2"/>
          <w:sz w:val="24"/>
          <w:szCs w:val="24"/>
        </w:rPr>
        <w:t>履行监理职责外，还应符合</w:t>
      </w:r>
      <w:r>
        <w:rPr>
          <w:rFonts w:hint="eastAsia" w:ascii="宋体" w:hAnsi="宋体" w:cs="宋体"/>
          <w:color w:val="auto"/>
          <w:sz w:val="24"/>
          <w:szCs w:val="24"/>
        </w:rPr>
        <w:t xml:space="preserve">国家现行的有关强制性标准、规范的规定。 </w:t>
      </w:r>
    </w:p>
    <w:p>
      <w:pPr>
        <w:pStyle w:val="32"/>
        <w:tabs>
          <w:tab w:val="left" w:pos="1310"/>
        </w:tabs>
        <w:spacing w:line="364" w:lineRule="auto"/>
        <w:ind w:firstLine="480"/>
        <w:rPr>
          <w:rFonts w:ascii="宋体" w:hAnsi="宋体" w:cs="宋体"/>
          <w:color w:val="auto"/>
          <w:sz w:val="24"/>
          <w:szCs w:val="24"/>
        </w:rPr>
      </w:pPr>
      <w:r>
        <w:rPr>
          <w:rFonts w:hint="eastAsia" w:ascii="宋体" w:hAnsi="宋体" w:cs="宋体"/>
          <w:color w:val="auto"/>
          <w:sz w:val="24"/>
          <w:szCs w:val="24"/>
        </w:rPr>
        <w:t>2、负责</w:t>
      </w:r>
      <w:r>
        <w:rPr>
          <w:rFonts w:hint="eastAsia" w:ascii="宋体" w:hAnsi="宋体" w:cs="宋体"/>
          <w:color w:val="auto"/>
          <w:spacing w:val="-3"/>
          <w:sz w:val="24"/>
          <w:szCs w:val="24"/>
        </w:rPr>
        <w:t>施工准备</w:t>
      </w:r>
      <w:r>
        <w:rPr>
          <w:rFonts w:hint="eastAsia" w:ascii="宋体" w:hAnsi="宋体" w:cs="宋体"/>
          <w:color w:val="auto"/>
          <w:sz w:val="24"/>
          <w:szCs w:val="24"/>
        </w:rPr>
        <w:t xml:space="preserve">阶段的监理工作，包括但不限于以下内容： </w:t>
      </w:r>
    </w:p>
    <w:p>
      <w:pPr>
        <w:tabs>
          <w:tab w:val="left" w:pos="1310"/>
        </w:tabs>
        <w:spacing w:line="364" w:lineRule="auto"/>
        <w:ind w:firstLine="480" w:firstLineChars="200"/>
        <w:rPr>
          <w:rFonts w:ascii="宋体" w:hAnsi="宋体" w:cs="宋体"/>
          <w:color w:val="auto"/>
          <w:sz w:val="24"/>
          <w:szCs w:val="24"/>
        </w:rPr>
      </w:pPr>
      <w:r>
        <w:rPr>
          <w:rFonts w:hint="eastAsia" w:ascii="宋体" w:hAnsi="宋体" w:cs="宋体"/>
          <w:color w:val="auto"/>
          <w:sz w:val="24"/>
          <w:szCs w:val="24"/>
        </w:rPr>
        <w:t>（1）协助</w:t>
      </w:r>
      <w:r>
        <w:rPr>
          <w:rFonts w:hint="eastAsia" w:ascii="宋体" w:hAnsi="宋体" w:cs="宋体"/>
          <w:color w:val="auto"/>
          <w:spacing w:val="-3"/>
          <w:sz w:val="24"/>
          <w:szCs w:val="24"/>
        </w:rPr>
        <w:t>进行</w:t>
      </w:r>
      <w:r>
        <w:rPr>
          <w:rFonts w:hint="eastAsia" w:ascii="宋体" w:hAnsi="宋体" w:cs="宋体"/>
          <w:color w:val="auto"/>
          <w:sz w:val="24"/>
          <w:szCs w:val="24"/>
        </w:rPr>
        <w:t>勘察设计报审相关工作；</w:t>
      </w:r>
      <w:r>
        <w:rPr>
          <w:rFonts w:ascii="宋体" w:hAnsi="宋体" w:cs="宋体"/>
          <w:color w:val="auto"/>
          <w:sz w:val="24"/>
          <w:szCs w:val="24"/>
        </w:rPr>
        <w:t xml:space="preserve"> </w:t>
      </w:r>
    </w:p>
    <w:p>
      <w:pPr>
        <w:pStyle w:val="32"/>
        <w:tabs>
          <w:tab w:val="left" w:pos="1310"/>
        </w:tabs>
        <w:spacing w:line="364" w:lineRule="auto"/>
        <w:ind w:firstLine="476" w:firstLineChars="0"/>
        <w:rPr>
          <w:rFonts w:ascii="宋体" w:hAnsi="宋体" w:cs="宋体"/>
          <w:color w:val="auto"/>
          <w:sz w:val="24"/>
          <w:szCs w:val="24"/>
        </w:rPr>
      </w:pPr>
      <w:r>
        <w:rPr>
          <w:rFonts w:hint="eastAsia" w:ascii="宋体" w:hAnsi="宋体" w:cs="宋体"/>
          <w:color w:val="auto"/>
          <w:spacing w:val="-1"/>
          <w:sz w:val="24"/>
          <w:szCs w:val="24"/>
        </w:rPr>
        <w:t>（2）参加</w:t>
      </w:r>
      <w:r>
        <w:rPr>
          <w:rFonts w:hint="eastAsia" w:ascii="宋体" w:hAnsi="宋体" w:cs="宋体"/>
          <w:color w:val="auto"/>
          <w:spacing w:val="-3"/>
          <w:sz w:val="24"/>
          <w:szCs w:val="24"/>
        </w:rPr>
        <w:t>设计</w:t>
      </w:r>
      <w:r>
        <w:rPr>
          <w:rFonts w:hint="eastAsia" w:ascii="宋体" w:hAnsi="宋体" w:cs="宋体"/>
          <w:color w:val="auto"/>
          <w:spacing w:val="-1"/>
          <w:sz w:val="24"/>
          <w:szCs w:val="24"/>
        </w:rPr>
        <w:t xml:space="preserve">交底，对图纸中存在的问题通过委托人向设计单位提出书面意见和建议， </w:t>
      </w:r>
      <w:r>
        <w:rPr>
          <w:rFonts w:hint="eastAsia" w:ascii="宋体" w:hAnsi="宋体" w:cs="宋体"/>
          <w:color w:val="auto"/>
          <w:sz w:val="24"/>
          <w:szCs w:val="24"/>
        </w:rPr>
        <w:t xml:space="preserve">做好图纸会审记录并提交给委托人； </w:t>
      </w:r>
    </w:p>
    <w:p>
      <w:pPr>
        <w:spacing w:line="362" w:lineRule="auto"/>
        <w:ind w:firstLine="476" w:firstLineChars="200"/>
        <w:rPr>
          <w:rFonts w:ascii="宋体" w:hAnsi="宋体" w:cs="宋体"/>
          <w:color w:val="auto"/>
          <w:sz w:val="24"/>
          <w:szCs w:val="24"/>
        </w:rPr>
      </w:pPr>
      <w:r>
        <w:rPr>
          <w:rFonts w:hint="eastAsia" w:ascii="宋体" w:hAnsi="宋体" w:cs="宋体"/>
          <w:color w:val="auto"/>
          <w:spacing w:val="-1"/>
          <w:sz w:val="24"/>
          <w:szCs w:val="24"/>
        </w:rPr>
        <w:t>（3）审查承包人报送的施工组织设计</w:t>
      </w:r>
      <w:r>
        <w:rPr>
          <w:rFonts w:ascii="宋体" w:hAnsi="宋体" w:cs="宋体"/>
          <w:color w:val="auto"/>
          <w:spacing w:val="-1"/>
          <w:sz w:val="24"/>
          <w:szCs w:val="24"/>
        </w:rPr>
        <w:t>(</w:t>
      </w:r>
      <w:r>
        <w:rPr>
          <w:rFonts w:hint="eastAsia" w:ascii="宋体" w:hAnsi="宋体" w:cs="宋体"/>
          <w:color w:val="auto"/>
          <w:spacing w:val="-1"/>
          <w:sz w:val="24"/>
          <w:szCs w:val="24"/>
        </w:rPr>
        <w:t>方案</w:t>
      </w:r>
      <w:r>
        <w:rPr>
          <w:rFonts w:ascii="宋体" w:hAnsi="宋体" w:cs="宋体"/>
          <w:color w:val="auto"/>
          <w:spacing w:val="-1"/>
          <w:sz w:val="24"/>
          <w:szCs w:val="24"/>
        </w:rPr>
        <w:t>)</w:t>
      </w:r>
      <w:r>
        <w:rPr>
          <w:rFonts w:hint="eastAsia" w:ascii="宋体" w:hAnsi="宋体" w:cs="宋体"/>
          <w:color w:val="auto"/>
          <w:spacing w:val="-1"/>
          <w:sz w:val="24"/>
          <w:szCs w:val="24"/>
        </w:rPr>
        <w:t>；制定监理规划及监理实施细则并报委托人</w:t>
      </w:r>
      <w:r>
        <w:rPr>
          <w:rFonts w:hint="eastAsia" w:ascii="宋体" w:hAnsi="宋体" w:cs="宋体"/>
          <w:color w:val="auto"/>
          <w:sz w:val="24"/>
          <w:szCs w:val="24"/>
        </w:rPr>
        <w:t>审定。</w:t>
      </w:r>
      <w:r>
        <w:rPr>
          <w:rFonts w:ascii="宋体" w:hAnsi="宋体" w:cs="宋体"/>
          <w:color w:val="auto"/>
          <w:sz w:val="24"/>
          <w:szCs w:val="24"/>
        </w:rPr>
        <w:t xml:space="preserve"> </w:t>
      </w:r>
    </w:p>
    <w:p>
      <w:pPr>
        <w:spacing w:line="364" w:lineRule="auto"/>
        <w:ind w:firstLine="476" w:firstLineChars="200"/>
        <w:rPr>
          <w:rFonts w:ascii="宋体" w:hAnsi="宋体" w:cs="宋体"/>
          <w:color w:val="auto"/>
          <w:sz w:val="24"/>
          <w:szCs w:val="24"/>
        </w:rPr>
      </w:pPr>
      <w:r>
        <w:rPr>
          <w:rFonts w:hint="eastAsia" w:ascii="宋体" w:hAnsi="宋体" w:cs="宋体"/>
          <w:color w:val="auto"/>
          <w:spacing w:val="-1"/>
          <w:sz w:val="24"/>
          <w:szCs w:val="24"/>
        </w:rPr>
        <w:t>（4）负责协调承包人进场前的现场准备和制定勘察清障方案，为承包人进场制定前期准</w:t>
      </w:r>
      <w:r>
        <w:rPr>
          <w:rFonts w:hint="eastAsia" w:ascii="宋体" w:hAnsi="宋体" w:cs="宋体"/>
          <w:color w:val="auto"/>
          <w:sz w:val="24"/>
          <w:szCs w:val="24"/>
        </w:rPr>
        <w:t>备方案并组织实施。</w:t>
      </w:r>
      <w:r>
        <w:rPr>
          <w:rFonts w:ascii="宋体" w:hAnsi="宋体" w:cs="宋体"/>
          <w:color w:val="auto"/>
          <w:sz w:val="24"/>
          <w:szCs w:val="24"/>
        </w:rPr>
        <w:t xml:space="preserve"> </w:t>
      </w:r>
    </w:p>
    <w:p>
      <w:pPr>
        <w:spacing w:line="362" w:lineRule="auto"/>
        <w:ind w:firstLine="476" w:firstLineChars="200"/>
        <w:rPr>
          <w:rFonts w:ascii="宋体" w:hAnsi="宋体" w:cs="宋体"/>
          <w:color w:val="auto"/>
          <w:sz w:val="24"/>
          <w:szCs w:val="24"/>
        </w:rPr>
      </w:pPr>
      <w:r>
        <w:rPr>
          <w:rFonts w:hint="eastAsia" w:ascii="宋体" w:hAnsi="宋体" w:cs="宋体"/>
          <w:color w:val="auto"/>
          <w:spacing w:val="-1"/>
          <w:sz w:val="24"/>
          <w:szCs w:val="24"/>
        </w:rPr>
        <w:t>（5）审查由承包人编制，并经承包人的技术部门审批盖章的施工组织设计、施工方案及</w:t>
      </w:r>
      <w:r>
        <w:rPr>
          <w:rFonts w:hint="eastAsia" w:ascii="宋体" w:hAnsi="宋体" w:cs="宋体"/>
          <w:color w:val="auto"/>
          <w:sz w:val="24"/>
          <w:szCs w:val="24"/>
        </w:rPr>
        <w:t>施工进度计划，并督促检查实施；协助审批各单项工程开工报告。</w:t>
      </w:r>
      <w:r>
        <w:rPr>
          <w:rFonts w:ascii="宋体" w:hAnsi="宋体" w:cs="宋体"/>
          <w:color w:val="auto"/>
          <w:sz w:val="24"/>
          <w:szCs w:val="24"/>
        </w:rPr>
        <w:t xml:space="preserve"> </w:t>
      </w:r>
    </w:p>
    <w:p>
      <w:pPr>
        <w:spacing w:line="362" w:lineRule="auto"/>
        <w:ind w:firstLine="480" w:firstLineChars="200"/>
        <w:rPr>
          <w:rFonts w:ascii="宋体" w:hAnsi="宋体" w:cs="宋体"/>
          <w:color w:val="auto"/>
          <w:sz w:val="24"/>
          <w:szCs w:val="24"/>
        </w:rPr>
      </w:pPr>
      <w:r>
        <w:rPr>
          <w:rFonts w:hint="eastAsia" w:ascii="宋体" w:hAnsi="宋体" w:cs="宋体"/>
          <w:color w:val="auto"/>
          <w:sz w:val="24"/>
          <w:szCs w:val="24"/>
        </w:rPr>
        <w:t>（6）审查承包人及委托人提供的材料和设备清单及其所列的规格与质量。</w:t>
      </w:r>
      <w:r>
        <w:rPr>
          <w:rFonts w:ascii="宋体" w:hAnsi="宋体" w:cs="宋体"/>
          <w:color w:val="auto"/>
          <w:sz w:val="24"/>
          <w:szCs w:val="24"/>
        </w:rPr>
        <w:t xml:space="preserve"> </w:t>
      </w:r>
    </w:p>
    <w:p>
      <w:pPr>
        <w:pStyle w:val="32"/>
        <w:numPr>
          <w:ilvl w:val="255"/>
          <w:numId w:val="0"/>
        </w:numPr>
        <w:tabs>
          <w:tab w:val="left" w:pos="1190"/>
        </w:tabs>
        <w:spacing w:line="362" w:lineRule="auto"/>
        <w:ind w:left="480"/>
        <w:rPr>
          <w:rFonts w:ascii="宋体" w:hAnsi="宋体" w:cs="宋体"/>
          <w:color w:val="auto"/>
          <w:sz w:val="24"/>
          <w:szCs w:val="24"/>
        </w:rPr>
      </w:pPr>
      <w:r>
        <w:rPr>
          <w:rFonts w:hint="eastAsia" w:ascii="宋体" w:hAnsi="宋体" w:cs="宋体"/>
          <w:color w:val="auto"/>
          <w:sz w:val="24"/>
          <w:szCs w:val="24"/>
        </w:rPr>
        <w:t xml:space="preserve">3、施工阶段的监理工作，包括但不限于以下内容： </w:t>
      </w:r>
    </w:p>
    <w:p>
      <w:pPr>
        <w:spacing w:line="364" w:lineRule="auto"/>
        <w:ind w:firstLine="480" w:firstLineChars="200"/>
        <w:rPr>
          <w:rFonts w:ascii="宋体" w:hAnsi="宋体" w:cs="宋体"/>
          <w:color w:val="auto"/>
          <w:sz w:val="24"/>
          <w:szCs w:val="24"/>
        </w:rPr>
      </w:pPr>
      <w:r>
        <w:rPr>
          <w:rFonts w:hint="eastAsia" w:ascii="宋体" w:hAnsi="宋体" w:cs="宋体"/>
          <w:color w:val="auto"/>
          <w:sz w:val="24"/>
          <w:szCs w:val="24"/>
        </w:rPr>
        <w:t>（1）督促承包人严格执行合同和严格按照国家技术规范、标准、地方建筑安装规程、设计图纸文件的要求进行施工，并检查其实施情况；核查施工过程中的主要部位、环节以及隐蔽工程的施工验收签证；严格控制工程质量及安全，发现工程质量、安全问题，立即责令相关单位整改，并通知委托人。</w:t>
      </w:r>
      <w:r>
        <w:rPr>
          <w:rFonts w:ascii="宋体" w:hAnsi="宋体" w:cs="宋体"/>
          <w:color w:val="auto"/>
          <w:sz w:val="24"/>
          <w:szCs w:val="24"/>
        </w:rPr>
        <w:t xml:space="preserve"> </w:t>
      </w:r>
    </w:p>
    <w:p>
      <w:pPr>
        <w:spacing w:line="364" w:lineRule="auto"/>
        <w:ind w:firstLine="480" w:firstLineChars="200"/>
        <w:rPr>
          <w:rFonts w:ascii="宋体" w:hAnsi="宋体" w:cs="宋体"/>
          <w:color w:val="auto"/>
          <w:sz w:val="24"/>
          <w:szCs w:val="24"/>
        </w:rPr>
      </w:pPr>
      <w:r>
        <w:rPr>
          <w:rFonts w:hint="eastAsia" w:ascii="宋体" w:hAnsi="宋体" w:cs="宋体"/>
          <w:color w:val="auto"/>
          <w:sz w:val="24"/>
          <w:szCs w:val="24"/>
        </w:rPr>
        <w:t>（2）督促承包人严格按进度计划实施，检查承包人填报的报表，提出监理意见，控制工程进度。在施工过程中，当承包人对已批准的施工组织设计进行调整、补充或变动时，应经专业监理工程师审查，并应由总监理工程师签认。发现施工单位进度落后的，应督促施工单位采取有效措施，防止工期延误事件发生。</w:t>
      </w:r>
      <w:r>
        <w:rPr>
          <w:rFonts w:ascii="宋体" w:hAnsi="宋体" w:cs="宋体"/>
          <w:color w:val="auto"/>
          <w:sz w:val="24"/>
          <w:szCs w:val="24"/>
        </w:rPr>
        <w:t xml:space="preserve"> </w:t>
      </w:r>
    </w:p>
    <w:p>
      <w:pPr>
        <w:spacing w:line="364" w:lineRule="auto"/>
        <w:ind w:firstLine="480" w:firstLineChars="200"/>
        <w:rPr>
          <w:rFonts w:ascii="宋体" w:hAnsi="宋体" w:cs="宋体"/>
          <w:color w:val="auto"/>
          <w:sz w:val="24"/>
          <w:szCs w:val="24"/>
        </w:rPr>
      </w:pPr>
      <w:r>
        <w:rPr>
          <w:rFonts w:hint="eastAsia" w:ascii="宋体" w:hAnsi="宋体" w:cs="宋体"/>
          <w:color w:val="auto"/>
          <w:sz w:val="24"/>
          <w:szCs w:val="24"/>
        </w:rPr>
        <w:t>（3）对用于本工程的主要材料、设备等进行检查、检验，对未经监理人员验收或验收不合格的工程材料、构配件、设备，监理人员应拒绝签认，并应签发监理工程师通知单，书面通知承包人限期将不合格的工程材料、构配件、设备撤出现场。</w:t>
      </w:r>
      <w:r>
        <w:rPr>
          <w:rFonts w:ascii="宋体" w:hAnsi="宋体" w:cs="宋体"/>
          <w:color w:val="auto"/>
          <w:sz w:val="24"/>
          <w:szCs w:val="24"/>
        </w:rPr>
        <w:t xml:space="preserve"> </w:t>
      </w:r>
    </w:p>
    <w:p>
      <w:pPr>
        <w:spacing w:line="364" w:lineRule="auto"/>
        <w:ind w:firstLine="480" w:firstLineChars="200"/>
        <w:rPr>
          <w:rFonts w:ascii="宋体" w:hAnsi="宋体" w:cs="宋体"/>
          <w:color w:val="auto"/>
          <w:sz w:val="24"/>
          <w:szCs w:val="24"/>
        </w:rPr>
      </w:pPr>
      <w:r>
        <w:rPr>
          <w:rFonts w:hint="eastAsia" w:ascii="宋体" w:hAnsi="宋体" w:cs="宋体"/>
          <w:color w:val="auto"/>
          <w:sz w:val="24"/>
          <w:szCs w:val="24"/>
        </w:rPr>
        <w:t>（4）总监理工程师应安排监理人员对施工过程进行巡视和检查。对基础工程中土方回填，混凝土灌注桩浇筑，地下连续墙、土钉墙、后浇带及其他结构混凝土、防水混凝土浇筑，卷材防水层细部构造处理，钢结构安装和主体结构工程中梁柱节点钢筋隐蔽过程，混凝土浇筑，</w:t>
      </w:r>
      <w:r>
        <w:rPr>
          <w:rFonts w:ascii="宋体" w:hAnsi="宋体" w:cs="宋体"/>
          <w:color w:val="auto"/>
          <w:sz w:val="24"/>
          <w:szCs w:val="24"/>
        </w:rPr>
        <w:t xml:space="preserve"> </w:t>
      </w:r>
      <w:r>
        <w:rPr>
          <w:rFonts w:hint="eastAsia" w:ascii="宋体" w:hAnsi="宋体" w:cs="宋体"/>
          <w:color w:val="auto"/>
          <w:sz w:val="24"/>
          <w:szCs w:val="24"/>
        </w:rPr>
        <w:t>预应力张拉，装配式结构安装，钢结构安装，网架结构安装，索膜安装等，应安排监理员进行旁站，做好旁站监理记录和监理日记，保存旁站监理原始资料。旁站监理人员应当认真履行职责，</w:t>
      </w:r>
      <w:r>
        <w:rPr>
          <w:rFonts w:ascii="宋体" w:hAnsi="宋体" w:cs="宋体"/>
          <w:color w:val="auto"/>
          <w:sz w:val="24"/>
          <w:szCs w:val="24"/>
        </w:rPr>
        <w:t xml:space="preserve"> </w:t>
      </w:r>
      <w:r>
        <w:rPr>
          <w:rFonts w:hint="eastAsia" w:ascii="宋体" w:hAnsi="宋体" w:cs="宋体"/>
          <w:color w:val="auto"/>
          <w:sz w:val="24"/>
          <w:szCs w:val="24"/>
        </w:rPr>
        <w:t>对需要实施旁站监理的关键部位、关键工序在施工现场跟班监督，及时发现和处理旁站监理过程中出现的问题，责令施工企业进行整改。</w:t>
      </w:r>
      <w:r>
        <w:rPr>
          <w:rFonts w:ascii="宋体" w:hAnsi="宋体" w:cs="宋体"/>
          <w:color w:val="auto"/>
          <w:sz w:val="24"/>
          <w:szCs w:val="24"/>
        </w:rPr>
        <w:t xml:space="preserve"> </w:t>
      </w:r>
    </w:p>
    <w:p>
      <w:pPr>
        <w:spacing w:line="364" w:lineRule="auto"/>
        <w:ind w:firstLine="480" w:firstLineChars="200"/>
        <w:rPr>
          <w:rFonts w:ascii="宋体" w:hAnsi="宋体" w:cs="宋体"/>
          <w:color w:val="auto"/>
          <w:sz w:val="24"/>
          <w:szCs w:val="24"/>
        </w:rPr>
      </w:pPr>
      <w:r>
        <w:rPr>
          <w:rFonts w:hint="eastAsia" w:ascii="宋体" w:hAnsi="宋体" w:cs="宋体"/>
          <w:color w:val="auto"/>
          <w:sz w:val="24"/>
          <w:szCs w:val="24"/>
        </w:rPr>
        <w:t>（5）根据承包人报送的隐蔽工程报验申请表和自检结果进行现场检查，符合要求予以签认。</w:t>
      </w:r>
      <w:r>
        <w:rPr>
          <w:rFonts w:ascii="宋体" w:hAnsi="宋体" w:cs="宋体"/>
          <w:color w:val="auto"/>
          <w:sz w:val="24"/>
          <w:szCs w:val="24"/>
        </w:rPr>
        <w:t xml:space="preserve"> </w:t>
      </w:r>
    </w:p>
    <w:p>
      <w:pPr>
        <w:spacing w:line="362" w:lineRule="auto"/>
        <w:ind w:firstLine="480" w:firstLineChars="200"/>
        <w:rPr>
          <w:rFonts w:ascii="宋体" w:hAnsi="宋体" w:cs="宋体"/>
          <w:color w:val="auto"/>
          <w:sz w:val="24"/>
          <w:szCs w:val="24"/>
        </w:rPr>
      </w:pPr>
      <w:r>
        <w:rPr>
          <w:rFonts w:hint="eastAsia" w:ascii="宋体" w:hAnsi="宋体" w:cs="宋体"/>
          <w:color w:val="auto"/>
          <w:sz w:val="24"/>
          <w:szCs w:val="24"/>
        </w:rPr>
        <w:t>（6）对工程发生质量、安全事故按相关规定保护好现场并及时处理，向委托人提交有关工程质量、安全事故的书面报告，并应将完整的事故处理记录整理归档。</w:t>
      </w:r>
      <w:r>
        <w:rPr>
          <w:rFonts w:ascii="宋体" w:hAnsi="宋体" w:cs="宋体"/>
          <w:color w:val="auto"/>
          <w:sz w:val="24"/>
          <w:szCs w:val="24"/>
        </w:rPr>
        <w:t xml:space="preserve"> </w:t>
      </w:r>
    </w:p>
    <w:p>
      <w:pPr>
        <w:spacing w:line="364" w:lineRule="auto"/>
        <w:ind w:firstLine="480" w:firstLineChars="200"/>
        <w:rPr>
          <w:rFonts w:ascii="宋体" w:hAnsi="宋体" w:cs="宋体"/>
          <w:color w:val="auto"/>
          <w:sz w:val="24"/>
          <w:szCs w:val="24"/>
        </w:rPr>
      </w:pPr>
      <w:r>
        <w:rPr>
          <w:rFonts w:hint="eastAsia" w:ascii="宋体" w:hAnsi="宋体" w:cs="宋体"/>
          <w:color w:val="auto"/>
          <w:sz w:val="24"/>
          <w:szCs w:val="24"/>
        </w:rPr>
        <w:t>（7）根据《广州市建设工程文明施工管理规定》（</w:t>
      </w:r>
      <w:r>
        <w:rPr>
          <w:rFonts w:hint="eastAsia" w:ascii="宋体" w:hAnsi="宋体" w:cs="宋体"/>
          <w:color w:val="auto"/>
          <w:spacing w:val="-5"/>
          <w:sz w:val="24"/>
          <w:szCs w:val="24"/>
        </w:rPr>
        <w:t>广州市人民政府令第</w:t>
      </w:r>
      <w:r>
        <w:rPr>
          <w:rFonts w:ascii="宋体" w:hAnsi="宋体" w:cs="宋体"/>
          <w:color w:val="auto"/>
          <w:spacing w:val="-5"/>
          <w:sz w:val="24"/>
          <w:szCs w:val="24"/>
        </w:rPr>
        <w:t xml:space="preserve"> </w:t>
      </w:r>
      <w:r>
        <w:rPr>
          <w:rFonts w:ascii="宋体" w:hAnsi="宋体" w:cs="宋体"/>
          <w:color w:val="auto"/>
          <w:sz w:val="24"/>
          <w:szCs w:val="24"/>
        </w:rPr>
        <w:t>62</w:t>
      </w:r>
      <w:r>
        <w:rPr>
          <w:rFonts w:ascii="宋体" w:hAnsi="宋体" w:cs="宋体"/>
          <w:color w:val="auto"/>
          <w:spacing w:val="-24"/>
          <w:sz w:val="24"/>
          <w:szCs w:val="24"/>
        </w:rPr>
        <w:t xml:space="preserve"> </w:t>
      </w:r>
      <w:r>
        <w:rPr>
          <w:rFonts w:hint="eastAsia" w:ascii="宋体" w:hAnsi="宋体" w:cs="宋体"/>
          <w:color w:val="auto"/>
          <w:spacing w:val="-24"/>
          <w:sz w:val="24"/>
          <w:szCs w:val="24"/>
        </w:rPr>
        <w:t>号</w:t>
      </w:r>
      <w:r>
        <w:rPr>
          <w:rFonts w:hint="eastAsia" w:ascii="宋体" w:hAnsi="宋体" w:cs="宋体"/>
          <w:color w:val="auto"/>
          <w:sz w:val="24"/>
          <w:szCs w:val="24"/>
        </w:rPr>
        <w:t>）</w:t>
      </w:r>
      <w:r>
        <w:rPr>
          <w:rFonts w:hint="eastAsia" w:ascii="宋体" w:hAnsi="宋体" w:cs="宋体"/>
          <w:color w:val="auto"/>
          <w:spacing w:val="-5"/>
          <w:sz w:val="24"/>
          <w:szCs w:val="24"/>
        </w:rPr>
        <w:t>的规定，</w:t>
      </w:r>
      <w:r>
        <w:rPr>
          <w:rFonts w:hint="eastAsia" w:ascii="宋体" w:hAnsi="宋体" w:cs="宋体"/>
          <w:color w:val="auto"/>
          <w:sz w:val="24"/>
          <w:szCs w:val="24"/>
        </w:rPr>
        <w:t>监理人在对本工程实施监理的时候，应当履行下列管理责任：</w:t>
      </w:r>
      <w:r>
        <w:rPr>
          <w:rFonts w:ascii="宋体" w:hAnsi="宋体" w:cs="宋体"/>
          <w:color w:val="auto"/>
          <w:sz w:val="24"/>
          <w:szCs w:val="24"/>
        </w:rPr>
        <w:t xml:space="preserve"> </w:t>
      </w:r>
    </w:p>
    <w:p>
      <w:pPr>
        <w:pStyle w:val="12"/>
        <w:spacing w:after="0" w:line="362" w:lineRule="auto"/>
        <w:ind w:firstLine="456" w:firstLineChars="200"/>
        <w:rPr>
          <w:rFonts w:ascii="宋体" w:hAnsi="宋体" w:cs="宋体"/>
          <w:color w:val="auto"/>
          <w:sz w:val="24"/>
          <w:szCs w:val="24"/>
        </w:rPr>
      </w:pPr>
      <w:r>
        <w:rPr>
          <w:rFonts w:hint="eastAsia" w:ascii="宋体" w:hAnsi="宋体" w:cs="宋体"/>
          <w:color w:val="auto"/>
          <w:spacing w:val="-6"/>
          <w:sz w:val="24"/>
          <w:szCs w:val="24"/>
        </w:rPr>
        <w:t>①审核施工单位拟定的施工组织设计文件，督促施工单位落实文明施工管理措施，审核确</w:t>
      </w:r>
      <w:r>
        <w:rPr>
          <w:rFonts w:hint="eastAsia" w:ascii="宋体" w:hAnsi="宋体" w:cs="宋体"/>
          <w:color w:val="auto"/>
          <w:sz w:val="24"/>
          <w:szCs w:val="24"/>
        </w:rPr>
        <w:t xml:space="preserve">认施工单位文明施工措施费用使用情况。 </w:t>
      </w:r>
    </w:p>
    <w:p>
      <w:pPr>
        <w:pStyle w:val="12"/>
        <w:spacing w:after="0" w:line="362"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②实施监理过程中，发现施工单位有违反文明施工管理规定的，应当要求施工单位整改； 施工单位拒不整改的，应当要求施工单位暂停施工，并向委托人报告。 </w:t>
      </w:r>
    </w:p>
    <w:p>
      <w:pPr>
        <w:pStyle w:val="12"/>
        <w:spacing w:after="0" w:line="364" w:lineRule="auto"/>
        <w:ind w:firstLine="460" w:firstLineChars="200"/>
        <w:rPr>
          <w:rFonts w:ascii="宋体" w:hAnsi="宋体" w:cs="宋体"/>
          <w:color w:val="auto"/>
          <w:sz w:val="24"/>
          <w:szCs w:val="24"/>
        </w:rPr>
      </w:pPr>
      <w:r>
        <w:rPr>
          <w:rFonts w:hint="eastAsia" w:ascii="宋体" w:hAnsi="宋体" w:cs="宋体"/>
          <w:color w:val="auto"/>
          <w:spacing w:val="-5"/>
          <w:sz w:val="24"/>
          <w:szCs w:val="24"/>
        </w:rPr>
        <w:t>③施工单位违反文明施工管理规定拒不整改或者不停止施工的，及时向工程行政管理部门</w:t>
      </w:r>
      <w:r>
        <w:rPr>
          <w:rFonts w:hint="eastAsia" w:ascii="宋体" w:hAnsi="宋体" w:cs="宋体"/>
          <w:color w:val="auto"/>
          <w:sz w:val="24"/>
          <w:szCs w:val="24"/>
        </w:rPr>
        <w:t xml:space="preserve">报告。 </w:t>
      </w:r>
    </w:p>
    <w:p>
      <w:pPr>
        <w:spacing w:line="364" w:lineRule="auto"/>
        <w:ind w:firstLine="464" w:firstLineChars="200"/>
        <w:rPr>
          <w:rFonts w:ascii="宋体" w:hAnsi="宋体" w:cs="宋体"/>
          <w:color w:val="auto"/>
          <w:sz w:val="24"/>
          <w:szCs w:val="24"/>
        </w:rPr>
      </w:pPr>
      <w:r>
        <w:rPr>
          <w:rFonts w:hint="eastAsia" w:ascii="宋体" w:hAnsi="宋体" w:cs="宋体"/>
          <w:color w:val="auto"/>
          <w:spacing w:val="-4"/>
          <w:sz w:val="24"/>
          <w:szCs w:val="24"/>
        </w:rPr>
        <w:t>（8）根据《广州市建筑施工实名制管理办法》</w:t>
      </w:r>
      <w:r>
        <w:rPr>
          <w:rFonts w:hint="eastAsia" w:ascii="宋体" w:hAnsi="宋体" w:cs="宋体"/>
          <w:color w:val="auto"/>
          <w:sz w:val="24"/>
          <w:szCs w:val="24"/>
        </w:rPr>
        <w:t>（穗建规字</w:t>
      </w:r>
      <w:r>
        <w:rPr>
          <w:rFonts w:ascii="宋体" w:hAnsi="宋体" w:cs="宋体"/>
          <w:color w:val="auto"/>
          <w:sz w:val="24"/>
          <w:szCs w:val="24"/>
        </w:rPr>
        <w:t>[2020]18</w:t>
      </w:r>
      <w:r>
        <w:rPr>
          <w:rFonts w:ascii="宋体" w:hAnsi="宋体" w:cs="宋体"/>
          <w:color w:val="auto"/>
          <w:spacing w:val="-32"/>
          <w:sz w:val="24"/>
          <w:szCs w:val="24"/>
        </w:rPr>
        <w:t xml:space="preserve"> </w:t>
      </w:r>
      <w:r>
        <w:rPr>
          <w:rFonts w:hint="eastAsia" w:ascii="宋体" w:hAnsi="宋体" w:cs="宋体"/>
          <w:color w:val="auto"/>
          <w:spacing w:val="-32"/>
          <w:sz w:val="24"/>
          <w:szCs w:val="24"/>
        </w:rPr>
        <w:t>号</w:t>
      </w:r>
      <w:r>
        <w:rPr>
          <w:rFonts w:hint="eastAsia" w:ascii="宋体" w:hAnsi="宋体" w:cs="宋体"/>
          <w:color w:val="auto"/>
          <w:spacing w:val="-5"/>
          <w:sz w:val="24"/>
          <w:szCs w:val="24"/>
        </w:rPr>
        <w:t>）</w:t>
      </w:r>
      <w:r>
        <w:rPr>
          <w:rFonts w:hint="eastAsia" w:ascii="宋体" w:hAnsi="宋体" w:cs="宋体"/>
          <w:color w:val="auto"/>
          <w:spacing w:val="-4"/>
          <w:sz w:val="24"/>
          <w:szCs w:val="24"/>
        </w:rPr>
        <w:t>和《广州市建设</w:t>
      </w:r>
      <w:r>
        <w:rPr>
          <w:rFonts w:hint="eastAsia" w:ascii="宋体" w:hAnsi="宋体" w:cs="宋体"/>
          <w:color w:val="auto"/>
          <w:spacing w:val="-5"/>
          <w:sz w:val="24"/>
          <w:szCs w:val="24"/>
        </w:rPr>
        <w:t>领域工人工资支付分账管理实施细则》</w:t>
      </w:r>
      <w:r>
        <w:rPr>
          <w:rFonts w:hint="eastAsia" w:ascii="宋体" w:hAnsi="宋体" w:cs="宋体"/>
          <w:color w:val="auto"/>
          <w:sz w:val="24"/>
          <w:szCs w:val="24"/>
        </w:rPr>
        <w:t>（穗建规字</w:t>
      </w:r>
      <w:r>
        <w:rPr>
          <w:rFonts w:ascii="宋体" w:hAnsi="宋体" w:cs="宋体"/>
          <w:color w:val="auto"/>
          <w:sz w:val="24"/>
          <w:szCs w:val="24"/>
        </w:rPr>
        <w:t>[2020]37</w:t>
      </w:r>
      <w:r>
        <w:rPr>
          <w:rFonts w:ascii="宋体" w:hAnsi="宋体" w:cs="宋体"/>
          <w:color w:val="auto"/>
          <w:spacing w:val="-30"/>
          <w:sz w:val="24"/>
          <w:szCs w:val="24"/>
        </w:rPr>
        <w:t xml:space="preserve"> </w:t>
      </w:r>
      <w:r>
        <w:rPr>
          <w:rFonts w:hint="eastAsia" w:ascii="宋体" w:hAnsi="宋体" w:cs="宋体"/>
          <w:color w:val="auto"/>
          <w:spacing w:val="-30"/>
          <w:sz w:val="24"/>
          <w:szCs w:val="24"/>
        </w:rPr>
        <w:t>号</w:t>
      </w:r>
      <w:r>
        <w:rPr>
          <w:rFonts w:hint="eastAsia" w:ascii="宋体" w:hAnsi="宋体" w:cs="宋体"/>
          <w:color w:val="auto"/>
          <w:spacing w:val="-39"/>
          <w:sz w:val="24"/>
          <w:szCs w:val="24"/>
        </w:rPr>
        <w:t>）</w:t>
      </w:r>
      <w:r>
        <w:rPr>
          <w:rFonts w:hint="eastAsia" w:ascii="宋体" w:hAnsi="宋体" w:cs="宋体"/>
          <w:color w:val="auto"/>
          <w:spacing w:val="-7"/>
          <w:sz w:val="24"/>
          <w:szCs w:val="24"/>
        </w:rPr>
        <w:t>的规定，监理人在对本工程实</w:t>
      </w:r>
      <w:r>
        <w:rPr>
          <w:rFonts w:hint="eastAsia" w:ascii="宋体" w:hAnsi="宋体" w:cs="宋体"/>
          <w:color w:val="auto"/>
          <w:sz w:val="24"/>
          <w:szCs w:val="24"/>
        </w:rPr>
        <w:t>施监理的时候，应当履行下列管理责任：</w:t>
      </w:r>
      <w:r>
        <w:rPr>
          <w:rFonts w:ascii="宋体" w:hAnsi="宋体" w:cs="宋体"/>
          <w:color w:val="auto"/>
          <w:sz w:val="24"/>
          <w:szCs w:val="24"/>
        </w:rPr>
        <w:t xml:space="preserve"> </w:t>
      </w:r>
    </w:p>
    <w:p>
      <w:pPr>
        <w:pStyle w:val="12"/>
        <w:spacing w:after="0" w:line="362" w:lineRule="auto"/>
        <w:ind w:firstLine="460" w:firstLineChars="200"/>
        <w:rPr>
          <w:rFonts w:ascii="宋体" w:hAnsi="宋体" w:cs="宋体"/>
          <w:color w:val="auto"/>
          <w:sz w:val="24"/>
          <w:szCs w:val="24"/>
        </w:rPr>
      </w:pPr>
      <w:r>
        <w:rPr>
          <w:rFonts w:hint="eastAsia" w:ascii="宋体" w:hAnsi="宋体" w:cs="宋体"/>
          <w:color w:val="auto"/>
          <w:spacing w:val="-5"/>
          <w:sz w:val="24"/>
          <w:szCs w:val="24"/>
        </w:rPr>
        <w:t>①督促施工单位落实实名制及工人工资分账管理制度，如施工单位未按规定执行的，应当</w:t>
      </w:r>
      <w:r>
        <w:rPr>
          <w:rFonts w:hint="eastAsia" w:ascii="宋体" w:hAnsi="宋体" w:cs="宋体"/>
          <w:color w:val="auto"/>
          <w:sz w:val="24"/>
          <w:szCs w:val="24"/>
        </w:rPr>
        <w:t xml:space="preserve">要求施工单位整改；施工单位拒不整改的，须立即向委托人及工程行政管理部门报告。 </w:t>
      </w:r>
    </w:p>
    <w:p>
      <w:pPr>
        <w:pStyle w:val="12"/>
        <w:spacing w:after="0" w:line="362" w:lineRule="auto"/>
        <w:ind w:firstLine="456" w:firstLineChars="200"/>
        <w:rPr>
          <w:rFonts w:ascii="宋体" w:hAnsi="宋体" w:cs="宋体"/>
          <w:color w:val="auto"/>
          <w:sz w:val="24"/>
          <w:szCs w:val="24"/>
        </w:rPr>
      </w:pPr>
      <w:r>
        <w:rPr>
          <w:rFonts w:hint="eastAsia" w:ascii="宋体" w:hAnsi="宋体" w:cs="宋体"/>
          <w:color w:val="auto"/>
          <w:spacing w:val="-6"/>
          <w:sz w:val="24"/>
          <w:szCs w:val="24"/>
        </w:rPr>
        <w:t>②审核施工单位报送的工人考勤、工资结算和支付等管理台账。如工人工资支付账户内资</w:t>
      </w:r>
      <w:r>
        <w:rPr>
          <w:rFonts w:hint="eastAsia" w:ascii="宋体" w:hAnsi="宋体" w:cs="宋体"/>
          <w:color w:val="auto"/>
          <w:spacing w:val="-9"/>
          <w:sz w:val="24"/>
          <w:szCs w:val="24"/>
        </w:rPr>
        <w:t>金少于应付支付工人工资的，监理人应督促施工单位及时补足，确保工人工资按时足额支付。</w:t>
      </w:r>
      <w:r>
        <w:rPr>
          <w:rFonts w:hint="eastAsia" w:ascii="宋体" w:hAnsi="宋体" w:cs="宋体"/>
          <w:color w:val="auto"/>
          <w:sz w:val="24"/>
          <w:szCs w:val="24"/>
        </w:rPr>
        <w:t xml:space="preserve"> </w:t>
      </w:r>
    </w:p>
    <w:p>
      <w:pPr>
        <w:pStyle w:val="12"/>
        <w:spacing w:after="0" w:line="364" w:lineRule="auto"/>
        <w:ind w:firstLine="452" w:firstLineChars="200"/>
        <w:rPr>
          <w:rFonts w:ascii="宋体" w:hAnsi="宋体" w:cs="宋体"/>
          <w:color w:val="auto"/>
          <w:spacing w:val="-5"/>
          <w:sz w:val="24"/>
          <w:szCs w:val="24"/>
        </w:rPr>
      </w:pPr>
      <w:r>
        <w:rPr>
          <w:rFonts w:hint="eastAsia" w:ascii="宋体" w:hAnsi="宋体" w:cs="宋体"/>
          <w:color w:val="auto"/>
          <w:spacing w:val="-7"/>
          <w:sz w:val="24"/>
          <w:szCs w:val="24"/>
        </w:rPr>
        <w:t>③实施监理过程中，发现施工单位违反上述规定，存在拖欠工人工资、工人工资支付信息</w:t>
      </w:r>
      <w:r>
        <w:rPr>
          <w:rFonts w:hint="eastAsia" w:ascii="宋体" w:hAnsi="宋体" w:cs="宋体"/>
          <w:color w:val="auto"/>
          <w:spacing w:val="-14"/>
          <w:sz w:val="24"/>
          <w:szCs w:val="24"/>
        </w:rPr>
        <w:t>与实名制登记的用工信息严重不符、约定的工程进度款中的工人工资款比例低于参照比例下限、</w:t>
      </w:r>
      <w:r>
        <w:rPr>
          <w:rFonts w:hint="eastAsia" w:ascii="宋体" w:hAnsi="宋体" w:cs="宋体"/>
          <w:color w:val="auto"/>
          <w:spacing w:val="-5"/>
          <w:sz w:val="24"/>
          <w:szCs w:val="24"/>
        </w:rPr>
        <w:t>工资支付专用账户发生异常情况等，应当要求施工单位立即整改并及时向委托人报告；如发现</w:t>
      </w:r>
      <w:r>
        <w:rPr>
          <w:rFonts w:hint="eastAsia" w:ascii="宋体" w:hAnsi="宋体" w:cs="宋体"/>
          <w:color w:val="auto"/>
          <w:spacing w:val="-10"/>
          <w:sz w:val="24"/>
          <w:szCs w:val="24"/>
        </w:rPr>
        <w:t xml:space="preserve">施工单位转包或者违法分包造成拖欠工人工资的，须立即上报委托人及工程行政管理部门严肃处理。 </w:t>
      </w:r>
    </w:p>
    <w:p>
      <w:pPr>
        <w:pStyle w:val="12"/>
        <w:spacing w:after="0" w:line="364" w:lineRule="auto"/>
        <w:ind w:firstLine="460" w:firstLineChars="200"/>
        <w:rPr>
          <w:rFonts w:ascii="宋体" w:hAnsi="宋体" w:cs="宋体"/>
          <w:color w:val="auto"/>
          <w:sz w:val="24"/>
          <w:szCs w:val="24"/>
        </w:rPr>
      </w:pPr>
      <w:r>
        <w:rPr>
          <w:rFonts w:hint="eastAsia" w:ascii="宋体" w:hAnsi="宋体" w:cs="宋体"/>
          <w:color w:val="auto"/>
          <w:spacing w:val="-5"/>
          <w:sz w:val="24"/>
          <w:szCs w:val="24"/>
        </w:rPr>
        <w:t>④审核确认工程完工及施工单位结清工人工资的情况，配合施工单位办理工人工资支付专</w:t>
      </w:r>
      <w:r>
        <w:rPr>
          <w:rFonts w:hint="eastAsia" w:ascii="宋体" w:hAnsi="宋体" w:cs="宋体"/>
          <w:color w:val="auto"/>
          <w:sz w:val="24"/>
          <w:szCs w:val="24"/>
        </w:rPr>
        <w:t xml:space="preserve">用账户撤销手续。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4</w:t>
      </w:r>
      <w:r>
        <w:rPr>
          <w:rFonts w:hint="eastAsia" w:ascii="宋体" w:hAnsi="宋体" w:cs="宋体"/>
          <w:color w:val="auto"/>
          <w:spacing w:val="-1"/>
          <w:sz w:val="24"/>
          <w:szCs w:val="24"/>
        </w:rPr>
        <w:t>、监理人应严格按广州市、增城区有关施工现场余泥渣土排放、建筑垃圾运输管理、市</w:t>
      </w:r>
      <w:r>
        <w:rPr>
          <w:rFonts w:hint="eastAsia" w:ascii="宋体" w:hAnsi="宋体" w:cs="宋体"/>
          <w:color w:val="auto"/>
          <w:spacing w:val="-10"/>
          <w:sz w:val="24"/>
          <w:szCs w:val="24"/>
        </w:rPr>
        <w:t>容卫生、文明施工管理规定的标准和要求，加强对承包人的监督和检查。监理人必须对施工承</w:t>
      </w:r>
      <w:r>
        <w:rPr>
          <w:rFonts w:hint="eastAsia" w:ascii="宋体" w:hAnsi="宋体" w:cs="宋体"/>
          <w:color w:val="auto"/>
          <w:spacing w:val="-6"/>
          <w:sz w:val="24"/>
          <w:szCs w:val="24"/>
        </w:rPr>
        <w:t>包人的土石方专业工程分包合同、建筑垃圾运输合同进行备案和跟踪管理。检查发现问题，应</w:t>
      </w:r>
      <w:r>
        <w:rPr>
          <w:rFonts w:hint="eastAsia" w:ascii="宋体" w:hAnsi="宋体" w:cs="宋体"/>
          <w:color w:val="auto"/>
          <w:spacing w:val="-7"/>
          <w:sz w:val="24"/>
          <w:szCs w:val="24"/>
        </w:rPr>
        <w:t>立即发出监理通知予以制止。监理人还必须审查余泥渣土、建筑垃圾运输单位的资质，发现问</w:t>
      </w:r>
      <w:r>
        <w:rPr>
          <w:rFonts w:hint="eastAsia" w:ascii="宋体" w:hAnsi="宋体" w:cs="宋体"/>
          <w:color w:val="auto"/>
          <w:spacing w:val="-9"/>
          <w:sz w:val="24"/>
          <w:szCs w:val="24"/>
        </w:rPr>
        <w:t>题立即予以制止，并同时向委托人、建设主管部门、余泥渣土排放主管部门及城管部门一并报</w:t>
      </w:r>
      <w:r>
        <w:rPr>
          <w:rFonts w:hint="eastAsia" w:ascii="宋体" w:hAnsi="宋体" w:cs="宋体"/>
          <w:color w:val="auto"/>
          <w:spacing w:val="-10"/>
          <w:sz w:val="24"/>
          <w:szCs w:val="24"/>
        </w:rPr>
        <w:t>告。监理人对每台出泥运输车应当现场做好出泥登记和双方签名确认，以供城市管理部门和建</w:t>
      </w:r>
      <w:r>
        <w:rPr>
          <w:rFonts w:hint="eastAsia" w:ascii="宋体" w:hAnsi="宋体" w:cs="宋体"/>
          <w:color w:val="auto"/>
          <w:sz w:val="24"/>
          <w:szCs w:val="24"/>
        </w:rPr>
        <w:t xml:space="preserve">设主管部门随时抽查。 </w:t>
      </w:r>
    </w:p>
    <w:p>
      <w:pPr>
        <w:pStyle w:val="12"/>
        <w:spacing w:after="0" w:line="362" w:lineRule="auto"/>
        <w:ind w:firstLine="480" w:firstLineChars="200"/>
        <w:rPr>
          <w:rFonts w:ascii="宋体" w:hAnsi="宋体" w:cs="宋体"/>
          <w:color w:val="auto"/>
          <w:sz w:val="24"/>
          <w:szCs w:val="24"/>
        </w:rPr>
      </w:pPr>
      <w:r>
        <w:rPr>
          <w:rFonts w:ascii="宋体" w:hAnsi="宋体" w:cs="宋体"/>
          <w:color w:val="auto"/>
          <w:sz w:val="24"/>
          <w:szCs w:val="24"/>
        </w:rPr>
        <w:t>5</w:t>
      </w:r>
      <w:r>
        <w:rPr>
          <w:rFonts w:hint="eastAsia" w:ascii="宋体" w:hAnsi="宋体" w:cs="宋体"/>
          <w:color w:val="auto"/>
          <w:sz w:val="24"/>
          <w:szCs w:val="24"/>
        </w:rPr>
        <w:t xml:space="preserve">、工程造价控制工作，包括但不限于以下工作： </w:t>
      </w:r>
    </w:p>
    <w:p>
      <w:pPr>
        <w:pStyle w:val="12"/>
        <w:spacing w:after="0" w:line="362" w:lineRule="auto"/>
        <w:ind w:firstLine="480" w:firstLineChars="20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）监理人应每日统计承包人实际完成的工程量，并记录于监理日志中。</w:t>
      </w:r>
      <w:r>
        <w:rPr>
          <w:rFonts w:ascii="宋体" w:hAnsi="宋体" w:cs="宋体"/>
          <w:color w:val="auto"/>
          <w:sz w:val="24"/>
          <w:szCs w:val="24"/>
        </w:rPr>
        <w:t xml:space="preserve"> </w:t>
      </w:r>
    </w:p>
    <w:p>
      <w:pPr>
        <w:pStyle w:val="12"/>
        <w:spacing w:after="0" w:line="362" w:lineRule="auto"/>
        <w:ind w:firstLine="476" w:firstLineChars="200"/>
        <w:rPr>
          <w:rFonts w:ascii="宋体" w:hAnsi="宋体" w:cs="宋体"/>
          <w:color w:val="auto"/>
          <w:sz w:val="24"/>
          <w:szCs w:val="24"/>
        </w:rPr>
      </w:pPr>
      <w:r>
        <w:rPr>
          <w:rFonts w:hint="eastAsia" w:ascii="宋体" w:hAnsi="宋体" w:cs="宋体"/>
          <w:color w:val="auto"/>
          <w:spacing w:val="-1"/>
          <w:sz w:val="24"/>
          <w:szCs w:val="24"/>
        </w:rPr>
        <w:t>（</w:t>
      </w:r>
      <w:r>
        <w:rPr>
          <w:rFonts w:ascii="宋体" w:hAnsi="宋体" w:cs="宋体"/>
          <w:color w:val="auto"/>
          <w:spacing w:val="-1"/>
          <w:sz w:val="24"/>
          <w:szCs w:val="24"/>
        </w:rPr>
        <w:t>2</w:t>
      </w:r>
      <w:r>
        <w:rPr>
          <w:rFonts w:hint="eastAsia" w:ascii="宋体" w:hAnsi="宋体" w:cs="宋体"/>
          <w:color w:val="auto"/>
          <w:spacing w:val="-1"/>
          <w:sz w:val="24"/>
          <w:szCs w:val="24"/>
        </w:rPr>
        <w:t>）复核当期验收合格的工程量，按施工合同的约定审核承包人提交的工程量清单和工</w:t>
      </w:r>
      <w:r>
        <w:rPr>
          <w:rFonts w:hint="eastAsia" w:ascii="宋体" w:hAnsi="宋体" w:cs="宋体"/>
          <w:color w:val="auto"/>
          <w:sz w:val="24"/>
          <w:szCs w:val="24"/>
        </w:rPr>
        <w:t>程款支付申请表并报委托人。</w:t>
      </w:r>
      <w:r>
        <w:rPr>
          <w:rFonts w:ascii="宋体" w:hAnsi="宋体" w:cs="宋体"/>
          <w:color w:val="auto"/>
          <w:sz w:val="24"/>
          <w:szCs w:val="24"/>
        </w:rPr>
        <w:t xml:space="preserve"> </w:t>
      </w:r>
    </w:p>
    <w:p>
      <w:pPr>
        <w:pStyle w:val="12"/>
        <w:spacing w:after="0" w:line="362" w:lineRule="auto"/>
        <w:ind w:firstLine="476" w:firstLineChars="200"/>
        <w:rPr>
          <w:rFonts w:ascii="宋体" w:hAnsi="宋体" w:cs="宋体"/>
          <w:color w:val="auto"/>
          <w:sz w:val="24"/>
          <w:szCs w:val="24"/>
        </w:rPr>
      </w:pPr>
      <w:r>
        <w:rPr>
          <w:rFonts w:hint="eastAsia" w:ascii="宋体" w:hAnsi="宋体" w:cs="宋体"/>
          <w:color w:val="auto"/>
          <w:spacing w:val="-1"/>
          <w:sz w:val="24"/>
          <w:szCs w:val="24"/>
        </w:rPr>
        <w:t>（</w:t>
      </w:r>
      <w:r>
        <w:rPr>
          <w:rFonts w:ascii="宋体" w:hAnsi="宋体" w:cs="宋体"/>
          <w:color w:val="auto"/>
          <w:spacing w:val="-1"/>
          <w:sz w:val="24"/>
          <w:szCs w:val="24"/>
        </w:rPr>
        <w:t>3</w:t>
      </w:r>
      <w:r>
        <w:rPr>
          <w:rFonts w:hint="eastAsia" w:ascii="宋体" w:hAnsi="宋体" w:cs="宋体"/>
          <w:color w:val="auto"/>
          <w:spacing w:val="-1"/>
          <w:sz w:val="24"/>
          <w:szCs w:val="24"/>
        </w:rPr>
        <w:t>）依据施工合同有关条款、施工图，对工程项目造价目标进行风险分析，并应制定防</w:t>
      </w:r>
      <w:r>
        <w:rPr>
          <w:rFonts w:hint="eastAsia" w:ascii="宋体" w:hAnsi="宋体" w:cs="宋体"/>
          <w:color w:val="auto"/>
          <w:sz w:val="24"/>
          <w:szCs w:val="24"/>
        </w:rPr>
        <w:t>范性对策。</w:t>
      </w:r>
      <w:r>
        <w:rPr>
          <w:rFonts w:ascii="宋体" w:hAnsi="宋体" w:cs="宋体"/>
          <w:color w:val="auto"/>
          <w:sz w:val="24"/>
          <w:szCs w:val="24"/>
        </w:rPr>
        <w:t xml:space="preserve"> </w:t>
      </w:r>
    </w:p>
    <w:p>
      <w:pPr>
        <w:pStyle w:val="12"/>
        <w:spacing w:after="0" w:line="362" w:lineRule="auto"/>
        <w:ind w:firstLine="480" w:firstLineChars="200"/>
        <w:rPr>
          <w:rFonts w:ascii="宋体" w:hAnsi="宋体" w:cs="宋体"/>
          <w:color w:val="auto"/>
          <w:sz w:val="24"/>
          <w:szCs w:val="24"/>
        </w:rPr>
      </w:pPr>
      <w:r>
        <w:rPr>
          <w:rFonts w:hint="eastAsia" w:ascii="宋体" w:hAnsi="宋体" w:cs="宋体"/>
          <w:color w:val="auto"/>
          <w:sz w:val="24"/>
          <w:szCs w:val="24"/>
        </w:rPr>
        <w:t>6、按区及委托人关于工程变更、签证管理的相关规定，从造价、项目的功能要求、质量和工期等方面对</w:t>
      </w:r>
      <w:r>
        <w:rPr>
          <w:rFonts w:hint="eastAsia" w:ascii="宋体" w:hAnsi="宋体" w:cs="宋体"/>
          <w:color w:val="auto"/>
          <w:spacing w:val="-3"/>
          <w:sz w:val="24"/>
          <w:szCs w:val="24"/>
        </w:rPr>
        <w:t>工程</w:t>
      </w:r>
      <w:r>
        <w:rPr>
          <w:rFonts w:hint="eastAsia" w:ascii="宋体" w:hAnsi="宋体" w:cs="宋体"/>
          <w:color w:val="auto"/>
          <w:sz w:val="24"/>
          <w:szCs w:val="24"/>
        </w:rPr>
        <w:t xml:space="preserve">变更、签证进行审核，并督促相关单位按经审定的变更、签证实施。 </w:t>
      </w:r>
    </w:p>
    <w:p>
      <w:pPr>
        <w:pStyle w:val="12"/>
        <w:spacing w:after="0" w:line="362"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7、按监理规范向委托人提交监理月报，内容包括但不限于本月工程实施概况，工程计量及支付情况，工程变更、签证及索赔情况，监理工作小结等。 </w:t>
      </w:r>
    </w:p>
    <w:p>
      <w:pPr>
        <w:pStyle w:val="12"/>
        <w:spacing w:after="0" w:line="362"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8、工程收尾阶段，包括竣工收尾、验收、整改、移交、结算、考核评价等方面的监理工作，包括但不限于以下内容： </w:t>
      </w:r>
    </w:p>
    <w:p>
      <w:pPr>
        <w:pStyle w:val="12"/>
        <w:spacing w:after="0" w:line="362"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（1）依据有关法律、法规、工程建设强制性标准、设计文件及施工合同，对承包人报送的竣工资料进行审查，并对工程质量进行竣工预验收。对存在的问题，应及时要求承包人整改。 </w:t>
      </w:r>
    </w:p>
    <w:p>
      <w:pPr>
        <w:pStyle w:val="12"/>
        <w:spacing w:after="0" w:line="362" w:lineRule="auto"/>
        <w:ind w:firstLine="480" w:firstLineChars="200"/>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pacing w:val="-1"/>
          <w:sz w:val="24"/>
          <w:szCs w:val="24"/>
        </w:rPr>
        <w:t>参加由委托人组织的竣工验收。对验收中提出的整改问题，督促承包人进行整改。</w:t>
      </w:r>
      <w:r>
        <w:rPr>
          <w:rFonts w:hint="eastAsia" w:ascii="宋体" w:hAnsi="宋体" w:cs="宋体"/>
          <w:color w:val="auto"/>
          <w:sz w:val="24"/>
          <w:szCs w:val="24"/>
        </w:rPr>
        <w:t>工程质量符合</w:t>
      </w:r>
      <w:r>
        <w:rPr>
          <w:rFonts w:hint="eastAsia" w:ascii="宋体" w:hAnsi="宋体" w:cs="宋体"/>
          <w:color w:val="auto"/>
          <w:spacing w:val="-3"/>
          <w:sz w:val="24"/>
          <w:szCs w:val="24"/>
        </w:rPr>
        <w:t>要求</w:t>
      </w:r>
      <w:r>
        <w:rPr>
          <w:rFonts w:hint="eastAsia" w:ascii="宋体" w:hAnsi="宋体" w:cs="宋体"/>
          <w:color w:val="auto"/>
          <w:sz w:val="24"/>
          <w:szCs w:val="24"/>
        </w:rPr>
        <w:t xml:space="preserve">，会同参加验收的各方签署竣工验收报告。 </w:t>
      </w:r>
    </w:p>
    <w:p>
      <w:pPr>
        <w:pStyle w:val="12"/>
        <w:spacing w:after="0" w:line="362" w:lineRule="auto"/>
        <w:ind w:firstLine="480" w:firstLineChars="200"/>
        <w:rPr>
          <w:rFonts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pacing w:val="-1"/>
          <w:sz w:val="24"/>
          <w:szCs w:val="24"/>
        </w:rPr>
        <w:t>根据有关文件规定，督促检查承包人完成各阶段及全套竣工图的工作和整理各种必</w:t>
      </w:r>
      <w:r>
        <w:rPr>
          <w:rFonts w:hint="eastAsia" w:ascii="宋体" w:hAnsi="宋体" w:cs="宋体"/>
          <w:color w:val="auto"/>
          <w:sz w:val="24"/>
          <w:szCs w:val="24"/>
        </w:rPr>
        <w:t xml:space="preserve">须归档的资料，办理工程竣工档案备案手续。 </w:t>
      </w:r>
    </w:p>
    <w:p>
      <w:pPr>
        <w:pStyle w:val="12"/>
        <w:spacing w:after="0" w:line="362" w:lineRule="auto"/>
        <w:ind w:firstLine="480" w:firstLineChars="200"/>
        <w:rPr>
          <w:rFonts w:ascii="宋体" w:hAnsi="宋体" w:cs="宋体"/>
          <w:color w:val="auto"/>
          <w:sz w:val="24"/>
          <w:szCs w:val="24"/>
        </w:rPr>
      </w:pPr>
      <w:r>
        <w:rPr>
          <w:rFonts w:hint="eastAsia" w:ascii="宋体" w:hAnsi="宋体" w:cs="宋体"/>
          <w:color w:val="auto"/>
          <w:sz w:val="24"/>
          <w:szCs w:val="24"/>
        </w:rPr>
        <w:t>（4）负责对项目实施过程中形成的声像材料按区及委托人有关规定进行归档整理后，移交</w:t>
      </w:r>
      <w:r>
        <w:rPr>
          <w:rFonts w:hint="eastAsia" w:ascii="宋体" w:hAnsi="宋体" w:cs="宋体"/>
          <w:color w:val="auto"/>
          <w:spacing w:val="-3"/>
          <w:sz w:val="24"/>
          <w:szCs w:val="24"/>
        </w:rPr>
        <w:t>委托人</w:t>
      </w:r>
      <w:r>
        <w:rPr>
          <w:rFonts w:hint="eastAsia" w:ascii="宋体" w:hAnsi="宋体" w:cs="宋体"/>
          <w:color w:val="auto"/>
          <w:sz w:val="24"/>
          <w:szCs w:val="24"/>
        </w:rPr>
        <w:t xml:space="preserve">。 </w:t>
      </w:r>
    </w:p>
    <w:p>
      <w:pPr>
        <w:pStyle w:val="12"/>
        <w:spacing w:after="0" w:line="362"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（5）组织或协助委托人、承包人和产权管理单位对项目进行移交。 </w:t>
      </w:r>
    </w:p>
    <w:p>
      <w:pPr>
        <w:pStyle w:val="12"/>
        <w:spacing w:after="0" w:line="362" w:lineRule="auto"/>
        <w:ind w:firstLine="480" w:firstLineChars="200"/>
        <w:rPr>
          <w:rFonts w:ascii="宋体" w:hAnsi="宋体" w:cs="宋体"/>
          <w:color w:val="auto"/>
          <w:sz w:val="24"/>
          <w:szCs w:val="24"/>
        </w:rPr>
      </w:pPr>
      <w:r>
        <w:rPr>
          <w:rFonts w:hint="eastAsia" w:ascii="宋体" w:hAnsi="宋体" w:cs="宋体"/>
          <w:color w:val="auto"/>
          <w:sz w:val="24"/>
          <w:szCs w:val="24"/>
        </w:rPr>
        <w:t>（6）按委托人</w:t>
      </w:r>
      <w:r>
        <w:rPr>
          <w:rFonts w:hint="eastAsia" w:ascii="宋体" w:hAnsi="宋体" w:cs="宋体"/>
          <w:color w:val="auto"/>
          <w:spacing w:val="-3"/>
          <w:sz w:val="24"/>
          <w:szCs w:val="24"/>
        </w:rPr>
        <w:t>施工</w:t>
      </w:r>
      <w:r>
        <w:rPr>
          <w:rFonts w:hint="eastAsia" w:ascii="宋体" w:hAnsi="宋体" w:cs="宋体"/>
          <w:color w:val="auto"/>
          <w:sz w:val="24"/>
          <w:szCs w:val="24"/>
        </w:rPr>
        <w:t>类合同结算编审要求及区有关规定组织编制及办理建设项目工程结算</w:t>
      </w:r>
      <w:r>
        <w:rPr>
          <w:rFonts w:hint="eastAsia" w:ascii="宋体" w:hAnsi="宋体" w:cs="宋体"/>
          <w:color w:val="auto"/>
          <w:spacing w:val="-8"/>
          <w:sz w:val="24"/>
          <w:szCs w:val="24"/>
        </w:rPr>
        <w:t xml:space="preserve">。工程完工经验收通过后 </w:t>
      </w:r>
      <w:r>
        <w:rPr>
          <w:rFonts w:hint="eastAsia" w:ascii="宋体" w:hAnsi="宋体" w:cs="宋体"/>
          <w:color w:val="auto"/>
          <w:sz w:val="24"/>
          <w:szCs w:val="24"/>
        </w:rPr>
        <w:t>45</w:t>
      </w:r>
      <w:r>
        <w:rPr>
          <w:rFonts w:hint="eastAsia" w:ascii="宋体" w:hAnsi="宋体" w:cs="宋体"/>
          <w:color w:val="auto"/>
          <w:spacing w:val="-7"/>
          <w:sz w:val="24"/>
          <w:szCs w:val="24"/>
        </w:rPr>
        <w:t xml:space="preserve"> 天内督促承包人提交工程结算文件，并在收到承包人结算资料后十</w:t>
      </w:r>
      <w:r>
        <w:rPr>
          <w:rFonts w:hint="eastAsia" w:ascii="宋体" w:hAnsi="宋体" w:cs="宋体"/>
          <w:color w:val="auto"/>
          <w:spacing w:val="-3"/>
          <w:sz w:val="24"/>
          <w:szCs w:val="24"/>
        </w:rPr>
        <w:t>日内</w:t>
      </w:r>
      <w:r>
        <w:rPr>
          <w:rFonts w:hint="eastAsia" w:ascii="宋体" w:hAnsi="宋体" w:cs="宋体"/>
          <w:color w:val="auto"/>
          <w:spacing w:val="-7"/>
          <w:sz w:val="24"/>
          <w:szCs w:val="24"/>
        </w:rPr>
        <w:t xml:space="preserve">，根据相关合同约定完成审核并提交委托人。 </w:t>
      </w:r>
    </w:p>
    <w:p>
      <w:pPr>
        <w:pStyle w:val="12"/>
        <w:spacing w:after="0" w:line="362" w:lineRule="auto"/>
        <w:ind w:firstLine="480" w:firstLineChars="200"/>
        <w:rPr>
          <w:rFonts w:ascii="宋体" w:hAnsi="宋体" w:cs="宋体"/>
          <w:color w:val="auto"/>
          <w:sz w:val="24"/>
          <w:szCs w:val="24"/>
        </w:rPr>
      </w:pPr>
      <w:r>
        <w:rPr>
          <w:rFonts w:hint="eastAsia" w:ascii="宋体" w:hAnsi="宋体" w:cs="宋体"/>
          <w:color w:val="auto"/>
          <w:sz w:val="24"/>
          <w:szCs w:val="24"/>
        </w:rPr>
        <w:t>9</w:t>
      </w:r>
      <w:r>
        <w:rPr>
          <w:rFonts w:hint="eastAsia" w:ascii="宋体" w:hAnsi="宋体" w:cs="宋体"/>
          <w:color w:val="auto"/>
          <w:spacing w:val="-1"/>
          <w:sz w:val="24"/>
          <w:szCs w:val="24"/>
        </w:rPr>
        <w:t>、督促承包人在工程保修期内对工程进行保修，对委托人提出的工程质量缺陷进行检查</w:t>
      </w:r>
      <w:r>
        <w:rPr>
          <w:rFonts w:hint="eastAsia" w:ascii="宋体" w:hAnsi="宋体" w:cs="宋体"/>
          <w:color w:val="auto"/>
          <w:spacing w:val="-10"/>
          <w:sz w:val="24"/>
          <w:szCs w:val="24"/>
        </w:rPr>
        <w:t>和记录，对承包人进行修复的工程质量进行验收，合格后予以签认。对工程质量缺陷原因进行</w:t>
      </w:r>
      <w:r>
        <w:rPr>
          <w:rFonts w:hint="eastAsia" w:ascii="宋体" w:hAnsi="宋体" w:cs="宋体"/>
          <w:color w:val="auto"/>
          <w:spacing w:val="-7"/>
          <w:sz w:val="24"/>
          <w:szCs w:val="24"/>
        </w:rPr>
        <w:t>调查分析并确定责任归属，对非承包人原因造成的工程质量缺陷，监理人员应核实修复工程的</w:t>
      </w:r>
      <w:r>
        <w:rPr>
          <w:rFonts w:hint="eastAsia" w:ascii="宋体" w:hAnsi="宋体" w:cs="宋体"/>
          <w:color w:val="auto"/>
          <w:sz w:val="24"/>
          <w:szCs w:val="24"/>
        </w:rPr>
        <w:t xml:space="preserve">费用和签署工程款支付证书，并报委托人。 </w:t>
      </w:r>
    </w:p>
    <w:p>
      <w:pPr>
        <w:pStyle w:val="12"/>
        <w:spacing w:after="0" w:line="362" w:lineRule="auto"/>
        <w:ind w:firstLine="480" w:firstLineChars="200"/>
        <w:rPr>
          <w:rFonts w:ascii="宋体" w:hAnsi="宋体" w:cs="宋体"/>
          <w:color w:val="auto"/>
          <w:sz w:val="24"/>
          <w:szCs w:val="24"/>
        </w:rPr>
      </w:pPr>
      <w:r>
        <w:rPr>
          <w:rFonts w:hint="eastAsia" w:ascii="宋体" w:hAnsi="宋体" w:cs="宋体"/>
          <w:color w:val="auto"/>
          <w:sz w:val="24"/>
          <w:szCs w:val="24"/>
        </w:rPr>
        <w:t>10</w:t>
      </w:r>
      <w:r>
        <w:rPr>
          <w:rFonts w:hint="eastAsia" w:ascii="宋体" w:hAnsi="宋体" w:cs="宋体"/>
          <w:color w:val="auto"/>
          <w:spacing w:val="-11"/>
          <w:sz w:val="24"/>
          <w:szCs w:val="24"/>
        </w:rPr>
        <w:t>、在整个监理服务期内，定期组织、主持现场工程协调会议，负责协调各承包人的配合</w:t>
      </w:r>
      <w:r>
        <w:rPr>
          <w:rFonts w:hint="eastAsia" w:ascii="宋体" w:hAnsi="宋体" w:cs="宋体"/>
          <w:color w:val="auto"/>
          <w:sz w:val="24"/>
          <w:szCs w:val="24"/>
        </w:rPr>
        <w:t>穿插施工</w:t>
      </w:r>
      <w:r>
        <w:rPr>
          <w:rFonts w:hint="eastAsia" w:ascii="宋体" w:hAnsi="宋体" w:cs="宋体"/>
          <w:color w:val="auto"/>
          <w:spacing w:val="-3"/>
          <w:sz w:val="24"/>
          <w:szCs w:val="24"/>
        </w:rPr>
        <w:t>安排</w:t>
      </w:r>
      <w:r>
        <w:rPr>
          <w:rFonts w:hint="eastAsia" w:ascii="宋体" w:hAnsi="宋体" w:cs="宋体"/>
          <w:color w:val="auto"/>
          <w:sz w:val="24"/>
          <w:szCs w:val="24"/>
        </w:rPr>
        <w:t xml:space="preserve">。 </w:t>
      </w:r>
    </w:p>
    <w:p>
      <w:pPr>
        <w:pStyle w:val="12"/>
        <w:spacing w:after="0" w:line="362"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11、其他为完成本工程建设所需要的监理工作。 </w:t>
      </w:r>
    </w:p>
    <w:p>
      <w:pPr>
        <w:pStyle w:val="12"/>
        <w:spacing w:after="0" w:line="362"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（三）项目监理机构 </w:t>
      </w:r>
    </w:p>
    <w:p>
      <w:pPr>
        <w:pStyle w:val="12"/>
        <w:spacing w:after="0" w:line="362" w:lineRule="auto"/>
        <w:ind w:firstLine="480" w:firstLineChars="200"/>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pacing w:val="-3"/>
          <w:sz w:val="24"/>
          <w:szCs w:val="24"/>
        </w:rPr>
        <w:t xml:space="preserve">、本项目监理机构配备情况见附件 </w:t>
      </w:r>
      <w:r>
        <w:rPr>
          <w:rFonts w:hint="eastAsia" w:ascii="宋体" w:hAnsi="宋体" w:cs="宋体"/>
          <w:color w:val="auto"/>
          <w:sz w:val="24"/>
          <w:szCs w:val="24"/>
        </w:rPr>
        <w:t>1</w:t>
      </w:r>
      <w:r>
        <w:rPr>
          <w:rFonts w:hint="eastAsia" w:ascii="宋体" w:hAnsi="宋体" w:cs="宋体"/>
          <w:color w:val="auto"/>
          <w:spacing w:val="-8"/>
          <w:sz w:val="24"/>
          <w:szCs w:val="24"/>
        </w:rPr>
        <w:t xml:space="preserve"> 附表，监理人必须按该附表在施工现场建立项目监</w:t>
      </w:r>
      <w:r>
        <w:rPr>
          <w:rFonts w:hint="eastAsia" w:ascii="宋体" w:hAnsi="宋体" w:cs="宋体"/>
          <w:color w:val="auto"/>
          <w:spacing w:val="-10"/>
          <w:sz w:val="24"/>
          <w:szCs w:val="24"/>
        </w:rPr>
        <w:t>理机构，监理人</w:t>
      </w:r>
      <w:r>
        <w:rPr>
          <w:rFonts w:hint="eastAsia" w:ascii="宋体" w:hAnsi="宋体" w:cs="宋体"/>
          <w:color w:val="auto"/>
          <w:spacing w:val="-8"/>
          <w:sz w:val="24"/>
          <w:szCs w:val="24"/>
        </w:rPr>
        <w:t>应向委托人提供监理机</w:t>
      </w:r>
      <w:r>
        <w:rPr>
          <w:rFonts w:hint="eastAsia" w:ascii="宋体" w:hAnsi="宋体" w:cs="宋体"/>
          <w:color w:val="auto"/>
          <w:spacing w:val="-10"/>
          <w:sz w:val="24"/>
          <w:szCs w:val="24"/>
        </w:rPr>
        <w:t>构配备人员的资质证书。项目监理机构在完成委托监理</w:t>
      </w:r>
      <w:r>
        <w:rPr>
          <w:rFonts w:hint="eastAsia" w:ascii="宋体" w:hAnsi="宋体" w:cs="宋体"/>
          <w:color w:val="auto"/>
          <w:sz w:val="24"/>
          <w:szCs w:val="24"/>
        </w:rPr>
        <w:t xml:space="preserve">合同约定的监理工作后可撤离施工现场。 </w:t>
      </w:r>
    </w:p>
    <w:p>
      <w:pPr>
        <w:pStyle w:val="12"/>
        <w:spacing w:after="0" w:line="362" w:lineRule="auto"/>
        <w:ind w:firstLine="480" w:firstLineChars="200"/>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pacing w:val="-1"/>
          <w:sz w:val="24"/>
          <w:szCs w:val="24"/>
        </w:rPr>
        <w:t>、监理人必须在委托人发出进场通知后，按委托人具体的要求进场，并立即开始履行本合同约定的服务。监理人必须按照其投标文件和监理规划的承诺，足额、按时派驻监理人员（见合同附件 1）和投入设备，并且本合同履行期间，监理人不得派驻本项目的监理人员参与委托人作为业主的其他建设项目。</w:t>
      </w:r>
      <w:r>
        <w:rPr>
          <w:rFonts w:hint="eastAsia" w:ascii="宋体" w:hAnsi="宋体" w:cs="宋体"/>
          <w:color w:val="auto"/>
          <w:sz w:val="24"/>
          <w:szCs w:val="24"/>
        </w:rPr>
        <w:t xml:space="preserve"> </w:t>
      </w:r>
    </w:p>
    <w:p>
      <w:pPr>
        <w:pStyle w:val="12"/>
        <w:spacing w:after="0" w:line="362" w:lineRule="auto"/>
        <w:ind w:firstLine="480" w:firstLineChars="200"/>
        <w:rPr>
          <w:rFonts w:ascii="宋体" w:hAnsi="宋体" w:cs="宋体"/>
          <w:color w:val="auto"/>
          <w:sz w:val="24"/>
          <w:szCs w:val="24"/>
        </w:rPr>
      </w:pPr>
      <w:r>
        <w:rPr>
          <w:rFonts w:hint="eastAsia" w:ascii="宋体" w:hAnsi="宋体" w:cs="宋体"/>
          <w:color w:val="auto"/>
          <w:sz w:val="24"/>
          <w:szCs w:val="24"/>
        </w:rPr>
        <w:t>3、监理人派驻到</w:t>
      </w:r>
      <w:r>
        <w:rPr>
          <w:rFonts w:hint="eastAsia" w:ascii="宋体" w:hAnsi="宋体" w:cs="宋体"/>
          <w:color w:val="auto"/>
          <w:spacing w:val="-3"/>
          <w:sz w:val="24"/>
          <w:szCs w:val="24"/>
        </w:rPr>
        <w:t>项目</w:t>
      </w:r>
      <w:r>
        <w:rPr>
          <w:rFonts w:hint="eastAsia" w:ascii="宋体" w:hAnsi="宋体" w:cs="宋体"/>
          <w:color w:val="auto"/>
          <w:sz w:val="24"/>
          <w:szCs w:val="24"/>
        </w:rPr>
        <w:t xml:space="preserve">所在地履行监理服务的监理人员，必须常驻现场。 </w:t>
      </w:r>
    </w:p>
    <w:p>
      <w:pPr>
        <w:pStyle w:val="12"/>
        <w:spacing w:after="0" w:line="362"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4、监理人应对其驻地监理人员的人身安全承担责任。 </w:t>
      </w:r>
    </w:p>
    <w:p>
      <w:pPr>
        <w:pStyle w:val="12"/>
        <w:spacing w:after="0" w:line="362" w:lineRule="auto"/>
        <w:ind w:firstLine="480" w:firstLineChars="200"/>
        <w:rPr>
          <w:rFonts w:ascii="宋体" w:hAnsi="宋体" w:cs="宋体"/>
          <w:color w:val="auto"/>
          <w:sz w:val="24"/>
          <w:szCs w:val="24"/>
        </w:rPr>
      </w:pPr>
      <w:r>
        <w:rPr>
          <w:rFonts w:hint="eastAsia" w:ascii="宋体" w:hAnsi="宋体" w:cs="宋体"/>
          <w:color w:val="auto"/>
          <w:sz w:val="24"/>
          <w:szCs w:val="24"/>
        </w:rPr>
        <w:t>5、监理人在工程监理全过程中必须派驻至少</w:t>
      </w:r>
      <w:r>
        <w:rPr>
          <w:rFonts w:ascii="宋体" w:hAnsi="宋体" w:cs="宋体"/>
          <w:color w:val="auto"/>
          <w:sz w:val="24"/>
          <w:szCs w:val="24"/>
        </w:rPr>
        <w:t xml:space="preserve"> </w:t>
      </w:r>
      <w:r>
        <w:rPr>
          <w:rFonts w:hint="eastAsia" w:ascii="宋体" w:hAnsi="宋体" w:cs="宋体"/>
          <w:color w:val="auto"/>
          <w:sz w:val="24"/>
          <w:szCs w:val="24"/>
        </w:rPr>
        <w:t>1</w:t>
      </w:r>
      <w:r>
        <w:rPr>
          <w:rFonts w:ascii="宋体" w:hAnsi="宋体" w:cs="宋体"/>
          <w:color w:val="auto"/>
          <w:sz w:val="24"/>
          <w:szCs w:val="24"/>
        </w:rPr>
        <w:t xml:space="preserve"> </w:t>
      </w:r>
      <w:r>
        <w:rPr>
          <w:rFonts w:hint="eastAsia" w:ascii="宋体" w:hAnsi="宋体" w:cs="宋体"/>
          <w:color w:val="auto"/>
          <w:sz w:val="24"/>
          <w:szCs w:val="24"/>
        </w:rPr>
        <w:t xml:space="preserve">名注册造价工程师提供驻场服务，并按委托人要求建立施工阶段工程预算台账。 </w:t>
      </w:r>
    </w:p>
    <w:p>
      <w:pPr>
        <w:pStyle w:val="12"/>
        <w:spacing w:after="0" w:line="362" w:lineRule="auto"/>
        <w:ind w:firstLine="482" w:firstLineChars="200"/>
        <w:rPr>
          <w:rFonts w:ascii="宋体" w:hAnsi="宋体" w:cs="宋体"/>
          <w:b/>
          <w:color w:val="auto"/>
        </w:rPr>
      </w:pPr>
      <w:r>
        <w:rPr>
          <w:rFonts w:hint="eastAsia" w:ascii="宋体" w:hAnsi="宋体" w:cs="宋体"/>
          <w:b/>
          <w:bCs/>
          <w:color w:val="auto"/>
          <w:sz w:val="24"/>
          <w:szCs w:val="24"/>
        </w:rPr>
        <w:t>第五条</w:t>
      </w:r>
      <w:r>
        <w:rPr>
          <w:rFonts w:ascii="宋体" w:hAnsi="宋体" w:cs="宋体"/>
          <w:b/>
          <w:bCs/>
          <w:color w:val="auto"/>
          <w:sz w:val="24"/>
          <w:szCs w:val="24"/>
        </w:rPr>
        <w:t xml:space="preserve"> </w:t>
      </w:r>
      <w:r>
        <w:rPr>
          <w:rFonts w:hint="eastAsia" w:ascii="宋体" w:hAnsi="宋体" w:cs="宋体"/>
          <w:b/>
          <w:bCs/>
          <w:color w:val="auto"/>
          <w:sz w:val="24"/>
          <w:szCs w:val="24"/>
        </w:rPr>
        <w:t>监理人应履行的义务包括但不限于：</w:t>
      </w:r>
      <w:r>
        <w:rPr>
          <w:rFonts w:ascii="宋体" w:hAnsi="宋体" w:cs="宋体"/>
          <w:b/>
          <w:bCs/>
          <w:color w:val="auto"/>
          <w:sz w:val="24"/>
          <w:szCs w:val="24"/>
        </w:rPr>
        <w:t xml:space="preserve"> </w:t>
      </w:r>
    </w:p>
    <w:p>
      <w:pPr>
        <w:pStyle w:val="12"/>
        <w:spacing w:after="0" w:line="362" w:lineRule="auto"/>
        <w:ind w:firstLine="480" w:firstLineChars="200"/>
        <w:rPr>
          <w:rFonts w:ascii="宋体" w:hAnsi="宋体" w:cs="宋体"/>
          <w:color w:val="auto"/>
          <w:sz w:val="24"/>
          <w:szCs w:val="24"/>
        </w:rPr>
      </w:pPr>
      <w:r>
        <w:rPr>
          <w:rFonts w:hint="eastAsia" w:ascii="宋体" w:hAnsi="宋体" w:cs="宋体"/>
          <w:color w:val="auto"/>
          <w:sz w:val="24"/>
          <w:szCs w:val="24"/>
        </w:rPr>
        <w:t>（一</w:t>
      </w:r>
      <w:r>
        <w:rPr>
          <w:rFonts w:hint="eastAsia" w:ascii="宋体" w:hAnsi="宋体" w:cs="宋体"/>
          <w:color w:val="auto"/>
          <w:spacing w:val="-48"/>
          <w:sz w:val="24"/>
          <w:szCs w:val="24"/>
        </w:rPr>
        <w:t>）</w:t>
      </w:r>
      <w:r>
        <w:rPr>
          <w:rFonts w:hint="eastAsia" w:ascii="宋体" w:hAnsi="宋体" w:cs="宋体"/>
          <w:color w:val="auto"/>
          <w:spacing w:val="-3"/>
          <w:sz w:val="24"/>
          <w:szCs w:val="24"/>
        </w:rPr>
        <w:t>监理人在本合同履行期内必须接受委托人有关项目管理机构职权规定的约束，监理</w:t>
      </w:r>
      <w:r>
        <w:rPr>
          <w:rFonts w:hint="eastAsia" w:ascii="宋体" w:hAnsi="宋体" w:cs="宋体"/>
          <w:color w:val="auto"/>
          <w:spacing w:val="-6"/>
          <w:sz w:val="24"/>
          <w:szCs w:val="24"/>
        </w:rPr>
        <w:t>人应对提供本项目服务的人员经常进行检查、指导、管理及后方支持，对他们完成的服务承担</w:t>
      </w:r>
      <w:r>
        <w:rPr>
          <w:rFonts w:hint="eastAsia" w:ascii="宋体" w:hAnsi="宋体" w:cs="宋体"/>
          <w:color w:val="auto"/>
          <w:sz w:val="24"/>
          <w:szCs w:val="24"/>
        </w:rPr>
        <w:t>责任。</w:t>
      </w:r>
    </w:p>
    <w:p>
      <w:pPr>
        <w:pStyle w:val="12"/>
        <w:spacing w:after="0" w:line="362" w:lineRule="auto"/>
        <w:ind w:firstLine="480" w:firstLineChars="200"/>
        <w:rPr>
          <w:rFonts w:ascii="宋体" w:hAnsi="宋体" w:cs="宋体"/>
          <w:color w:val="auto"/>
          <w:sz w:val="24"/>
          <w:szCs w:val="24"/>
        </w:rPr>
      </w:pPr>
      <w:r>
        <w:rPr>
          <w:rFonts w:hint="eastAsia" w:ascii="宋体" w:hAnsi="宋体" w:cs="宋体"/>
          <w:color w:val="auto"/>
          <w:sz w:val="24"/>
          <w:szCs w:val="24"/>
        </w:rPr>
        <w:t>（二）</w:t>
      </w:r>
      <w:r>
        <w:rPr>
          <w:rFonts w:hint="eastAsia" w:ascii="宋体" w:hAnsi="宋体" w:cs="宋体"/>
          <w:color w:val="auto"/>
          <w:spacing w:val="-3"/>
          <w:sz w:val="24"/>
          <w:szCs w:val="24"/>
        </w:rPr>
        <w:t xml:space="preserve">监理人必须在收到图纸、勘察资料等技术文件后 14 日内向委托人提供针对本合同工程特点、重点、难点的《监理规划》、相应的《监理实施细则》，经委托人审核批准后执行。如委托人要求监理人对《监理规划》等进行调整，监理人必须在 3 个日内完成调整并报委托人审批。 </w:t>
      </w:r>
    </w:p>
    <w:p>
      <w:pPr>
        <w:pStyle w:val="12"/>
        <w:spacing w:after="0" w:line="362"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（三）委托人委托监理人承担本合同工程范围内的协调管理工作，包括工程施工的进场、勘察、设计、退场、质量、进度及其他相关工作。 </w:t>
      </w:r>
    </w:p>
    <w:p>
      <w:pPr>
        <w:pStyle w:val="12"/>
        <w:spacing w:after="0" w:line="362" w:lineRule="auto"/>
        <w:ind w:firstLine="480" w:firstLineChars="200"/>
        <w:rPr>
          <w:rFonts w:ascii="宋体" w:hAnsi="宋体" w:cs="宋体"/>
          <w:color w:val="auto"/>
          <w:sz w:val="24"/>
          <w:szCs w:val="24"/>
        </w:rPr>
      </w:pPr>
      <w:r>
        <w:rPr>
          <w:rFonts w:hint="eastAsia" w:ascii="宋体" w:hAnsi="宋体" w:cs="宋体"/>
          <w:color w:val="auto"/>
          <w:sz w:val="24"/>
          <w:szCs w:val="24"/>
        </w:rPr>
        <w:t>（四</w:t>
      </w:r>
      <w:r>
        <w:rPr>
          <w:rFonts w:hint="eastAsia" w:ascii="宋体" w:hAnsi="宋体" w:cs="宋体"/>
          <w:color w:val="auto"/>
          <w:spacing w:val="-24"/>
          <w:sz w:val="24"/>
          <w:szCs w:val="24"/>
        </w:rPr>
        <w:t>）</w:t>
      </w:r>
      <w:r>
        <w:rPr>
          <w:rFonts w:hint="eastAsia" w:ascii="宋体" w:hAnsi="宋体" w:cs="宋体"/>
          <w:color w:val="auto"/>
          <w:spacing w:val="-6"/>
          <w:sz w:val="24"/>
          <w:szCs w:val="24"/>
        </w:rPr>
        <w:t>监理工程师在本合同工程中，对工程质量、投资与进度进行控制，办理合同约定的</w:t>
      </w:r>
      <w:r>
        <w:rPr>
          <w:rFonts w:hint="eastAsia" w:ascii="宋体" w:hAnsi="宋体" w:cs="宋体"/>
          <w:color w:val="auto"/>
          <w:sz w:val="24"/>
          <w:szCs w:val="24"/>
        </w:rPr>
        <w:t xml:space="preserve">各项手续。监理工程师在办理各种手续时，不得扣压和延误。 </w:t>
      </w:r>
    </w:p>
    <w:p>
      <w:pPr>
        <w:pStyle w:val="12"/>
        <w:spacing w:after="0" w:line="362" w:lineRule="auto"/>
        <w:ind w:firstLine="480" w:firstLineChars="200"/>
        <w:rPr>
          <w:rFonts w:ascii="宋体" w:hAnsi="宋体" w:cs="宋体"/>
          <w:color w:val="auto"/>
          <w:sz w:val="24"/>
          <w:szCs w:val="24"/>
        </w:rPr>
      </w:pPr>
      <w:r>
        <w:rPr>
          <w:rFonts w:hint="eastAsia" w:ascii="宋体" w:hAnsi="宋体" w:cs="宋体"/>
          <w:color w:val="auto"/>
          <w:sz w:val="24"/>
          <w:szCs w:val="24"/>
        </w:rPr>
        <w:t>（五）在任何情况下（包括合同另有约定的情况），凡涉及工程变更、工程量增减、议价、索赔、处理事故、改变工期、改变技术标准、改变重大施工方案等及一切有关费用的问题，均需与委托人共同商定，报委托人批准。</w:t>
      </w:r>
      <w:r>
        <w:rPr>
          <w:rFonts w:ascii="宋体" w:hAnsi="宋体" w:cs="宋体"/>
          <w:color w:val="auto"/>
          <w:sz w:val="24"/>
          <w:szCs w:val="24"/>
        </w:rPr>
        <w:t xml:space="preserve"> </w:t>
      </w:r>
    </w:p>
    <w:p>
      <w:pPr>
        <w:pStyle w:val="12"/>
        <w:spacing w:after="0" w:line="362" w:lineRule="auto"/>
        <w:ind w:firstLine="480" w:firstLineChars="200"/>
        <w:rPr>
          <w:rFonts w:ascii="宋体" w:hAnsi="宋体" w:cs="宋体"/>
          <w:color w:val="auto"/>
          <w:sz w:val="24"/>
          <w:szCs w:val="24"/>
        </w:rPr>
      </w:pPr>
      <w:r>
        <w:rPr>
          <w:rFonts w:hint="eastAsia" w:ascii="宋体" w:hAnsi="宋体" w:cs="宋体"/>
          <w:color w:val="auto"/>
          <w:sz w:val="24"/>
          <w:szCs w:val="24"/>
        </w:rPr>
        <w:t>（六</w:t>
      </w:r>
      <w:r>
        <w:rPr>
          <w:rFonts w:hint="eastAsia" w:ascii="宋体" w:hAnsi="宋体" w:cs="宋体"/>
          <w:color w:val="auto"/>
          <w:spacing w:val="-32"/>
          <w:sz w:val="24"/>
          <w:szCs w:val="24"/>
        </w:rPr>
        <w:t>）</w:t>
      </w:r>
      <w:r>
        <w:rPr>
          <w:rFonts w:hint="eastAsia" w:ascii="宋体" w:hAnsi="宋体" w:cs="宋体"/>
          <w:color w:val="auto"/>
          <w:spacing w:val="-5"/>
          <w:sz w:val="24"/>
          <w:szCs w:val="24"/>
        </w:rPr>
        <w:t>监理人必须</w:t>
      </w:r>
      <w:r>
        <w:rPr>
          <w:rFonts w:hint="eastAsia" w:ascii="宋体" w:hAnsi="宋体" w:cs="宋体"/>
          <w:color w:val="auto"/>
          <w:sz w:val="24"/>
          <w:szCs w:val="24"/>
        </w:rPr>
        <w:t>不折不扣</w:t>
      </w:r>
      <w:r>
        <w:rPr>
          <w:rFonts w:hint="eastAsia" w:ascii="宋体" w:hAnsi="宋体" w:cs="宋体"/>
          <w:color w:val="auto"/>
          <w:spacing w:val="-5"/>
          <w:sz w:val="24"/>
          <w:szCs w:val="24"/>
        </w:rPr>
        <w:t>地履行其工作职责，不得推托或耽误，不能有不履行或不完全</w:t>
      </w:r>
      <w:r>
        <w:rPr>
          <w:rFonts w:hint="eastAsia" w:ascii="宋体" w:hAnsi="宋体" w:cs="宋体"/>
          <w:color w:val="auto"/>
          <w:sz w:val="24"/>
          <w:szCs w:val="24"/>
        </w:rPr>
        <w:t xml:space="preserve">履行职务的行为，否则，必须承担相应的违约责任。 </w:t>
      </w:r>
    </w:p>
    <w:p>
      <w:pPr>
        <w:pStyle w:val="12"/>
        <w:spacing w:after="0" w:line="362"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（七）对于委托人及承包人书面提交并要求作出决定的事宜，监理人应在 3 日内作出书面答复，对影响施工现场进度的事项应在24小时内作出具有明确处理意见的书面答复。 </w:t>
      </w:r>
    </w:p>
    <w:p>
      <w:pPr>
        <w:pStyle w:val="12"/>
        <w:spacing w:after="0" w:line="362"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（八）监理人应在监理服务期内，办理派驻到项目所在地人员人身和自备财产的有关保险。如果监理人不办理上述保险，则应对有关风险及后果自负其责。 </w:t>
      </w:r>
    </w:p>
    <w:p>
      <w:pPr>
        <w:pStyle w:val="12"/>
        <w:spacing w:after="0" w:line="362"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（九）在本合同履行期内，监理人应在现场保留工作所用的图纸、报告及记录监理工作的相关文件。工程竣工后，应当按照档案管理规定将监理有关文件归档。 </w:t>
      </w:r>
    </w:p>
    <w:p>
      <w:pPr>
        <w:pStyle w:val="12"/>
        <w:spacing w:after="0" w:line="362" w:lineRule="auto"/>
        <w:ind w:firstLine="482" w:firstLineChars="200"/>
        <w:rPr>
          <w:rFonts w:ascii="宋体" w:hAnsi="宋体" w:cs="宋体"/>
          <w:b/>
          <w:color w:val="auto"/>
          <w:sz w:val="24"/>
          <w:szCs w:val="24"/>
        </w:rPr>
      </w:pPr>
      <w:r>
        <w:rPr>
          <w:rFonts w:hint="eastAsia" w:ascii="宋体" w:hAnsi="宋体" w:cs="宋体"/>
          <w:b/>
          <w:color w:val="auto"/>
          <w:sz w:val="24"/>
          <w:szCs w:val="24"/>
        </w:rPr>
        <w:t xml:space="preserve">第九条 </w:t>
      </w:r>
      <w:r>
        <w:rPr>
          <w:rFonts w:hint="eastAsia" w:ascii="宋体" w:hAnsi="宋体" w:cs="宋体"/>
          <w:color w:val="auto"/>
          <w:sz w:val="24"/>
          <w:szCs w:val="24"/>
        </w:rPr>
        <w:t>委托人根据需要有权指令监理人协调部分外部关系，委托人对此无需支付任何报酬。</w:t>
      </w:r>
      <w:r>
        <w:rPr>
          <w:rFonts w:hint="eastAsia" w:ascii="宋体" w:hAnsi="宋体" w:cs="宋体"/>
          <w:b/>
          <w:color w:val="auto"/>
          <w:w w:val="99"/>
          <w:sz w:val="24"/>
          <w:szCs w:val="24"/>
        </w:rPr>
        <w:t xml:space="preserve"> </w:t>
      </w:r>
    </w:p>
    <w:p>
      <w:pPr>
        <w:pStyle w:val="12"/>
        <w:spacing w:after="0" w:line="362" w:lineRule="auto"/>
        <w:ind w:firstLine="482" w:firstLineChars="200"/>
        <w:rPr>
          <w:rFonts w:ascii="宋体" w:hAnsi="宋体" w:cs="宋体"/>
          <w:b/>
          <w:color w:val="auto"/>
          <w:sz w:val="24"/>
          <w:szCs w:val="24"/>
        </w:rPr>
      </w:pPr>
      <w:r>
        <w:rPr>
          <w:rFonts w:hint="eastAsia" w:ascii="宋体" w:hAnsi="宋体" w:cs="宋体"/>
          <w:b/>
          <w:color w:val="auto"/>
          <w:sz w:val="24"/>
          <w:szCs w:val="24"/>
        </w:rPr>
        <w:t xml:space="preserve">第十五条 </w:t>
      </w:r>
      <w:r>
        <w:rPr>
          <w:rFonts w:hint="eastAsia" w:ascii="宋体" w:hAnsi="宋体" w:cs="宋体"/>
          <w:color w:val="auto"/>
          <w:sz w:val="24"/>
          <w:szCs w:val="24"/>
        </w:rPr>
        <w:t>双方同意不执行标准条款第十五条，委托人可协调施工承包单位为监理人提供必要的办公用房。</w:t>
      </w:r>
      <w:r>
        <w:rPr>
          <w:rFonts w:hint="eastAsia" w:ascii="宋体" w:hAnsi="宋体" w:cs="宋体"/>
          <w:b/>
          <w:color w:val="auto"/>
          <w:w w:val="99"/>
          <w:sz w:val="24"/>
          <w:szCs w:val="24"/>
        </w:rPr>
        <w:t xml:space="preserve"> </w:t>
      </w:r>
    </w:p>
    <w:p>
      <w:pPr>
        <w:pStyle w:val="12"/>
        <w:spacing w:after="0" w:line="362" w:lineRule="auto"/>
        <w:ind w:firstLine="482" w:firstLineChars="200"/>
        <w:rPr>
          <w:rFonts w:ascii="宋体" w:hAnsi="宋体" w:cs="宋体"/>
          <w:color w:val="auto"/>
          <w:sz w:val="24"/>
          <w:szCs w:val="24"/>
        </w:rPr>
      </w:pPr>
      <w:r>
        <w:rPr>
          <w:rFonts w:hint="eastAsia" w:ascii="宋体" w:hAnsi="宋体" w:cs="宋体"/>
          <w:b/>
          <w:color w:val="auto"/>
          <w:sz w:val="24"/>
          <w:szCs w:val="24"/>
        </w:rPr>
        <w:t xml:space="preserve">第十六条 </w:t>
      </w:r>
      <w:r>
        <w:rPr>
          <w:rFonts w:hint="eastAsia" w:ascii="宋体" w:hAnsi="宋体" w:cs="宋体"/>
          <w:color w:val="auto"/>
          <w:sz w:val="24"/>
          <w:szCs w:val="24"/>
        </w:rPr>
        <w:t>在监理服务期间，委托人不免费向监理人提供工作人员和服务人员。</w:t>
      </w:r>
    </w:p>
    <w:p>
      <w:pPr>
        <w:spacing w:line="364" w:lineRule="auto"/>
        <w:ind w:firstLine="482" w:firstLineChars="200"/>
        <w:rPr>
          <w:rFonts w:ascii="宋体" w:hAnsi="宋体" w:cs="宋体"/>
          <w:color w:val="auto"/>
          <w:sz w:val="24"/>
          <w:szCs w:val="24"/>
        </w:rPr>
      </w:pPr>
      <w:r>
        <w:rPr>
          <w:rFonts w:hint="eastAsia" w:ascii="宋体" w:hAnsi="宋体" w:cs="宋体"/>
          <w:b/>
          <w:color w:val="auto"/>
          <w:sz w:val="24"/>
          <w:szCs w:val="24"/>
        </w:rPr>
        <w:t xml:space="preserve">第二十六条 </w:t>
      </w:r>
      <w:r>
        <w:rPr>
          <w:rFonts w:hint="eastAsia" w:ascii="宋体" w:hAnsi="宋体" w:cs="宋体"/>
          <w:color w:val="auto"/>
          <w:sz w:val="24"/>
          <w:szCs w:val="24"/>
        </w:rPr>
        <w:t xml:space="preserve">监理人的违约责任： </w:t>
      </w:r>
    </w:p>
    <w:p>
      <w:pPr>
        <w:pStyle w:val="12"/>
        <w:spacing w:after="0" w:line="362" w:lineRule="auto"/>
        <w:ind w:firstLine="480" w:firstLineChars="200"/>
        <w:rPr>
          <w:rFonts w:ascii="宋体" w:hAnsi="宋体" w:cs="宋体"/>
          <w:color w:val="auto"/>
          <w:sz w:val="24"/>
          <w:szCs w:val="24"/>
        </w:rPr>
      </w:pPr>
      <w:r>
        <w:rPr>
          <w:rFonts w:hint="eastAsia" w:ascii="宋体" w:hAnsi="宋体" w:cs="宋体"/>
          <w:color w:val="auto"/>
          <w:sz w:val="24"/>
          <w:szCs w:val="24"/>
        </w:rPr>
        <w:t>（一</w:t>
      </w:r>
      <w:r>
        <w:rPr>
          <w:rFonts w:hint="eastAsia" w:ascii="宋体" w:hAnsi="宋体" w:cs="宋体"/>
          <w:color w:val="auto"/>
          <w:spacing w:val="-32"/>
          <w:sz w:val="24"/>
          <w:szCs w:val="24"/>
        </w:rPr>
        <w:t>）</w:t>
      </w:r>
      <w:r>
        <w:rPr>
          <w:rFonts w:hint="eastAsia" w:ascii="宋体" w:hAnsi="宋体" w:cs="宋体"/>
          <w:color w:val="auto"/>
          <w:spacing w:val="-5"/>
          <w:sz w:val="24"/>
          <w:szCs w:val="24"/>
        </w:rPr>
        <w:t>监理人违反本合同的约定，应当按约定向委托人承担相应的违约责任，承担违约责</w:t>
      </w:r>
      <w:r>
        <w:rPr>
          <w:rFonts w:hint="eastAsia" w:ascii="宋体" w:hAnsi="宋体" w:cs="宋体"/>
          <w:color w:val="auto"/>
          <w:sz w:val="24"/>
          <w:szCs w:val="24"/>
        </w:rPr>
        <w:t xml:space="preserve">任方式包括但不限于：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1、书面警告。监理人未履行或未适当履行义务或不执行委托人（含主管人员）的指令时，委托人有权向监理人发出书面警告，每一次书面警告，监理人必须向委托人支付违约金5000元。监理人必须在书面警告限定的时间内履行义务，否则应承担 1 次一般违约责任。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2、一般违约责任。监理人按本合同约定应当承担一般违约责任时，每一次必须向委托人支付违约金 1 万元。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3、严重违约责任。监理人按本合同约定应当承担严重违约责任时，每一次必须向委托人支付违约金2万元/次。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4</w:t>
      </w:r>
      <w:r>
        <w:rPr>
          <w:rFonts w:hint="eastAsia" w:ascii="宋体" w:hAnsi="宋体" w:cs="宋体"/>
          <w:color w:val="auto"/>
          <w:spacing w:val="-16"/>
          <w:sz w:val="24"/>
          <w:szCs w:val="24"/>
        </w:rPr>
        <w:t>、部</w:t>
      </w:r>
      <w:r>
        <w:rPr>
          <w:rFonts w:hint="eastAsia" w:ascii="宋体" w:hAnsi="宋体" w:cs="宋体"/>
          <w:color w:val="auto"/>
          <w:sz w:val="24"/>
          <w:szCs w:val="24"/>
        </w:rPr>
        <w:t>分解除合同。委</w:t>
      </w:r>
      <w:r>
        <w:rPr>
          <w:rFonts w:hint="eastAsia" w:ascii="宋体" w:hAnsi="宋体" w:cs="宋体"/>
          <w:color w:val="auto"/>
          <w:spacing w:val="-16"/>
          <w:sz w:val="24"/>
          <w:szCs w:val="24"/>
        </w:rPr>
        <w:t>托人向监理人发</w:t>
      </w:r>
      <w:r>
        <w:rPr>
          <w:rFonts w:hint="eastAsia" w:ascii="宋体" w:hAnsi="宋体" w:cs="宋体"/>
          <w:color w:val="auto"/>
          <w:sz w:val="24"/>
          <w:szCs w:val="24"/>
        </w:rPr>
        <w:t>出部分解除合同的通知后，本合同部分解除即生效， 监理人支付解除合同部分监理费20%的违约金，并必须在3日内停止被解除部分的工作，5日内配合委托人完成现场工作和有关资料的移交，所交接资料必须完整。监理人无特殊原因未在规定期限内完成移交和撤出，或交接资料不完整的，委托人有权处理其留在现场的材料、设备和其他物件，处理费用由监理人承担，委托人有权视情况全部解除合同。因监理人拒交或延误交接现场工作和有关资料而引致委托人工期延误及其他方面的损失，委托人有权要求监理人赔偿有关损失。委托人在发出部分解除合同的通知后，委托人即可委托新的监理单位承接该部</w:t>
      </w:r>
      <w:r>
        <w:rPr>
          <w:rFonts w:hint="eastAsia" w:ascii="宋体" w:hAnsi="宋体" w:cs="宋体"/>
          <w:color w:val="auto"/>
          <w:spacing w:val="-10"/>
          <w:sz w:val="24"/>
          <w:szCs w:val="24"/>
        </w:rPr>
        <w:t>分</w:t>
      </w:r>
      <w:r>
        <w:rPr>
          <w:rFonts w:hint="eastAsia" w:ascii="宋体" w:hAnsi="宋体" w:cs="宋体"/>
          <w:color w:val="auto"/>
          <w:sz w:val="24"/>
          <w:szCs w:val="24"/>
        </w:rPr>
        <w:t xml:space="preserve">工程，监理人不得影响或阻碍新的监理单位办理进场手续和相关工作。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5、解除合同。委托人向监理人发出解除合同的通知后，本合同即解除，监理人支付本合同监理费20%的违约金，并必须在3日内停止全部工作，5日内配合委托人完成现场工作和有关资料的移交，并于完成交接工作当日内离场。监理人应保证所移交的资料齐全完整，监理人无特殊原因未在规定期限内完成移交和离场或所移交的资料不完整的，委托人有权处理其留在现场的材料、设备和其他物件，处理费用由监理人承担，如果引致委托人工期延误和其他方面的损失，委托人将要求监理人赔偿有关损失。委托人在发出解除合同的通知后，委托人即可委托新的监理人承接该工程，监理人不得影响或阻碍新的监理人办理进场手续和相关工作。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6</w:t>
      </w:r>
      <w:r>
        <w:rPr>
          <w:rFonts w:hint="eastAsia" w:ascii="宋体" w:hAnsi="宋体" w:cs="宋体"/>
          <w:color w:val="auto"/>
          <w:spacing w:val="-1"/>
          <w:sz w:val="24"/>
          <w:szCs w:val="24"/>
        </w:rPr>
        <w:t>、赔偿损失。因监理人违约或工作失误给委托人造成损失的，监理人应向委托人赔偿与</w:t>
      </w:r>
      <w:r>
        <w:rPr>
          <w:rFonts w:hint="eastAsia" w:ascii="宋体" w:hAnsi="宋体" w:cs="宋体"/>
          <w:color w:val="auto"/>
          <w:spacing w:val="-6"/>
          <w:sz w:val="24"/>
          <w:szCs w:val="24"/>
        </w:rPr>
        <w:t>违约有直接或</w:t>
      </w:r>
      <w:r>
        <w:rPr>
          <w:rFonts w:hint="eastAsia" w:ascii="宋体" w:hAnsi="宋体" w:cs="宋体"/>
          <w:color w:val="auto"/>
          <w:sz w:val="24"/>
          <w:szCs w:val="24"/>
        </w:rPr>
        <w:t>间接</w:t>
      </w:r>
      <w:r>
        <w:rPr>
          <w:rFonts w:hint="eastAsia" w:ascii="宋体" w:hAnsi="宋体" w:cs="宋体"/>
          <w:color w:val="auto"/>
          <w:spacing w:val="-6"/>
          <w:sz w:val="24"/>
          <w:szCs w:val="24"/>
        </w:rPr>
        <w:t>因果关系的所有损失，损失赔偿总额不应超过监理报酬总额，但如果损失是</w:t>
      </w:r>
      <w:r>
        <w:rPr>
          <w:rFonts w:hint="eastAsia" w:ascii="宋体" w:hAnsi="宋体" w:cs="宋体"/>
          <w:color w:val="auto"/>
          <w:sz w:val="24"/>
          <w:szCs w:val="24"/>
        </w:rPr>
        <w:t xml:space="preserve">由于监理人故意或严重渎职造成的，监理人应承担全部损失的赔偿责任。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7、每三次书面警告则另行追加一次一般违约责任，每三次一般违约责任则另行追加一次严重违约责任。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8</w:t>
      </w:r>
      <w:r>
        <w:rPr>
          <w:rFonts w:hint="eastAsia" w:ascii="宋体" w:hAnsi="宋体" w:cs="宋体"/>
          <w:color w:val="auto"/>
          <w:spacing w:val="-1"/>
          <w:sz w:val="24"/>
          <w:szCs w:val="24"/>
        </w:rPr>
        <w:t>、当监理人无正当理由不履行或没有充分履行其相关承诺及监理义务时，除应承担前述</w:t>
      </w:r>
      <w:r>
        <w:rPr>
          <w:rFonts w:hint="eastAsia" w:ascii="宋体" w:hAnsi="宋体" w:cs="宋体"/>
          <w:color w:val="auto"/>
          <w:spacing w:val="-9"/>
          <w:sz w:val="24"/>
          <w:szCs w:val="24"/>
        </w:rPr>
        <w:t>约定的违约责任外，委托人还可给予其通报批评、作不良记录及报相关主管部门处理等处罚措</w:t>
      </w:r>
      <w:r>
        <w:rPr>
          <w:rFonts w:hint="eastAsia" w:ascii="宋体" w:hAnsi="宋体" w:cs="宋体"/>
          <w:color w:val="auto"/>
          <w:sz w:val="24"/>
          <w:szCs w:val="24"/>
        </w:rPr>
        <w:t xml:space="preserve">施。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9</w:t>
      </w:r>
      <w:r>
        <w:rPr>
          <w:rFonts w:hint="eastAsia" w:ascii="宋体" w:hAnsi="宋体" w:cs="宋体"/>
          <w:color w:val="auto"/>
          <w:spacing w:val="-1"/>
          <w:sz w:val="24"/>
          <w:szCs w:val="24"/>
        </w:rPr>
        <w:t>、当监理人出现严重违约时，委托人可给予其通报批评；当累计出现三次严重违约或者</w:t>
      </w:r>
      <w:r>
        <w:rPr>
          <w:rFonts w:hint="eastAsia" w:ascii="宋体" w:hAnsi="宋体" w:cs="宋体"/>
          <w:color w:val="auto"/>
          <w:spacing w:val="-6"/>
          <w:sz w:val="24"/>
          <w:szCs w:val="24"/>
        </w:rPr>
        <w:t>关键节点工期滞后</w:t>
      </w:r>
      <w:r>
        <w:rPr>
          <w:rFonts w:hint="eastAsia" w:ascii="宋体" w:hAnsi="宋体" w:cs="宋体"/>
          <w:color w:val="auto"/>
          <w:sz w:val="24"/>
          <w:szCs w:val="24"/>
        </w:rPr>
        <w:t>20</w:t>
      </w:r>
      <w:r>
        <w:rPr>
          <w:rFonts w:hint="eastAsia" w:ascii="宋体" w:hAnsi="宋体" w:cs="宋体"/>
          <w:color w:val="auto"/>
          <w:spacing w:val="-8"/>
          <w:sz w:val="24"/>
          <w:szCs w:val="24"/>
        </w:rPr>
        <w:t>天以上时，委托人有权要求监理人的法定代表人或其授权代表人驻场办</w:t>
      </w:r>
      <w:r>
        <w:rPr>
          <w:rFonts w:hint="eastAsia" w:ascii="宋体" w:hAnsi="宋体" w:cs="宋体"/>
          <w:color w:val="auto"/>
          <w:spacing w:val="-10"/>
          <w:sz w:val="24"/>
          <w:szCs w:val="24"/>
        </w:rPr>
        <w:t>公，直至其监理工作达到委托人满意时方可离场；累计出现四次严重违约时，委托人可给予其</w:t>
      </w:r>
      <w:r>
        <w:rPr>
          <w:rFonts w:hint="eastAsia" w:ascii="宋体" w:hAnsi="宋体" w:cs="宋体"/>
          <w:color w:val="auto"/>
          <w:spacing w:val="-6"/>
          <w:sz w:val="24"/>
          <w:szCs w:val="24"/>
        </w:rPr>
        <w:t>不良记录并报相关主管部门处理等处罚措施；累计出现五次严重违约时，委托人可单方面解除</w:t>
      </w:r>
      <w:r>
        <w:rPr>
          <w:rFonts w:hint="eastAsia" w:ascii="宋体" w:hAnsi="宋体" w:cs="宋体"/>
          <w:color w:val="auto"/>
          <w:sz w:val="24"/>
          <w:szCs w:val="24"/>
        </w:rPr>
        <w:t>合同。</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（二）监理组织管理方面的违约责任：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pacing w:val="-1"/>
          <w:sz w:val="24"/>
          <w:szCs w:val="24"/>
        </w:rPr>
        <w:t>、监理人承诺主动支持委托人的工作，对委托人的指令和书面通知，若无正当理由又未</w:t>
      </w:r>
      <w:r>
        <w:rPr>
          <w:rFonts w:hint="eastAsia" w:ascii="宋体" w:hAnsi="宋体" w:cs="宋体"/>
          <w:color w:val="auto"/>
          <w:spacing w:val="-10"/>
          <w:sz w:val="24"/>
          <w:szCs w:val="24"/>
        </w:rPr>
        <w:t>提前报告、得到认可，而公开或变相拒不执行的，第一次按一般违约处理；第二次以后，每违</w:t>
      </w:r>
      <w:r>
        <w:rPr>
          <w:rFonts w:hint="eastAsia" w:ascii="宋体" w:hAnsi="宋体" w:cs="宋体"/>
          <w:color w:val="auto"/>
          <w:sz w:val="24"/>
          <w:szCs w:val="24"/>
        </w:rPr>
        <w:t xml:space="preserve">反一次按一次严重违约处理；同时，监理人还要承担由此造成的一切经济损失。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2、监理人不遵守委托人所制订的各项制度、规定的，由监理人按所触犯制度、规定的有关规定承担违约责任。所触犯制度、规定没有明确规定的，由委托人参照前款的约定处理。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（三</w:t>
      </w:r>
      <w:r>
        <w:rPr>
          <w:rFonts w:hint="eastAsia" w:ascii="宋体" w:hAnsi="宋体" w:cs="宋体"/>
          <w:color w:val="auto"/>
          <w:spacing w:val="-32"/>
          <w:sz w:val="24"/>
          <w:szCs w:val="24"/>
        </w:rPr>
        <w:t>）</w:t>
      </w:r>
      <w:r>
        <w:rPr>
          <w:rFonts w:hint="eastAsia" w:ascii="宋体" w:hAnsi="宋体" w:cs="宋体"/>
          <w:color w:val="auto"/>
          <w:spacing w:val="-4"/>
          <w:sz w:val="24"/>
          <w:szCs w:val="24"/>
        </w:rPr>
        <w:t>监理人未按报价文件及承诺建立组织架构、派驻监理人员和投入设备，监理人必须按委托人要求限期整改，并承担相应违约责任。派驻监理人员需提供身份证复印件（原件核对） 以及</w:t>
      </w:r>
      <w:r>
        <w:rPr>
          <w:rFonts w:hint="eastAsia" w:ascii="宋体" w:hAnsi="宋体" w:cs="宋体"/>
          <w:color w:val="auto"/>
          <w:sz w:val="24"/>
          <w:szCs w:val="24"/>
        </w:rPr>
        <w:t xml:space="preserve">其属监理人单位员工的社保证明原件，报委托人审核、备案。具体约定为：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pacing w:val="-3"/>
          <w:sz w:val="24"/>
          <w:szCs w:val="24"/>
        </w:rPr>
        <w:t xml:space="preserve">、在委托人书面通知监理人进场后 </w:t>
      </w:r>
      <w:r>
        <w:rPr>
          <w:rFonts w:hint="eastAsia" w:ascii="宋体" w:hAnsi="宋体" w:cs="宋体"/>
          <w:color w:val="auto"/>
          <w:sz w:val="24"/>
          <w:szCs w:val="24"/>
        </w:rPr>
        <w:t>3</w:t>
      </w:r>
      <w:r>
        <w:rPr>
          <w:rFonts w:hint="eastAsia" w:ascii="宋体" w:hAnsi="宋体" w:cs="宋体"/>
          <w:color w:val="auto"/>
          <w:spacing w:val="-7"/>
          <w:sz w:val="24"/>
          <w:szCs w:val="24"/>
        </w:rPr>
        <w:t xml:space="preserve"> 日内，监理人的主要监理人员</w:t>
      </w:r>
      <w:r>
        <w:rPr>
          <w:rFonts w:hint="eastAsia" w:ascii="宋体" w:hAnsi="宋体" w:cs="宋体"/>
          <w:color w:val="auto"/>
          <w:sz w:val="24"/>
          <w:szCs w:val="24"/>
        </w:rPr>
        <w:t>（</w:t>
      </w:r>
      <w:r>
        <w:rPr>
          <w:rFonts w:hint="eastAsia" w:ascii="宋体" w:hAnsi="宋体" w:cs="宋体"/>
          <w:color w:val="auto"/>
          <w:spacing w:val="-2"/>
          <w:sz w:val="24"/>
          <w:szCs w:val="24"/>
        </w:rPr>
        <w:t>指报价文件承诺的</w:t>
      </w:r>
      <w:r>
        <w:rPr>
          <w:rFonts w:hint="eastAsia" w:ascii="宋体" w:hAnsi="宋体" w:cs="宋体"/>
          <w:color w:val="auto"/>
          <w:spacing w:val="-5"/>
          <w:sz w:val="24"/>
          <w:szCs w:val="24"/>
        </w:rPr>
        <w:t>监理机构所配备的项目总监、专业监理工程师、造价工程师及同等级别以上的监理人员</w:t>
      </w:r>
      <w:r>
        <w:rPr>
          <w:rFonts w:hint="eastAsia" w:ascii="宋体" w:hAnsi="宋体" w:cs="宋体"/>
          <w:color w:val="auto"/>
          <w:spacing w:val="-32"/>
          <w:sz w:val="24"/>
          <w:szCs w:val="24"/>
        </w:rPr>
        <w:t>）</w:t>
      </w:r>
      <w:r>
        <w:rPr>
          <w:rFonts w:hint="eastAsia" w:ascii="宋体" w:hAnsi="宋体" w:cs="宋体"/>
          <w:color w:val="auto"/>
          <w:spacing w:val="-7"/>
          <w:sz w:val="24"/>
          <w:szCs w:val="24"/>
        </w:rPr>
        <w:t>未能</w:t>
      </w:r>
      <w:r>
        <w:rPr>
          <w:rFonts w:hint="eastAsia" w:ascii="宋体" w:hAnsi="宋体" w:cs="宋体"/>
          <w:color w:val="auto"/>
          <w:spacing w:val="-10"/>
          <w:sz w:val="24"/>
          <w:szCs w:val="24"/>
        </w:rPr>
        <w:t>足额到位，或到位后又离开，造成该岗位空缺。委托人一旦发现，将要求监理人做出书面解释</w:t>
      </w:r>
      <w:r>
        <w:rPr>
          <w:rFonts w:hint="eastAsia" w:ascii="宋体" w:hAnsi="宋体" w:cs="宋体"/>
          <w:color w:val="auto"/>
          <w:spacing w:val="-7"/>
          <w:sz w:val="24"/>
          <w:szCs w:val="24"/>
        </w:rPr>
        <w:t xml:space="preserve">并保证人员限期到位，同时监理人每岗位承担一般违约责任 </w:t>
      </w:r>
      <w:r>
        <w:rPr>
          <w:rFonts w:hint="eastAsia" w:ascii="宋体" w:hAnsi="宋体" w:cs="宋体"/>
          <w:color w:val="auto"/>
          <w:sz w:val="24"/>
          <w:szCs w:val="24"/>
        </w:rPr>
        <w:t>1</w:t>
      </w:r>
      <w:r>
        <w:rPr>
          <w:rFonts w:hint="eastAsia" w:ascii="宋体" w:hAnsi="宋体" w:cs="宋体"/>
          <w:color w:val="auto"/>
          <w:spacing w:val="-14"/>
          <w:sz w:val="24"/>
          <w:szCs w:val="24"/>
        </w:rPr>
        <w:t xml:space="preserve"> 次；如果监理人拒不配合，未在</w:t>
      </w:r>
      <w:r>
        <w:rPr>
          <w:rFonts w:hint="eastAsia" w:ascii="宋体" w:hAnsi="宋体" w:cs="宋体"/>
          <w:color w:val="auto"/>
          <w:spacing w:val="-5"/>
          <w:sz w:val="24"/>
          <w:szCs w:val="24"/>
        </w:rPr>
        <w:t xml:space="preserve">委托人提出限期改正的期限内进行整改的，监理人应每岗位承担严重违约责任 </w:t>
      </w:r>
      <w:r>
        <w:rPr>
          <w:rFonts w:hint="eastAsia" w:ascii="宋体" w:hAnsi="宋体" w:cs="宋体"/>
          <w:color w:val="auto"/>
          <w:sz w:val="24"/>
          <w:szCs w:val="24"/>
        </w:rPr>
        <w:t>1</w:t>
      </w:r>
      <w:r>
        <w:rPr>
          <w:rFonts w:hint="eastAsia" w:ascii="宋体" w:hAnsi="宋体" w:cs="宋体"/>
          <w:color w:val="auto"/>
          <w:spacing w:val="-19"/>
          <w:sz w:val="24"/>
          <w:szCs w:val="24"/>
        </w:rPr>
        <w:t xml:space="preserve"> 次，直至解除</w:t>
      </w:r>
      <w:r>
        <w:rPr>
          <w:rFonts w:hint="eastAsia" w:ascii="宋体" w:hAnsi="宋体" w:cs="宋体"/>
          <w:color w:val="auto"/>
          <w:sz w:val="24"/>
          <w:szCs w:val="24"/>
        </w:rPr>
        <w:t xml:space="preserve">合同，并要求监理人承担由此造成的委托人损失。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pacing w:val="-1"/>
          <w:sz w:val="24"/>
          <w:szCs w:val="24"/>
        </w:rPr>
        <w:t>、监理人必须严格按照报价文件与承诺投入监理人员，调换监理人员必须提出书面报告</w:t>
      </w:r>
      <w:r>
        <w:rPr>
          <w:rFonts w:hint="eastAsia" w:ascii="宋体" w:hAnsi="宋体" w:cs="宋体"/>
          <w:color w:val="auto"/>
          <w:spacing w:val="-7"/>
          <w:sz w:val="24"/>
          <w:szCs w:val="24"/>
        </w:rPr>
        <w:t>并附上替代人员的所有证明资料，经委托人审核书面同意后才能调换，但监理人仍需按下表承</w:t>
      </w:r>
      <w:r>
        <w:rPr>
          <w:rFonts w:hint="eastAsia" w:ascii="宋体" w:hAnsi="宋体" w:cs="宋体"/>
          <w:color w:val="auto"/>
          <w:spacing w:val="-4"/>
          <w:sz w:val="24"/>
          <w:szCs w:val="24"/>
        </w:rPr>
        <w:t>担对应减半违约责任(被调换监理人员因重大疾病不能胜任工作除外)。委托人要求监理人更换</w:t>
      </w:r>
      <w:r>
        <w:rPr>
          <w:rFonts w:hint="eastAsia" w:ascii="宋体" w:hAnsi="宋体" w:cs="宋体"/>
          <w:color w:val="auto"/>
          <w:spacing w:val="-7"/>
          <w:sz w:val="24"/>
          <w:szCs w:val="24"/>
        </w:rPr>
        <w:t>个别监理人员时，监理人在接到委托人通知后三天内安排更换到位，否则，监理人应按下表的</w:t>
      </w:r>
      <w:r>
        <w:rPr>
          <w:rFonts w:hint="eastAsia" w:ascii="宋体" w:hAnsi="宋体" w:cs="宋体"/>
          <w:color w:val="auto"/>
          <w:sz w:val="24"/>
          <w:szCs w:val="24"/>
        </w:rPr>
        <w:t xml:space="preserve">约定承担违约责任。 </w:t>
      </w:r>
    </w:p>
    <w:tbl>
      <w:tblPr>
        <w:tblStyle w:val="23"/>
        <w:tblW w:w="86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3"/>
        <w:gridCol w:w="5437"/>
        <w:gridCol w:w="2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683" w:type="dxa"/>
            <w:vAlign w:val="center"/>
          </w:tcPr>
          <w:p>
            <w:pPr>
              <w:pStyle w:val="30"/>
              <w:rPr>
                <w:rFonts w:hint="default" w:ascii="宋体" w:hAnsi="宋体" w:cs="宋体"/>
                <w:color w:val="auto"/>
                <w:sz w:val="24"/>
                <w:szCs w:val="24"/>
              </w:rPr>
            </w:pPr>
            <w:r>
              <w:rPr>
                <w:rFonts w:ascii="宋体" w:hAnsi="宋体" w:cs="宋体"/>
                <w:color w:val="auto"/>
                <w:sz w:val="24"/>
                <w:szCs w:val="24"/>
              </w:rPr>
              <w:t>序号</w:t>
            </w:r>
          </w:p>
        </w:tc>
        <w:tc>
          <w:tcPr>
            <w:tcW w:w="5437" w:type="dxa"/>
            <w:vAlign w:val="center"/>
          </w:tcPr>
          <w:p>
            <w:pPr>
              <w:pStyle w:val="30"/>
              <w:jc w:val="center"/>
              <w:rPr>
                <w:rFonts w:hint="default" w:ascii="宋体" w:hAnsi="宋体" w:cs="宋体"/>
                <w:color w:val="auto"/>
                <w:sz w:val="24"/>
                <w:szCs w:val="24"/>
              </w:rPr>
            </w:pPr>
            <w:r>
              <w:rPr>
                <w:rFonts w:ascii="宋体" w:hAnsi="宋体" w:cs="宋体"/>
                <w:color w:val="auto"/>
                <w:sz w:val="24"/>
                <w:szCs w:val="24"/>
              </w:rPr>
              <w:t>违约项目</w:t>
            </w:r>
          </w:p>
        </w:tc>
        <w:tc>
          <w:tcPr>
            <w:tcW w:w="2524" w:type="dxa"/>
            <w:vAlign w:val="center"/>
          </w:tcPr>
          <w:p>
            <w:pPr>
              <w:pStyle w:val="30"/>
              <w:rPr>
                <w:rFonts w:hint="default" w:ascii="宋体" w:hAnsi="宋体" w:cs="宋体"/>
                <w:color w:val="auto"/>
                <w:sz w:val="24"/>
                <w:szCs w:val="24"/>
              </w:rPr>
            </w:pPr>
            <w:r>
              <w:rPr>
                <w:rFonts w:ascii="宋体" w:hAnsi="宋体" w:cs="宋体"/>
                <w:color w:val="auto"/>
                <w:sz w:val="24"/>
                <w:szCs w:val="24"/>
              </w:rPr>
              <w:t>违约金（元/人·次）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683" w:type="dxa"/>
            <w:vAlign w:val="center"/>
          </w:tcPr>
          <w:p>
            <w:pPr>
              <w:pStyle w:val="30"/>
              <w:spacing w:before="1"/>
              <w:ind w:left="171" w:right="59"/>
              <w:jc w:val="center"/>
              <w:rPr>
                <w:rFonts w:hint="default" w:ascii="宋体" w:hAnsi="宋体" w:cs="宋体"/>
                <w:color w:val="auto"/>
                <w:szCs w:val="21"/>
              </w:rPr>
            </w:pPr>
            <w:r>
              <w:rPr>
                <w:rFonts w:ascii="宋体" w:hAnsi="宋体" w:cs="宋体"/>
                <w:color w:val="auto"/>
                <w:szCs w:val="21"/>
              </w:rPr>
              <w:t>1</w:t>
            </w:r>
          </w:p>
        </w:tc>
        <w:tc>
          <w:tcPr>
            <w:tcW w:w="5437" w:type="dxa"/>
            <w:vAlign w:val="center"/>
          </w:tcPr>
          <w:p>
            <w:pPr>
              <w:pStyle w:val="30"/>
              <w:spacing w:before="1"/>
              <w:ind w:left="107"/>
              <w:rPr>
                <w:rFonts w:hint="default" w:ascii="宋体" w:hAnsi="宋体" w:cs="宋体"/>
                <w:color w:val="auto"/>
                <w:szCs w:val="21"/>
              </w:rPr>
            </w:pPr>
            <w:r>
              <w:rPr>
                <w:rFonts w:ascii="宋体" w:hAnsi="宋体" w:cs="宋体"/>
                <w:color w:val="auto"/>
                <w:szCs w:val="21"/>
              </w:rPr>
              <w:t>监理人自行调换或未按照委托人要求及时更换项目总监。</w:t>
            </w:r>
          </w:p>
        </w:tc>
        <w:tc>
          <w:tcPr>
            <w:tcW w:w="2524" w:type="dxa"/>
            <w:vAlign w:val="center"/>
          </w:tcPr>
          <w:p>
            <w:pPr>
              <w:pStyle w:val="30"/>
              <w:spacing w:before="1"/>
              <w:ind w:right="10"/>
              <w:jc w:val="center"/>
              <w:rPr>
                <w:rFonts w:hint="default" w:ascii="宋体" w:hAnsi="宋体" w:cs="宋体"/>
                <w:color w:val="auto"/>
                <w:szCs w:val="21"/>
              </w:rPr>
            </w:pPr>
            <w:r>
              <w:rPr>
                <w:rFonts w:ascii="宋体" w:hAnsi="宋体" w:cs="宋体"/>
                <w:color w:val="auto"/>
                <w:szCs w:val="21"/>
              </w:rPr>
              <w:t>本合同监理报酬总额的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683" w:type="dxa"/>
            <w:vAlign w:val="center"/>
          </w:tcPr>
          <w:p>
            <w:pPr>
              <w:pStyle w:val="30"/>
              <w:ind w:left="171" w:right="59"/>
              <w:jc w:val="center"/>
              <w:rPr>
                <w:rFonts w:hint="default" w:ascii="宋体" w:hAnsi="宋体" w:cs="宋体"/>
                <w:color w:val="auto"/>
                <w:szCs w:val="21"/>
              </w:rPr>
            </w:pPr>
            <w:r>
              <w:rPr>
                <w:rFonts w:ascii="宋体" w:hAnsi="宋体" w:cs="宋体"/>
                <w:color w:val="auto"/>
                <w:szCs w:val="21"/>
              </w:rPr>
              <w:t>2</w:t>
            </w:r>
          </w:p>
        </w:tc>
        <w:tc>
          <w:tcPr>
            <w:tcW w:w="5437" w:type="dxa"/>
            <w:vAlign w:val="center"/>
          </w:tcPr>
          <w:p>
            <w:pPr>
              <w:pStyle w:val="30"/>
              <w:spacing w:before="1"/>
              <w:ind w:left="107"/>
              <w:rPr>
                <w:rFonts w:hint="default" w:ascii="宋体" w:hAnsi="宋体" w:cs="宋体"/>
                <w:color w:val="auto"/>
                <w:szCs w:val="21"/>
              </w:rPr>
            </w:pPr>
            <w:r>
              <w:rPr>
                <w:rFonts w:ascii="宋体" w:hAnsi="宋体" w:cs="宋体"/>
                <w:color w:val="auto"/>
                <w:szCs w:val="21"/>
              </w:rPr>
              <w:t>监理人自行调换或未按照委托人要求及时更换项目总工或总监代表。</w:t>
            </w:r>
          </w:p>
        </w:tc>
        <w:tc>
          <w:tcPr>
            <w:tcW w:w="2524" w:type="dxa"/>
            <w:vAlign w:val="center"/>
          </w:tcPr>
          <w:p>
            <w:pPr>
              <w:pStyle w:val="30"/>
              <w:ind w:right="10"/>
              <w:jc w:val="center"/>
              <w:rPr>
                <w:rFonts w:hint="default" w:ascii="宋体" w:hAnsi="宋体" w:cs="宋体"/>
                <w:color w:val="auto"/>
                <w:szCs w:val="21"/>
              </w:rPr>
            </w:pPr>
            <w:r>
              <w:rPr>
                <w:rFonts w:ascii="宋体" w:hAnsi="宋体" w:cs="宋体"/>
                <w:color w:val="auto"/>
                <w:szCs w:val="21"/>
              </w:rPr>
              <w:t>本合同监理报酬总额的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683" w:type="dxa"/>
            <w:vAlign w:val="center"/>
          </w:tcPr>
          <w:p>
            <w:pPr>
              <w:pStyle w:val="30"/>
              <w:spacing w:before="1"/>
              <w:ind w:left="171" w:right="59"/>
              <w:jc w:val="center"/>
              <w:rPr>
                <w:rFonts w:hint="default" w:ascii="宋体" w:hAnsi="宋体" w:cs="宋体"/>
                <w:color w:val="auto"/>
                <w:szCs w:val="21"/>
              </w:rPr>
            </w:pPr>
            <w:r>
              <w:rPr>
                <w:rFonts w:ascii="宋体" w:hAnsi="宋体" w:cs="宋体"/>
                <w:color w:val="auto"/>
                <w:szCs w:val="21"/>
              </w:rPr>
              <w:t>3</w:t>
            </w:r>
          </w:p>
        </w:tc>
        <w:tc>
          <w:tcPr>
            <w:tcW w:w="5437" w:type="dxa"/>
            <w:vAlign w:val="center"/>
          </w:tcPr>
          <w:p>
            <w:pPr>
              <w:pStyle w:val="30"/>
              <w:spacing w:before="1"/>
              <w:ind w:left="107"/>
              <w:rPr>
                <w:rFonts w:hint="default" w:ascii="宋体" w:hAnsi="宋体" w:cs="宋体"/>
                <w:color w:val="auto"/>
                <w:szCs w:val="21"/>
              </w:rPr>
            </w:pPr>
            <w:r>
              <w:rPr>
                <w:rFonts w:ascii="宋体" w:hAnsi="宋体" w:cs="宋体"/>
                <w:color w:val="auto"/>
                <w:szCs w:val="21"/>
              </w:rPr>
              <w:t>监理人自行调换或未按照委托人要求及时更换专业监理工</w:t>
            </w:r>
          </w:p>
          <w:p>
            <w:pPr>
              <w:pStyle w:val="30"/>
              <w:spacing w:before="141"/>
              <w:ind w:left="107"/>
              <w:rPr>
                <w:rFonts w:hint="default" w:ascii="宋体" w:hAnsi="宋体" w:cs="宋体"/>
                <w:color w:val="auto"/>
                <w:szCs w:val="21"/>
              </w:rPr>
            </w:pPr>
            <w:r>
              <w:rPr>
                <w:rFonts w:ascii="宋体" w:hAnsi="宋体" w:cs="宋体"/>
                <w:color w:val="auto"/>
                <w:szCs w:val="21"/>
              </w:rPr>
              <w:t>程师。</w:t>
            </w:r>
          </w:p>
        </w:tc>
        <w:tc>
          <w:tcPr>
            <w:tcW w:w="2524" w:type="dxa"/>
            <w:vAlign w:val="center"/>
          </w:tcPr>
          <w:p>
            <w:pPr>
              <w:pStyle w:val="30"/>
              <w:spacing w:before="1"/>
              <w:ind w:left="108"/>
              <w:rPr>
                <w:rFonts w:hint="default" w:ascii="宋体" w:hAnsi="宋体" w:cs="宋体"/>
                <w:color w:val="auto"/>
                <w:szCs w:val="21"/>
              </w:rPr>
            </w:pPr>
            <w:r>
              <w:rPr>
                <w:rFonts w:ascii="宋体" w:hAnsi="宋体" w:cs="宋体"/>
                <w:color w:val="auto"/>
                <w:szCs w:val="21"/>
              </w:rPr>
              <w:t>本合同监理报酬总额的0.5%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683" w:type="dxa"/>
            <w:vAlign w:val="center"/>
          </w:tcPr>
          <w:p>
            <w:pPr>
              <w:pStyle w:val="30"/>
              <w:spacing w:before="1"/>
              <w:ind w:left="171" w:right="59"/>
              <w:jc w:val="center"/>
              <w:rPr>
                <w:rFonts w:hint="default" w:ascii="宋体" w:hAnsi="宋体" w:cs="宋体"/>
                <w:color w:val="auto"/>
                <w:szCs w:val="21"/>
              </w:rPr>
            </w:pPr>
            <w:r>
              <w:rPr>
                <w:rFonts w:ascii="宋体" w:hAnsi="宋体" w:cs="宋体"/>
                <w:color w:val="auto"/>
                <w:szCs w:val="21"/>
              </w:rPr>
              <w:t>4</w:t>
            </w:r>
          </w:p>
        </w:tc>
        <w:tc>
          <w:tcPr>
            <w:tcW w:w="5437" w:type="dxa"/>
            <w:vAlign w:val="center"/>
          </w:tcPr>
          <w:p>
            <w:pPr>
              <w:pStyle w:val="30"/>
              <w:spacing w:before="1"/>
              <w:ind w:left="107" w:right="-15"/>
              <w:rPr>
                <w:rFonts w:hint="default" w:ascii="宋体" w:hAnsi="宋体" w:cs="宋体"/>
                <w:color w:val="auto"/>
                <w:szCs w:val="21"/>
              </w:rPr>
            </w:pPr>
            <w:r>
              <w:rPr>
                <w:rFonts w:ascii="宋体" w:hAnsi="宋体" w:cs="宋体"/>
                <w:color w:val="auto"/>
                <w:spacing w:val="-7"/>
                <w:szCs w:val="21"/>
              </w:rPr>
              <w:t>监理人自行调换或未按照委托人要求及时更换造价工程师。</w:t>
            </w:r>
          </w:p>
        </w:tc>
        <w:tc>
          <w:tcPr>
            <w:tcW w:w="2524" w:type="dxa"/>
            <w:vAlign w:val="center"/>
          </w:tcPr>
          <w:p>
            <w:pPr>
              <w:pStyle w:val="30"/>
              <w:spacing w:before="1"/>
              <w:ind w:left="108"/>
              <w:rPr>
                <w:rFonts w:hint="default" w:ascii="宋体" w:hAnsi="宋体" w:cs="宋体"/>
                <w:color w:val="auto"/>
                <w:szCs w:val="21"/>
              </w:rPr>
            </w:pPr>
            <w:r>
              <w:rPr>
                <w:rFonts w:ascii="宋体" w:hAnsi="宋体" w:cs="宋体"/>
                <w:color w:val="auto"/>
                <w:szCs w:val="21"/>
              </w:rPr>
              <w:t>本合同监理报酬总额的0.5%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683" w:type="dxa"/>
            <w:vAlign w:val="center"/>
          </w:tcPr>
          <w:p>
            <w:pPr>
              <w:pStyle w:val="30"/>
              <w:ind w:left="171" w:right="59"/>
              <w:jc w:val="center"/>
              <w:rPr>
                <w:rFonts w:hint="default" w:ascii="宋体" w:hAnsi="宋体" w:cs="宋体"/>
                <w:b/>
                <w:color w:val="auto"/>
                <w:szCs w:val="21"/>
              </w:rPr>
            </w:pPr>
            <w:r>
              <w:rPr>
                <w:rFonts w:ascii="宋体" w:hAnsi="宋体" w:cs="宋体"/>
                <w:b/>
                <w:color w:val="auto"/>
                <w:szCs w:val="21"/>
              </w:rPr>
              <w:t>5</w:t>
            </w:r>
          </w:p>
        </w:tc>
        <w:tc>
          <w:tcPr>
            <w:tcW w:w="5437" w:type="dxa"/>
            <w:vAlign w:val="center"/>
          </w:tcPr>
          <w:p>
            <w:pPr>
              <w:pStyle w:val="30"/>
              <w:ind w:left="107"/>
              <w:rPr>
                <w:rFonts w:hint="default" w:ascii="宋体" w:hAnsi="宋体" w:cs="宋体"/>
                <w:b/>
                <w:color w:val="auto"/>
                <w:szCs w:val="21"/>
              </w:rPr>
            </w:pPr>
            <w:r>
              <w:rPr>
                <w:rFonts w:ascii="宋体" w:hAnsi="宋体" w:cs="宋体"/>
                <w:b/>
                <w:color w:val="auto"/>
                <w:szCs w:val="21"/>
              </w:rPr>
              <w:t>经委托人审核书面同意后调换监理人员。</w:t>
            </w:r>
          </w:p>
        </w:tc>
        <w:tc>
          <w:tcPr>
            <w:tcW w:w="2524" w:type="dxa"/>
            <w:vAlign w:val="center"/>
          </w:tcPr>
          <w:p>
            <w:pPr>
              <w:pStyle w:val="30"/>
              <w:spacing w:before="3"/>
              <w:ind w:left="108"/>
              <w:rPr>
                <w:rFonts w:hint="default" w:ascii="宋体" w:hAnsi="宋体" w:cs="宋体"/>
                <w:b/>
                <w:color w:val="auto"/>
                <w:szCs w:val="21"/>
              </w:rPr>
            </w:pPr>
            <w:r>
              <w:rPr>
                <w:rFonts w:ascii="宋体" w:hAnsi="宋体" w:cs="宋体"/>
                <w:b/>
                <w:color w:val="auto"/>
                <w:spacing w:val="-11"/>
                <w:szCs w:val="21"/>
              </w:rPr>
              <w:t xml:space="preserve">监理人按 </w:t>
            </w:r>
            <w:r>
              <w:rPr>
                <w:rFonts w:ascii="宋体" w:hAnsi="宋体" w:cs="宋体"/>
                <w:b/>
                <w:color w:val="auto"/>
                <w:szCs w:val="21"/>
              </w:rPr>
              <w:t>1</w:t>
            </w:r>
            <w:r>
              <w:rPr>
                <w:rFonts w:ascii="宋体" w:hAnsi="宋体" w:cs="宋体"/>
                <w:b/>
                <w:color w:val="auto"/>
                <w:spacing w:val="-36"/>
                <w:szCs w:val="21"/>
              </w:rPr>
              <w:t xml:space="preserve"> 至 </w:t>
            </w:r>
            <w:r>
              <w:rPr>
                <w:rFonts w:ascii="宋体" w:hAnsi="宋体" w:cs="宋体"/>
                <w:b/>
                <w:color w:val="auto"/>
                <w:szCs w:val="21"/>
              </w:rPr>
              <w:t>4</w:t>
            </w:r>
            <w:r>
              <w:rPr>
                <w:rFonts w:ascii="宋体" w:hAnsi="宋体" w:cs="宋体"/>
                <w:b/>
                <w:color w:val="auto"/>
                <w:spacing w:val="-12"/>
                <w:szCs w:val="21"/>
              </w:rPr>
              <w:t xml:space="preserve"> 项对应调</w:t>
            </w:r>
            <w:r>
              <w:rPr>
                <w:rFonts w:ascii="宋体" w:hAnsi="宋体" w:cs="宋体"/>
                <w:b/>
                <w:color w:val="auto"/>
                <w:spacing w:val="-2"/>
                <w:szCs w:val="21"/>
              </w:rPr>
              <w:t>换人员承担减半违约金。</w:t>
            </w:r>
          </w:p>
        </w:tc>
      </w:tr>
    </w:tbl>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pacing w:val="-1"/>
          <w:sz w:val="24"/>
          <w:szCs w:val="24"/>
        </w:rPr>
        <w:t>、项目总监若需离开施工现场需报委托人批准，在其请假离开的时间段内应书面委托其</w:t>
      </w:r>
      <w:r>
        <w:rPr>
          <w:rFonts w:hint="eastAsia" w:ascii="宋体" w:hAnsi="宋体" w:cs="宋体"/>
          <w:color w:val="auto"/>
          <w:spacing w:val="-3"/>
          <w:sz w:val="24"/>
          <w:szCs w:val="24"/>
        </w:rPr>
        <w:t>他驻场监理工程师</w:t>
      </w:r>
      <w:r>
        <w:rPr>
          <w:rFonts w:hint="eastAsia" w:ascii="宋体" w:hAnsi="宋体" w:cs="宋体"/>
          <w:color w:val="auto"/>
          <w:sz w:val="24"/>
          <w:szCs w:val="24"/>
        </w:rPr>
        <w:t>（需具有相应资质和能力</w:t>
      </w:r>
      <w:r>
        <w:rPr>
          <w:rFonts w:hint="eastAsia" w:ascii="宋体" w:hAnsi="宋体" w:cs="宋体"/>
          <w:color w:val="auto"/>
          <w:spacing w:val="-24"/>
          <w:sz w:val="24"/>
          <w:szCs w:val="24"/>
        </w:rPr>
        <w:t>）</w:t>
      </w:r>
      <w:r>
        <w:rPr>
          <w:rFonts w:hint="eastAsia" w:ascii="宋体" w:hAnsi="宋体" w:cs="宋体"/>
          <w:color w:val="auto"/>
          <w:spacing w:val="-6"/>
          <w:sz w:val="24"/>
          <w:szCs w:val="24"/>
        </w:rPr>
        <w:t>全权代表其行使职权；否则每违约一次，委托人</w:t>
      </w:r>
      <w:r>
        <w:rPr>
          <w:rFonts w:hint="eastAsia" w:ascii="宋体" w:hAnsi="宋体" w:cs="宋体"/>
          <w:color w:val="auto"/>
          <w:spacing w:val="-7"/>
          <w:sz w:val="24"/>
          <w:szCs w:val="24"/>
        </w:rPr>
        <w:t xml:space="preserve">将要求监理人承担 </w:t>
      </w:r>
      <w:r>
        <w:rPr>
          <w:rFonts w:hint="eastAsia" w:ascii="宋体" w:hAnsi="宋体" w:cs="宋体"/>
          <w:color w:val="auto"/>
          <w:sz w:val="24"/>
          <w:szCs w:val="24"/>
        </w:rPr>
        <w:t>1</w:t>
      </w:r>
      <w:r>
        <w:rPr>
          <w:rFonts w:hint="eastAsia" w:ascii="宋体" w:hAnsi="宋体" w:cs="宋体"/>
          <w:color w:val="auto"/>
          <w:spacing w:val="-8"/>
          <w:sz w:val="24"/>
          <w:szCs w:val="24"/>
        </w:rPr>
        <w:t xml:space="preserve"> 次一般违约责任。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4</w:t>
      </w:r>
      <w:r>
        <w:rPr>
          <w:rFonts w:hint="eastAsia" w:ascii="宋体" w:hAnsi="宋体" w:cs="宋体"/>
          <w:color w:val="auto"/>
          <w:spacing w:val="-4"/>
          <w:sz w:val="24"/>
          <w:szCs w:val="24"/>
        </w:rPr>
        <w:t xml:space="preserve">、其他监理人员需离开施工现场 </w:t>
      </w:r>
      <w:r>
        <w:rPr>
          <w:rFonts w:hint="eastAsia" w:ascii="宋体" w:hAnsi="宋体" w:cs="宋体"/>
          <w:color w:val="auto"/>
          <w:sz w:val="24"/>
          <w:szCs w:val="24"/>
        </w:rPr>
        <w:t>1</w:t>
      </w:r>
      <w:r>
        <w:rPr>
          <w:rFonts w:hint="eastAsia" w:ascii="宋体" w:hAnsi="宋体" w:cs="宋体"/>
          <w:color w:val="auto"/>
          <w:spacing w:val="-8"/>
          <w:sz w:val="24"/>
          <w:szCs w:val="24"/>
        </w:rPr>
        <w:t xml:space="preserve"> 日以上需报委托人批准，在其请假离开的时间段内应</w:t>
      </w:r>
      <w:r>
        <w:rPr>
          <w:rFonts w:hint="eastAsia" w:ascii="宋体" w:hAnsi="宋体" w:cs="宋体"/>
          <w:color w:val="auto"/>
          <w:spacing w:val="-6"/>
          <w:sz w:val="24"/>
          <w:szCs w:val="24"/>
        </w:rPr>
        <w:t>书面委托其他驻场监理代表全权代表其行使相应职权；否则，每违约一次，委托人将要求监理</w:t>
      </w:r>
      <w:r>
        <w:rPr>
          <w:rFonts w:hint="eastAsia" w:ascii="宋体" w:hAnsi="宋体" w:cs="宋体"/>
          <w:color w:val="auto"/>
          <w:spacing w:val="-16"/>
          <w:sz w:val="24"/>
          <w:szCs w:val="24"/>
        </w:rPr>
        <w:t xml:space="preserve">人承担 </w:t>
      </w:r>
      <w:r>
        <w:rPr>
          <w:rFonts w:hint="eastAsia" w:ascii="宋体" w:hAnsi="宋体" w:cs="宋体"/>
          <w:color w:val="auto"/>
          <w:sz w:val="24"/>
          <w:szCs w:val="24"/>
        </w:rPr>
        <w:t>1</w:t>
      </w:r>
      <w:r>
        <w:rPr>
          <w:rFonts w:hint="eastAsia" w:ascii="宋体" w:hAnsi="宋体" w:cs="宋体"/>
          <w:color w:val="auto"/>
          <w:spacing w:val="-8"/>
          <w:sz w:val="24"/>
          <w:szCs w:val="24"/>
        </w:rPr>
        <w:t xml:space="preserve"> 次一般违约责任。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5、委托人可以对驻场监理人员进行考勤，如项目总监每月请假日数累计超过 4 日，监理人必须承担 1 次一般违约责任；如其他监理人员每月请假日数累计超过 6 日，且请假总人数全月累计超过监理人数的 10%，监理人必须承担 1 次一般违约责任。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6</w:t>
      </w:r>
      <w:r>
        <w:rPr>
          <w:rFonts w:hint="eastAsia" w:ascii="宋体" w:hAnsi="宋体" w:cs="宋体"/>
          <w:color w:val="auto"/>
          <w:spacing w:val="-1"/>
          <w:sz w:val="24"/>
          <w:szCs w:val="24"/>
        </w:rPr>
        <w:t>、委托人要求</w:t>
      </w:r>
      <w:r>
        <w:rPr>
          <w:rFonts w:hint="eastAsia" w:ascii="宋体" w:hAnsi="宋体" w:cs="宋体"/>
          <w:color w:val="auto"/>
          <w:sz w:val="24"/>
          <w:szCs w:val="24"/>
        </w:rPr>
        <w:t>项目</w:t>
      </w:r>
      <w:r>
        <w:rPr>
          <w:rFonts w:hint="eastAsia" w:ascii="宋体" w:hAnsi="宋体" w:cs="宋体"/>
          <w:color w:val="auto"/>
          <w:spacing w:val="-1"/>
          <w:sz w:val="24"/>
          <w:szCs w:val="24"/>
        </w:rPr>
        <w:t>总监等主要监理人员必须参加的会议，项目总监等主要监理人员必须</w:t>
      </w:r>
      <w:r>
        <w:rPr>
          <w:rFonts w:hint="eastAsia" w:ascii="宋体" w:hAnsi="宋体" w:cs="宋体"/>
          <w:color w:val="auto"/>
          <w:spacing w:val="-9"/>
          <w:sz w:val="24"/>
          <w:szCs w:val="24"/>
        </w:rPr>
        <w:t>到会。未经委托人同意不到会或不按期到会的，应向委托人说明理由，拒不说明理由的，监理</w:t>
      </w:r>
      <w:r>
        <w:rPr>
          <w:rFonts w:hint="eastAsia" w:ascii="宋体" w:hAnsi="宋体" w:cs="宋体"/>
          <w:color w:val="auto"/>
          <w:spacing w:val="-11"/>
          <w:sz w:val="24"/>
          <w:szCs w:val="24"/>
        </w:rPr>
        <w:t xml:space="preserve">人应当承担 </w:t>
      </w:r>
      <w:r>
        <w:rPr>
          <w:rFonts w:hint="eastAsia" w:ascii="宋体" w:hAnsi="宋体" w:cs="宋体"/>
          <w:color w:val="auto"/>
          <w:sz w:val="24"/>
          <w:szCs w:val="24"/>
        </w:rPr>
        <w:t>1</w:t>
      </w:r>
      <w:r>
        <w:rPr>
          <w:rFonts w:hint="eastAsia" w:ascii="宋体" w:hAnsi="宋体" w:cs="宋体"/>
          <w:color w:val="auto"/>
          <w:spacing w:val="-8"/>
          <w:sz w:val="24"/>
          <w:szCs w:val="24"/>
        </w:rPr>
        <w:t xml:space="preserve"> 次一般违约责任。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7</w:t>
      </w:r>
      <w:r>
        <w:rPr>
          <w:rFonts w:hint="eastAsia" w:ascii="宋体" w:hAnsi="宋体" w:cs="宋体"/>
          <w:color w:val="auto"/>
          <w:spacing w:val="-1"/>
          <w:sz w:val="24"/>
          <w:szCs w:val="24"/>
        </w:rPr>
        <w:t>、在委托人、建设行政主管部门组织的现场检查中，总监理工程师累计不在现场每月应</w:t>
      </w:r>
      <w:r>
        <w:rPr>
          <w:rFonts w:hint="eastAsia" w:ascii="宋体" w:hAnsi="宋体" w:cs="宋体"/>
          <w:color w:val="auto"/>
          <w:spacing w:val="-16"/>
          <w:sz w:val="24"/>
          <w:szCs w:val="24"/>
        </w:rPr>
        <w:t xml:space="preserve">不超过 </w:t>
      </w:r>
      <w:r>
        <w:rPr>
          <w:rFonts w:hint="eastAsia" w:ascii="宋体" w:hAnsi="宋体" w:cs="宋体"/>
          <w:color w:val="auto"/>
          <w:sz w:val="24"/>
          <w:szCs w:val="24"/>
        </w:rPr>
        <w:t>2</w:t>
      </w:r>
      <w:r>
        <w:rPr>
          <w:rFonts w:hint="eastAsia" w:ascii="宋体" w:hAnsi="宋体" w:cs="宋体"/>
          <w:color w:val="auto"/>
          <w:spacing w:val="-13"/>
          <w:sz w:val="24"/>
          <w:szCs w:val="24"/>
        </w:rPr>
        <w:t xml:space="preserve"> 次，专业监理工程师累计不在现场每月应少于 </w:t>
      </w:r>
      <w:r>
        <w:rPr>
          <w:rFonts w:hint="eastAsia" w:ascii="宋体" w:hAnsi="宋体" w:cs="宋体"/>
          <w:color w:val="auto"/>
          <w:sz w:val="24"/>
          <w:szCs w:val="24"/>
        </w:rPr>
        <w:t>2</w:t>
      </w:r>
      <w:r>
        <w:rPr>
          <w:rFonts w:hint="eastAsia" w:ascii="宋体" w:hAnsi="宋体" w:cs="宋体"/>
          <w:color w:val="auto"/>
          <w:spacing w:val="-13"/>
          <w:sz w:val="24"/>
          <w:szCs w:val="24"/>
        </w:rPr>
        <w:t xml:space="preserve"> 次。否则，每发生一次，监理人承担</w:t>
      </w:r>
      <w:r>
        <w:rPr>
          <w:rFonts w:hint="eastAsia" w:ascii="宋体" w:hAnsi="宋体" w:cs="宋体"/>
          <w:color w:val="auto"/>
          <w:sz w:val="24"/>
          <w:szCs w:val="24"/>
        </w:rPr>
        <w:t xml:space="preserve">1 次一般违约责任。每发生二次，监理人承担严重违约责任 1 次。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8、检测仪器及设备等在监理责任期间，不能保持良好运作性能的，监理人应及时更换，否则，每件每日支付 1000 元监理费。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（四）履行监理职责方面的违约责任：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1、监理人在自己职责范围内应当作出决定的事项故意拖延或者不作出明确的处理意见，委托人发出书面警告后，监理人在整改期限内仍不加以改正的，委托人有权要求监理人承担一般违约责任</w:t>
      </w:r>
      <w:r>
        <w:rPr>
          <w:rFonts w:ascii="宋体" w:hAnsi="宋体" w:cs="宋体"/>
          <w:color w:val="auto"/>
          <w:sz w:val="24"/>
          <w:szCs w:val="24"/>
        </w:rPr>
        <w:t xml:space="preserve"> </w:t>
      </w:r>
      <w:r>
        <w:rPr>
          <w:rFonts w:hint="eastAsia" w:ascii="宋体" w:hAnsi="宋体" w:cs="宋体"/>
          <w:color w:val="auto"/>
          <w:sz w:val="24"/>
          <w:szCs w:val="24"/>
        </w:rPr>
        <w:t>1</w:t>
      </w:r>
      <w:r>
        <w:rPr>
          <w:rFonts w:ascii="宋体" w:hAnsi="宋体" w:cs="宋体"/>
          <w:color w:val="auto"/>
          <w:sz w:val="24"/>
          <w:szCs w:val="24"/>
        </w:rPr>
        <w:t xml:space="preserve"> 次，造成损失的监理人应承担相应的责任。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2、承包人未按承诺投入机械、设备、材料等，监理人对此不进行有效检查、督促、处理，</w:t>
      </w:r>
      <w:r>
        <w:rPr>
          <w:rFonts w:ascii="宋体" w:hAnsi="宋体" w:cs="宋体"/>
          <w:color w:val="auto"/>
          <w:sz w:val="24"/>
          <w:szCs w:val="24"/>
        </w:rPr>
        <w:t xml:space="preserve"> </w:t>
      </w:r>
      <w:r>
        <w:rPr>
          <w:rFonts w:hint="eastAsia" w:ascii="宋体" w:hAnsi="宋体" w:cs="宋体"/>
          <w:color w:val="auto"/>
          <w:sz w:val="24"/>
          <w:szCs w:val="24"/>
        </w:rPr>
        <w:t>不向委托人报告，被委托人发现后，委托人有权给予书面警告并限期改正，监理人拒不限期改正的，应承担</w:t>
      </w:r>
      <w:r>
        <w:rPr>
          <w:rFonts w:ascii="宋体" w:hAnsi="宋体" w:cs="宋体"/>
          <w:color w:val="auto"/>
          <w:sz w:val="24"/>
          <w:szCs w:val="24"/>
        </w:rPr>
        <w:t xml:space="preserve"> </w:t>
      </w:r>
      <w:r>
        <w:rPr>
          <w:rFonts w:hint="eastAsia" w:ascii="宋体" w:hAnsi="宋体" w:cs="宋体"/>
          <w:color w:val="auto"/>
          <w:sz w:val="24"/>
          <w:szCs w:val="24"/>
        </w:rPr>
        <w:t>1</w:t>
      </w:r>
      <w:r>
        <w:rPr>
          <w:rFonts w:ascii="宋体" w:hAnsi="宋体" w:cs="宋体"/>
          <w:color w:val="auto"/>
          <w:sz w:val="24"/>
          <w:szCs w:val="24"/>
        </w:rPr>
        <w:t xml:space="preserve"> </w:t>
      </w:r>
      <w:r>
        <w:rPr>
          <w:rFonts w:hint="eastAsia" w:ascii="宋体" w:hAnsi="宋体" w:cs="宋体"/>
          <w:color w:val="auto"/>
          <w:sz w:val="24"/>
          <w:szCs w:val="24"/>
        </w:rPr>
        <w:t>次一般违约责任。</w:t>
      </w:r>
      <w:r>
        <w:rPr>
          <w:rFonts w:ascii="宋体" w:hAnsi="宋体" w:cs="宋体"/>
          <w:color w:val="auto"/>
          <w:sz w:val="24"/>
          <w:szCs w:val="24"/>
        </w:rPr>
        <w:t xml:space="preserve">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3、对于承包人每次进场材料，监理人不进行检查和登记；对已进场的材料，监理人不按有关规定及时进行抽查、送检的，每发生一次，监理人承担</w:t>
      </w:r>
      <w:r>
        <w:rPr>
          <w:rFonts w:ascii="宋体" w:hAnsi="宋体" w:cs="宋体"/>
          <w:color w:val="auto"/>
          <w:sz w:val="24"/>
          <w:szCs w:val="24"/>
        </w:rPr>
        <w:t xml:space="preserve"> </w:t>
      </w:r>
      <w:r>
        <w:rPr>
          <w:rFonts w:hint="eastAsia" w:ascii="宋体" w:hAnsi="宋体" w:cs="宋体"/>
          <w:color w:val="auto"/>
          <w:sz w:val="24"/>
          <w:szCs w:val="24"/>
        </w:rPr>
        <w:t>1</w:t>
      </w:r>
      <w:r>
        <w:rPr>
          <w:rFonts w:ascii="宋体" w:hAnsi="宋体" w:cs="宋体"/>
          <w:color w:val="auto"/>
          <w:sz w:val="24"/>
          <w:szCs w:val="24"/>
        </w:rPr>
        <w:t xml:space="preserve"> </w:t>
      </w:r>
      <w:r>
        <w:rPr>
          <w:rFonts w:hint="eastAsia" w:ascii="宋体" w:hAnsi="宋体" w:cs="宋体"/>
          <w:color w:val="auto"/>
          <w:sz w:val="24"/>
          <w:szCs w:val="24"/>
        </w:rPr>
        <w:t xml:space="preserve">次一般违约责任。如由此出现不合格材料使用于工程上并造成质量缺陷，监理人必须承担一般违约责任 1 次。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4、监理人在编制项目实施细则中，应按监理规范列明需监理人旁站的工序，并应得到委托人的批准。工程施工过程中，需要监理人进行旁站监督的，监理人没有到场，或者到场后没有进行监督，或发现质量问题后没有及时处理，没有向委托人报告，委托人有权给予书面警告并限期改正，监理人拒不限期改正的，应承担</w:t>
      </w:r>
      <w:r>
        <w:rPr>
          <w:rFonts w:ascii="宋体" w:hAnsi="宋体" w:cs="宋体"/>
          <w:color w:val="auto"/>
          <w:sz w:val="24"/>
          <w:szCs w:val="24"/>
        </w:rPr>
        <w:t xml:space="preserve"> </w:t>
      </w:r>
      <w:r>
        <w:rPr>
          <w:rFonts w:hint="eastAsia" w:ascii="宋体" w:hAnsi="宋体" w:cs="宋体"/>
          <w:color w:val="auto"/>
          <w:sz w:val="24"/>
          <w:szCs w:val="24"/>
        </w:rPr>
        <w:t>1</w:t>
      </w:r>
      <w:r>
        <w:rPr>
          <w:rFonts w:ascii="宋体" w:hAnsi="宋体" w:cs="宋体"/>
          <w:color w:val="auto"/>
          <w:sz w:val="24"/>
          <w:szCs w:val="24"/>
        </w:rPr>
        <w:t xml:space="preserve"> </w:t>
      </w:r>
      <w:r>
        <w:rPr>
          <w:rFonts w:hint="eastAsia" w:ascii="宋体" w:hAnsi="宋体" w:cs="宋体"/>
          <w:color w:val="auto"/>
          <w:sz w:val="24"/>
          <w:szCs w:val="24"/>
        </w:rPr>
        <w:t>次一般违约责任。</w:t>
      </w:r>
      <w:r>
        <w:rPr>
          <w:rFonts w:ascii="宋体" w:hAnsi="宋体" w:cs="宋体"/>
          <w:color w:val="auto"/>
          <w:sz w:val="24"/>
          <w:szCs w:val="24"/>
        </w:rPr>
        <w:t xml:space="preserve">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5、监理人对承包人的施工质量应每月定期或不定期组织大检查并作出报告给委托人。承包人的施工质量经监理人检验为合格，但经委托人或工程质量监督机构抽查，发现质量有不合格或未按设计要求和有关规范进行施工的，监理人应承担一般违约</w:t>
      </w:r>
      <w:r>
        <w:rPr>
          <w:rFonts w:ascii="宋体" w:hAnsi="宋体" w:cs="宋体"/>
          <w:color w:val="auto"/>
          <w:sz w:val="24"/>
          <w:szCs w:val="24"/>
        </w:rPr>
        <w:t xml:space="preserve"> </w:t>
      </w:r>
      <w:r>
        <w:rPr>
          <w:rFonts w:hint="eastAsia" w:ascii="宋体" w:hAnsi="宋体" w:cs="宋体"/>
          <w:color w:val="auto"/>
          <w:sz w:val="24"/>
          <w:szCs w:val="24"/>
        </w:rPr>
        <w:t>1</w:t>
      </w:r>
      <w:r>
        <w:rPr>
          <w:rFonts w:ascii="宋体" w:hAnsi="宋体" w:cs="宋体"/>
          <w:color w:val="auto"/>
          <w:sz w:val="24"/>
          <w:szCs w:val="24"/>
        </w:rPr>
        <w:t xml:space="preserve"> 次，情节严重的承担严重</w:t>
      </w:r>
      <w:r>
        <w:rPr>
          <w:rFonts w:hint="eastAsia" w:ascii="宋体" w:hAnsi="宋体" w:cs="宋体"/>
          <w:color w:val="auto"/>
          <w:sz w:val="24"/>
          <w:szCs w:val="24"/>
        </w:rPr>
        <w:t xml:space="preserve">违约责任 1 次，同时，承包人和监理人应赔偿委托人的经济损失。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6、监理人怠于履行工程质量控制监理工作，导致工程质量事故的，每发生一次，监理人承担严重违约责任</w:t>
      </w:r>
      <w:r>
        <w:rPr>
          <w:rFonts w:ascii="宋体" w:hAnsi="宋体" w:cs="宋体"/>
          <w:color w:val="auto"/>
          <w:sz w:val="24"/>
          <w:szCs w:val="24"/>
        </w:rPr>
        <w:t xml:space="preserve"> </w:t>
      </w:r>
      <w:r>
        <w:rPr>
          <w:rFonts w:hint="eastAsia" w:ascii="宋体" w:hAnsi="宋体" w:cs="宋体"/>
          <w:color w:val="auto"/>
          <w:sz w:val="24"/>
          <w:szCs w:val="24"/>
        </w:rPr>
        <w:t>1</w:t>
      </w:r>
      <w:r>
        <w:rPr>
          <w:rFonts w:ascii="宋体" w:hAnsi="宋体" w:cs="宋体"/>
          <w:color w:val="auto"/>
          <w:sz w:val="24"/>
          <w:szCs w:val="24"/>
        </w:rPr>
        <w:t xml:space="preserve"> 次。工程出现其他质量问题或缺陷，监理人负有责任的，每发生一次，监</w:t>
      </w:r>
      <w:r>
        <w:rPr>
          <w:rFonts w:hint="eastAsia" w:ascii="宋体" w:hAnsi="宋体" w:cs="宋体"/>
          <w:color w:val="auto"/>
          <w:sz w:val="24"/>
          <w:szCs w:val="24"/>
        </w:rPr>
        <w:t>理人承担一般违约责任</w:t>
      </w:r>
      <w:r>
        <w:rPr>
          <w:rFonts w:ascii="宋体" w:hAnsi="宋体" w:cs="宋体"/>
          <w:color w:val="auto"/>
          <w:sz w:val="24"/>
          <w:szCs w:val="24"/>
        </w:rPr>
        <w:t xml:space="preserve"> </w:t>
      </w:r>
      <w:r>
        <w:rPr>
          <w:rFonts w:hint="eastAsia" w:ascii="宋体" w:hAnsi="宋体" w:cs="宋体"/>
          <w:color w:val="auto"/>
          <w:sz w:val="24"/>
          <w:szCs w:val="24"/>
        </w:rPr>
        <w:t>1</w:t>
      </w:r>
      <w:r>
        <w:rPr>
          <w:rFonts w:ascii="宋体" w:hAnsi="宋体" w:cs="宋体"/>
          <w:color w:val="auto"/>
          <w:sz w:val="24"/>
          <w:szCs w:val="24"/>
        </w:rPr>
        <w:t xml:space="preserve"> 次。工程发生重大质量、安全事故，监理人负有责任的，委托人有权</w:t>
      </w:r>
      <w:r>
        <w:rPr>
          <w:rFonts w:hint="eastAsia" w:ascii="宋体" w:hAnsi="宋体" w:cs="宋体"/>
          <w:color w:val="auto"/>
          <w:sz w:val="24"/>
          <w:szCs w:val="24"/>
        </w:rPr>
        <w:t xml:space="preserve">视情况的严重程度要求监理人承担违约责任，直至部分或全部解除合同。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7、由于监理人应当预见而未能及时预见，或已经预见但未及时向委托人报告，或未及时提出有效的整改措施，或未及时向承包人发出整改通知并积极督促承包人实施整改而对整个工程的按期完工不能起到有效监管作用，致使工程施工的关键工期比计划滞后3</w:t>
      </w:r>
      <w:r>
        <w:rPr>
          <w:rFonts w:ascii="宋体" w:hAnsi="宋体" w:cs="宋体"/>
          <w:color w:val="auto"/>
          <w:sz w:val="24"/>
          <w:szCs w:val="24"/>
        </w:rPr>
        <w:t xml:space="preserve"> 日以上</w:t>
      </w:r>
      <w:r>
        <w:rPr>
          <w:rFonts w:hint="eastAsia" w:ascii="宋体" w:hAnsi="宋体" w:cs="宋体"/>
          <w:color w:val="auto"/>
          <w:sz w:val="24"/>
          <w:szCs w:val="24"/>
        </w:rPr>
        <w:t>（含3</w:t>
      </w:r>
      <w:r>
        <w:rPr>
          <w:rFonts w:ascii="宋体" w:hAnsi="宋体" w:cs="宋体"/>
          <w:color w:val="auto"/>
          <w:sz w:val="24"/>
          <w:szCs w:val="24"/>
        </w:rPr>
        <w:t xml:space="preserve"> 日</w:t>
      </w:r>
      <w:r>
        <w:rPr>
          <w:rFonts w:hint="eastAsia" w:ascii="宋体" w:hAnsi="宋体" w:cs="宋体"/>
          <w:color w:val="auto"/>
          <w:sz w:val="24"/>
          <w:szCs w:val="24"/>
        </w:rPr>
        <w:t>）的，监理人必须承担一般违约责任</w:t>
      </w:r>
      <w:r>
        <w:rPr>
          <w:rFonts w:ascii="宋体" w:hAnsi="宋体" w:cs="宋体"/>
          <w:color w:val="auto"/>
          <w:sz w:val="24"/>
          <w:szCs w:val="24"/>
        </w:rPr>
        <w:t xml:space="preserve"> </w:t>
      </w:r>
      <w:r>
        <w:rPr>
          <w:rFonts w:hint="eastAsia" w:ascii="宋体" w:hAnsi="宋体" w:cs="宋体"/>
          <w:color w:val="auto"/>
          <w:sz w:val="24"/>
          <w:szCs w:val="24"/>
        </w:rPr>
        <w:t>1</w:t>
      </w:r>
      <w:r>
        <w:rPr>
          <w:rFonts w:ascii="宋体" w:hAnsi="宋体" w:cs="宋体"/>
          <w:color w:val="auto"/>
          <w:sz w:val="24"/>
          <w:szCs w:val="24"/>
        </w:rPr>
        <w:t xml:space="preserve"> 次；出现关键工期滞后 </w:t>
      </w:r>
      <w:r>
        <w:rPr>
          <w:rFonts w:hint="eastAsia" w:ascii="宋体" w:hAnsi="宋体" w:cs="宋体"/>
          <w:color w:val="auto"/>
          <w:sz w:val="24"/>
          <w:szCs w:val="24"/>
        </w:rPr>
        <w:t>5</w:t>
      </w:r>
      <w:r>
        <w:rPr>
          <w:rFonts w:ascii="宋体" w:hAnsi="宋体" w:cs="宋体"/>
          <w:color w:val="auto"/>
          <w:sz w:val="24"/>
          <w:szCs w:val="24"/>
        </w:rPr>
        <w:t xml:space="preserve"> 天以上</w:t>
      </w:r>
      <w:r>
        <w:rPr>
          <w:rFonts w:hint="eastAsia" w:ascii="宋体" w:hAnsi="宋体" w:cs="宋体"/>
          <w:color w:val="auto"/>
          <w:sz w:val="24"/>
          <w:szCs w:val="24"/>
        </w:rPr>
        <w:t>（含</w:t>
      </w:r>
      <w:r>
        <w:rPr>
          <w:rFonts w:ascii="宋体" w:hAnsi="宋体" w:cs="宋体"/>
          <w:color w:val="auto"/>
          <w:sz w:val="24"/>
          <w:szCs w:val="24"/>
        </w:rPr>
        <w:t xml:space="preserve"> </w:t>
      </w:r>
      <w:r>
        <w:rPr>
          <w:rFonts w:hint="eastAsia" w:ascii="宋体" w:hAnsi="宋体" w:cs="宋体"/>
          <w:color w:val="auto"/>
          <w:sz w:val="24"/>
          <w:szCs w:val="24"/>
        </w:rPr>
        <w:t>5</w:t>
      </w:r>
      <w:r>
        <w:rPr>
          <w:rFonts w:ascii="宋体" w:hAnsi="宋体" w:cs="宋体"/>
          <w:color w:val="auto"/>
          <w:sz w:val="24"/>
          <w:szCs w:val="24"/>
        </w:rPr>
        <w:t xml:space="preserve"> 天</w:t>
      </w:r>
      <w:r>
        <w:rPr>
          <w:rFonts w:hint="eastAsia" w:ascii="宋体" w:hAnsi="宋体" w:cs="宋体"/>
          <w:color w:val="auto"/>
          <w:sz w:val="24"/>
          <w:szCs w:val="24"/>
        </w:rPr>
        <w:t>）的，监理人必须承担严重违约责任</w:t>
      </w:r>
      <w:r>
        <w:rPr>
          <w:rFonts w:ascii="宋体" w:hAnsi="宋体" w:cs="宋体"/>
          <w:color w:val="auto"/>
          <w:sz w:val="24"/>
          <w:szCs w:val="24"/>
        </w:rPr>
        <w:t xml:space="preserve"> </w:t>
      </w:r>
      <w:r>
        <w:rPr>
          <w:rFonts w:hint="eastAsia" w:ascii="宋体" w:hAnsi="宋体" w:cs="宋体"/>
          <w:color w:val="auto"/>
          <w:sz w:val="24"/>
          <w:szCs w:val="24"/>
        </w:rPr>
        <w:t>1</w:t>
      </w:r>
      <w:r>
        <w:rPr>
          <w:rFonts w:ascii="宋体" w:hAnsi="宋体" w:cs="宋体"/>
          <w:color w:val="auto"/>
          <w:sz w:val="24"/>
          <w:szCs w:val="24"/>
        </w:rPr>
        <w:t xml:space="preserve"> 次；出现关键线路工期滞后 </w:t>
      </w:r>
      <w:r>
        <w:rPr>
          <w:rFonts w:hint="eastAsia" w:ascii="宋体" w:hAnsi="宋体" w:cs="宋体"/>
          <w:color w:val="auto"/>
          <w:sz w:val="24"/>
          <w:szCs w:val="24"/>
        </w:rPr>
        <w:t>10</w:t>
      </w:r>
      <w:r>
        <w:rPr>
          <w:rFonts w:ascii="宋体" w:hAnsi="宋体" w:cs="宋体"/>
          <w:color w:val="auto"/>
          <w:sz w:val="24"/>
          <w:szCs w:val="24"/>
        </w:rPr>
        <w:t xml:space="preserve"> 天以上</w:t>
      </w:r>
      <w:r>
        <w:rPr>
          <w:rFonts w:hint="eastAsia" w:ascii="宋体" w:hAnsi="宋体" w:cs="宋体"/>
          <w:color w:val="auto"/>
          <w:sz w:val="24"/>
          <w:szCs w:val="24"/>
        </w:rPr>
        <w:t>（含</w:t>
      </w:r>
      <w:r>
        <w:rPr>
          <w:rFonts w:ascii="宋体" w:hAnsi="宋体" w:cs="宋体"/>
          <w:color w:val="auto"/>
          <w:sz w:val="24"/>
          <w:szCs w:val="24"/>
        </w:rPr>
        <w:t xml:space="preserve"> </w:t>
      </w:r>
      <w:r>
        <w:rPr>
          <w:rFonts w:hint="eastAsia" w:ascii="宋体" w:hAnsi="宋体" w:cs="宋体"/>
          <w:color w:val="auto"/>
          <w:sz w:val="24"/>
          <w:szCs w:val="24"/>
        </w:rPr>
        <w:t>10</w:t>
      </w:r>
      <w:r>
        <w:rPr>
          <w:rFonts w:ascii="宋体" w:hAnsi="宋体" w:cs="宋体"/>
          <w:color w:val="auto"/>
          <w:sz w:val="24"/>
          <w:szCs w:val="24"/>
        </w:rPr>
        <w:t xml:space="preserve"> 天</w:t>
      </w:r>
      <w:r>
        <w:rPr>
          <w:rFonts w:hint="eastAsia" w:ascii="宋体" w:hAnsi="宋体" w:cs="宋体"/>
          <w:color w:val="auto"/>
          <w:sz w:val="24"/>
          <w:szCs w:val="24"/>
        </w:rPr>
        <w:t xml:space="preserve">）的，委托人有权部分或全部解除合同。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8、对于承包人提交的现场签证资料，监理人未有准确、真实的现场原始记录或不进行现场复核就给予签认，经委托人检查，发现签认的文件有误的，除立即改正外，监理人承担一般违约责任 1 次；对签证错误有可能给委托人造成直接经济损失 10 万元（含 10 万元）以上的，按严重违约</w:t>
      </w:r>
      <w:r>
        <w:rPr>
          <w:rFonts w:ascii="宋体" w:hAnsi="宋体" w:cs="宋体"/>
          <w:color w:val="auto"/>
          <w:sz w:val="24"/>
          <w:szCs w:val="24"/>
        </w:rPr>
        <w:t xml:space="preserve"> </w:t>
      </w:r>
      <w:r>
        <w:rPr>
          <w:rFonts w:hint="eastAsia" w:ascii="宋体" w:hAnsi="宋体" w:cs="宋体"/>
          <w:color w:val="auto"/>
          <w:sz w:val="24"/>
          <w:szCs w:val="24"/>
        </w:rPr>
        <w:t>1</w:t>
      </w:r>
      <w:r>
        <w:rPr>
          <w:rFonts w:ascii="宋体" w:hAnsi="宋体" w:cs="宋体"/>
          <w:color w:val="auto"/>
          <w:sz w:val="24"/>
          <w:szCs w:val="24"/>
        </w:rPr>
        <w:t xml:space="preserve"> 次处理；如因监理人故意造成的，则按本合同专用</w:t>
      </w:r>
      <w:r>
        <w:rPr>
          <w:rFonts w:hint="eastAsia" w:ascii="宋体" w:hAnsi="宋体" w:cs="宋体"/>
          <w:color w:val="auto"/>
          <w:sz w:val="24"/>
          <w:szCs w:val="24"/>
        </w:rPr>
        <w:t>条款第</w:t>
      </w:r>
      <w:r>
        <w:rPr>
          <w:rFonts w:ascii="宋体" w:hAnsi="宋体" w:cs="宋体"/>
          <w:color w:val="auto"/>
          <w:sz w:val="24"/>
          <w:szCs w:val="24"/>
        </w:rPr>
        <w:t xml:space="preserve"> </w:t>
      </w:r>
      <w:r>
        <w:rPr>
          <w:rFonts w:hint="eastAsia" w:ascii="宋体" w:hAnsi="宋体" w:cs="宋体"/>
          <w:color w:val="auto"/>
          <w:sz w:val="24"/>
          <w:szCs w:val="24"/>
        </w:rPr>
        <w:t>26</w:t>
      </w:r>
      <w:r>
        <w:rPr>
          <w:rFonts w:ascii="宋体" w:hAnsi="宋体" w:cs="宋体"/>
          <w:color w:val="auto"/>
          <w:sz w:val="24"/>
          <w:szCs w:val="24"/>
        </w:rPr>
        <w:t xml:space="preserve"> 条</w:t>
      </w:r>
      <w:r>
        <w:rPr>
          <w:rFonts w:hint="eastAsia" w:ascii="宋体" w:hAnsi="宋体" w:cs="宋体"/>
          <w:color w:val="auto"/>
          <w:sz w:val="24"/>
          <w:szCs w:val="24"/>
        </w:rPr>
        <w:t>（一）款</w:t>
      </w:r>
      <w:r>
        <w:rPr>
          <w:rFonts w:ascii="宋体" w:hAnsi="宋体" w:cs="宋体"/>
          <w:color w:val="auto"/>
          <w:sz w:val="24"/>
          <w:szCs w:val="24"/>
        </w:rPr>
        <w:t xml:space="preserve"> </w:t>
      </w:r>
      <w:r>
        <w:rPr>
          <w:rFonts w:hint="eastAsia" w:ascii="宋体" w:hAnsi="宋体" w:cs="宋体"/>
          <w:color w:val="auto"/>
          <w:sz w:val="24"/>
          <w:szCs w:val="24"/>
        </w:rPr>
        <w:t>6</w:t>
      </w:r>
      <w:r>
        <w:rPr>
          <w:rFonts w:ascii="宋体" w:hAnsi="宋体" w:cs="宋体"/>
          <w:color w:val="auto"/>
          <w:sz w:val="24"/>
          <w:szCs w:val="24"/>
        </w:rPr>
        <w:t xml:space="preserve"> 项执</w:t>
      </w:r>
      <w:r>
        <w:rPr>
          <w:rFonts w:hint="eastAsia" w:ascii="宋体" w:hAnsi="宋体" w:cs="宋体"/>
          <w:color w:val="auto"/>
          <w:sz w:val="24"/>
          <w:szCs w:val="24"/>
        </w:rPr>
        <w:t>行；对于现场签证（含工程数量、单价等）未经过监理人注册造价工程师审核、或经过注册造价工程师审核但未在规定时间内报送委托人，除必须立即改正外，每累计出现</w:t>
      </w:r>
      <w:r>
        <w:rPr>
          <w:rFonts w:ascii="宋体" w:hAnsi="宋体" w:cs="宋体"/>
          <w:color w:val="auto"/>
          <w:sz w:val="24"/>
          <w:szCs w:val="24"/>
        </w:rPr>
        <w:t xml:space="preserve"> </w:t>
      </w:r>
      <w:r>
        <w:rPr>
          <w:rFonts w:hint="eastAsia" w:ascii="宋体" w:hAnsi="宋体" w:cs="宋体"/>
          <w:color w:val="auto"/>
          <w:sz w:val="24"/>
          <w:szCs w:val="24"/>
        </w:rPr>
        <w:t>2</w:t>
      </w:r>
      <w:r>
        <w:rPr>
          <w:rFonts w:ascii="宋体" w:hAnsi="宋体" w:cs="宋体"/>
          <w:color w:val="auto"/>
          <w:sz w:val="24"/>
          <w:szCs w:val="24"/>
        </w:rPr>
        <w:t xml:space="preserve"> 次，监理人必</w:t>
      </w:r>
      <w:r>
        <w:rPr>
          <w:rFonts w:hint="eastAsia" w:ascii="宋体" w:hAnsi="宋体" w:cs="宋体"/>
          <w:color w:val="auto"/>
          <w:sz w:val="24"/>
          <w:szCs w:val="24"/>
        </w:rPr>
        <w:t xml:space="preserve">须承担一般违约责任 1 次。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9、对承包人提交的施工方案、设计变更以及施工图、深化设计图等技术文件，监理人对其中明显不符合现场实际的部分，或者与招投标文件不符、会引起委托人投资增加、工期延误的部分，不进行认真审核、不进行优化就给予同意的，除必须限期改正外，每发生一次，监理人必须承担</w:t>
      </w:r>
      <w:r>
        <w:rPr>
          <w:rFonts w:ascii="宋体" w:hAnsi="宋体" w:cs="宋体"/>
          <w:color w:val="auto"/>
          <w:sz w:val="24"/>
          <w:szCs w:val="24"/>
        </w:rPr>
        <w:t xml:space="preserve"> </w:t>
      </w:r>
      <w:r>
        <w:rPr>
          <w:rFonts w:hint="eastAsia" w:ascii="宋体" w:hAnsi="宋体" w:cs="宋体"/>
          <w:color w:val="auto"/>
          <w:sz w:val="24"/>
          <w:szCs w:val="24"/>
        </w:rPr>
        <w:t>1</w:t>
      </w:r>
      <w:r>
        <w:rPr>
          <w:rFonts w:ascii="宋体" w:hAnsi="宋体" w:cs="宋体"/>
          <w:color w:val="auto"/>
          <w:sz w:val="24"/>
          <w:szCs w:val="24"/>
        </w:rPr>
        <w:t xml:space="preserve"> </w:t>
      </w:r>
      <w:r>
        <w:rPr>
          <w:rFonts w:hint="eastAsia" w:ascii="宋体" w:hAnsi="宋体" w:cs="宋体"/>
          <w:color w:val="auto"/>
          <w:sz w:val="24"/>
          <w:szCs w:val="24"/>
        </w:rPr>
        <w:t>次一般违约责任，情节严重的，委托人可视情况要求监理人承担严重违约责任。对承包人提交的施工方案、设计变更等技术文件，监理人应当在</w:t>
      </w:r>
      <w:r>
        <w:rPr>
          <w:rFonts w:ascii="宋体" w:hAnsi="宋体" w:cs="宋体"/>
          <w:color w:val="auto"/>
          <w:sz w:val="24"/>
          <w:szCs w:val="24"/>
        </w:rPr>
        <w:t xml:space="preserve"> </w:t>
      </w:r>
      <w:r>
        <w:rPr>
          <w:rFonts w:hint="eastAsia" w:ascii="宋体" w:hAnsi="宋体" w:cs="宋体"/>
          <w:color w:val="auto"/>
          <w:sz w:val="24"/>
          <w:szCs w:val="24"/>
        </w:rPr>
        <w:t>3</w:t>
      </w:r>
      <w:r>
        <w:rPr>
          <w:rFonts w:ascii="宋体" w:hAnsi="宋体" w:cs="宋体"/>
          <w:color w:val="auto"/>
          <w:sz w:val="24"/>
          <w:szCs w:val="24"/>
        </w:rPr>
        <w:t xml:space="preserve"> 日内予以批复，监理人未及</w:t>
      </w:r>
      <w:r>
        <w:rPr>
          <w:rFonts w:hint="eastAsia" w:ascii="宋体" w:hAnsi="宋体" w:cs="宋体"/>
          <w:color w:val="auto"/>
          <w:sz w:val="24"/>
          <w:szCs w:val="24"/>
        </w:rPr>
        <w:t>时批复的，视延误程度，监理人承担一般违约责任</w:t>
      </w:r>
      <w:r>
        <w:rPr>
          <w:rFonts w:ascii="宋体" w:hAnsi="宋体" w:cs="宋体"/>
          <w:color w:val="auto"/>
          <w:sz w:val="24"/>
          <w:szCs w:val="24"/>
        </w:rPr>
        <w:t xml:space="preserve"> </w:t>
      </w:r>
      <w:r>
        <w:rPr>
          <w:rFonts w:hint="eastAsia" w:ascii="宋体" w:hAnsi="宋体" w:cs="宋体"/>
          <w:color w:val="auto"/>
          <w:sz w:val="24"/>
          <w:szCs w:val="24"/>
        </w:rPr>
        <w:t>1</w:t>
      </w:r>
      <w:r>
        <w:rPr>
          <w:rFonts w:ascii="宋体" w:hAnsi="宋体" w:cs="宋体"/>
          <w:color w:val="auto"/>
          <w:sz w:val="24"/>
          <w:szCs w:val="24"/>
        </w:rPr>
        <w:t xml:space="preserve"> 次或严重违约责任 </w:t>
      </w:r>
      <w:r>
        <w:rPr>
          <w:rFonts w:hint="eastAsia" w:ascii="宋体" w:hAnsi="宋体" w:cs="宋体"/>
          <w:color w:val="auto"/>
          <w:sz w:val="24"/>
          <w:szCs w:val="24"/>
        </w:rPr>
        <w:t>1</w:t>
      </w:r>
      <w:r>
        <w:rPr>
          <w:rFonts w:ascii="宋体" w:hAnsi="宋体" w:cs="宋体"/>
          <w:color w:val="auto"/>
          <w:sz w:val="24"/>
          <w:szCs w:val="24"/>
        </w:rPr>
        <w:t xml:space="preserve"> 次；须转报委托人审</w:t>
      </w:r>
      <w:r>
        <w:rPr>
          <w:rFonts w:hint="eastAsia" w:ascii="宋体" w:hAnsi="宋体" w:cs="宋体"/>
          <w:color w:val="auto"/>
          <w:sz w:val="24"/>
          <w:szCs w:val="24"/>
        </w:rPr>
        <w:t>批的，监理人应在</w:t>
      </w:r>
      <w:r>
        <w:rPr>
          <w:rFonts w:ascii="宋体" w:hAnsi="宋体" w:cs="宋体"/>
          <w:color w:val="auto"/>
          <w:sz w:val="24"/>
          <w:szCs w:val="24"/>
        </w:rPr>
        <w:t xml:space="preserve"> </w:t>
      </w:r>
      <w:r>
        <w:rPr>
          <w:rFonts w:hint="eastAsia" w:ascii="宋体" w:hAnsi="宋体" w:cs="宋体"/>
          <w:color w:val="auto"/>
          <w:sz w:val="24"/>
          <w:szCs w:val="24"/>
        </w:rPr>
        <w:t>3</w:t>
      </w:r>
      <w:r>
        <w:rPr>
          <w:rFonts w:ascii="宋体" w:hAnsi="宋体" w:cs="宋体"/>
          <w:color w:val="auto"/>
          <w:sz w:val="24"/>
          <w:szCs w:val="24"/>
        </w:rPr>
        <w:t xml:space="preserve"> 日内出具审核意见报委托人，监理人未在 </w:t>
      </w:r>
      <w:r>
        <w:rPr>
          <w:rFonts w:hint="eastAsia" w:ascii="宋体" w:hAnsi="宋体" w:cs="宋体"/>
          <w:color w:val="auto"/>
          <w:sz w:val="24"/>
          <w:szCs w:val="24"/>
        </w:rPr>
        <w:t>3</w:t>
      </w:r>
      <w:r>
        <w:rPr>
          <w:rFonts w:ascii="宋体" w:hAnsi="宋体" w:cs="宋体"/>
          <w:color w:val="auto"/>
          <w:sz w:val="24"/>
          <w:szCs w:val="24"/>
        </w:rPr>
        <w:t xml:space="preserve"> 日内报委托人或未出具审核意</w:t>
      </w:r>
      <w:r>
        <w:rPr>
          <w:rFonts w:hint="eastAsia" w:ascii="宋体" w:hAnsi="宋体" w:cs="宋体"/>
          <w:color w:val="auto"/>
          <w:sz w:val="24"/>
          <w:szCs w:val="24"/>
        </w:rPr>
        <w:t>见的，监理人除必须限期改正外，监理人必须承担一般违约责任</w:t>
      </w:r>
      <w:r>
        <w:rPr>
          <w:rFonts w:ascii="宋体" w:hAnsi="宋体" w:cs="宋体"/>
          <w:color w:val="auto"/>
          <w:sz w:val="24"/>
          <w:szCs w:val="24"/>
        </w:rPr>
        <w:t xml:space="preserve"> </w:t>
      </w:r>
      <w:r>
        <w:rPr>
          <w:rFonts w:hint="eastAsia" w:ascii="宋体" w:hAnsi="宋体" w:cs="宋体"/>
          <w:color w:val="auto"/>
          <w:sz w:val="24"/>
          <w:szCs w:val="24"/>
        </w:rPr>
        <w:t>1</w:t>
      </w:r>
      <w:r>
        <w:rPr>
          <w:rFonts w:ascii="宋体" w:hAnsi="宋体" w:cs="宋体"/>
          <w:color w:val="auto"/>
          <w:sz w:val="24"/>
          <w:szCs w:val="24"/>
        </w:rPr>
        <w:t xml:space="preserve"> 次。承包人提交给监理人审</w:t>
      </w:r>
      <w:r>
        <w:rPr>
          <w:rFonts w:hint="eastAsia" w:ascii="宋体" w:hAnsi="宋体" w:cs="宋体"/>
          <w:color w:val="auto"/>
          <w:sz w:val="24"/>
          <w:szCs w:val="24"/>
        </w:rPr>
        <w:t>核的资料或文件存在错误须承包人改正的，监理人应将所有错误一次性要求承包人改正，监理人要求承包人反复修改拖延时间的，委托人有权给予书面警告并限期改正，监理人拒不限期改正的，应承担</w:t>
      </w:r>
      <w:r>
        <w:rPr>
          <w:rFonts w:ascii="宋体" w:hAnsi="宋体" w:cs="宋体"/>
          <w:color w:val="auto"/>
          <w:sz w:val="24"/>
          <w:szCs w:val="24"/>
        </w:rPr>
        <w:t xml:space="preserve"> </w:t>
      </w:r>
      <w:r>
        <w:rPr>
          <w:rFonts w:hint="eastAsia" w:ascii="宋体" w:hAnsi="宋体" w:cs="宋体"/>
          <w:color w:val="auto"/>
          <w:sz w:val="24"/>
          <w:szCs w:val="24"/>
        </w:rPr>
        <w:t>1</w:t>
      </w:r>
      <w:r>
        <w:rPr>
          <w:rFonts w:ascii="宋体" w:hAnsi="宋体" w:cs="宋体"/>
          <w:color w:val="auto"/>
          <w:sz w:val="24"/>
          <w:szCs w:val="24"/>
        </w:rPr>
        <w:t xml:space="preserve"> </w:t>
      </w:r>
      <w:r>
        <w:rPr>
          <w:rFonts w:hint="eastAsia" w:ascii="宋体" w:hAnsi="宋体" w:cs="宋体"/>
          <w:color w:val="auto"/>
          <w:sz w:val="24"/>
          <w:szCs w:val="24"/>
        </w:rPr>
        <w:t>次一般违约责任。</w:t>
      </w:r>
      <w:r>
        <w:rPr>
          <w:rFonts w:ascii="宋体" w:hAnsi="宋体" w:cs="宋体"/>
          <w:color w:val="auto"/>
          <w:sz w:val="24"/>
          <w:szCs w:val="24"/>
        </w:rPr>
        <w:t xml:space="preserve">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10、监理人未履行本合同约定的文明施工管理责任的，委托人可发出书面警告要求其限期改正，委托人发出书面警告后，监理人在整改期限内仍不加以改正的，每发生一次，监理人承担一次一般违约责任。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11、监理人应当按时对承包人的申请计量事项予以审批，并对申请计量事项的真实性、准确性负责。监理人派驻的专业工程师应对承包人提交的计量报表认真审核并予以确认，监理人对不合格工程同意计量，以及计量数量严重不实、资料不齐全同意计量的，除必须立即改正外，</w:t>
      </w:r>
      <w:r>
        <w:rPr>
          <w:rFonts w:ascii="宋体" w:hAnsi="宋体" w:cs="宋体"/>
          <w:color w:val="auto"/>
          <w:sz w:val="24"/>
          <w:szCs w:val="24"/>
        </w:rPr>
        <w:t xml:space="preserve"> </w:t>
      </w:r>
      <w:r>
        <w:rPr>
          <w:rFonts w:hint="eastAsia" w:ascii="宋体" w:hAnsi="宋体" w:cs="宋体"/>
          <w:color w:val="auto"/>
          <w:sz w:val="24"/>
          <w:szCs w:val="24"/>
        </w:rPr>
        <w:t>监理人应当承担一般违约责任</w:t>
      </w:r>
      <w:r>
        <w:rPr>
          <w:rFonts w:ascii="宋体" w:hAnsi="宋体" w:cs="宋体"/>
          <w:color w:val="auto"/>
          <w:sz w:val="24"/>
          <w:szCs w:val="24"/>
        </w:rPr>
        <w:t xml:space="preserve"> </w:t>
      </w:r>
      <w:r>
        <w:rPr>
          <w:rFonts w:hint="eastAsia" w:ascii="宋体" w:hAnsi="宋体" w:cs="宋体"/>
          <w:color w:val="auto"/>
          <w:sz w:val="24"/>
          <w:szCs w:val="24"/>
        </w:rPr>
        <w:t>1</w:t>
      </w:r>
      <w:r>
        <w:rPr>
          <w:rFonts w:ascii="宋体" w:hAnsi="宋体" w:cs="宋体"/>
          <w:color w:val="auto"/>
          <w:sz w:val="24"/>
          <w:szCs w:val="24"/>
        </w:rPr>
        <w:t xml:space="preserve"> 次，情节严重的应承</w:t>
      </w:r>
      <w:r>
        <w:rPr>
          <w:rFonts w:hint="eastAsia" w:ascii="宋体" w:hAnsi="宋体" w:cs="宋体"/>
          <w:color w:val="auto"/>
          <w:sz w:val="24"/>
          <w:szCs w:val="24"/>
        </w:rPr>
        <w:t>担严重违约责任</w:t>
      </w:r>
      <w:r>
        <w:rPr>
          <w:rFonts w:ascii="宋体" w:hAnsi="宋体" w:cs="宋体"/>
          <w:color w:val="auto"/>
          <w:sz w:val="24"/>
          <w:szCs w:val="24"/>
        </w:rPr>
        <w:t xml:space="preserve"> </w:t>
      </w:r>
      <w:r>
        <w:rPr>
          <w:rFonts w:hint="eastAsia" w:ascii="宋体" w:hAnsi="宋体" w:cs="宋体"/>
          <w:color w:val="auto"/>
          <w:sz w:val="24"/>
          <w:szCs w:val="24"/>
        </w:rPr>
        <w:t>1</w:t>
      </w:r>
      <w:r>
        <w:rPr>
          <w:rFonts w:ascii="宋体" w:hAnsi="宋体" w:cs="宋体"/>
          <w:color w:val="auto"/>
          <w:sz w:val="24"/>
          <w:szCs w:val="24"/>
        </w:rPr>
        <w:t xml:space="preserve"> 次，给委托人造成损失</w:t>
      </w:r>
      <w:r>
        <w:rPr>
          <w:rFonts w:hint="eastAsia" w:ascii="宋体" w:hAnsi="宋体" w:cs="宋体"/>
          <w:color w:val="auto"/>
          <w:sz w:val="24"/>
          <w:szCs w:val="24"/>
        </w:rPr>
        <w:t xml:space="preserve">的，应当赔偿损失。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12、对于承包人提交的请款报告，监理人不按实际完成的工作量进行审核，或不按本合同要求签署拨款意见，被审查发现后，必须限期改正，如监理人审核的当期支付金额超过经过委托人复核的实际应付金额</w:t>
      </w:r>
      <w:r>
        <w:rPr>
          <w:rFonts w:ascii="宋体" w:hAnsi="宋体" w:cs="宋体"/>
          <w:color w:val="auto"/>
          <w:sz w:val="24"/>
          <w:szCs w:val="24"/>
        </w:rPr>
        <w:t xml:space="preserve"> </w:t>
      </w:r>
      <w:r>
        <w:rPr>
          <w:rFonts w:hint="eastAsia" w:ascii="宋体" w:hAnsi="宋体" w:cs="宋体"/>
          <w:color w:val="auto"/>
          <w:sz w:val="24"/>
          <w:szCs w:val="24"/>
        </w:rPr>
        <w:t>5％以上的，监理人必须承担一般违约责任</w:t>
      </w:r>
      <w:r>
        <w:rPr>
          <w:rFonts w:ascii="宋体" w:hAnsi="宋体" w:cs="宋体"/>
          <w:color w:val="auto"/>
          <w:sz w:val="24"/>
          <w:szCs w:val="24"/>
        </w:rPr>
        <w:t xml:space="preserve"> </w:t>
      </w:r>
      <w:r>
        <w:rPr>
          <w:rFonts w:hint="eastAsia" w:ascii="宋体" w:hAnsi="宋体" w:cs="宋体"/>
          <w:color w:val="auto"/>
          <w:sz w:val="24"/>
          <w:szCs w:val="24"/>
        </w:rPr>
        <w:t>1</w:t>
      </w:r>
      <w:r>
        <w:rPr>
          <w:rFonts w:ascii="宋体" w:hAnsi="宋体" w:cs="宋体"/>
          <w:color w:val="auto"/>
          <w:sz w:val="24"/>
          <w:szCs w:val="24"/>
        </w:rPr>
        <w:t xml:space="preserve"> 次，超过 </w:t>
      </w:r>
      <w:r>
        <w:rPr>
          <w:rFonts w:hint="eastAsia" w:ascii="宋体" w:hAnsi="宋体" w:cs="宋体"/>
          <w:color w:val="auto"/>
          <w:sz w:val="24"/>
          <w:szCs w:val="24"/>
        </w:rPr>
        <w:t>10%的，应承担严重违约责任</w:t>
      </w:r>
      <w:r>
        <w:rPr>
          <w:rFonts w:ascii="宋体" w:hAnsi="宋体" w:cs="宋体"/>
          <w:color w:val="auto"/>
          <w:sz w:val="24"/>
          <w:szCs w:val="24"/>
        </w:rPr>
        <w:t xml:space="preserve"> </w:t>
      </w:r>
      <w:r>
        <w:rPr>
          <w:rFonts w:hint="eastAsia" w:ascii="宋体" w:hAnsi="宋体" w:cs="宋体"/>
          <w:color w:val="auto"/>
          <w:sz w:val="24"/>
          <w:szCs w:val="24"/>
        </w:rPr>
        <w:t>1</w:t>
      </w:r>
      <w:r>
        <w:rPr>
          <w:rFonts w:ascii="宋体" w:hAnsi="宋体" w:cs="宋体"/>
          <w:color w:val="auto"/>
          <w:sz w:val="24"/>
          <w:szCs w:val="24"/>
        </w:rPr>
        <w:t xml:space="preserve"> 次。若由此给委托人造成 </w:t>
      </w:r>
      <w:r>
        <w:rPr>
          <w:rFonts w:hint="eastAsia" w:ascii="宋体" w:hAnsi="宋体" w:cs="宋体"/>
          <w:color w:val="auto"/>
          <w:sz w:val="24"/>
          <w:szCs w:val="24"/>
        </w:rPr>
        <w:t>50</w:t>
      </w:r>
      <w:r>
        <w:rPr>
          <w:rFonts w:ascii="宋体" w:hAnsi="宋体" w:cs="宋体"/>
          <w:color w:val="auto"/>
          <w:sz w:val="24"/>
          <w:szCs w:val="24"/>
        </w:rPr>
        <w:t xml:space="preserve"> 万元以上</w:t>
      </w:r>
      <w:r>
        <w:rPr>
          <w:rFonts w:hint="eastAsia" w:ascii="宋体" w:hAnsi="宋体" w:cs="宋体"/>
          <w:color w:val="auto"/>
          <w:sz w:val="24"/>
          <w:szCs w:val="24"/>
        </w:rPr>
        <w:t>（含</w:t>
      </w:r>
      <w:r>
        <w:rPr>
          <w:rFonts w:ascii="宋体" w:hAnsi="宋体" w:cs="宋体"/>
          <w:color w:val="auto"/>
          <w:sz w:val="24"/>
          <w:szCs w:val="24"/>
        </w:rPr>
        <w:t xml:space="preserve"> </w:t>
      </w:r>
      <w:r>
        <w:rPr>
          <w:rFonts w:hint="eastAsia" w:ascii="宋体" w:hAnsi="宋体" w:cs="宋体"/>
          <w:color w:val="auto"/>
          <w:sz w:val="24"/>
          <w:szCs w:val="24"/>
        </w:rPr>
        <w:t>50</w:t>
      </w:r>
      <w:r>
        <w:rPr>
          <w:rFonts w:ascii="宋体" w:hAnsi="宋体" w:cs="宋体"/>
          <w:color w:val="auto"/>
          <w:sz w:val="24"/>
          <w:szCs w:val="24"/>
        </w:rPr>
        <w:t xml:space="preserve"> 万元</w:t>
      </w:r>
      <w:r>
        <w:rPr>
          <w:rFonts w:hint="eastAsia" w:ascii="宋体" w:hAnsi="宋体" w:cs="宋体"/>
          <w:color w:val="auto"/>
          <w:sz w:val="24"/>
          <w:szCs w:val="24"/>
        </w:rPr>
        <w:t xml:space="preserve">）损失的，监理人除必须承担相应的经济赔偿外，委托人将视情况部分或全部解除合同。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13、监理人同时发生本合同专用条款第</w:t>
      </w:r>
      <w:r>
        <w:rPr>
          <w:rFonts w:ascii="宋体" w:hAnsi="宋体" w:cs="宋体"/>
          <w:color w:val="auto"/>
          <w:sz w:val="24"/>
          <w:szCs w:val="24"/>
        </w:rPr>
        <w:t xml:space="preserve"> </w:t>
      </w:r>
      <w:r>
        <w:rPr>
          <w:rFonts w:hint="eastAsia" w:ascii="宋体" w:hAnsi="宋体" w:cs="宋体"/>
          <w:color w:val="auto"/>
          <w:sz w:val="24"/>
          <w:szCs w:val="24"/>
        </w:rPr>
        <w:t>26</w:t>
      </w:r>
      <w:r>
        <w:rPr>
          <w:rFonts w:ascii="宋体" w:hAnsi="宋体" w:cs="宋体"/>
          <w:color w:val="auto"/>
          <w:sz w:val="24"/>
          <w:szCs w:val="24"/>
        </w:rPr>
        <w:t xml:space="preserve"> 条</w:t>
      </w:r>
      <w:r>
        <w:rPr>
          <w:rFonts w:hint="eastAsia" w:ascii="宋体" w:hAnsi="宋体" w:cs="宋体"/>
          <w:color w:val="auto"/>
          <w:sz w:val="24"/>
          <w:szCs w:val="24"/>
        </w:rPr>
        <w:t>（四）款</w:t>
      </w:r>
      <w:r>
        <w:rPr>
          <w:rFonts w:ascii="宋体" w:hAnsi="宋体" w:cs="宋体"/>
          <w:color w:val="auto"/>
          <w:sz w:val="24"/>
          <w:szCs w:val="24"/>
        </w:rPr>
        <w:t xml:space="preserve"> </w:t>
      </w:r>
      <w:r>
        <w:rPr>
          <w:rFonts w:hint="eastAsia" w:ascii="宋体" w:hAnsi="宋体" w:cs="宋体"/>
          <w:color w:val="auto"/>
          <w:sz w:val="24"/>
          <w:szCs w:val="24"/>
        </w:rPr>
        <w:t>8、9、11、12</w:t>
      </w:r>
      <w:r>
        <w:rPr>
          <w:rFonts w:ascii="宋体" w:hAnsi="宋体" w:cs="宋体"/>
          <w:color w:val="auto"/>
          <w:sz w:val="24"/>
          <w:szCs w:val="24"/>
        </w:rPr>
        <w:t xml:space="preserve"> 项约定的违约行为且</w:t>
      </w:r>
      <w:r>
        <w:rPr>
          <w:rFonts w:hint="eastAsia" w:ascii="宋体" w:hAnsi="宋体" w:cs="宋体"/>
          <w:color w:val="auto"/>
          <w:sz w:val="24"/>
          <w:szCs w:val="24"/>
        </w:rPr>
        <w:t>情节严重的，视同监理人和承包人串通作假，委托人有权单方解除合同，造成委托人损失的，</w:t>
      </w:r>
      <w:r>
        <w:rPr>
          <w:rFonts w:ascii="宋体" w:hAnsi="宋体" w:cs="宋体"/>
          <w:color w:val="auto"/>
          <w:sz w:val="24"/>
          <w:szCs w:val="24"/>
        </w:rPr>
        <w:t xml:space="preserve"> </w:t>
      </w:r>
      <w:r>
        <w:rPr>
          <w:rFonts w:hint="eastAsia" w:ascii="宋体" w:hAnsi="宋体" w:cs="宋体"/>
          <w:color w:val="auto"/>
          <w:sz w:val="24"/>
          <w:szCs w:val="24"/>
        </w:rPr>
        <w:t>委托人有权按本合同专用条款第</w:t>
      </w:r>
      <w:r>
        <w:rPr>
          <w:rFonts w:ascii="宋体" w:hAnsi="宋体" w:cs="宋体"/>
          <w:color w:val="auto"/>
          <w:sz w:val="24"/>
          <w:szCs w:val="24"/>
        </w:rPr>
        <w:t xml:space="preserve"> </w:t>
      </w:r>
      <w:r>
        <w:rPr>
          <w:rFonts w:hint="eastAsia" w:ascii="宋体" w:hAnsi="宋体" w:cs="宋体"/>
          <w:color w:val="auto"/>
          <w:sz w:val="24"/>
          <w:szCs w:val="24"/>
        </w:rPr>
        <w:t>26</w:t>
      </w:r>
      <w:r>
        <w:rPr>
          <w:rFonts w:ascii="宋体" w:hAnsi="宋体" w:cs="宋体"/>
          <w:color w:val="auto"/>
          <w:sz w:val="24"/>
          <w:szCs w:val="24"/>
        </w:rPr>
        <w:t xml:space="preserve"> 条</w:t>
      </w:r>
      <w:r>
        <w:rPr>
          <w:rFonts w:hint="eastAsia" w:ascii="宋体" w:hAnsi="宋体" w:cs="宋体"/>
          <w:color w:val="auto"/>
          <w:sz w:val="24"/>
          <w:szCs w:val="24"/>
        </w:rPr>
        <w:t>（一）款</w:t>
      </w:r>
      <w:r>
        <w:rPr>
          <w:rFonts w:ascii="宋体" w:hAnsi="宋体" w:cs="宋体"/>
          <w:color w:val="auto"/>
          <w:sz w:val="24"/>
          <w:szCs w:val="24"/>
        </w:rPr>
        <w:t xml:space="preserve"> </w:t>
      </w:r>
      <w:r>
        <w:rPr>
          <w:rFonts w:hint="eastAsia" w:ascii="宋体" w:hAnsi="宋体" w:cs="宋体"/>
          <w:color w:val="auto"/>
          <w:sz w:val="24"/>
          <w:szCs w:val="24"/>
        </w:rPr>
        <w:t>6</w:t>
      </w:r>
      <w:r>
        <w:rPr>
          <w:rFonts w:ascii="宋体" w:hAnsi="宋体" w:cs="宋体"/>
          <w:color w:val="auto"/>
          <w:sz w:val="24"/>
          <w:szCs w:val="24"/>
        </w:rPr>
        <w:t xml:space="preserve"> 项的约定要求监理人承担赔偿责任。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14、监理人应设立专职安全管理人员，督促承包人建立安全生产保障体系，将安全责任制度落实到人。监理人应每月定期或不定期组织安全文明施工大检查，并将检查结果向委托人报告。承包人没有做好安全文明施工措施，没有按有关规定做到安全生产，或存在安全隐患，监理人未及时发现、不督促承包人进行整改，不作及时处理，不及时向委托人报告，被委托人发现后，委托人有权给予书面警告并限期改正，监理人拒不限期改正的，应承担</w:t>
      </w:r>
      <w:r>
        <w:rPr>
          <w:rFonts w:ascii="宋体" w:hAnsi="宋体" w:cs="宋体"/>
          <w:color w:val="auto"/>
          <w:sz w:val="24"/>
          <w:szCs w:val="24"/>
        </w:rPr>
        <w:t xml:space="preserve"> </w:t>
      </w:r>
      <w:r>
        <w:rPr>
          <w:rFonts w:hint="eastAsia" w:ascii="宋体" w:hAnsi="宋体" w:cs="宋体"/>
          <w:color w:val="auto"/>
          <w:sz w:val="24"/>
          <w:szCs w:val="24"/>
        </w:rPr>
        <w:t>1</w:t>
      </w:r>
      <w:r>
        <w:rPr>
          <w:rFonts w:ascii="宋体" w:hAnsi="宋体" w:cs="宋体"/>
          <w:color w:val="auto"/>
          <w:sz w:val="24"/>
          <w:szCs w:val="24"/>
        </w:rPr>
        <w:t xml:space="preserve"> </w:t>
      </w:r>
      <w:r>
        <w:rPr>
          <w:rFonts w:hint="eastAsia" w:ascii="宋体" w:hAnsi="宋体" w:cs="宋体"/>
          <w:color w:val="auto"/>
          <w:sz w:val="24"/>
          <w:szCs w:val="24"/>
        </w:rPr>
        <w:t>次一般违约责任。由此而发生安全生产事故，或被上级主管部门通报批评、被新闻媒体曝光的，监理人应承担严重违约责任</w:t>
      </w:r>
      <w:r>
        <w:rPr>
          <w:rFonts w:ascii="宋体" w:hAnsi="宋体" w:cs="宋体"/>
          <w:color w:val="auto"/>
          <w:sz w:val="24"/>
          <w:szCs w:val="24"/>
        </w:rPr>
        <w:t xml:space="preserve"> </w:t>
      </w:r>
      <w:r>
        <w:rPr>
          <w:rFonts w:hint="eastAsia" w:ascii="宋体" w:hAnsi="宋体" w:cs="宋体"/>
          <w:color w:val="auto"/>
          <w:sz w:val="24"/>
          <w:szCs w:val="24"/>
        </w:rPr>
        <w:t>1</w:t>
      </w:r>
      <w:r>
        <w:rPr>
          <w:rFonts w:ascii="宋体" w:hAnsi="宋体" w:cs="宋体"/>
          <w:color w:val="auto"/>
          <w:sz w:val="24"/>
          <w:szCs w:val="24"/>
        </w:rPr>
        <w:t xml:space="preserve"> 次；情节严重的，委托人有权部分或全部解除合同。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15、本项目实施过程中，若发生重大安全责任事故，经核实监理单人负有管理责任的，监理人按每发生一次计人民币十万元承担违约责任。违约金按实际发生计算，没有上限。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16、监理人因在施工过程中发出错误指令、越权审批设计变更及其他因监理人自身失误或失职原因导致本合同工程在投资、工期、质量等方面给委托人造成损失的，委托人将要求监理人进行赔偿，累计赔偿总额不应超过监理报酬总额（除去税金）。具体约定为：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（1）因监理人原因造成工程投资增加的，委托人将根据工程投资的增加额与原计划投资额的比例，按相应比例双倍扣减监理报酬；若增加工程投资比例超过原计划投资额的 20%</w:t>
      </w:r>
      <w:r>
        <w:rPr>
          <w:rFonts w:hint="eastAsia" w:ascii="宋体" w:hAnsi="宋体" w:cs="宋体"/>
          <w:color w:val="auto"/>
          <w:spacing w:val="-6"/>
          <w:sz w:val="24"/>
          <w:szCs w:val="24"/>
        </w:rPr>
        <w:t>时，</w:t>
      </w:r>
      <w:r>
        <w:rPr>
          <w:rFonts w:ascii="宋体" w:hAnsi="宋体" w:cs="宋体"/>
          <w:color w:val="auto"/>
          <w:spacing w:val="-6"/>
          <w:sz w:val="24"/>
          <w:szCs w:val="24"/>
        </w:rPr>
        <w:t xml:space="preserve"> </w:t>
      </w:r>
      <w:r>
        <w:rPr>
          <w:rFonts w:hint="eastAsia" w:ascii="宋体" w:hAnsi="宋体" w:cs="宋体"/>
          <w:color w:val="auto"/>
          <w:spacing w:val="-2"/>
          <w:sz w:val="24"/>
          <w:szCs w:val="24"/>
        </w:rPr>
        <w:t>委托人有权单方解除本合同，并要求监理人赔偿委托人由此遭受的实际损失中的</w:t>
      </w:r>
      <w:r>
        <w:rPr>
          <w:rFonts w:ascii="宋体" w:hAnsi="宋体" w:cs="宋体"/>
          <w:color w:val="auto"/>
          <w:spacing w:val="-2"/>
          <w:sz w:val="24"/>
          <w:szCs w:val="24"/>
        </w:rPr>
        <w:t xml:space="preserve"> </w:t>
      </w:r>
      <w:r>
        <w:rPr>
          <w:rFonts w:hint="eastAsia" w:ascii="宋体" w:hAnsi="宋体" w:cs="宋体"/>
          <w:color w:val="auto"/>
          <w:sz w:val="24"/>
          <w:szCs w:val="24"/>
        </w:rPr>
        <w:t xml:space="preserve">50%。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pacing w:val="-6"/>
          <w:sz w:val="24"/>
          <w:szCs w:val="24"/>
        </w:rPr>
        <w:t>因监理人责任导致工期延误，其中分段工期延误日数占该段总工期的</w:t>
      </w:r>
      <w:r>
        <w:rPr>
          <w:rFonts w:ascii="宋体" w:hAnsi="宋体" w:cs="宋体"/>
          <w:color w:val="auto"/>
          <w:spacing w:val="-6"/>
          <w:sz w:val="24"/>
          <w:szCs w:val="24"/>
        </w:rPr>
        <w:t xml:space="preserve"> </w:t>
      </w:r>
      <w:r>
        <w:rPr>
          <w:rFonts w:hint="eastAsia" w:ascii="宋体" w:hAnsi="宋体" w:cs="宋体"/>
          <w:color w:val="auto"/>
          <w:sz w:val="24"/>
          <w:szCs w:val="24"/>
        </w:rPr>
        <w:t>30%</w:t>
      </w:r>
      <w:r>
        <w:rPr>
          <w:rFonts w:hint="eastAsia" w:ascii="宋体" w:hAnsi="宋体" w:cs="宋体"/>
          <w:color w:val="auto"/>
          <w:spacing w:val="-14"/>
          <w:sz w:val="24"/>
          <w:szCs w:val="24"/>
        </w:rPr>
        <w:t>时，则委</w:t>
      </w:r>
      <w:r>
        <w:rPr>
          <w:rFonts w:hint="eastAsia" w:ascii="宋体" w:hAnsi="宋体" w:cs="宋体"/>
          <w:color w:val="auto"/>
          <w:spacing w:val="-7"/>
          <w:sz w:val="24"/>
          <w:szCs w:val="24"/>
        </w:rPr>
        <w:t>托人有权扣除该分段工程监理报酬的</w:t>
      </w:r>
      <w:r>
        <w:rPr>
          <w:rFonts w:ascii="宋体" w:hAnsi="宋体" w:cs="宋体"/>
          <w:color w:val="auto"/>
          <w:spacing w:val="-7"/>
          <w:sz w:val="24"/>
          <w:szCs w:val="24"/>
        </w:rPr>
        <w:t xml:space="preserve"> </w:t>
      </w:r>
      <w:r>
        <w:rPr>
          <w:rFonts w:hint="eastAsia" w:ascii="宋体" w:hAnsi="宋体" w:cs="宋体"/>
          <w:color w:val="auto"/>
          <w:sz w:val="24"/>
          <w:szCs w:val="24"/>
        </w:rPr>
        <w:t>60%；</w:t>
      </w:r>
      <w:r>
        <w:rPr>
          <w:rFonts w:hint="eastAsia" w:ascii="宋体" w:hAnsi="宋体" w:cs="宋体"/>
          <w:color w:val="auto"/>
          <w:spacing w:val="-3"/>
          <w:sz w:val="24"/>
          <w:szCs w:val="24"/>
        </w:rPr>
        <w:t>分段工期延误日数达到该段总工期的</w:t>
      </w:r>
      <w:r>
        <w:rPr>
          <w:rFonts w:ascii="宋体" w:hAnsi="宋体" w:cs="宋体"/>
          <w:color w:val="auto"/>
          <w:spacing w:val="-3"/>
          <w:sz w:val="24"/>
          <w:szCs w:val="24"/>
        </w:rPr>
        <w:t xml:space="preserve"> </w:t>
      </w:r>
      <w:r>
        <w:rPr>
          <w:rFonts w:hint="eastAsia" w:ascii="宋体" w:hAnsi="宋体" w:cs="宋体"/>
          <w:color w:val="auto"/>
          <w:sz w:val="24"/>
          <w:szCs w:val="24"/>
        </w:rPr>
        <w:t>50%时，则委</w:t>
      </w:r>
      <w:r>
        <w:rPr>
          <w:rFonts w:hint="eastAsia" w:ascii="宋体" w:hAnsi="宋体" w:cs="宋体"/>
          <w:color w:val="auto"/>
          <w:spacing w:val="-8"/>
          <w:sz w:val="24"/>
          <w:szCs w:val="24"/>
        </w:rPr>
        <w:t>托人有权单方解除本合同。因监理人责任导致工程竣工拖延的，依据拖延的日数，监理人应每</w:t>
      </w:r>
      <w:r>
        <w:rPr>
          <w:rFonts w:hint="eastAsia" w:ascii="宋体" w:hAnsi="宋体" w:cs="宋体"/>
          <w:color w:val="auto"/>
          <w:spacing w:val="-9"/>
          <w:sz w:val="24"/>
          <w:szCs w:val="24"/>
        </w:rPr>
        <w:t>日按监理报酬总额的</w:t>
      </w:r>
      <w:r>
        <w:rPr>
          <w:rFonts w:ascii="宋体" w:hAnsi="宋体" w:cs="宋体"/>
          <w:color w:val="auto"/>
          <w:spacing w:val="-9"/>
          <w:sz w:val="24"/>
          <w:szCs w:val="24"/>
        </w:rPr>
        <w:t xml:space="preserve"> </w:t>
      </w:r>
      <w:r>
        <w:rPr>
          <w:rFonts w:hint="eastAsia" w:ascii="宋体" w:hAnsi="宋体" w:cs="宋体"/>
          <w:color w:val="auto"/>
          <w:sz w:val="24"/>
          <w:szCs w:val="24"/>
        </w:rPr>
        <w:t>0.05%</w:t>
      </w:r>
      <w:r>
        <w:rPr>
          <w:rFonts w:hint="eastAsia" w:ascii="宋体" w:hAnsi="宋体" w:cs="宋体"/>
          <w:color w:val="auto"/>
          <w:spacing w:val="-3"/>
          <w:sz w:val="24"/>
          <w:szCs w:val="24"/>
        </w:rPr>
        <w:t>向委托人支付违约金。由于监理人责任导致工期延误，致使委托人要承担赔偿第三方责任的，监理人必须承担赔偿委托人由此遭受的实际损失。</w:t>
      </w:r>
      <w:r>
        <w:rPr>
          <w:rFonts w:ascii="宋体" w:hAnsi="宋体" w:cs="宋体"/>
          <w:color w:val="auto"/>
          <w:spacing w:val="-3"/>
          <w:sz w:val="24"/>
          <w:szCs w:val="24"/>
        </w:rPr>
        <w:t xml:space="preserve">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pacing w:val="-2"/>
          <w:sz w:val="24"/>
          <w:szCs w:val="24"/>
        </w:rPr>
        <w:t>因监理人责任造成质量事故，需要返工的，监理人应承担</w:t>
      </w:r>
      <w:r>
        <w:rPr>
          <w:rFonts w:ascii="宋体" w:hAnsi="宋体" w:cs="宋体"/>
          <w:color w:val="auto"/>
          <w:spacing w:val="-2"/>
          <w:sz w:val="24"/>
          <w:szCs w:val="24"/>
        </w:rPr>
        <w:t xml:space="preserve"> </w:t>
      </w:r>
      <w:r>
        <w:rPr>
          <w:rFonts w:hint="eastAsia" w:ascii="宋体" w:hAnsi="宋体" w:cs="宋体"/>
          <w:color w:val="auto"/>
          <w:sz w:val="24"/>
          <w:szCs w:val="24"/>
        </w:rPr>
        <w:t>1</w:t>
      </w:r>
      <w:r>
        <w:rPr>
          <w:rFonts w:ascii="宋体" w:hAnsi="宋体" w:cs="宋体"/>
          <w:color w:val="auto"/>
          <w:spacing w:val="-8"/>
          <w:sz w:val="24"/>
          <w:szCs w:val="24"/>
        </w:rPr>
        <w:t xml:space="preserve"> 次严重违约责任并双倍</w:t>
      </w:r>
      <w:r>
        <w:rPr>
          <w:rFonts w:hint="eastAsia" w:ascii="宋体" w:hAnsi="宋体" w:cs="宋体"/>
          <w:color w:val="auto"/>
          <w:spacing w:val="-7"/>
          <w:sz w:val="24"/>
          <w:szCs w:val="24"/>
        </w:rPr>
        <w:t>扣减该部分的监理报酬，同时监理人应赔偿委托人的实际损失；情节严重的，委托人有权单方</w:t>
      </w:r>
      <w:r>
        <w:rPr>
          <w:rFonts w:hint="eastAsia" w:ascii="宋体" w:hAnsi="宋体" w:cs="宋体"/>
          <w:color w:val="auto"/>
          <w:sz w:val="24"/>
          <w:szCs w:val="24"/>
        </w:rPr>
        <w:t xml:space="preserve">面解除合同，并有权要求监理人赔偿委托人由此遭受的经济损失。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17、对于工程施工过程中出现的工程变更，如当月由委托人确定的工程变更的单价或总价较监理人审定的单价或总价存在正负 10%以上的情况累计出现 2 宗以上（含 2 宗），监理人应当承担 1 次一般违约责任。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18、对于承包人不按时提交工程结算文件，监理人不按合同约定采取有效措施的，监理人应承担</w:t>
      </w:r>
      <w:r>
        <w:rPr>
          <w:rFonts w:ascii="宋体" w:hAnsi="宋体" w:cs="宋体"/>
          <w:color w:val="auto"/>
          <w:sz w:val="24"/>
          <w:szCs w:val="24"/>
        </w:rPr>
        <w:t xml:space="preserve"> </w:t>
      </w:r>
      <w:r>
        <w:rPr>
          <w:rFonts w:hint="eastAsia" w:ascii="宋体" w:hAnsi="宋体" w:cs="宋体"/>
          <w:color w:val="auto"/>
          <w:sz w:val="24"/>
          <w:szCs w:val="24"/>
        </w:rPr>
        <w:t>1</w:t>
      </w:r>
      <w:r>
        <w:rPr>
          <w:rFonts w:ascii="宋体" w:hAnsi="宋体" w:cs="宋体"/>
          <w:color w:val="auto"/>
          <w:sz w:val="24"/>
          <w:szCs w:val="24"/>
        </w:rPr>
        <w:t xml:space="preserve"> </w:t>
      </w:r>
      <w:r>
        <w:rPr>
          <w:rFonts w:hint="eastAsia" w:ascii="宋体" w:hAnsi="宋体" w:cs="宋体"/>
          <w:color w:val="auto"/>
          <w:sz w:val="24"/>
          <w:szCs w:val="24"/>
        </w:rPr>
        <w:t>次一般违约责任。监理人应在收到施工单位报送的结算书及必要的支持材料后</w:t>
      </w:r>
      <w:r>
        <w:rPr>
          <w:rFonts w:ascii="宋体" w:hAnsi="宋体" w:cs="宋体"/>
          <w:color w:val="auto"/>
          <w:sz w:val="24"/>
          <w:szCs w:val="24"/>
        </w:rPr>
        <w:t xml:space="preserve"> </w:t>
      </w:r>
      <w:r>
        <w:rPr>
          <w:rFonts w:hint="eastAsia" w:ascii="宋体" w:hAnsi="宋体" w:cs="宋体"/>
          <w:color w:val="auto"/>
          <w:sz w:val="24"/>
          <w:szCs w:val="24"/>
        </w:rPr>
        <w:t>10</w:t>
      </w:r>
      <w:r>
        <w:rPr>
          <w:rFonts w:ascii="宋体" w:hAnsi="宋体" w:cs="宋体"/>
          <w:color w:val="auto"/>
          <w:sz w:val="24"/>
          <w:szCs w:val="24"/>
        </w:rPr>
        <w:t xml:space="preserve"> 日</w:t>
      </w:r>
      <w:r>
        <w:rPr>
          <w:rFonts w:hint="eastAsia" w:ascii="宋体" w:hAnsi="宋体" w:cs="宋体"/>
          <w:color w:val="auto"/>
          <w:sz w:val="24"/>
          <w:szCs w:val="24"/>
        </w:rPr>
        <w:t>内完成结算书初审工作，并上报委托人审核。否则，每拖延一天，支付</w:t>
      </w:r>
      <w:r>
        <w:rPr>
          <w:rFonts w:ascii="宋体" w:hAnsi="宋体" w:cs="宋体"/>
          <w:color w:val="auto"/>
          <w:sz w:val="24"/>
          <w:szCs w:val="24"/>
        </w:rPr>
        <w:t xml:space="preserve"> </w:t>
      </w:r>
      <w:r>
        <w:rPr>
          <w:rFonts w:hint="eastAsia" w:ascii="宋体" w:hAnsi="宋体" w:cs="宋体"/>
          <w:color w:val="auto"/>
          <w:sz w:val="24"/>
          <w:szCs w:val="24"/>
        </w:rPr>
        <w:t>2000</w:t>
      </w:r>
      <w:r>
        <w:rPr>
          <w:rFonts w:ascii="宋体" w:hAnsi="宋体" w:cs="宋体"/>
          <w:color w:val="auto"/>
          <w:sz w:val="24"/>
          <w:szCs w:val="24"/>
        </w:rPr>
        <w:t xml:space="preserve"> 元违约金，以此</w:t>
      </w:r>
      <w:r>
        <w:rPr>
          <w:rFonts w:hint="eastAsia" w:ascii="宋体" w:hAnsi="宋体" w:cs="宋体"/>
          <w:color w:val="auto"/>
          <w:sz w:val="24"/>
          <w:szCs w:val="24"/>
        </w:rPr>
        <w:t xml:space="preserve">累计。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19、监理人根据合同约定对承包人提交的工程结算书（结算资料）进行审核，如最终由委托人审定的结算金额较由监理人审定的结算金额的差值大于正负 5</w:t>
      </w:r>
      <w:r>
        <w:rPr>
          <w:rFonts w:ascii="宋体" w:hAnsi="宋体" w:cs="宋体"/>
          <w:color w:val="auto"/>
          <w:sz w:val="24"/>
          <w:szCs w:val="24"/>
        </w:rPr>
        <w:t>%，则由监理人按下列计算</w:t>
      </w:r>
      <w:r>
        <w:rPr>
          <w:rFonts w:hint="eastAsia" w:ascii="宋体" w:hAnsi="宋体" w:cs="宋体"/>
          <w:color w:val="auto"/>
          <w:sz w:val="24"/>
          <w:szCs w:val="24"/>
        </w:rPr>
        <w:t>方法向委托人支付违约金，最多不超过本合同监理报酬总额的</w:t>
      </w:r>
      <w:r>
        <w:rPr>
          <w:rFonts w:ascii="宋体" w:hAnsi="宋体" w:cs="宋体"/>
          <w:color w:val="auto"/>
          <w:sz w:val="24"/>
          <w:szCs w:val="24"/>
        </w:rPr>
        <w:t xml:space="preserve"> </w:t>
      </w:r>
      <w:r>
        <w:rPr>
          <w:rFonts w:hint="eastAsia" w:ascii="宋体" w:hAnsi="宋体" w:cs="宋体"/>
          <w:color w:val="auto"/>
          <w:sz w:val="24"/>
          <w:szCs w:val="24"/>
        </w:rPr>
        <w:t xml:space="preserve">10%： </w:t>
      </w:r>
    </w:p>
    <w:p>
      <w:pPr>
        <w:pStyle w:val="12"/>
        <w:spacing w:after="0" w:line="362"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违约金=[ㄧ（A－B）/B ㄧ-5%]×C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其中：A-监理人审定的工程结算金额；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B-委托人审定的工程结算金额； C-监理合同报酬总额。 </w:t>
      </w:r>
    </w:p>
    <w:p>
      <w:pPr>
        <w:pStyle w:val="12"/>
        <w:spacing w:after="0" w:line="362"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（五）其他方面的违约责任：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1、监理人必须加强对监理人员职业操守、廉政建设的培训和教育，本项目监理人员利用职业身份“吃、拿、卡、要”或有其他违反职业操守及廉政建设相关规定的，一经查实，监理人应立即清退该监理人员，并承担</w:t>
      </w:r>
      <w:r>
        <w:rPr>
          <w:rFonts w:ascii="宋体" w:hAnsi="宋体" w:cs="宋体"/>
          <w:color w:val="auto"/>
          <w:sz w:val="24"/>
          <w:szCs w:val="24"/>
        </w:rPr>
        <w:t xml:space="preserve"> </w:t>
      </w:r>
      <w:r>
        <w:rPr>
          <w:rFonts w:hint="eastAsia" w:ascii="宋体" w:hAnsi="宋体" w:cs="宋体"/>
          <w:color w:val="auto"/>
          <w:sz w:val="24"/>
          <w:szCs w:val="24"/>
        </w:rPr>
        <w:t>1</w:t>
      </w:r>
      <w:r>
        <w:rPr>
          <w:rFonts w:ascii="宋体" w:hAnsi="宋体" w:cs="宋体"/>
          <w:color w:val="auto"/>
          <w:sz w:val="24"/>
          <w:szCs w:val="24"/>
        </w:rPr>
        <w:t xml:space="preserve"> 次严重违约，情节严重的，委托人有权部分或全部解除合同</w:t>
      </w:r>
      <w:r>
        <w:rPr>
          <w:rFonts w:hint="eastAsia" w:ascii="宋体" w:hAnsi="宋体" w:cs="宋体"/>
          <w:color w:val="auto"/>
          <w:sz w:val="24"/>
          <w:szCs w:val="24"/>
        </w:rPr>
        <w:t xml:space="preserve">并有权向有关部门反映情况，同时将上述违反职业道德的行为通过新闻媒体公诸于众，情节严重者移交司法机关追究法律责任。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2、工程监理资料收集不齐、管理混乱的，监理人承担一般违约责任；缺损原始记录的， 每件文件扣减 1000 元监理费。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3、除上述约定之外，监理人有违反合同约定的其他义务的，均构成违约，委托人有权视具体情况给予书面警告并限期改正，监理人拒不限期改正的，应承担</w:t>
      </w:r>
      <w:r>
        <w:rPr>
          <w:rFonts w:ascii="宋体" w:hAnsi="宋体" w:cs="宋体"/>
          <w:color w:val="auto"/>
          <w:sz w:val="24"/>
          <w:szCs w:val="24"/>
        </w:rPr>
        <w:t xml:space="preserve"> </w:t>
      </w:r>
      <w:r>
        <w:rPr>
          <w:rFonts w:hint="eastAsia" w:ascii="宋体" w:hAnsi="宋体" w:cs="宋体"/>
          <w:color w:val="auto"/>
          <w:sz w:val="24"/>
          <w:szCs w:val="24"/>
        </w:rPr>
        <w:t>1</w:t>
      </w:r>
      <w:r>
        <w:rPr>
          <w:rFonts w:ascii="宋体" w:hAnsi="宋体" w:cs="宋体"/>
          <w:color w:val="auto"/>
          <w:sz w:val="24"/>
          <w:szCs w:val="24"/>
        </w:rPr>
        <w:t xml:space="preserve"> </w:t>
      </w:r>
      <w:r>
        <w:rPr>
          <w:rFonts w:hint="eastAsia" w:ascii="宋体" w:hAnsi="宋体" w:cs="宋体"/>
          <w:color w:val="auto"/>
          <w:sz w:val="24"/>
          <w:szCs w:val="24"/>
        </w:rPr>
        <w:t xml:space="preserve">次一般违约责任，情节严重的，应承担 1 次严重违约责任。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4、监理人应配合完成第三方质量安全评估工作。根据每次评估结果，经评估确定为一般违约情况的，监理人应按合同约定承担一次一般违约责任；经评估确定为严重违约情况的，监理人应按合同约定承担一次严重违约责任。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（六）委托人以书面形式作出的违约处理决定一经送达监理人立即生效。监理人如有足够证据证明不应由其承担违约责任的，应在收到违约处理决定后 3 天内以书面形式向委托人提出异议并附上有关证据；委托人在收到监理人的异议后</w:t>
      </w:r>
      <w:r>
        <w:rPr>
          <w:rFonts w:ascii="宋体" w:hAnsi="宋体" w:cs="宋体"/>
          <w:color w:val="auto"/>
          <w:sz w:val="24"/>
          <w:szCs w:val="24"/>
        </w:rPr>
        <w:t xml:space="preserve"> </w:t>
      </w:r>
      <w:r>
        <w:rPr>
          <w:rFonts w:hint="eastAsia" w:ascii="宋体" w:hAnsi="宋体" w:cs="宋体"/>
          <w:color w:val="auto"/>
          <w:sz w:val="24"/>
          <w:szCs w:val="24"/>
        </w:rPr>
        <w:t>15</w:t>
      </w:r>
      <w:r>
        <w:rPr>
          <w:rFonts w:ascii="宋体" w:hAnsi="宋体" w:cs="宋体"/>
          <w:color w:val="auto"/>
          <w:sz w:val="24"/>
          <w:szCs w:val="24"/>
        </w:rPr>
        <w:t xml:space="preserve"> 天内审核完毕且</w:t>
      </w:r>
      <w:r>
        <w:rPr>
          <w:rFonts w:hint="eastAsia" w:ascii="宋体" w:hAnsi="宋体" w:cs="宋体"/>
          <w:color w:val="auto"/>
          <w:sz w:val="24"/>
          <w:szCs w:val="24"/>
        </w:rPr>
        <w:t xml:space="preserve">作出书面决定并通知监理人。 </w:t>
      </w:r>
    </w:p>
    <w:p>
      <w:pPr>
        <w:pStyle w:val="12"/>
        <w:spacing w:after="0" w:line="364" w:lineRule="auto"/>
        <w:ind w:firstLine="482" w:firstLineChars="200"/>
        <w:rPr>
          <w:rFonts w:ascii="宋体" w:hAnsi="宋体" w:cs="宋体"/>
          <w:b/>
          <w:color w:val="auto"/>
          <w:sz w:val="24"/>
          <w:szCs w:val="24"/>
        </w:rPr>
      </w:pPr>
      <w:r>
        <w:rPr>
          <w:rFonts w:hint="eastAsia" w:ascii="宋体" w:hAnsi="宋体" w:cs="宋体"/>
          <w:b/>
          <w:color w:val="auto"/>
          <w:sz w:val="24"/>
          <w:szCs w:val="24"/>
        </w:rPr>
        <w:t xml:space="preserve">第二十七条 </w:t>
      </w:r>
      <w:r>
        <w:rPr>
          <w:rFonts w:hint="eastAsia" w:ascii="宋体" w:hAnsi="宋体" w:cs="宋体"/>
          <w:color w:val="auto"/>
          <w:sz w:val="24"/>
          <w:szCs w:val="24"/>
        </w:rPr>
        <w:t>双方一致同意不适用本合同标准条款第 27 条的约定，承包人对质量和工期的违约，如监理人存在过错的，应按本合同相关约定承担违约责任。</w:t>
      </w:r>
      <w:r>
        <w:rPr>
          <w:rFonts w:ascii="宋体" w:hAnsi="宋体" w:cs="宋体"/>
          <w:color w:val="auto"/>
          <w:sz w:val="24"/>
          <w:szCs w:val="24"/>
        </w:rPr>
        <w:t xml:space="preserve"> </w:t>
      </w:r>
    </w:p>
    <w:p>
      <w:pPr>
        <w:pStyle w:val="12"/>
        <w:spacing w:after="0" w:line="364" w:lineRule="auto"/>
        <w:ind w:firstLine="482" w:firstLineChars="200"/>
        <w:rPr>
          <w:rFonts w:ascii="宋体" w:hAnsi="宋体" w:cs="宋体"/>
          <w:color w:val="auto"/>
          <w:sz w:val="24"/>
          <w:szCs w:val="24"/>
        </w:rPr>
      </w:pPr>
      <w:r>
        <w:rPr>
          <w:rFonts w:hint="eastAsia" w:ascii="宋体" w:hAnsi="宋体" w:cs="宋体"/>
          <w:b/>
          <w:color w:val="auto"/>
          <w:sz w:val="24"/>
          <w:szCs w:val="24"/>
        </w:rPr>
        <w:t xml:space="preserve">第三十一条 </w:t>
      </w:r>
      <w:r>
        <w:rPr>
          <w:rFonts w:hint="eastAsia" w:ascii="宋体" w:hAnsi="宋体" w:cs="宋体"/>
          <w:color w:val="auto"/>
          <w:sz w:val="24"/>
          <w:szCs w:val="24"/>
        </w:rPr>
        <w:t>双方一致同意不适用本合同标准条款第 31 条的约定，由于委托人或承包人的原因使监理工作受到阻碍或延误，则监理人应当将此情况与可能产生的影响及时通知委托人，</w:t>
      </w:r>
      <w:r>
        <w:rPr>
          <w:rFonts w:ascii="宋体" w:hAnsi="宋体" w:cs="宋体"/>
          <w:color w:val="auto"/>
          <w:sz w:val="24"/>
          <w:szCs w:val="24"/>
        </w:rPr>
        <w:t xml:space="preserve"> </w:t>
      </w:r>
      <w:r>
        <w:rPr>
          <w:rFonts w:hint="eastAsia" w:ascii="宋体" w:hAnsi="宋体" w:cs="宋体"/>
          <w:color w:val="auto"/>
          <w:sz w:val="24"/>
          <w:szCs w:val="24"/>
        </w:rPr>
        <w:t>完成监理业务的时间相应延长，监理人的报酬不变。</w:t>
      </w:r>
      <w:r>
        <w:rPr>
          <w:rFonts w:ascii="宋体" w:hAnsi="宋体" w:cs="宋体"/>
          <w:color w:val="auto"/>
          <w:sz w:val="24"/>
          <w:szCs w:val="24"/>
        </w:rPr>
        <w:t xml:space="preserve"> </w:t>
      </w:r>
    </w:p>
    <w:p>
      <w:pPr>
        <w:pStyle w:val="12"/>
        <w:spacing w:after="0" w:line="364" w:lineRule="auto"/>
        <w:ind w:firstLine="478" w:firstLineChars="200"/>
        <w:rPr>
          <w:rFonts w:ascii="宋体" w:hAnsi="宋体" w:cs="宋体"/>
          <w:color w:val="auto"/>
          <w:sz w:val="24"/>
          <w:szCs w:val="24"/>
        </w:rPr>
      </w:pPr>
      <w:r>
        <w:rPr>
          <w:rFonts w:hint="eastAsia" w:ascii="宋体" w:hAnsi="宋体" w:cs="宋体"/>
          <w:b/>
          <w:color w:val="auto"/>
          <w:spacing w:val="-1"/>
          <w:sz w:val="24"/>
          <w:szCs w:val="24"/>
        </w:rPr>
        <w:t xml:space="preserve">第三十二条 </w:t>
      </w:r>
      <w:r>
        <w:rPr>
          <w:rFonts w:hint="eastAsia" w:ascii="宋体" w:hAnsi="宋体" w:cs="宋体"/>
          <w:color w:val="auto"/>
          <w:sz w:val="24"/>
          <w:szCs w:val="24"/>
        </w:rPr>
        <w:t>双方一致同意不适用本合同标准条款第</w:t>
      </w:r>
      <w:r>
        <w:rPr>
          <w:rFonts w:ascii="宋体" w:hAnsi="宋体" w:cs="宋体"/>
          <w:color w:val="auto"/>
          <w:sz w:val="24"/>
          <w:szCs w:val="24"/>
        </w:rPr>
        <w:t xml:space="preserve"> </w:t>
      </w:r>
      <w:r>
        <w:rPr>
          <w:rFonts w:hint="eastAsia" w:ascii="宋体" w:hAnsi="宋体" w:cs="宋体"/>
          <w:color w:val="auto"/>
          <w:sz w:val="24"/>
          <w:szCs w:val="24"/>
        </w:rPr>
        <w:t>32</w:t>
      </w:r>
      <w:r>
        <w:rPr>
          <w:rFonts w:ascii="宋体" w:hAnsi="宋体" w:cs="宋体"/>
          <w:color w:val="auto"/>
          <w:sz w:val="24"/>
          <w:szCs w:val="24"/>
        </w:rPr>
        <w:t xml:space="preserve"> 条的约定，在实际情况发生变化， </w:t>
      </w:r>
      <w:r>
        <w:rPr>
          <w:rFonts w:hint="eastAsia" w:ascii="宋体" w:hAnsi="宋体" w:cs="宋体"/>
          <w:color w:val="auto"/>
          <w:sz w:val="24"/>
          <w:szCs w:val="24"/>
        </w:rPr>
        <w:t>使得监理人不能全部或部分执行监理业务时，监理人应当立即通知委托人，该监理业务的完成时间应予延长。当恢复执行监理业务时，监理人应当立即恢复执行监理业务，监理人的报酬不变。</w:t>
      </w:r>
      <w:r>
        <w:rPr>
          <w:rFonts w:ascii="宋体" w:hAnsi="宋体" w:cs="宋体"/>
          <w:color w:val="auto"/>
          <w:sz w:val="24"/>
          <w:szCs w:val="24"/>
        </w:rPr>
        <w:t xml:space="preserve"> </w:t>
      </w:r>
    </w:p>
    <w:p>
      <w:pPr>
        <w:pStyle w:val="12"/>
        <w:spacing w:after="0" w:line="440" w:lineRule="exact"/>
        <w:ind w:firstLine="482" w:firstLineChars="200"/>
        <w:rPr>
          <w:rFonts w:ascii="宋体" w:hAnsi="宋体" w:cs="宋体"/>
          <w:color w:val="auto"/>
          <w:sz w:val="24"/>
          <w:szCs w:val="24"/>
        </w:rPr>
      </w:pPr>
      <w:r>
        <w:rPr>
          <w:rFonts w:hint="eastAsia" w:ascii="宋体" w:hAnsi="宋体" w:cs="宋体"/>
          <w:b/>
          <w:color w:val="auto"/>
          <w:sz w:val="24"/>
          <w:szCs w:val="24"/>
        </w:rPr>
        <w:t xml:space="preserve">第三十三条 </w:t>
      </w:r>
      <w:r>
        <w:rPr>
          <w:rFonts w:hint="eastAsia" w:ascii="宋体" w:hAnsi="宋体" w:cs="宋体"/>
          <w:color w:val="auto"/>
          <w:sz w:val="24"/>
          <w:szCs w:val="24"/>
        </w:rPr>
        <w:t>双方一致同意不适用本合同标准条款第 33 条的约定，本合同的有效期一直至本合同工程质量缺陷责任期满且本合同工程竣工结算完毕并完成工程竣工档案备案后经委托人审定满</w:t>
      </w:r>
      <w:r>
        <w:rPr>
          <w:rFonts w:ascii="宋体" w:hAnsi="宋体" w:cs="宋体"/>
          <w:color w:val="auto"/>
          <w:sz w:val="24"/>
          <w:szCs w:val="24"/>
        </w:rPr>
        <w:t xml:space="preserve"> </w:t>
      </w:r>
      <w:r>
        <w:rPr>
          <w:rFonts w:hint="eastAsia" w:ascii="宋体" w:hAnsi="宋体" w:cs="宋体"/>
          <w:color w:val="auto"/>
          <w:sz w:val="24"/>
          <w:szCs w:val="24"/>
        </w:rPr>
        <w:t>60</w:t>
      </w:r>
      <w:r>
        <w:rPr>
          <w:rFonts w:ascii="宋体" w:hAnsi="宋体" w:cs="宋体"/>
          <w:color w:val="auto"/>
          <w:sz w:val="24"/>
          <w:szCs w:val="24"/>
        </w:rPr>
        <w:t xml:space="preserve"> 日并且双方的责任、</w:t>
      </w:r>
      <w:r>
        <w:rPr>
          <w:rFonts w:hint="eastAsia" w:ascii="宋体" w:hAnsi="宋体" w:cs="宋体"/>
          <w:color w:val="auto"/>
          <w:sz w:val="24"/>
          <w:szCs w:val="24"/>
        </w:rPr>
        <w:t>义务履行完毕时才终止。本合同工程保修期间，监理人仍须承担监理责任。</w:t>
      </w:r>
      <w:r>
        <w:rPr>
          <w:rFonts w:ascii="宋体" w:hAnsi="宋体" w:cs="宋体"/>
          <w:color w:val="auto"/>
          <w:sz w:val="24"/>
          <w:szCs w:val="24"/>
        </w:rPr>
        <w:t xml:space="preserve"> </w:t>
      </w:r>
    </w:p>
    <w:p>
      <w:pPr>
        <w:pStyle w:val="12"/>
        <w:spacing w:after="0" w:line="440" w:lineRule="exact"/>
        <w:ind w:firstLine="482" w:firstLineChars="200"/>
        <w:rPr>
          <w:rFonts w:ascii="宋体" w:hAnsi="宋体" w:cs="宋体"/>
          <w:color w:val="auto"/>
          <w:sz w:val="24"/>
          <w:szCs w:val="24"/>
        </w:rPr>
      </w:pPr>
      <w:r>
        <w:rPr>
          <w:rFonts w:hint="eastAsia" w:ascii="宋体" w:hAnsi="宋体" w:cs="宋体"/>
          <w:b/>
          <w:color w:val="auto"/>
          <w:sz w:val="24"/>
          <w:szCs w:val="24"/>
        </w:rPr>
        <w:t xml:space="preserve">第三十四条 </w:t>
      </w:r>
      <w:r>
        <w:rPr>
          <w:rFonts w:hint="eastAsia" w:ascii="宋体" w:hAnsi="宋体" w:cs="宋体"/>
          <w:color w:val="auto"/>
          <w:sz w:val="24"/>
          <w:szCs w:val="24"/>
        </w:rPr>
        <w:t>双方一致同意不适用本合同标准条款第 34</w:t>
      </w:r>
      <w:r>
        <w:rPr>
          <w:rFonts w:ascii="宋体" w:hAnsi="宋体" w:cs="宋体"/>
          <w:color w:val="auto"/>
          <w:sz w:val="24"/>
          <w:szCs w:val="24"/>
        </w:rPr>
        <w:t xml:space="preserve"> 条的约定，本合同未经双方协商</w:t>
      </w:r>
      <w:r>
        <w:rPr>
          <w:rFonts w:hint="eastAsia" w:ascii="宋体" w:hAnsi="宋体" w:cs="宋体"/>
          <w:color w:val="auto"/>
          <w:sz w:val="24"/>
          <w:szCs w:val="24"/>
        </w:rPr>
        <w:t xml:space="preserve">一致，不得变更或解除。委托人根据本合同的约定单方面部分或全部解除本合同的，自委托人书面通知监理人时起部分或全部解除本合同即生效。 </w:t>
      </w:r>
    </w:p>
    <w:p>
      <w:pPr>
        <w:pStyle w:val="12"/>
        <w:spacing w:after="0" w:line="440" w:lineRule="exact"/>
        <w:ind w:firstLine="480" w:firstLineChars="200"/>
        <w:rPr>
          <w:rFonts w:ascii="宋体" w:hAnsi="宋体" w:cs="宋体"/>
          <w:color w:val="auto"/>
          <w:sz w:val="24"/>
          <w:szCs w:val="24"/>
        </w:rPr>
      </w:pPr>
      <w:r>
        <w:rPr>
          <w:rFonts w:hint="eastAsia" w:ascii="宋体" w:hAnsi="宋体" w:cs="宋体"/>
          <w:color w:val="auto"/>
          <w:sz w:val="24"/>
          <w:szCs w:val="24"/>
        </w:rPr>
        <w:t>本合同的修改（包括服务范围的修改），只能以双方书面同意的方式进行。</w:t>
      </w:r>
    </w:p>
    <w:p>
      <w:pPr>
        <w:pStyle w:val="12"/>
        <w:spacing w:after="0" w:line="440" w:lineRule="exact"/>
        <w:ind w:firstLine="478" w:firstLineChars="200"/>
        <w:rPr>
          <w:rFonts w:ascii="宋体" w:hAnsi="宋体" w:cs="宋体"/>
          <w:b/>
          <w:color w:val="auto"/>
          <w:sz w:val="24"/>
          <w:szCs w:val="24"/>
        </w:rPr>
      </w:pPr>
      <w:r>
        <w:rPr>
          <w:rFonts w:hint="eastAsia" w:ascii="宋体" w:hAnsi="宋体" w:cs="宋体"/>
          <w:b/>
          <w:color w:val="auto"/>
          <w:spacing w:val="-1"/>
          <w:sz w:val="24"/>
          <w:szCs w:val="24"/>
        </w:rPr>
        <w:t xml:space="preserve">第三十五条 </w:t>
      </w:r>
      <w:r>
        <w:rPr>
          <w:rFonts w:hint="eastAsia" w:ascii="宋体" w:hAnsi="宋体" w:cs="宋体"/>
          <w:color w:val="auto"/>
          <w:sz w:val="24"/>
          <w:szCs w:val="24"/>
        </w:rPr>
        <w:t>双方一致同意不适用本合同标准条款第</w:t>
      </w:r>
      <w:r>
        <w:rPr>
          <w:rFonts w:ascii="宋体" w:hAnsi="宋体" w:cs="宋体"/>
          <w:color w:val="auto"/>
          <w:sz w:val="24"/>
          <w:szCs w:val="24"/>
        </w:rPr>
        <w:t xml:space="preserve"> </w:t>
      </w:r>
      <w:r>
        <w:rPr>
          <w:rFonts w:hint="eastAsia" w:ascii="宋体" w:hAnsi="宋体" w:cs="宋体"/>
          <w:color w:val="auto"/>
          <w:sz w:val="24"/>
          <w:szCs w:val="24"/>
        </w:rPr>
        <w:t>35</w:t>
      </w:r>
      <w:r>
        <w:rPr>
          <w:rFonts w:ascii="宋体" w:hAnsi="宋体" w:cs="宋体"/>
          <w:color w:val="auto"/>
          <w:sz w:val="24"/>
          <w:szCs w:val="24"/>
        </w:rPr>
        <w:t xml:space="preserve"> 条的约定。</w:t>
      </w:r>
      <w:r>
        <w:rPr>
          <w:rFonts w:hint="eastAsia" w:ascii="宋体" w:hAnsi="宋体" w:cs="宋体"/>
          <w:b/>
          <w:color w:val="auto"/>
          <w:spacing w:val="-10"/>
          <w:w w:val="99"/>
          <w:sz w:val="24"/>
          <w:szCs w:val="24"/>
        </w:rPr>
        <w:t xml:space="preserve"> </w:t>
      </w:r>
    </w:p>
    <w:p>
      <w:pPr>
        <w:pStyle w:val="12"/>
        <w:spacing w:after="0" w:line="440" w:lineRule="exact"/>
        <w:ind w:firstLine="478" w:firstLineChars="200"/>
        <w:rPr>
          <w:rFonts w:ascii="宋体" w:hAnsi="宋体" w:cs="宋体"/>
          <w:b/>
          <w:color w:val="auto"/>
          <w:sz w:val="24"/>
          <w:szCs w:val="24"/>
        </w:rPr>
      </w:pPr>
      <w:r>
        <w:rPr>
          <w:rFonts w:hint="eastAsia" w:ascii="宋体" w:hAnsi="宋体" w:cs="宋体"/>
          <w:b/>
          <w:color w:val="auto"/>
          <w:spacing w:val="-1"/>
          <w:sz w:val="24"/>
          <w:szCs w:val="24"/>
        </w:rPr>
        <w:t xml:space="preserve">第三十六条 </w:t>
      </w:r>
      <w:r>
        <w:rPr>
          <w:rFonts w:hint="eastAsia" w:ascii="宋体" w:hAnsi="宋体" w:cs="宋体"/>
          <w:color w:val="auto"/>
          <w:spacing w:val="-5"/>
          <w:sz w:val="24"/>
          <w:szCs w:val="24"/>
        </w:rPr>
        <w:t>双方一致同意不适用本合同标准条款第</w:t>
      </w:r>
      <w:r>
        <w:rPr>
          <w:rFonts w:ascii="宋体" w:hAnsi="宋体" w:cs="宋体"/>
          <w:color w:val="auto"/>
          <w:spacing w:val="-5"/>
          <w:sz w:val="24"/>
          <w:szCs w:val="24"/>
        </w:rPr>
        <w:t xml:space="preserve"> </w:t>
      </w:r>
      <w:r>
        <w:rPr>
          <w:rFonts w:hint="eastAsia" w:ascii="宋体" w:hAnsi="宋体" w:cs="宋体"/>
          <w:color w:val="auto"/>
          <w:sz w:val="24"/>
          <w:szCs w:val="24"/>
        </w:rPr>
        <w:t>36</w:t>
      </w:r>
      <w:r>
        <w:rPr>
          <w:rFonts w:ascii="宋体" w:hAnsi="宋体" w:cs="宋体"/>
          <w:color w:val="auto"/>
          <w:spacing w:val="-10"/>
          <w:sz w:val="24"/>
          <w:szCs w:val="24"/>
        </w:rPr>
        <w:t xml:space="preserve"> 条的约定。</w:t>
      </w:r>
      <w:r>
        <w:rPr>
          <w:rFonts w:ascii="宋体" w:hAnsi="宋体" w:cs="宋体"/>
          <w:b/>
          <w:color w:val="auto"/>
          <w:spacing w:val="-10"/>
          <w:w w:val="99"/>
          <w:sz w:val="24"/>
          <w:szCs w:val="24"/>
        </w:rPr>
        <w:t xml:space="preserve"> </w:t>
      </w:r>
    </w:p>
    <w:p>
      <w:pPr>
        <w:pStyle w:val="12"/>
        <w:spacing w:after="0" w:line="440" w:lineRule="exact"/>
        <w:ind w:firstLine="482" w:firstLineChars="200"/>
        <w:rPr>
          <w:rFonts w:ascii="宋体" w:hAnsi="宋体" w:cs="宋体"/>
          <w:b/>
          <w:color w:val="auto"/>
          <w:sz w:val="24"/>
          <w:szCs w:val="24"/>
        </w:rPr>
      </w:pPr>
      <w:r>
        <w:rPr>
          <w:rFonts w:hint="eastAsia" w:ascii="宋体" w:hAnsi="宋体" w:cs="宋体"/>
          <w:b/>
          <w:color w:val="auto"/>
          <w:sz w:val="24"/>
          <w:szCs w:val="24"/>
        </w:rPr>
        <w:t xml:space="preserve">第三十七条 </w:t>
      </w:r>
      <w:r>
        <w:rPr>
          <w:rFonts w:hint="eastAsia" w:ascii="宋体" w:hAnsi="宋体" w:cs="宋体"/>
          <w:color w:val="auto"/>
          <w:sz w:val="24"/>
          <w:szCs w:val="24"/>
        </w:rPr>
        <w:t>双方一致同意不适用本合同标准条款第 37 条的约定，当监理人无正当理由而又未履行监理义务时，按本合同专用条款第 26 条的约定处理。</w:t>
      </w:r>
      <w:r>
        <w:rPr>
          <w:rFonts w:hint="eastAsia" w:ascii="宋体" w:hAnsi="宋体" w:cs="宋体"/>
          <w:b/>
          <w:color w:val="auto"/>
          <w:w w:val="99"/>
          <w:sz w:val="24"/>
          <w:szCs w:val="24"/>
        </w:rPr>
        <w:t xml:space="preserve"> </w:t>
      </w:r>
    </w:p>
    <w:p>
      <w:pPr>
        <w:pStyle w:val="12"/>
        <w:spacing w:after="0" w:line="440" w:lineRule="exact"/>
        <w:ind w:firstLine="482" w:firstLineChars="200"/>
        <w:rPr>
          <w:rFonts w:ascii="宋体" w:hAnsi="宋体" w:cs="宋体"/>
          <w:color w:val="auto"/>
          <w:sz w:val="24"/>
          <w:szCs w:val="24"/>
        </w:rPr>
      </w:pPr>
      <w:r>
        <w:rPr>
          <w:rFonts w:hint="eastAsia" w:ascii="宋体" w:hAnsi="宋体" w:cs="宋体"/>
          <w:b/>
          <w:color w:val="auto"/>
          <w:sz w:val="24"/>
          <w:szCs w:val="24"/>
        </w:rPr>
        <w:t xml:space="preserve">第三十九条 </w:t>
      </w:r>
      <w:r>
        <w:rPr>
          <w:rFonts w:hint="eastAsia" w:ascii="宋体" w:hAnsi="宋体" w:cs="宋体"/>
          <w:color w:val="auto"/>
          <w:spacing w:val="-4"/>
          <w:sz w:val="24"/>
          <w:szCs w:val="24"/>
        </w:rPr>
        <w:t>双</w:t>
      </w:r>
      <w:r>
        <w:rPr>
          <w:rFonts w:hint="eastAsia" w:ascii="宋体" w:hAnsi="宋体" w:cs="宋体"/>
          <w:color w:val="auto"/>
          <w:sz w:val="24"/>
          <w:szCs w:val="24"/>
        </w:rPr>
        <w:t>方一致同意不适用本合同标准条款第</w:t>
      </w:r>
      <w:r>
        <w:rPr>
          <w:rFonts w:ascii="宋体" w:hAnsi="宋体" w:cs="宋体"/>
          <w:color w:val="auto"/>
          <w:sz w:val="24"/>
          <w:szCs w:val="24"/>
        </w:rPr>
        <w:t xml:space="preserve"> </w:t>
      </w:r>
      <w:r>
        <w:rPr>
          <w:rFonts w:hint="eastAsia" w:ascii="宋体" w:hAnsi="宋体" w:cs="宋体"/>
          <w:color w:val="auto"/>
          <w:sz w:val="24"/>
          <w:szCs w:val="24"/>
        </w:rPr>
        <w:t>39</w:t>
      </w:r>
      <w:r>
        <w:rPr>
          <w:rFonts w:ascii="宋体" w:hAnsi="宋体" w:cs="宋体"/>
          <w:color w:val="auto"/>
          <w:sz w:val="24"/>
          <w:szCs w:val="24"/>
        </w:rPr>
        <w:t xml:space="preserve"> 条的约定，监理报酬的计算方法、</w:t>
      </w:r>
      <w:r>
        <w:rPr>
          <w:rFonts w:hint="eastAsia" w:ascii="宋体" w:hAnsi="宋体" w:cs="宋体"/>
          <w:color w:val="auto"/>
          <w:sz w:val="24"/>
          <w:szCs w:val="24"/>
        </w:rPr>
        <w:t xml:space="preserve">支付时间与金额按本条以下约定执行： </w:t>
      </w:r>
    </w:p>
    <w:p>
      <w:pPr>
        <w:pStyle w:val="12"/>
        <w:spacing w:after="0" w:line="44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（一）监理报酬的计取 </w:t>
      </w:r>
    </w:p>
    <w:p>
      <w:pPr>
        <w:keepNext w:val="0"/>
        <w:keepLines w:val="0"/>
        <w:pageBreakBefore w:val="0"/>
        <w:widowControl/>
        <w:numPr>
          <w:ilvl w:val="-1"/>
          <w:numId w:val="0"/>
        </w:numPr>
        <w:tabs>
          <w:tab w:val="left" w:pos="1190"/>
        </w:tabs>
        <w:kinsoku/>
        <w:wordWrap/>
        <w:overflowPunct/>
        <w:topLinePunct w:val="0"/>
        <w:autoSpaceDE/>
        <w:autoSpaceDN/>
        <w:bidi w:val="0"/>
        <w:adjustRightInd/>
        <w:snapToGrid/>
        <w:spacing w:line="440" w:lineRule="exact"/>
        <w:ind w:right="0" w:rightChars="0" w:firstLine="452" w:firstLineChars="200"/>
        <w:jc w:val="left"/>
        <w:textAlignment w:val="auto"/>
        <w:rPr>
          <w:rFonts w:hint="eastAsia" w:ascii="宋体" w:hAnsi="宋体" w:eastAsia="宋体" w:cs="宋体"/>
          <w:color w:val="auto"/>
          <w:kern w:val="2"/>
          <w:sz w:val="24"/>
          <w:szCs w:val="24"/>
          <w:u w:val="single"/>
          <w:lang w:val="en-US" w:eastAsia="zh-CN" w:bidi="ar-SA"/>
        </w:rPr>
      </w:pPr>
      <w:r>
        <w:rPr>
          <w:rFonts w:hint="eastAsia" w:ascii="宋体" w:hAnsi="宋体" w:cs="宋体"/>
          <w:color w:val="auto"/>
          <w:spacing w:val="-7"/>
          <w:sz w:val="24"/>
          <w:szCs w:val="24"/>
          <w:highlight w:val="none"/>
        </w:rPr>
        <w:t>1、</w:t>
      </w:r>
      <w:r>
        <w:rPr>
          <w:rFonts w:hint="eastAsia" w:ascii="宋体" w:hAnsi="宋体" w:eastAsia="宋体" w:cs="宋体"/>
          <w:color w:val="auto"/>
          <w:sz w:val="24"/>
          <w:szCs w:val="24"/>
          <w:u w:val="none"/>
          <w:lang w:val="en-US"/>
        </w:rPr>
        <w:t>本合同工程监理报酬总额</w:t>
      </w:r>
      <w:r>
        <w:rPr>
          <w:rFonts w:hint="eastAsia" w:ascii="宋体" w:hAnsi="宋体" w:cs="宋体"/>
          <w:color w:val="auto"/>
          <w:sz w:val="24"/>
          <w:szCs w:val="24"/>
          <w:u w:val="none"/>
          <w:lang w:val="en-US" w:eastAsia="zh-CN"/>
        </w:rPr>
        <w:t>（含增值税）</w:t>
      </w:r>
      <w:r>
        <w:rPr>
          <w:rFonts w:hint="eastAsia" w:ascii="宋体" w:hAnsi="宋体" w:eastAsia="宋体" w:cs="宋体"/>
          <w:color w:val="auto"/>
          <w:sz w:val="24"/>
          <w:szCs w:val="24"/>
          <w:u w:val="none"/>
          <w:lang w:val="en-US"/>
        </w:rPr>
        <w:t>暂定为</w:t>
      </w:r>
      <w:r>
        <w:rPr>
          <w:rFonts w:hint="eastAsia" w:ascii="宋体" w:hAnsi="宋体" w:cs="宋体"/>
          <w:color w:val="auto"/>
          <w:sz w:val="24"/>
          <w:szCs w:val="24"/>
          <w:u w:val="none"/>
          <w:lang w:val="en-US" w:eastAsia="zh-CN"/>
        </w:rPr>
        <w:t>大写人民币</w:t>
      </w:r>
      <w:r>
        <w:rPr>
          <w:rFonts w:hint="eastAsia" w:ascii="宋体" w:hAnsi="宋体" w:eastAsia="宋体" w:cs="宋体"/>
          <w:color w:val="auto"/>
          <w:spacing w:val="0"/>
          <w:sz w:val="24"/>
          <w:szCs w:val="24"/>
          <w:u w:val="single"/>
          <w:lang w:val="en-US"/>
        </w:rPr>
        <w:t xml:space="preserve">  </w:t>
      </w:r>
      <w:r>
        <w:rPr>
          <w:rFonts w:hint="eastAsia" w:ascii="宋体" w:hAnsi="宋体" w:eastAsia="宋体" w:cs="宋体"/>
          <w:color w:val="auto"/>
          <w:kern w:val="2"/>
          <w:sz w:val="24"/>
          <w:szCs w:val="24"/>
          <w:u w:val="single"/>
          <w:lang w:val="zh-CN" w:eastAsia="zh-CN" w:bidi="ar-SA"/>
        </w:rPr>
        <w:t xml:space="preserve">  </w:t>
      </w:r>
      <w:r>
        <w:rPr>
          <w:rFonts w:hint="eastAsia" w:ascii="宋体" w:hAnsi="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u w:val="single"/>
          <w:lang w:val="en-US" w:eastAsia="zh-CN" w:bidi="ar-SA"/>
        </w:rPr>
        <w:t>元（小写：    元）</w:t>
      </w:r>
      <w:r>
        <w:rPr>
          <w:rFonts w:hint="eastAsia" w:ascii="宋体" w:hAnsi="宋体" w:eastAsia="宋体" w:cs="宋体"/>
          <w:color w:val="auto"/>
          <w:kern w:val="2"/>
          <w:sz w:val="24"/>
          <w:szCs w:val="24"/>
          <w:u w:val="none"/>
          <w:lang w:val="en-US" w:eastAsia="zh-CN" w:bidi="ar-SA"/>
        </w:rPr>
        <w:t>，其中不含税金额</w:t>
      </w:r>
      <w:r>
        <w:rPr>
          <w:rFonts w:hint="eastAsia" w:ascii="宋体" w:hAnsi="宋体" w:eastAsia="宋体" w:cs="宋体"/>
          <w:color w:val="auto"/>
          <w:kern w:val="2"/>
          <w:sz w:val="24"/>
          <w:szCs w:val="24"/>
          <w:u w:val="single"/>
          <w:lang w:val="en-US" w:eastAsia="zh-CN" w:bidi="ar-SA"/>
        </w:rPr>
        <w:t xml:space="preserve">        元</w:t>
      </w:r>
      <w:r>
        <w:rPr>
          <w:rFonts w:hint="eastAsia" w:ascii="宋体" w:hAnsi="宋体" w:eastAsia="宋体" w:cs="宋体"/>
          <w:color w:val="auto"/>
          <w:kern w:val="2"/>
          <w:sz w:val="24"/>
          <w:szCs w:val="24"/>
          <w:u w:val="none"/>
          <w:lang w:val="en-US" w:eastAsia="zh-CN" w:bidi="ar-SA"/>
        </w:rPr>
        <w:t>，税率</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u w:val="none"/>
          <w:lang w:val="en-US" w:eastAsia="zh-CN" w:bidi="ar-SA"/>
        </w:rPr>
        <w:t>，增值税金额</w:t>
      </w:r>
      <w:r>
        <w:rPr>
          <w:rFonts w:hint="eastAsia" w:ascii="宋体" w:hAnsi="宋体" w:eastAsia="宋体" w:cs="宋体"/>
          <w:color w:val="auto"/>
          <w:kern w:val="2"/>
          <w:sz w:val="24"/>
          <w:szCs w:val="24"/>
          <w:u w:val="single"/>
          <w:lang w:val="en-US" w:eastAsia="zh-CN" w:bidi="ar-SA"/>
        </w:rPr>
        <w:t xml:space="preserve">       元</w:t>
      </w:r>
      <w:r>
        <w:rPr>
          <w:rFonts w:hint="eastAsia" w:ascii="宋体" w:hAnsi="宋体" w:eastAsia="宋体" w:cs="宋体"/>
          <w:color w:val="auto"/>
          <w:kern w:val="2"/>
          <w:sz w:val="24"/>
          <w:szCs w:val="24"/>
          <w:u w:val="none"/>
          <w:lang w:val="en-US" w:eastAsia="zh-CN" w:bidi="ar-SA"/>
        </w:rPr>
        <w:t>。</w:t>
      </w:r>
    </w:p>
    <w:p>
      <w:pPr>
        <w:keepNext w:val="0"/>
        <w:keepLines w:val="0"/>
        <w:pageBreakBefore w:val="0"/>
        <w:widowControl/>
        <w:numPr>
          <w:ilvl w:val="-1"/>
          <w:numId w:val="0"/>
        </w:numPr>
        <w:tabs>
          <w:tab w:val="left" w:pos="1190"/>
        </w:tabs>
        <w:kinsoku/>
        <w:wordWrap/>
        <w:overflowPunct/>
        <w:topLinePunct w:val="0"/>
        <w:autoSpaceDE/>
        <w:autoSpaceDN/>
        <w:bidi w:val="0"/>
        <w:adjustRightInd/>
        <w:snapToGrid/>
        <w:spacing w:line="440" w:lineRule="exact"/>
        <w:ind w:leftChars="0" w:right="0" w:rightChars="0" w:firstLine="480" w:firstLineChars="200"/>
        <w:jc w:val="left"/>
        <w:textAlignment w:val="auto"/>
        <w:rPr>
          <w:rFonts w:hint="eastAsia" w:ascii="宋体" w:hAnsi="宋体" w:cs="宋体"/>
          <w:color w:val="auto"/>
          <w:sz w:val="24"/>
          <w:szCs w:val="24"/>
          <w:u w:val="none"/>
          <w:lang w:val="en-US" w:eastAsia="zh-CN"/>
        </w:rPr>
      </w:pPr>
      <w:r>
        <w:rPr>
          <w:rFonts w:hint="eastAsia" w:ascii="宋体" w:hAnsi="宋体" w:eastAsia="宋体" w:cs="宋体"/>
          <w:color w:val="auto"/>
          <w:sz w:val="24"/>
          <w:szCs w:val="24"/>
          <w:u w:val="none"/>
          <w:lang w:val="en-US"/>
        </w:rPr>
        <w:t>最终结算监理费</w:t>
      </w:r>
      <w:r>
        <w:rPr>
          <w:rFonts w:hint="eastAsia" w:ascii="宋体" w:hAnsi="宋体" w:cs="宋体"/>
          <w:color w:val="auto"/>
          <w:sz w:val="24"/>
          <w:szCs w:val="24"/>
          <w:u w:val="none"/>
          <w:lang w:val="en-US" w:eastAsia="zh-CN"/>
        </w:rPr>
        <w:t>按下列三个金额中最低者为准执行。</w:t>
      </w:r>
    </w:p>
    <w:p>
      <w:pPr>
        <w:keepNext w:val="0"/>
        <w:keepLines w:val="0"/>
        <w:pageBreakBefore w:val="0"/>
        <w:widowControl/>
        <w:numPr>
          <w:ilvl w:val="-1"/>
          <w:numId w:val="0"/>
        </w:numPr>
        <w:tabs>
          <w:tab w:val="left" w:pos="1190"/>
        </w:tabs>
        <w:kinsoku/>
        <w:wordWrap/>
        <w:overflowPunct/>
        <w:topLinePunct w:val="0"/>
        <w:autoSpaceDE/>
        <w:autoSpaceDN/>
        <w:bidi w:val="0"/>
        <w:adjustRightInd/>
        <w:snapToGrid/>
        <w:spacing w:line="440" w:lineRule="exact"/>
        <w:ind w:leftChars="0" w:right="0" w:rightChars="0" w:firstLine="480" w:firstLineChars="200"/>
        <w:jc w:val="left"/>
        <w:textAlignment w:val="auto"/>
        <w:rPr>
          <w:rFonts w:hint="eastAsia" w:ascii="宋体" w:hAnsi="宋体" w:eastAsia="宋体" w:cs="宋体"/>
          <w:color w:val="auto"/>
          <w:sz w:val="24"/>
          <w:szCs w:val="24"/>
          <w:u w:val="single"/>
          <w:lang w:val="en-US"/>
        </w:rPr>
      </w:pPr>
      <w:r>
        <w:rPr>
          <w:rFonts w:hint="eastAsia" w:ascii="宋体" w:hAnsi="宋体" w:cs="宋体"/>
          <w:color w:val="auto"/>
          <w:sz w:val="24"/>
          <w:szCs w:val="24"/>
          <w:u w:val="none"/>
          <w:lang w:val="en-US" w:eastAsia="zh-CN"/>
        </w:rPr>
        <w:t>（1）</w:t>
      </w:r>
      <w:r>
        <w:rPr>
          <w:rFonts w:hint="eastAsia" w:ascii="宋体" w:hAnsi="宋体" w:eastAsia="宋体" w:cs="宋体"/>
          <w:color w:val="auto"/>
          <w:sz w:val="24"/>
          <w:szCs w:val="24"/>
          <w:u w:val="none"/>
          <w:lang w:val="en-US"/>
        </w:rPr>
        <w:t>以经委托人或委托人委托的第三方审核单位或增城区财政投资评审中心（如有）审定的结算价中建筑安装工程费作为计费基数，计算公式为：参照发改价格[2007]670号文规定计算的监理收费基价结合各调整系数</w:t>
      </w:r>
      <w:r>
        <w:rPr>
          <w:rFonts w:hint="eastAsia" w:ascii="宋体" w:hAnsi="宋体" w:cs="宋体"/>
          <w:color w:val="auto"/>
          <w:sz w:val="24"/>
          <w:szCs w:val="24"/>
          <w:u w:val="none"/>
          <w:lang w:val="en-US" w:eastAsia="zh-CN"/>
        </w:rPr>
        <w:t>得到的</w:t>
      </w:r>
      <w:r>
        <w:rPr>
          <w:rFonts w:hint="eastAsia" w:ascii="宋体" w:hAnsi="宋体" w:eastAsia="宋体" w:cs="宋体"/>
          <w:color w:val="auto"/>
          <w:sz w:val="24"/>
          <w:szCs w:val="24"/>
          <w:u w:val="none"/>
          <w:lang w:val="en-US"/>
        </w:rPr>
        <w:t>价格×</w:t>
      </w:r>
      <w:r>
        <w:rPr>
          <w:rFonts w:hint="eastAsia" w:ascii="宋体" w:hAnsi="宋体" w:cs="宋体"/>
          <w:color w:val="auto"/>
          <w:sz w:val="24"/>
          <w:szCs w:val="24"/>
          <w:u w:val="none"/>
          <w:lang w:val="en-US" w:eastAsia="zh-CN"/>
        </w:rPr>
        <w:t>（1-发包下浮率</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none"/>
          <w:lang w:val="en-US" w:eastAsia="zh-CN"/>
        </w:rPr>
        <w:t>）</w:t>
      </w:r>
      <w:r>
        <w:rPr>
          <w:rFonts w:hint="eastAsia" w:ascii="宋体" w:hAnsi="宋体" w:eastAsia="宋体" w:cs="宋体"/>
          <w:color w:val="auto"/>
          <w:sz w:val="24"/>
          <w:szCs w:val="24"/>
          <w:u w:val="none"/>
          <w:lang w:val="en-US"/>
        </w:rPr>
        <w:t>×（1-中标下浮率</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rPr>
        <w:t xml:space="preserve">）。 </w:t>
      </w:r>
      <w:r>
        <w:rPr>
          <w:rFonts w:hint="eastAsia" w:ascii="宋体" w:hAnsi="宋体" w:eastAsia="宋体" w:cs="宋体"/>
          <w:color w:val="auto"/>
          <w:sz w:val="24"/>
          <w:szCs w:val="24"/>
          <w:u w:val="none"/>
          <w:lang w:val="zh-CN"/>
        </w:rPr>
        <w:t>其中，</w:t>
      </w:r>
      <w:r>
        <w:rPr>
          <w:rFonts w:hint="eastAsia" w:ascii="宋体" w:hAnsi="宋体" w:eastAsia="宋体" w:cs="宋体"/>
          <w:color w:val="auto"/>
          <w:sz w:val="24"/>
          <w:szCs w:val="24"/>
          <w:u w:val="none"/>
          <w:lang w:val="en-US"/>
        </w:rPr>
        <w:t>专业调整系数为</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u w:val="single"/>
          <w:lang w:val="en-US"/>
        </w:rPr>
        <w:t xml:space="preserve">   </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u w:val="none"/>
          <w:lang w:val="en-US"/>
        </w:rPr>
        <w:t>、工程复杂程度调整系数为</w:t>
      </w:r>
      <w:r>
        <w:rPr>
          <w:rFonts w:hint="eastAsia" w:ascii="宋体" w:hAnsi="宋体" w:eastAsia="宋体" w:cs="宋体"/>
          <w:color w:val="auto"/>
          <w:sz w:val="24"/>
          <w:szCs w:val="24"/>
          <w:u w:val="single"/>
          <w:lang w:val="en-US"/>
        </w:rPr>
        <w:t xml:space="preserve">     </w:t>
      </w:r>
      <w:r>
        <w:rPr>
          <w:rFonts w:hint="eastAsia" w:ascii="宋体" w:hAnsi="宋体" w:eastAsia="宋体" w:cs="宋体"/>
          <w:color w:val="auto"/>
          <w:sz w:val="24"/>
          <w:szCs w:val="24"/>
          <w:u w:val="none"/>
          <w:lang w:val="en-US"/>
        </w:rPr>
        <w:t>、高程调整系数为</w:t>
      </w:r>
      <w:r>
        <w:rPr>
          <w:rFonts w:hint="eastAsia" w:ascii="宋体" w:hAnsi="宋体" w:eastAsia="宋体" w:cs="宋体"/>
          <w:color w:val="auto"/>
          <w:sz w:val="24"/>
          <w:szCs w:val="24"/>
          <w:u w:val="single"/>
          <w:lang w:val="en-US"/>
        </w:rPr>
        <w:t xml:space="preserve">     </w:t>
      </w:r>
      <w:r>
        <w:rPr>
          <w:rFonts w:hint="eastAsia" w:ascii="宋体" w:hAnsi="宋体" w:eastAsia="宋体" w:cs="宋体"/>
          <w:color w:val="auto"/>
          <w:sz w:val="24"/>
          <w:szCs w:val="24"/>
          <w:u w:val="none"/>
          <w:lang w:val="en-US"/>
        </w:rPr>
        <w:t>。</w:t>
      </w:r>
    </w:p>
    <w:p>
      <w:pPr>
        <w:keepNext w:val="0"/>
        <w:keepLines w:val="0"/>
        <w:pageBreakBefore w:val="0"/>
        <w:widowControl/>
        <w:numPr>
          <w:ilvl w:val="-1"/>
          <w:numId w:val="0"/>
        </w:numPr>
        <w:tabs>
          <w:tab w:val="left" w:pos="1190"/>
        </w:tabs>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kern w:val="2"/>
          <w:sz w:val="24"/>
          <w:szCs w:val="24"/>
          <w:u w:val="single"/>
          <w:lang w:val="en-US" w:eastAsia="zh-CN" w:bidi="ar-SA"/>
        </w:rPr>
      </w:pPr>
      <w:r>
        <w:rPr>
          <w:rFonts w:hint="eastAsia" w:ascii="宋体" w:hAnsi="宋体" w:cs="宋体"/>
          <w:color w:val="auto"/>
          <w:sz w:val="24"/>
          <w:szCs w:val="24"/>
          <w:u w:val="none"/>
          <w:lang w:val="en-US" w:eastAsia="zh-CN"/>
        </w:rPr>
        <w:t>（2）</w:t>
      </w:r>
      <w:r>
        <w:rPr>
          <w:rFonts w:hint="eastAsia" w:ascii="宋体" w:hAnsi="宋体" w:eastAsia="宋体" w:cs="宋体"/>
          <w:color w:val="auto"/>
          <w:kern w:val="2"/>
          <w:sz w:val="24"/>
          <w:szCs w:val="24"/>
          <w:u w:val="none"/>
          <w:lang w:val="en-US" w:eastAsia="zh-CN" w:bidi="ar-SA"/>
        </w:rPr>
        <w:t>以委托人或委托人委托的第三方审核单位或增城区财政投资评审中心审定的</w:t>
      </w:r>
      <w:r>
        <w:rPr>
          <w:rFonts w:hint="eastAsia" w:ascii="宋体" w:hAnsi="宋体" w:cs="宋体"/>
          <w:color w:val="auto"/>
          <w:kern w:val="2"/>
          <w:sz w:val="24"/>
          <w:szCs w:val="24"/>
          <w:u w:val="none"/>
          <w:lang w:val="en-US" w:eastAsia="zh-CN" w:bidi="ar-SA"/>
        </w:rPr>
        <w:t>概算（达预算标准）评审报告中</w:t>
      </w:r>
      <w:r>
        <w:rPr>
          <w:rFonts w:hint="eastAsia" w:ascii="宋体" w:hAnsi="宋体" w:eastAsia="宋体" w:cs="宋体"/>
          <w:color w:val="auto"/>
          <w:kern w:val="2"/>
          <w:sz w:val="24"/>
          <w:szCs w:val="24"/>
          <w:u w:val="none"/>
          <w:lang w:val="en-US" w:eastAsia="zh-CN" w:bidi="ar-SA"/>
        </w:rPr>
        <w:t>监理费用，</w:t>
      </w:r>
      <w:r>
        <w:rPr>
          <w:rFonts w:hint="eastAsia" w:ascii="宋体" w:hAnsi="宋体" w:cs="宋体"/>
          <w:color w:val="auto"/>
          <w:kern w:val="2"/>
          <w:sz w:val="24"/>
          <w:szCs w:val="24"/>
          <w:u w:val="none"/>
          <w:lang w:val="en-US" w:eastAsia="zh-CN" w:bidi="ar-SA"/>
        </w:rPr>
        <w:t>结合结算下浮率（发包下浮率</w:t>
      </w:r>
      <w:r>
        <w:rPr>
          <w:rFonts w:hint="eastAsia" w:ascii="宋体" w:hAnsi="宋体" w:cs="宋体"/>
          <w:color w:val="auto"/>
          <w:kern w:val="2"/>
          <w:sz w:val="24"/>
          <w:szCs w:val="24"/>
          <w:u w:val="single"/>
          <w:lang w:val="en-US" w:eastAsia="zh-CN" w:bidi="ar-SA"/>
        </w:rPr>
        <w:t xml:space="preserve">   </w:t>
      </w:r>
      <w:r>
        <w:rPr>
          <w:rFonts w:hint="eastAsia" w:ascii="宋体" w:hAnsi="宋体" w:cs="宋体"/>
          <w:color w:val="auto"/>
          <w:kern w:val="2"/>
          <w:sz w:val="24"/>
          <w:szCs w:val="24"/>
          <w:u w:val="none"/>
          <w:lang w:val="en-US" w:eastAsia="zh-CN" w:bidi="ar-SA"/>
        </w:rPr>
        <w:t>%及中标下浮率</w:t>
      </w:r>
      <w:r>
        <w:rPr>
          <w:rFonts w:hint="eastAsia" w:ascii="宋体" w:hAnsi="宋体" w:cs="宋体"/>
          <w:color w:val="auto"/>
          <w:kern w:val="2"/>
          <w:sz w:val="24"/>
          <w:szCs w:val="24"/>
          <w:u w:val="single"/>
          <w:lang w:val="en-US" w:eastAsia="zh-CN" w:bidi="ar-SA"/>
        </w:rPr>
        <w:t xml:space="preserve">   %</w:t>
      </w:r>
      <w:r>
        <w:rPr>
          <w:rFonts w:hint="eastAsia" w:ascii="宋体" w:hAnsi="宋体" w:cs="宋体"/>
          <w:color w:val="auto"/>
          <w:kern w:val="2"/>
          <w:sz w:val="24"/>
          <w:szCs w:val="24"/>
          <w:u w:val="none"/>
          <w:lang w:val="en-US" w:eastAsia="zh-CN" w:bidi="ar-SA"/>
        </w:rPr>
        <w:t>）。</w:t>
      </w:r>
    </w:p>
    <w:p>
      <w:pPr>
        <w:widowControl/>
        <w:numPr>
          <w:ilvl w:val="-1"/>
          <w:numId w:val="0"/>
        </w:numPr>
        <w:tabs>
          <w:tab w:val="left" w:pos="1190"/>
        </w:tabs>
        <w:spacing w:after="0" w:line="440" w:lineRule="exact"/>
        <w:ind w:firstLine="480" w:firstLineChars="200"/>
        <w:rPr>
          <w:color w:val="auto"/>
          <w:highlight w:val="none"/>
        </w:rPr>
      </w:pPr>
      <w:r>
        <w:rPr>
          <w:rFonts w:hint="eastAsia" w:ascii="宋体" w:hAnsi="宋体" w:cs="宋体"/>
          <w:color w:val="auto"/>
          <w:sz w:val="24"/>
          <w:szCs w:val="24"/>
          <w:u w:val="none"/>
          <w:lang w:val="en-US" w:eastAsia="zh-CN"/>
        </w:rPr>
        <w:t>（3）本合同第一章协议书第二条约定的暂定总额。</w:t>
      </w:r>
    </w:p>
    <w:p>
      <w:pPr>
        <w:pStyle w:val="12"/>
        <w:spacing w:after="0" w:line="44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2、在本合同约定的监理范围内，监理人不得以任何理由要求附加工作和额外工作的监理报酬。 </w:t>
      </w:r>
    </w:p>
    <w:p>
      <w:pPr>
        <w:pStyle w:val="12"/>
        <w:spacing w:after="0" w:line="44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3、在本合同约定的监理范围内，当工程量增加、或设计变更或设计规模变化时，监理人工作的变化均应视为本合同约定的监理工作。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4、除非双方另有约定，本合同约定的服务期间，各种费率和费用不因物价变动而给予弥补或调整。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5</w:t>
      </w:r>
      <w:r>
        <w:rPr>
          <w:rFonts w:hint="eastAsia" w:ascii="宋体" w:hAnsi="宋体" w:cs="宋体"/>
          <w:color w:val="auto"/>
          <w:spacing w:val="-1"/>
          <w:sz w:val="24"/>
          <w:szCs w:val="24"/>
        </w:rPr>
        <w:t>、在本合同约定的监理范围内，非因监理人原因造成工程延期，致使监理服务期出现延</w:t>
      </w:r>
      <w:r>
        <w:rPr>
          <w:rFonts w:hint="eastAsia" w:ascii="宋体" w:hAnsi="宋体" w:cs="宋体"/>
          <w:color w:val="auto"/>
          <w:sz w:val="24"/>
          <w:szCs w:val="24"/>
        </w:rPr>
        <w:t xml:space="preserve">长，监理人的责任期也应相应延长，本合同监理报酬总额不作调整，双方另有约定的除外。 </w:t>
      </w:r>
    </w:p>
    <w:p>
      <w:pPr>
        <w:pStyle w:val="12"/>
        <w:spacing w:after="0" w:line="365" w:lineRule="auto"/>
        <w:ind w:firstLine="480" w:firstLineChars="200"/>
        <w:rPr>
          <w:rFonts w:ascii="宋体" w:hAnsi="宋体" w:cs="宋体"/>
          <w:color w:val="auto"/>
          <w:sz w:val="24"/>
          <w:szCs w:val="24"/>
        </w:rPr>
      </w:pPr>
      <w:r>
        <w:rPr>
          <w:rFonts w:hint="eastAsia" w:ascii="宋体" w:hAnsi="宋体" w:cs="宋体"/>
          <w:color w:val="auto"/>
          <w:sz w:val="24"/>
          <w:szCs w:val="24"/>
        </w:rPr>
        <w:t>6、如在工程实施期间，因国家政策变化、政府对本合同工程的计划调整或不可抗力等非</w:t>
      </w:r>
      <w:r>
        <w:rPr>
          <w:rFonts w:hint="eastAsia" w:ascii="宋体" w:hAnsi="宋体" w:cs="宋体"/>
          <w:color w:val="auto"/>
          <w:spacing w:val="-7"/>
          <w:sz w:val="24"/>
          <w:szCs w:val="24"/>
        </w:rPr>
        <w:t>委托人原因造成本合同工程停建的，则监理人必须接受终止服务并积极配合委托人做好善后工</w:t>
      </w:r>
      <w:r>
        <w:rPr>
          <w:rFonts w:hint="eastAsia" w:ascii="宋体" w:hAnsi="宋体" w:cs="宋体"/>
          <w:color w:val="auto"/>
          <w:sz w:val="24"/>
          <w:szCs w:val="24"/>
        </w:rPr>
        <w:t xml:space="preserve">作，按已实际完成的监理服务内容和本合同的相关约定结清监理报酬。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7、如在工程实施期间，因任何原因造成本合同工程中间停工而导致监理人必须二次或多</w:t>
      </w:r>
      <w:r>
        <w:rPr>
          <w:rFonts w:hint="eastAsia" w:ascii="宋体" w:hAnsi="宋体" w:cs="宋体"/>
          <w:color w:val="auto"/>
          <w:spacing w:val="-1"/>
          <w:sz w:val="24"/>
          <w:szCs w:val="24"/>
        </w:rPr>
        <w:t>次进出场，监理报酬总额将不会因此而有所调整，相关费用亦已经包含在本合同监理报酬中。</w:t>
      </w:r>
      <w:r>
        <w:rPr>
          <w:rFonts w:hint="eastAsia" w:ascii="宋体" w:hAnsi="宋体" w:cs="宋体"/>
          <w:color w:val="auto"/>
          <w:spacing w:val="-4"/>
          <w:sz w:val="24"/>
          <w:szCs w:val="24"/>
        </w:rPr>
        <w:t>本合同监理报酬含项目全部监理咨询工作所需的全部费用：监理人完成合同规定全部监理工作所需的各类人员的动员/</w:t>
      </w:r>
      <w:r>
        <w:rPr>
          <w:rFonts w:hint="eastAsia" w:ascii="宋体" w:hAnsi="宋体" w:cs="宋体"/>
          <w:color w:val="auto"/>
          <w:spacing w:val="-7"/>
          <w:sz w:val="24"/>
          <w:szCs w:val="24"/>
        </w:rPr>
        <w:t>复员费、各类设备和仪器的进场</w:t>
      </w:r>
      <w:r>
        <w:rPr>
          <w:rFonts w:hint="eastAsia" w:ascii="宋体" w:hAnsi="宋体" w:cs="宋体"/>
          <w:color w:val="auto"/>
          <w:sz w:val="24"/>
          <w:szCs w:val="24"/>
        </w:rPr>
        <w:t>/</w:t>
      </w:r>
      <w:r>
        <w:rPr>
          <w:rFonts w:hint="eastAsia" w:ascii="宋体" w:hAnsi="宋体" w:cs="宋体"/>
          <w:color w:val="auto"/>
          <w:spacing w:val="-8"/>
          <w:sz w:val="24"/>
          <w:szCs w:val="24"/>
        </w:rPr>
        <w:t>退场费、各项准备工作的费用、临时</w:t>
      </w:r>
      <w:r>
        <w:rPr>
          <w:rFonts w:hint="eastAsia" w:ascii="宋体" w:hAnsi="宋体" w:cs="宋体"/>
          <w:color w:val="auto"/>
          <w:spacing w:val="-9"/>
          <w:sz w:val="24"/>
          <w:szCs w:val="24"/>
        </w:rPr>
        <w:t>设施费、差旅费、人员</w:t>
      </w:r>
      <w:r>
        <w:rPr>
          <w:rFonts w:hint="eastAsia" w:ascii="宋体" w:hAnsi="宋体" w:cs="宋体"/>
          <w:color w:val="auto"/>
          <w:sz w:val="24"/>
          <w:szCs w:val="24"/>
        </w:rPr>
        <w:t>/</w:t>
      </w:r>
      <w:r>
        <w:rPr>
          <w:rFonts w:hint="eastAsia" w:ascii="宋体" w:hAnsi="宋体" w:cs="宋体"/>
          <w:color w:val="auto"/>
          <w:spacing w:val="-8"/>
          <w:sz w:val="24"/>
          <w:szCs w:val="24"/>
        </w:rPr>
        <w:t>劳务费</w:t>
      </w:r>
      <w:r>
        <w:rPr>
          <w:rFonts w:hint="eastAsia" w:ascii="宋体" w:hAnsi="宋体" w:cs="宋体"/>
          <w:color w:val="auto"/>
          <w:sz w:val="24"/>
          <w:szCs w:val="24"/>
        </w:rPr>
        <w:t>（</w:t>
      </w:r>
      <w:r>
        <w:rPr>
          <w:rFonts w:hint="eastAsia" w:ascii="宋体" w:hAnsi="宋体" w:cs="宋体"/>
          <w:color w:val="auto"/>
          <w:spacing w:val="-10"/>
          <w:sz w:val="24"/>
          <w:szCs w:val="24"/>
        </w:rPr>
        <w:t>内容包括但不限于：工资、补贴、津贴、福利、奖金、医疗、</w:t>
      </w:r>
      <w:r>
        <w:rPr>
          <w:rFonts w:hint="eastAsia" w:ascii="宋体" w:hAnsi="宋体" w:cs="宋体"/>
          <w:color w:val="auto"/>
          <w:spacing w:val="-7"/>
          <w:sz w:val="24"/>
          <w:szCs w:val="24"/>
        </w:rPr>
        <w:t>保健、劳保、保险及其他各种相关费用</w:t>
      </w:r>
      <w:r>
        <w:rPr>
          <w:rFonts w:hint="eastAsia" w:ascii="宋体" w:hAnsi="宋体" w:cs="宋体"/>
          <w:color w:val="auto"/>
          <w:spacing w:val="-10"/>
          <w:sz w:val="24"/>
          <w:szCs w:val="24"/>
        </w:rPr>
        <w:t>）</w:t>
      </w:r>
      <w:r>
        <w:rPr>
          <w:rFonts w:hint="eastAsia" w:ascii="宋体" w:hAnsi="宋体" w:cs="宋体"/>
          <w:color w:val="auto"/>
          <w:spacing w:val="-9"/>
          <w:sz w:val="24"/>
          <w:szCs w:val="24"/>
        </w:rPr>
        <w:t>、交通、工具、财务费用、消耗品、各种办公费、食</w:t>
      </w:r>
      <w:r>
        <w:rPr>
          <w:rFonts w:hint="eastAsia" w:ascii="宋体" w:hAnsi="宋体" w:cs="宋体"/>
          <w:color w:val="auto"/>
          <w:spacing w:val="-8"/>
          <w:sz w:val="24"/>
          <w:szCs w:val="24"/>
        </w:rPr>
        <w:t>宿费、办公场所租赁</w:t>
      </w:r>
      <w:r>
        <w:rPr>
          <w:rFonts w:hint="eastAsia" w:ascii="宋体" w:hAnsi="宋体" w:cs="宋体"/>
          <w:color w:val="auto"/>
          <w:sz w:val="24"/>
          <w:szCs w:val="24"/>
        </w:rPr>
        <w:t>/</w:t>
      </w:r>
      <w:r>
        <w:rPr>
          <w:rFonts w:hint="eastAsia" w:ascii="宋体" w:hAnsi="宋体" w:cs="宋体"/>
          <w:color w:val="auto"/>
          <w:spacing w:val="-9"/>
          <w:sz w:val="24"/>
          <w:szCs w:val="24"/>
        </w:rPr>
        <w:t>使用费、交通费、各种工作设备及仪器及机械的购置</w:t>
      </w:r>
      <w:r>
        <w:rPr>
          <w:rFonts w:hint="eastAsia" w:ascii="宋体" w:hAnsi="宋体" w:cs="宋体"/>
          <w:color w:val="auto"/>
          <w:sz w:val="24"/>
          <w:szCs w:val="24"/>
        </w:rPr>
        <w:t>/使用/折旧/维修等费用、各种车辆的购置/使用/折旧/维修等费用、各种取证费用、知识产权使用费、完成工作</w:t>
      </w:r>
      <w:r>
        <w:rPr>
          <w:rFonts w:hint="eastAsia" w:ascii="宋体" w:hAnsi="宋体" w:cs="宋体"/>
          <w:color w:val="auto"/>
          <w:spacing w:val="-6"/>
          <w:sz w:val="24"/>
          <w:szCs w:val="24"/>
        </w:rPr>
        <w:t>所需的相关的批准与许可的费用、工作协调费、资料使用和购买的费用、成果报告编制费、出</w:t>
      </w:r>
      <w:r>
        <w:rPr>
          <w:rFonts w:hint="eastAsia" w:ascii="宋体" w:hAnsi="宋体" w:cs="宋体"/>
          <w:color w:val="auto"/>
          <w:spacing w:val="-12"/>
          <w:sz w:val="24"/>
          <w:szCs w:val="24"/>
        </w:rPr>
        <w:t>版费、会议费、技术支持与现场服务费、各种管理费、各种津贴、社会保险、医疗保险、人身</w:t>
      </w:r>
      <w:r>
        <w:rPr>
          <w:rFonts w:hint="eastAsia" w:ascii="宋体" w:hAnsi="宋体" w:cs="宋体"/>
          <w:color w:val="auto"/>
          <w:spacing w:val="-11"/>
          <w:sz w:val="24"/>
          <w:szCs w:val="24"/>
        </w:rPr>
        <w:t>保险、财产保险、第三方责任险及其他各种保险的费用、各种风险的费用</w:t>
      </w:r>
      <w:r>
        <w:rPr>
          <w:rFonts w:hint="eastAsia" w:ascii="宋体" w:hAnsi="宋体" w:cs="宋体"/>
          <w:color w:val="auto"/>
          <w:sz w:val="24"/>
          <w:szCs w:val="24"/>
        </w:rPr>
        <w:t>（包括但不限于外界/周边环境的变化和影响、各种技术资料及其他资料的准确性和真实性和充足性的影响、各种</w:t>
      </w:r>
      <w:r>
        <w:rPr>
          <w:rFonts w:hint="eastAsia" w:ascii="宋体" w:hAnsi="宋体" w:cs="宋体"/>
          <w:color w:val="auto"/>
          <w:spacing w:val="-2"/>
          <w:sz w:val="24"/>
          <w:szCs w:val="24"/>
        </w:rPr>
        <w:t>人为因素的干扰和影响，及其他各种影响和干扰</w:t>
      </w:r>
      <w:r>
        <w:rPr>
          <w:rFonts w:hint="eastAsia" w:ascii="宋体" w:hAnsi="宋体" w:cs="宋体"/>
          <w:color w:val="auto"/>
          <w:spacing w:val="-20"/>
          <w:sz w:val="24"/>
          <w:szCs w:val="24"/>
        </w:rPr>
        <w:t>）</w:t>
      </w:r>
      <w:r>
        <w:rPr>
          <w:rFonts w:hint="eastAsia" w:ascii="宋体" w:hAnsi="宋体" w:cs="宋体"/>
          <w:color w:val="auto"/>
          <w:spacing w:val="-9"/>
          <w:sz w:val="24"/>
          <w:szCs w:val="24"/>
        </w:rPr>
        <w:t>、各种税费、利润、政府各部门及其他相关</w:t>
      </w:r>
      <w:r>
        <w:rPr>
          <w:rFonts w:hint="eastAsia" w:ascii="宋体" w:hAnsi="宋体" w:cs="宋体"/>
          <w:color w:val="auto"/>
          <w:spacing w:val="-19"/>
          <w:sz w:val="24"/>
          <w:szCs w:val="24"/>
        </w:rPr>
        <w:t>的单位和实体收取的各种费用、财务费用、可能出现的各种变动因素而导致的价格上涨和增加、</w:t>
      </w:r>
      <w:r>
        <w:rPr>
          <w:rFonts w:hint="eastAsia" w:ascii="宋体" w:hAnsi="宋体" w:cs="宋体"/>
          <w:color w:val="auto"/>
          <w:sz w:val="24"/>
          <w:szCs w:val="24"/>
        </w:rPr>
        <w:t xml:space="preserve">各种加班的费用、各种杂费及其它一切与履行本合同有关的费用（包括在合同中明确说明和/ 或未明确说明的应补偿给监理人的其它费用）。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（二）监理报酬的支付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pacing w:val="-1"/>
          <w:sz w:val="24"/>
          <w:szCs w:val="24"/>
        </w:rPr>
        <w:t>、监理合同签订，监理人提供经委托人审批的监理规划、监理实施细则，项目监理人员</w:t>
      </w:r>
      <w:r>
        <w:rPr>
          <w:rFonts w:hint="eastAsia" w:ascii="宋体" w:hAnsi="宋体" w:cs="宋体"/>
          <w:color w:val="auto"/>
          <w:spacing w:val="-3"/>
          <w:sz w:val="24"/>
          <w:szCs w:val="24"/>
        </w:rPr>
        <w:t xml:space="preserve">组织机构经委托人审核备案，在施工单位进场后 </w:t>
      </w:r>
      <w:r>
        <w:rPr>
          <w:rFonts w:hint="eastAsia" w:ascii="宋体" w:hAnsi="宋体" w:cs="宋体"/>
          <w:color w:val="auto"/>
          <w:spacing w:val="-9"/>
          <w:sz w:val="24"/>
          <w:szCs w:val="24"/>
        </w:rPr>
        <w:t>，委托人一次性支付监理人首期监理</w:t>
      </w:r>
      <w:r>
        <w:rPr>
          <w:rFonts w:hint="eastAsia" w:ascii="宋体" w:hAnsi="宋体" w:cs="宋体"/>
          <w:color w:val="auto"/>
          <w:sz w:val="24"/>
          <w:szCs w:val="24"/>
        </w:rPr>
        <w:t>费（</w:t>
      </w:r>
      <w:r>
        <w:rPr>
          <w:rFonts w:hint="eastAsia" w:ascii="宋体" w:hAnsi="宋体" w:cs="宋体"/>
          <w:color w:val="auto"/>
          <w:sz w:val="24"/>
          <w:szCs w:val="24"/>
          <w:lang w:val="en-US" w:eastAsia="zh-CN"/>
        </w:rPr>
        <w:t>本</w:t>
      </w:r>
      <w:r>
        <w:rPr>
          <w:rFonts w:hint="eastAsia" w:ascii="宋体" w:hAnsi="宋体" w:cs="宋体"/>
          <w:color w:val="auto"/>
          <w:spacing w:val="-9"/>
          <w:sz w:val="24"/>
          <w:szCs w:val="24"/>
        </w:rPr>
        <w:t>监理合同</w:t>
      </w:r>
      <w:r>
        <w:rPr>
          <w:rFonts w:hint="eastAsia" w:ascii="宋体" w:hAnsi="宋体" w:cs="宋体"/>
          <w:color w:val="auto"/>
          <w:spacing w:val="-9"/>
          <w:sz w:val="24"/>
          <w:szCs w:val="24"/>
          <w:lang w:val="en-US" w:eastAsia="zh-CN"/>
        </w:rPr>
        <w:t>暂定总</w:t>
      </w:r>
      <w:r>
        <w:rPr>
          <w:rFonts w:hint="eastAsia" w:ascii="宋体" w:hAnsi="宋体" w:cs="宋体"/>
          <w:color w:val="auto"/>
          <w:spacing w:val="-9"/>
          <w:sz w:val="24"/>
          <w:szCs w:val="24"/>
        </w:rPr>
        <w:t xml:space="preserve">价的 </w:t>
      </w:r>
      <w:r>
        <w:rPr>
          <w:rFonts w:hint="eastAsia" w:ascii="宋体" w:hAnsi="宋体" w:cs="宋体"/>
          <w:color w:val="auto"/>
          <w:sz w:val="24"/>
          <w:szCs w:val="24"/>
        </w:rPr>
        <w:t xml:space="preserve">10%）； </w:t>
      </w:r>
    </w:p>
    <w:p>
      <w:pPr>
        <w:pStyle w:val="12"/>
        <w:spacing w:after="0" w:line="364"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 xml:space="preserve">2、工程量完成至 </w:t>
      </w:r>
      <w:r>
        <w:rPr>
          <w:rFonts w:hint="eastAsia" w:ascii="宋体" w:hAnsi="宋体" w:cs="宋体"/>
          <w:color w:val="auto"/>
          <w:sz w:val="24"/>
          <w:szCs w:val="24"/>
          <w:lang w:val="en-US" w:eastAsia="zh-CN"/>
        </w:rPr>
        <w:t>3</w:t>
      </w:r>
      <w:r>
        <w:rPr>
          <w:rFonts w:hint="eastAsia" w:ascii="宋体" w:hAnsi="宋体" w:cs="宋体"/>
          <w:color w:val="auto"/>
          <w:sz w:val="24"/>
          <w:szCs w:val="24"/>
        </w:rPr>
        <w:t>0%，委托人支付</w:t>
      </w:r>
      <w:r>
        <w:rPr>
          <w:rFonts w:hint="eastAsia" w:ascii="宋体" w:hAnsi="宋体" w:cs="宋体"/>
          <w:color w:val="auto"/>
          <w:sz w:val="24"/>
          <w:szCs w:val="24"/>
          <w:lang w:val="en-US" w:eastAsia="zh-CN"/>
        </w:rPr>
        <w:t>至本</w:t>
      </w:r>
      <w:r>
        <w:rPr>
          <w:rFonts w:hint="eastAsia" w:ascii="宋体" w:hAnsi="宋体" w:cs="宋体"/>
          <w:color w:val="auto"/>
          <w:sz w:val="24"/>
          <w:szCs w:val="24"/>
        </w:rPr>
        <w:t>监理合同</w:t>
      </w:r>
      <w:r>
        <w:rPr>
          <w:rFonts w:hint="eastAsia" w:ascii="宋体" w:hAnsi="宋体" w:cs="宋体"/>
          <w:color w:val="auto"/>
          <w:sz w:val="24"/>
          <w:szCs w:val="24"/>
          <w:lang w:val="en-US" w:eastAsia="zh-CN"/>
        </w:rPr>
        <w:t>暂定总</w:t>
      </w:r>
      <w:r>
        <w:rPr>
          <w:rFonts w:hint="eastAsia" w:ascii="宋体" w:hAnsi="宋体" w:cs="宋体"/>
          <w:color w:val="auto"/>
          <w:sz w:val="24"/>
          <w:szCs w:val="24"/>
        </w:rPr>
        <w:t xml:space="preserve">价的 </w:t>
      </w:r>
      <w:r>
        <w:rPr>
          <w:rFonts w:hint="eastAsia" w:ascii="宋体" w:hAnsi="宋体" w:cs="宋体"/>
          <w:color w:val="auto"/>
          <w:sz w:val="24"/>
          <w:szCs w:val="24"/>
          <w:lang w:val="en-US" w:eastAsia="zh-CN"/>
        </w:rPr>
        <w:t>2</w:t>
      </w:r>
      <w:r>
        <w:rPr>
          <w:rFonts w:hint="eastAsia" w:ascii="宋体" w:hAnsi="宋体" w:cs="宋体"/>
          <w:color w:val="auto"/>
          <w:sz w:val="24"/>
          <w:szCs w:val="24"/>
        </w:rPr>
        <w:t>0%</w:t>
      </w:r>
      <w:r>
        <w:rPr>
          <w:rFonts w:hint="eastAsia" w:ascii="宋体" w:hAnsi="宋体" w:cs="宋体"/>
          <w:color w:val="auto"/>
          <w:sz w:val="24"/>
          <w:szCs w:val="24"/>
          <w:lang w:eastAsia="zh-CN"/>
        </w:rPr>
        <w:t>；</w:t>
      </w:r>
    </w:p>
    <w:p>
      <w:pPr>
        <w:pStyle w:val="12"/>
        <w:spacing w:after="0" w:line="364" w:lineRule="auto"/>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 xml:space="preserve">、工程量完成至 </w:t>
      </w:r>
      <w:r>
        <w:rPr>
          <w:rFonts w:hint="eastAsia" w:ascii="宋体" w:hAnsi="宋体" w:cs="宋体"/>
          <w:color w:val="auto"/>
          <w:sz w:val="24"/>
          <w:szCs w:val="24"/>
          <w:lang w:val="en-US" w:eastAsia="zh-CN"/>
        </w:rPr>
        <w:t>5</w:t>
      </w:r>
      <w:r>
        <w:rPr>
          <w:rFonts w:hint="eastAsia" w:ascii="宋体" w:hAnsi="宋体" w:cs="宋体"/>
          <w:color w:val="auto"/>
          <w:sz w:val="24"/>
          <w:szCs w:val="24"/>
        </w:rPr>
        <w:t>0%，委托人支付</w:t>
      </w:r>
      <w:r>
        <w:rPr>
          <w:rFonts w:hint="eastAsia" w:ascii="宋体" w:hAnsi="宋体" w:cs="宋体"/>
          <w:color w:val="auto"/>
          <w:sz w:val="24"/>
          <w:szCs w:val="24"/>
          <w:lang w:val="en-US" w:eastAsia="zh-CN"/>
        </w:rPr>
        <w:t>至本</w:t>
      </w:r>
      <w:r>
        <w:rPr>
          <w:rFonts w:hint="eastAsia" w:ascii="宋体" w:hAnsi="宋体" w:cs="宋体"/>
          <w:color w:val="auto"/>
          <w:sz w:val="24"/>
          <w:szCs w:val="24"/>
        </w:rPr>
        <w:t>监理合同</w:t>
      </w:r>
      <w:r>
        <w:rPr>
          <w:rFonts w:hint="eastAsia" w:ascii="宋体" w:hAnsi="宋体" w:cs="宋体"/>
          <w:color w:val="auto"/>
          <w:sz w:val="24"/>
          <w:szCs w:val="24"/>
          <w:lang w:val="en-US" w:eastAsia="zh-CN"/>
        </w:rPr>
        <w:t>暂定总</w:t>
      </w:r>
      <w:r>
        <w:rPr>
          <w:rFonts w:hint="eastAsia" w:ascii="宋体" w:hAnsi="宋体" w:cs="宋体"/>
          <w:color w:val="auto"/>
          <w:sz w:val="24"/>
          <w:szCs w:val="24"/>
        </w:rPr>
        <w:t xml:space="preserve">价的 </w:t>
      </w:r>
      <w:r>
        <w:rPr>
          <w:rFonts w:hint="eastAsia" w:ascii="宋体" w:hAnsi="宋体" w:cs="宋体"/>
          <w:color w:val="auto"/>
          <w:sz w:val="24"/>
          <w:szCs w:val="24"/>
          <w:lang w:val="en-US" w:eastAsia="zh-CN"/>
        </w:rPr>
        <w:t>3</w:t>
      </w:r>
      <w:r>
        <w:rPr>
          <w:rFonts w:hint="eastAsia" w:ascii="宋体" w:hAnsi="宋体" w:cs="宋体"/>
          <w:color w:val="auto"/>
          <w:sz w:val="24"/>
          <w:szCs w:val="24"/>
        </w:rPr>
        <w:t xml:space="preserve">0%；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4</w:t>
      </w:r>
      <w:r>
        <w:rPr>
          <w:rFonts w:hint="eastAsia" w:ascii="宋体" w:hAnsi="宋体" w:cs="宋体"/>
          <w:color w:val="auto"/>
          <w:sz w:val="24"/>
          <w:szCs w:val="24"/>
        </w:rPr>
        <w:t>、工程量完成至 80%，委托人支付</w:t>
      </w:r>
      <w:r>
        <w:rPr>
          <w:rFonts w:hint="eastAsia" w:ascii="宋体" w:hAnsi="宋体" w:cs="宋体"/>
          <w:color w:val="auto"/>
          <w:sz w:val="24"/>
          <w:szCs w:val="24"/>
          <w:lang w:val="en-US" w:eastAsia="zh-CN"/>
        </w:rPr>
        <w:t>至本</w:t>
      </w:r>
      <w:r>
        <w:rPr>
          <w:rFonts w:hint="eastAsia" w:ascii="宋体" w:hAnsi="宋体" w:cs="宋体"/>
          <w:color w:val="auto"/>
          <w:sz w:val="24"/>
          <w:szCs w:val="24"/>
        </w:rPr>
        <w:t>监理合同</w:t>
      </w:r>
      <w:r>
        <w:rPr>
          <w:rFonts w:hint="eastAsia" w:ascii="宋体" w:hAnsi="宋体" w:cs="宋体"/>
          <w:color w:val="auto"/>
          <w:sz w:val="24"/>
          <w:szCs w:val="24"/>
          <w:lang w:val="en-US" w:eastAsia="zh-CN"/>
        </w:rPr>
        <w:t>暂定总</w:t>
      </w:r>
      <w:r>
        <w:rPr>
          <w:rFonts w:hint="eastAsia" w:ascii="宋体" w:hAnsi="宋体" w:cs="宋体"/>
          <w:color w:val="auto"/>
          <w:sz w:val="24"/>
          <w:szCs w:val="24"/>
        </w:rPr>
        <w:t>价的</w:t>
      </w:r>
      <w:r>
        <w:rPr>
          <w:rFonts w:hint="eastAsia" w:ascii="宋体" w:hAnsi="宋体" w:cs="宋体"/>
          <w:color w:val="auto"/>
          <w:sz w:val="24"/>
          <w:szCs w:val="24"/>
          <w:lang w:val="en-US" w:eastAsia="zh-CN"/>
        </w:rPr>
        <w:t>6</w:t>
      </w:r>
      <w:r>
        <w:rPr>
          <w:rFonts w:hint="eastAsia" w:ascii="宋体" w:hAnsi="宋体" w:cs="宋体"/>
          <w:color w:val="auto"/>
          <w:sz w:val="24"/>
          <w:szCs w:val="24"/>
        </w:rPr>
        <w:t>0%</w:t>
      </w:r>
      <w:r>
        <w:rPr>
          <w:rFonts w:hint="eastAsia" w:ascii="宋体" w:hAnsi="宋体" w:cs="宋体"/>
          <w:color w:val="auto"/>
          <w:sz w:val="24"/>
          <w:szCs w:val="24"/>
          <w:lang w:eastAsia="zh-CN"/>
        </w:rPr>
        <w:t>；</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5</w:t>
      </w:r>
      <w:r>
        <w:rPr>
          <w:rFonts w:hint="eastAsia" w:ascii="宋体" w:hAnsi="宋体" w:cs="宋体"/>
          <w:color w:val="auto"/>
          <w:sz w:val="24"/>
          <w:szCs w:val="24"/>
        </w:rPr>
        <w:t>、工程完工，现场建设完成并调试和试运行验收合格后，委托人支付</w:t>
      </w:r>
      <w:r>
        <w:rPr>
          <w:rFonts w:hint="eastAsia" w:ascii="宋体" w:hAnsi="宋体" w:cs="宋体"/>
          <w:color w:val="auto"/>
          <w:sz w:val="24"/>
          <w:szCs w:val="24"/>
          <w:lang w:val="en-US" w:eastAsia="zh-CN"/>
        </w:rPr>
        <w:t>至本</w:t>
      </w:r>
      <w:r>
        <w:rPr>
          <w:rFonts w:hint="eastAsia" w:ascii="宋体" w:hAnsi="宋体" w:cs="宋体"/>
          <w:color w:val="auto"/>
          <w:sz w:val="24"/>
          <w:szCs w:val="24"/>
        </w:rPr>
        <w:t>监理合同</w:t>
      </w:r>
      <w:r>
        <w:rPr>
          <w:rFonts w:hint="eastAsia" w:ascii="宋体" w:hAnsi="宋体" w:cs="宋体"/>
          <w:color w:val="auto"/>
          <w:sz w:val="24"/>
          <w:szCs w:val="24"/>
          <w:lang w:val="en-US" w:eastAsia="zh-CN"/>
        </w:rPr>
        <w:t>暂定总</w:t>
      </w:r>
      <w:r>
        <w:rPr>
          <w:rFonts w:hint="eastAsia" w:ascii="宋体" w:hAnsi="宋体" w:cs="宋体"/>
          <w:color w:val="auto"/>
          <w:sz w:val="24"/>
          <w:szCs w:val="24"/>
        </w:rPr>
        <w:t xml:space="preserve">价的 80%； </w:t>
      </w:r>
    </w:p>
    <w:p>
      <w:pPr>
        <w:pStyle w:val="12"/>
        <w:spacing w:after="0" w:line="362" w:lineRule="auto"/>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6</w:t>
      </w:r>
      <w:r>
        <w:rPr>
          <w:rFonts w:hint="eastAsia" w:ascii="宋体" w:hAnsi="宋体" w:cs="宋体"/>
          <w:color w:val="auto"/>
          <w:sz w:val="24"/>
          <w:szCs w:val="24"/>
        </w:rPr>
        <w:t>、工程竣工验收合格</w:t>
      </w:r>
      <w:r>
        <w:rPr>
          <w:rFonts w:hint="eastAsia" w:ascii="宋体" w:hAnsi="宋体" w:cs="宋体"/>
          <w:color w:val="auto"/>
          <w:sz w:val="24"/>
          <w:szCs w:val="24"/>
          <w:lang w:val="en-US" w:eastAsia="zh-CN"/>
        </w:rPr>
        <w:t>并经主管部门备案</w:t>
      </w:r>
      <w:r>
        <w:rPr>
          <w:rFonts w:hint="eastAsia" w:ascii="宋体" w:hAnsi="宋体" w:cs="宋体"/>
          <w:color w:val="auto"/>
          <w:sz w:val="24"/>
          <w:szCs w:val="24"/>
        </w:rPr>
        <w:t>后，委托人支付</w:t>
      </w:r>
      <w:r>
        <w:rPr>
          <w:rFonts w:hint="eastAsia" w:ascii="宋体" w:hAnsi="宋体" w:cs="宋体"/>
          <w:color w:val="auto"/>
          <w:sz w:val="24"/>
          <w:szCs w:val="24"/>
          <w:lang w:val="en-US" w:eastAsia="zh-CN"/>
        </w:rPr>
        <w:t>至本</w:t>
      </w:r>
      <w:r>
        <w:rPr>
          <w:rFonts w:hint="eastAsia" w:ascii="宋体" w:hAnsi="宋体" w:cs="宋体"/>
          <w:color w:val="auto"/>
          <w:sz w:val="24"/>
          <w:szCs w:val="24"/>
        </w:rPr>
        <w:t>监理合同</w:t>
      </w:r>
      <w:r>
        <w:rPr>
          <w:rFonts w:hint="eastAsia" w:ascii="宋体" w:hAnsi="宋体" w:cs="宋体"/>
          <w:color w:val="auto"/>
          <w:sz w:val="24"/>
          <w:szCs w:val="24"/>
          <w:lang w:val="en-US" w:eastAsia="zh-CN"/>
        </w:rPr>
        <w:t>暂定总</w:t>
      </w:r>
      <w:r>
        <w:rPr>
          <w:rFonts w:hint="eastAsia" w:ascii="宋体" w:hAnsi="宋体" w:cs="宋体"/>
          <w:color w:val="auto"/>
          <w:sz w:val="24"/>
          <w:szCs w:val="24"/>
        </w:rPr>
        <w:t xml:space="preserve">价的 </w:t>
      </w:r>
      <w:r>
        <w:rPr>
          <w:rFonts w:hint="eastAsia" w:ascii="宋体" w:hAnsi="宋体" w:cs="宋体"/>
          <w:color w:val="auto"/>
          <w:sz w:val="24"/>
          <w:szCs w:val="24"/>
          <w:lang w:val="en-US" w:eastAsia="zh-CN"/>
        </w:rPr>
        <w:t>90</w:t>
      </w:r>
      <w:r>
        <w:rPr>
          <w:rFonts w:hint="eastAsia" w:ascii="宋体" w:hAnsi="宋体" w:cs="宋体"/>
          <w:color w:val="auto"/>
          <w:sz w:val="24"/>
          <w:szCs w:val="24"/>
        </w:rPr>
        <w:t xml:space="preserve">%； </w:t>
      </w:r>
    </w:p>
    <w:p>
      <w:pPr>
        <w:pStyle w:val="12"/>
        <w:spacing w:after="0" w:line="362" w:lineRule="auto"/>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7</w:t>
      </w:r>
      <w:r>
        <w:rPr>
          <w:rFonts w:hint="eastAsia" w:ascii="宋体" w:hAnsi="宋体" w:cs="宋体"/>
          <w:color w:val="auto"/>
          <w:sz w:val="24"/>
          <w:szCs w:val="24"/>
        </w:rPr>
        <w:t>、工程</w:t>
      </w:r>
      <w:r>
        <w:rPr>
          <w:rFonts w:hint="eastAsia" w:ascii="宋体" w:hAnsi="宋体" w:cs="宋体"/>
          <w:color w:val="auto"/>
          <w:sz w:val="24"/>
          <w:szCs w:val="24"/>
          <w:lang w:val="en-US" w:eastAsia="zh-CN"/>
        </w:rPr>
        <w:t>结算</w:t>
      </w:r>
      <w:r>
        <w:rPr>
          <w:rFonts w:hint="eastAsia" w:ascii="宋体" w:hAnsi="宋体" w:cs="宋体"/>
          <w:color w:val="auto"/>
          <w:sz w:val="24"/>
          <w:szCs w:val="24"/>
        </w:rPr>
        <w:t>后，委托人支付</w:t>
      </w:r>
      <w:r>
        <w:rPr>
          <w:rFonts w:hint="eastAsia" w:ascii="宋体" w:hAnsi="宋体" w:cs="宋体"/>
          <w:color w:val="auto"/>
          <w:sz w:val="24"/>
          <w:szCs w:val="24"/>
          <w:lang w:val="en-US" w:eastAsia="zh-CN"/>
        </w:rPr>
        <w:t>至本工程监理费结算</w:t>
      </w:r>
      <w:r>
        <w:rPr>
          <w:rFonts w:hint="eastAsia" w:ascii="宋体" w:hAnsi="宋体" w:cs="宋体"/>
          <w:color w:val="auto"/>
          <w:sz w:val="24"/>
          <w:szCs w:val="24"/>
        </w:rPr>
        <w:t xml:space="preserve">价的 </w:t>
      </w:r>
      <w:r>
        <w:rPr>
          <w:rFonts w:hint="eastAsia" w:ascii="宋体" w:hAnsi="宋体" w:cs="宋体"/>
          <w:color w:val="auto"/>
          <w:sz w:val="24"/>
          <w:szCs w:val="24"/>
          <w:lang w:val="en-US" w:eastAsia="zh-CN"/>
        </w:rPr>
        <w:t>97</w:t>
      </w:r>
      <w:r>
        <w:rPr>
          <w:rFonts w:hint="eastAsia" w:ascii="宋体" w:hAnsi="宋体" w:cs="宋体"/>
          <w:color w:val="auto"/>
          <w:sz w:val="24"/>
          <w:szCs w:val="24"/>
        </w:rPr>
        <w:t>%；</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8</w:t>
      </w:r>
      <w:r>
        <w:rPr>
          <w:rFonts w:hint="eastAsia" w:ascii="宋体" w:hAnsi="宋体" w:cs="宋体"/>
          <w:color w:val="auto"/>
          <w:spacing w:val="-14"/>
          <w:sz w:val="24"/>
          <w:szCs w:val="24"/>
        </w:rPr>
        <w:t>、</w:t>
      </w:r>
      <w:r>
        <w:rPr>
          <w:rFonts w:hint="eastAsia" w:ascii="宋体" w:hAnsi="宋体" w:cs="宋体"/>
          <w:color w:val="auto"/>
          <w:sz w:val="24"/>
          <w:szCs w:val="24"/>
        </w:rPr>
        <w:t>待工程质量</w:t>
      </w:r>
      <w:r>
        <w:rPr>
          <w:rFonts w:hint="eastAsia" w:ascii="宋体" w:hAnsi="宋体" w:cs="宋体"/>
          <w:color w:val="auto"/>
          <w:sz w:val="24"/>
          <w:szCs w:val="24"/>
          <w:lang w:val="en-US" w:eastAsia="zh-CN"/>
        </w:rPr>
        <w:t>保修期及</w:t>
      </w:r>
      <w:r>
        <w:rPr>
          <w:rFonts w:hint="eastAsia" w:ascii="宋体" w:hAnsi="宋体" w:cs="宋体"/>
          <w:color w:val="auto"/>
          <w:sz w:val="24"/>
          <w:szCs w:val="24"/>
        </w:rPr>
        <w:t xml:space="preserve">缺陷责任期满，监理人协助委托人完成工程竣工档案备案后支付该项目监理费结算价的余款（不计利息）。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9</w:t>
      </w:r>
      <w:r>
        <w:rPr>
          <w:rFonts w:hint="eastAsia" w:ascii="宋体" w:hAnsi="宋体" w:cs="宋体"/>
          <w:color w:val="auto"/>
          <w:spacing w:val="-12"/>
          <w:sz w:val="24"/>
          <w:szCs w:val="24"/>
        </w:rPr>
        <w:t xml:space="preserve">、监理人应在委托人支付款项前向委托人提供合格的增值税专用发票及相应的付款材料， </w:t>
      </w:r>
      <w:r>
        <w:rPr>
          <w:rFonts w:hint="eastAsia" w:ascii="宋体" w:hAnsi="宋体" w:cs="宋体"/>
          <w:color w:val="auto"/>
          <w:spacing w:val="-5"/>
          <w:sz w:val="24"/>
          <w:szCs w:val="24"/>
        </w:rPr>
        <w:t xml:space="preserve">否则委托人有权延期付款且无需承担任何责任。支付进度监理费时，需附监理人盖章确认的违约台账，如有违约罚金，委托人有权从应付款项中直接扣除当期监理费对应的违约金。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10</w:t>
      </w:r>
      <w:r>
        <w:rPr>
          <w:rFonts w:hint="eastAsia" w:ascii="宋体" w:hAnsi="宋体" w:cs="宋体"/>
          <w:color w:val="auto"/>
          <w:sz w:val="24"/>
          <w:szCs w:val="24"/>
        </w:rPr>
        <w:t xml:space="preserve">、监理人指定收款账户：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户 名 ：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开户行：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银行账号：  </w:t>
      </w:r>
    </w:p>
    <w:p>
      <w:pPr>
        <w:pStyle w:val="12"/>
        <w:spacing w:after="0" w:line="360"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纳税人识别号：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11</w:t>
      </w:r>
      <w:r>
        <w:rPr>
          <w:rFonts w:hint="eastAsia" w:ascii="宋体" w:hAnsi="宋体" w:cs="宋体"/>
          <w:color w:val="auto"/>
          <w:sz w:val="24"/>
          <w:szCs w:val="24"/>
        </w:rPr>
        <w:t>.经双方同意，上述所有款项均由项目业主广州市增城区城市建设投资集团有限公司支付，付款前监理人应向发包人提供符合要求的请款资料并向业主单位开具合规有效的增值税专用发票。业主单位在规定时间内向增城区财政部门或国家开发银行提出支付申请手续后即视为已经按期支付。开票信息如下：</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户名：广州市增城区城市建设投资集团有限公司</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纳税人识别号：91440183MA59DERA7C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地址：广州市增城区荔城街民乐路20号1401号</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开户银行：交通银行广州增城支行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账号：441168627018800002813</w:t>
      </w:r>
    </w:p>
    <w:p>
      <w:pPr>
        <w:pStyle w:val="12"/>
        <w:spacing w:after="0" w:line="364" w:lineRule="auto"/>
        <w:ind w:firstLine="482" w:firstLineChars="200"/>
        <w:rPr>
          <w:rFonts w:ascii="宋体" w:hAnsi="宋体" w:cs="宋体"/>
          <w:color w:val="auto"/>
          <w:sz w:val="24"/>
          <w:szCs w:val="24"/>
        </w:rPr>
      </w:pPr>
      <w:r>
        <w:rPr>
          <w:rFonts w:hint="eastAsia" w:ascii="宋体" w:hAnsi="宋体" w:cs="宋体"/>
          <w:b/>
          <w:color w:val="auto"/>
          <w:sz w:val="24"/>
          <w:szCs w:val="24"/>
        </w:rPr>
        <w:t xml:space="preserve">第四十一条 </w:t>
      </w:r>
      <w:r>
        <w:rPr>
          <w:rFonts w:hint="eastAsia" w:ascii="宋体" w:hAnsi="宋体" w:cs="宋体"/>
          <w:color w:val="auto"/>
          <w:sz w:val="24"/>
          <w:szCs w:val="24"/>
        </w:rPr>
        <w:t xml:space="preserve">委托人与监理人双方同意用人民币支付本合同涉及的相关款项。 </w:t>
      </w:r>
    </w:p>
    <w:p>
      <w:pPr>
        <w:pStyle w:val="12"/>
        <w:spacing w:after="0" w:line="364" w:lineRule="auto"/>
        <w:ind w:firstLine="482" w:firstLineChars="200"/>
        <w:rPr>
          <w:rFonts w:ascii="宋体" w:hAnsi="宋体" w:cs="宋体"/>
          <w:color w:val="auto"/>
          <w:sz w:val="24"/>
          <w:szCs w:val="24"/>
        </w:rPr>
      </w:pPr>
      <w:r>
        <w:rPr>
          <w:rFonts w:hint="eastAsia" w:ascii="宋体" w:hAnsi="宋体" w:cs="宋体"/>
          <w:b/>
          <w:color w:val="auto"/>
          <w:sz w:val="24"/>
          <w:szCs w:val="24"/>
        </w:rPr>
        <w:t xml:space="preserve">第四十二条 </w:t>
      </w:r>
      <w:r>
        <w:rPr>
          <w:rFonts w:hint="eastAsia" w:ascii="宋体" w:hAnsi="宋体" w:cs="宋体"/>
          <w:color w:val="auto"/>
          <w:sz w:val="24"/>
          <w:szCs w:val="24"/>
        </w:rPr>
        <w:t xml:space="preserve">双方一致同意不适用本合同标准条款第 42 条的约定，监理人申请委托人付款的，应按委托人规定办理请款手续。 </w:t>
      </w:r>
    </w:p>
    <w:p>
      <w:pPr>
        <w:pStyle w:val="12"/>
        <w:spacing w:after="0" w:line="364" w:lineRule="auto"/>
        <w:ind w:firstLine="482" w:firstLineChars="200"/>
        <w:rPr>
          <w:rFonts w:ascii="宋体" w:hAnsi="宋体" w:cs="宋体"/>
          <w:color w:val="auto"/>
          <w:sz w:val="24"/>
          <w:szCs w:val="24"/>
        </w:rPr>
      </w:pPr>
      <w:r>
        <w:rPr>
          <w:rFonts w:hint="eastAsia" w:ascii="宋体" w:hAnsi="宋体" w:cs="宋体"/>
          <w:b/>
          <w:color w:val="auto"/>
          <w:sz w:val="24"/>
          <w:szCs w:val="24"/>
        </w:rPr>
        <w:t xml:space="preserve">第四十三条 </w:t>
      </w:r>
      <w:r>
        <w:rPr>
          <w:rFonts w:hint="eastAsia" w:ascii="宋体" w:hAnsi="宋体" w:cs="宋体"/>
          <w:color w:val="auto"/>
          <w:sz w:val="24"/>
          <w:szCs w:val="24"/>
        </w:rPr>
        <w:t xml:space="preserve">双方一致同意不适用本合同标准条款第 43 条的约定，委托的建设工程监理所必要的监理人员出外考察、材料设备复试、监造，其费用支出由监理人负责解决。 </w:t>
      </w:r>
    </w:p>
    <w:p>
      <w:pPr>
        <w:pStyle w:val="12"/>
        <w:spacing w:after="0" w:line="364" w:lineRule="auto"/>
        <w:ind w:firstLine="482" w:firstLineChars="200"/>
        <w:rPr>
          <w:rFonts w:ascii="宋体" w:hAnsi="宋体" w:cs="宋体"/>
          <w:color w:val="auto"/>
          <w:sz w:val="24"/>
          <w:szCs w:val="24"/>
        </w:rPr>
      </w:pPr>
      <w:r>
        <w:rPr>
          <w:rFonts w:hint="eastAsia" w:ascii="宋体" w:hAnsi="宋体" w:cs="宋体"/>
          <w:b/>
          <w:color w:val="auto"/>
          <w:sz w:val="24"/>
          <w:szCs w:val="24"/>
        </w:rPr>
        <w:t xml:space="preserve">第四十九条 </w:t>
      </w:r>
      <w:r>
        <w:rPr>
          <w:rFonts w:hint="eastAsia" w:ascii="宋体" w:hAnsi="宋体" w:cs="宋体"/>
          <w:color w:val="auto"/>
          <w:spacing w:val="-1"/>
          <w:sz w:val="24"/>
          <w:szCs w:val="24"/>
        </w:rPr>
        <w:t>因履行本合同发生或与本合同有关的争议，双方当事人应友好协商解决。协</w:t>
      </w:r>
      <w:r>
        <w:rPr>
          <w:rFonts w:hint="eastAsia" w:ascii="宋体" w:hAnsi="宋体" w:cs="宋体"/>
          <w:color w:val="auto"/>
          <w:spacing w:val="-12"/>
          <w:sz w:val="24"/>
          <w:szCs w:val="24"/>
        </w:rPr>
        <w:t>商不成的，向工程所在地人民法院起诉，但诉讼不影响委托人同其他监理单位另行签订监理合</w:t>
      </w:r>
      <w:r>
        <w:rPr>
          <w:rFonts w:hint="eastAsia" w:ascii="宋体" w:hAnsi="宋体" w:cs="宋体"/>
          <w:color w:val="auto"/>
          <w:sz w:val="24"/>
          <w:szCs w:val="24"/>
        </w:rPr>
        <w:t xml:space="preserve">同。 </w:t>
      </w:r>
    </w:p>
    <w:p>
      <w:pPr>
        <w:pStyle w:val="12"/>
        <w:spacing w:after="0" w:line="360" w:lineRule="auto"/>
        <w:ind w:firstLine="482" w:firstLineChars="200"/>
        <w:rPr>
          <w:rFonts w:ascii="宋体" w:hAnsi="宋体" w:cs="宋体"/>
          <w:b/>
          <w:color w:val="auto"/>
        </w:rPr>
      </w:pPr>
      <w:r>
        <w:rPr>
          <w:rFonts w:hint="eastAsia" w:ascii="宋体" w:hAnsi="宋体" w:cs="宋体"/>
          <w:b/>
          <w:bCs/>
          <w:color w:val="auto"/>
          <w:sz w:val="24"/>
          <w:szCs w:val="24"/>
        </w:rPr>
        <w:t>第五十条</w:t>
      </w:r>
      <w:r>
        <w:rPr>
          <w:rFonts w:ascii="宋体" w:hAnsi="宋体" w:cs="宋体"/>
          <w:color w:val="auto"/>
          <w:sz w:val="24"/>
          <w:szCs w:val="24"/>
        </w:rPr>
        <w:t xml:space="preserve"> </w:t>
      </w:r>
      <w:r>
        <w:rPr>
          <w:rFonts w:hint="eastAsia" w:ascii="宋体" w:hAnsi="宋体" w:cs="宋体"/>
          <w:b/>
          <w:bCs/>
          <w:color w:val="auto"/>
          <w:sz w:val="24"/>
          <w:szCs w:val="24"/>
        </w:rPr>
        <w:t>补充条款</w:t>
      </w:r>
      <w:r>
        <w:rPr>
          <w:rFonts w:ascii="宋体" w:hAnsi="宋体" w:cs="宋体"/>
          <w:b/>
          <w:bCs/>
          <w:color w:val="auto"/>
          <w:sz w:val="24"/>
          <w:szCs w:val="24"/>
        </w:rPr>
        <w:t xml:space="preserve">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（一）施工阶段的造价投资控制：监理人进场时必须派驻至少</w:t>
      </w:r>
      <w:r>
        <w:rPr>
          <w:rFonts w:ascii="宋体" w:hAnsi="宋体" w:cs="宋体"/>
          <w:color w:val="auto"/>
          <w:sz w:val="24"/>
          <w:szCs w:val="24"/>
        </w:rPr>
        <w:t xml:space="preserve"> </w:t>
      </w:r>
      <w:r>
        <w:rPr>
          <w:rFonts w:hint="eastAsia" w:ascii="宋体" w:hAnsi="宋体" w:cs="宋体"/>
          <w:color w:val="auto"/>
          <w:sz w:val="24"/>
          <w:szCs w:val="24"/>
        </w:rPr>
        <w:t>1</w:t>
      </w:r>
      <w:r>
        <w:rPr>
          <w:rFonts w:ascii="宋体" w:hAnsi="宋体" w:cs="宋体"/>
          <w:color w:val="auto"/>
          <w:sz w:val="24"/>
          <w:szCs w:val="24"/>
        </w:rPr>
        <w:t xml:space="preserve"> </w:t>
      </w:r>
      <w:r>
        <w:rPr>
          <w:rFonts w:hint="eastAsia" w:ascii="宋体" w:hAnsi="宋体" w:cs="宋体"/>
          <w:color w:val="auto"/>
          <w:sz w:val="24"/>
          <w:szCs w:val="24"/>
        </w:rPr>
        <w:t xml:space="preserve">名注册造价工程师提供驻场服务，并接受建设单位统一工作安排，并要求建立施工阶段工程预算台账，具体要求和模式另定。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二）在施工招标阶段或工程开工前，总监理工程师应组织测量专业的监理人员对委托人提供的勘察单位的地形测量资料进行审查，使用自备仪器按一定比例随机抽点复核地形图的准确性，并就地形图的可靠性、真实性和存在的问题等向委托人提交书面意见和建议。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三）在保修期内，监理人应每三个月对工程进行一次巡视、检查（要到委托人处签到），并向委托人提交书面检查报告，发现有质量缺陷的，要及时通知委托人，会同委托人组织承包人维修，按施工保修书的条款界定责任归属。在保修期内，委托人要求监理人到达现场的，监理人必须在接到委托人通知后</w:t>
      </w:r>
      <w:r>
        <w:rPr>
          <w:rFonts w:ascii="宋体" w:hAnsi="宋体" w:cs="宋体"/>
          <w:color w:val="auto"/>
          <w:sz w:val="24"/>
          <w:szCs w:val="24"/>
        </w:rPr>
        <w:t xml:space="preserve"> </w:t>
      </w:r>
      <w:r>
        <w:rPr>
          <w:rFonts w:hint="eastAsia" w:ascii="宋体" w:hAnsi="宋体" w:cs="宋体"/>
          <w:color w:val="auto"/>
          <w:sz w:val="24"/>
          <w:szCs w:val="24"/>
        </w:rPr>
        <w:t>2</w:t>
      </w:r>
      <w:r>
        <w:rPr>
          <w:rFonts w:ascii="宋体" w:hAnsi="宋体" w:cs="宋体"/>
          <w:color w:val="auto"/>
          <w:sz w:val="24"/>
          <w:szCs w:val="24"/>
        </w:rPr>
        <w:t xml:space="preserve"> 天内到达现场，履行监理职责。如监理人在保修期内不履行监</w:t>
      </w:r>
      <w:r>
        <w:rPr>
          <w:rFonts w:hint="eastAsia" w:ascii="宋体" w:hAnsi="宋体" w:cs="宋体"/>
          <w:color w:val="auto"/>
          <w:sz w:val="24"/>
          <w:szCs w:val="24"/>
        </w:rPr>
        <w:t xml:space="preserve">理职责的，委托人有权不支付余款。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（四）广州市相关管理规定为本合同组成部分，各方均应执行。</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（五）由于监理人采取有效监管措施，致使工程施工的关键工期比计划提前</w:t>
      </w:r>
      <w:r>
        <w:rPr>
          <w:rFonts w:ascii="宋体" w:hAnsi="宋体" w:cs="宋体"/>
          <w:color w:val="auto"/>
          <w:sz w:val="24"/>
          <w:szCs w:val="24"/>
        </w:rPr>
        <w:t xml:space="preserve"> </w:t>
      </w:r>
      <w:r>
        <w:rPr>
          <w:rFonts w:hint="eastAsia" w:ascii="宋体" w:hAnsi="宋体" w:cs="宋体"/>
          <w:color w:val="auto"/>
          <w:sz w:val="24"/>
          <w:szCs w:val="24"/>
        </w:rPr>
        <w:t>5</w:t>
      </w:r>
      <w:r>
        <w:rPr>
          <w:rFonts w:ascii="宋体" w:hAnsi="宋体" w:cs="宋体"/>
          <w:color w:val="auto"/>
          <w:sz w:val="24"/>
          <w:szCs w:val="24"/>
        </w:rPr>
        <w:t xml:space="preserve"> 日以上</w:t>
      </w:r>
      <w:r>
        <w:rPr>
          <w:rFonts w:hint="eastAsia" w:ascii="宋体" w:hAnsi="宋体" w:cs="宋体"/>
          <w:color w:val="auto"/>
          <w:sz w:val="24"/>
          <w:szCs w:val="24"/>
        </w:rPr>
        <w:t>（含5</w:t>
      </w:r>
      <w:r>
        <w:rPr>
          <w:rFonts w:ascii="宋体" w:hAnsi="宋体" w:cs="宋体"/>
          <w:color w:val="auto"/>
          <w:sz w:val="24"/>
          <w:szCs w:val="24"/>
        </w:rPr>
        <w:t xml:space="preserve"> 日</w:t>
      </w:r>
      <w:r>
        <w:rPr>
          <w:rFonts w:hint="eastAsia" w:ascii="宋体" w:hAnsi="宋体" w:cs="宋体"/>
          <w:color w:val="auto"/>
          <w:sz w:val="24"/>
          <w:szCs w:val="24"/>
        </w:rPr>
        <w:t>）的，可抵扣监理人一般违约责任</w:t>
      </w:r>
      <w:r>
        <w:rPr>
          <w:rFonts w:ascii="宋体" w:hAnsi="宋体" w:cs="宋体"/>
          <w:color w:val="auto"/>
          <w:sz w:val="24"/>
          <w:szCs w:val="24"/>
        </w:rPr>
        <w:t xml:space="preserve"> </w:t>
      </w:r>
      <w:r>
        <w:rPr>
          <w:rFonts w:hint="eastAsia" w:ascii="宋体" w:hAnsi="宋体" w:cs="宋体"/>
          <w:color w:val="auto"/>
          <w:sz w:val="24"/>
          <w:szCs w:val="24"/>
        </w:rPr>
        <w:t>1</w:t>
      </w:r>
      <w:r>
        <w:rPr>
          <w:rFonts w:ascii="宋体" w:hAnsi="宋体" w:cs="宋体"/>
          <w:color w:val="auto"/>
          <w:sz w:val="24"/>
          <w:szCs w:val="24"/>
        </w:rPr>
        <w:t xml:space="preserve"> 次；关键工期提前 </w:t>
      </w:r>
      <w:r>
        <w:rPr>
          <w:rFonts w:hint="eastAsia" w:ascii="宋体" w:hAnsi="宋体" w:cs="宋体"/>
          <w:color w:val="auto"/>
          <w:sz w:val="24"/>
          <w:szCs w:val="24"/>
        </w:rPr>
        <w:t>10</w:t>
      </w:r>
      <w:r>
        <w:rPr>
          <w:rFonts w:ascii="宋体" w:hAnsi="宋体" w:cs="宋体"/>
          <w:color w:val="auto"/>
          <w:sz w:val="24"/>
          <w:szCs w:val="24"/>
        </w:rPr>
        <w:t xml:space="preserve"> 天以上</w:t>
      </w:r>
      <w:r>
        <w:rPr>
          <w:rFonts w:hint="eastAsia" w:ascii="宋体" w:hAnsi="宋体" w:cs="宋体"/>
          <w:color w:val="auto"/>
          <w:sz w:val="24"/>
          <w:szCs w:val="24"/>
        </w:rPr>
        <w:t>（含</w:t>
      </w:r>
      <w:r>
        <w:rPr>
          <w:rFonts w:ascii="宋体" w:hAnsi="宋体" w:cs="宋体"/>
          <w:color w:val="auto"/>
          <w:sz w:val="24"/>
          <w:szCs w:val="24"/>
        </w:rPr>
        <w:t xml:space="preserve"> </w:t>
      </w:r>
      <w:r>
        <w:rPr>
          <w:rFonts w:hint="eastAsia" w:ascii="宋体" w:hAnsi="宋体" w:cs="宋体"/>
          <w:color w:val="auto"/>
          <w:sz w:val="24"/>
          <w:szCs w:val="24"/>
        </w:rPr>
        <w:t>10</w:t>
      </w:r>
      <w:r>
        <w:rPr>
          <w:rFonts w:ascii="宋体" w:hAnsi="宋体" w:cs="宋体"/>
          <w:color w:val="auto"/>
          <w:sz w:val="24"/>
          <w:szCs w:val="24"/>
        </w:rPr>
        <w:t xml:space="preserve"> 天</w:t>
      </w:r>
      <w:r>
        <w:rPr>
          <w:rFonts w:hint="eastAsia" w:ascii="宋体" w:hAnsi="宋体" w:cs="宋体"/>
          <w:color w:val="auto"/>
          <w:sz w:val="24"/>
          <w:szCs w:val="24"/>
        </w:rPr>
        <w:t>）的，可抵扣监理人严重违约责任</w:t>
      </w:r>
      <w:r>
        <w:rPr>
          <w:rFonts w:ascii="宋体" w:hAnsi="宋体" w:cs="宋体"/>
          <w:color w:val="auto"/>
          <w:sz w:val="24"/>
          <w:szCs w:val="24"/>
        </w:rPr>
        <w:t xml:space="preserve"> </w:t>
      </w:r>
      <w:r>
        <w:rPr>
          <w:rFonts w:hint="eastAsia" w:ascii="宋体" w:hAnsi="宋体" w:cs="宋体"/>
          <w:color w:val="auto"/>
          <w:sz w:val="24"/>
          <w:szCs w:val="24"/>
        </w:rPr>
        <w:t>1</w:t>
      </w:r>
      <w:r>
        <w:rPr>
          <w:rFonts w:ascii="宋体" w:hAnsi="宋体" w:cs="宋体"/>
          <w:color w:val="auto"/>
          <w:sz w:val="24"/>
          <w:szCs w:val="24"/>
        </w:rPr>
        <w:t xml:space="preserve"> 次；关键线路工期提前 </w:t>
      </w:r>
      <w:r>
        <w:rPr>
          <w:rFonts w:hint="eastAsia" w:ascii="宋体" w:hAnsi="宋体" w:cs="宋体"/>
          <w:color w:val="auto"/>
          <w:sz w:val="24"/>
          <w:szCs w:val="24"/>
        </w:rPr>
        <w:t>20</w:t>
      </w:r>
      <w:r>
        <w:rPr>
          <w:rFonts w:ascii="宋体" w:hAnsi="宋体" w:cs="宋体"/>
          <w:color w:val="auto"/>
          <w:sz w:val="24"/>
          <w:szCs w:val="24"/>
        </w:rPr>
        <w:t xml:space="preserve"> 天以上</w:t>
      </w:r>
      <w:r>
        <w:rPr>
          <w:rFonts w:hint="eastAsia" w:ascii="宋体" w:hAnsi="宋体" w:cs="宋体"/>
          <w:color w:val="auto"/>
          <w:sz w:val="24"/>
          <w:szCs w:val="24"/>
        </w:rPr>
        <w:t>（含</w:t>
      </w:r>
      <w:r>
        <w:rPr>
          <w:rFonts w:ascii="宋体" w:hAnsi="宋体" w:cs="宋体"/>
          <w:color w:val="auto"/>
          <w:sz w:val="24"/>
          <w:szCs w:val="24"/>
        </w:rPr>
        <w:t xml:space="preserve"> </w:t>
      </w:r>
      <w:r>
        <w:rPr>
          <w:rFonts w:hint="eastAsia" w:ascii="宋体" w:hAnsi="宋体" w:cs="宋体"/>
          <w:color w:val="auto"/>
          <w:sz w:val="24"/>
          <w:szCs w:val="24"/>
        </w:rPr>
        <w:t>20</w:t>
      </w:r>
      <w:r>
        <w:rPr>
          <w:rFonts w:ascii="宋体" w:hAnsi="宋体" w:cs="宋体"/>
          <w:color w:val="auto"/>
          <w:sz w:val="24"/>
          <w:szCs w:val="24"/>
        </w:rPr>
        <w:t xml:space="preserve"> 天</w:t>
      </w:r>
      <w:r>
        <w:rPr>
          <w:rFonts w:hint="eastAsia" w:ascii="宋体" w:hAnsi="宋体" w:cs="宋体"/>
          <w:color w:val="auto"/>
          <w:sz w:val="24"/>
          <w:szCs w:val="24"/>
        </w:rPr>
        <w:t xml:space="preserve">）的，可抵扣监理人严重违约责任 2 次。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（六）由于监理人提出合理化建议，优化技术方案，被委托人采纳并实施，节约投资 10万元以上（含）的，可抵扣监理人一般违约责任</w:t>
      </w:r>
      <w:r>
        <w:rPr>
          <w:rFonts w:ascii="宋体" w:hAnsi="宋体" w:cs="宋体"/>
          <w:color w:val="auto"/>
          <w:sz w:val="24"/>
          <w:szCs w:val="24"/>
        </w:rPr>
        <w:t xml:space="preserve"> </w:t>
      </w:r>
      <w:r>
        <w:rPr>
          <w:rFonts w:hint="eastAsia" w:ascii="宋体" w:hAnsi="宋体" w:cs="宋体"/>
          <w:color w:val="auto"/>
          <w:sz w:val="24"/>
          <w:szCs w:val="24"/>
        </w:rPr>
        <w:t>1</w:t>
      </w:r>
      <w:r>
        <w:rPr>
          <w:rFonts w:ascii="宋体" w:hAnsi="宋体" w:cs="宋体"/>
          <w:color w:val="auto"/>
          <w:sz w:val="24"/>
          <w:szCs w:val="24"/>
        </w:rPr>
        <w:t xml:space="preserve"> 次；节约投资 </w:t>
      </w:r>
      <w:r>
        <w:rPr>
          <w:rFonts w:hint="eastAsia" w:ascii="宋体" w:hAnsi="宋体" w:cs="宋体"/>
          <w:color w:val="auto"/>
          <w:sz w:val="24"/>
          <w:szCs w:val="24"/>
        </w:rPr>
        <w:t>30</w:t>
      </w:r>
      <w:r>
        <w:rPr>
          <w:rFonts w:ascii="宋体" w:hAnsi="宋体" w:cs="宋体"/>
          <w:color w:val="auto"/>
          <w:sz w:val="24"/>
          <w:szCs w:val="24"/>
        </w:rPr>
        <w:t xml:space="preserve"> 万元以上</w:t>
      </w:r>
      <w:r>
        <w:rPr>
          <w:rFonts w:hint="eastAsia" w:ascii="宋体" w:hAnsi="宋体" w:cs="宋体"/>
          <w:color w:val="auto"/>
          <w:sz w:val="24"/>
          <w:szCs w:val="24"/>
        </w:rPr>
        <w:t>（含）的，可抵扣监理人一般违约责任</w:t>
      </w:r>
      <w:r>
        <w:rPr>
          <w:rFonts w:ascii="宋体" w:hAnsi="宋体" w:cs="宋体"/>
          <w:color w:val="auto"/>
          <w:sz w:val="24"/>
          <w:szCs w:val="24"/>
        </w:rPr>
        <w:t xml:space="preserve"> </w:t>
      </w:r>
      <w:r>
        <w:rPr>
          <w:rFonts w:hint="eastAsia" w:ascii="宋体" w:hAnsi="宋体" w:cs="宋体"/>
          <w:color w:val="auto"/>
          <w:sz w:val="24"/>
          <w:szCs w:val="24"/>
        </w:rPr>
        <w:t>2</w:t>
      </w:r>
      <w:r>
        <w:rPr>
          <w:rFonts w:ascii="宋体" w:hAnsi="宋体" w:cs="宋体"/>
          <w:color w:val="auto"/>
          <w:sz w:val="24"/>
          <w:szCs w:val="24"/>
        </w:rPr>
        <w:t xml:space="preserve"> 次；节约投资 </w:t>
      </w:r>
      <w:r>
        <w:rPr>
          <w:rFonts w:hint="eastAsia" w:ascii="宋体" w:hAnsi="宋体" w:cs="宋体"/>
          <w:color w:val="auto"/>
          <w:sz w:val="24"/>
          <w:szCs w:val="24"/>
        </w:rPr>
        <w:t>50</w:t>
      </w:r>
      <w:r>
        <w:rPr>
          <w:rFonts w:ascii="宋体" w:hAnsi="宋体" w:cs="宋体"/>
          <w:color w:val="auto"/>
          <w:sz w:val="24"/>
          <w:szCs w:val="24"/>
        </w:rPr>
        <w:t xml:space="preserve"> 万元以上</w:t>
      </w:r>
      <w:r>
        <w:rPr>
          <w:rFonts w:hint="eastAsia" w:ascii="宋体" w:hAnsi="宋体" w:cs="宋体"/>
          <w:color w:val="auto"/>
          <w:sz w:val="24"/>
          <w:szCs w:val="24"/>
        </w:rPr>
        <w:t>（含）的，可抵扣监理人严重违约责任</w:t>
      </w:r>
      <w:r>
        <w:rPr>
          <w:rFonts w:ascii="宋体" w:hAnsi="宋体" w:cs="宋体"/>
          <w:color w:val="auto"/>
          <w:sz w:val="24"/>
          <w:szCs w:val="24"/>
        </w:rPr>
        <w:t xml:space="preserve"> </w:t>
      </w:r>
      <w:r>
        <w:rPr>
          <w:rFonts w:hint="eastAsia" w:ascii="宋体" w:hAnsi="宋体" w:cs="宋体"/>
          <w:color w:val="auto"/>
          <w:sz w:val="24"/>
          <w:szCs w:val="24"/>
        </w:rPr>
        <w:t xml:space="preserve">1次；节约投资 100 万元以上（含）的，可抵扣监理人严重违约责任 2 次。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（七）监理人认真履行安全文明施工管理责任，得到委托人及建设主管部门书面表彰的，</w:t>
      </w:r>
      <w:r>
        <w:rPr>
          <w:rFonts w:ascii="宋体" w:hAnsi="宋体" w:cs="宋体"/>
          <w:color w:val="auto"/>
          <w:sz w:val="24"/>
          <w:szCs w:val="24"/>
        </w:rPr>
        <w:t xml:space="preserve"> </w:t>
      </w:r>
      <w:r>
        <w:rPr>
          <w:rFonts w:hint="eastAsia" w:ascii="宋体" w:hAnsi="宋体" w:cs="宋体"/>
          <w:color w:val="auto"/>
          <w:sz w:val="24"/>
          <w:szCs w:val="24"/>
        </w:rPr>
        <w:t>可抵扣监理人严重违约责任</w:t>
      </w:r>
      <w:r>
        <w:rPr>
          <w:rFonts w:ascii="宋体" w:hAnsi="宋体" w:cs="宋体"/>
          <w:color w:val="auto"/>
          <w:sz w:val="24"/>
          <w:szCs w:val="24"/>
        </w:rPr>
        <w:t xml:space="preserve"> </w:t>
      </w:r>
      <w:r>
        <w:rPr>
          <w:rFonts w:hint="eastAsia" w:ascii="宋体" w:hAnsi="宋体" w:cs="宋体"/>
          <w:color w:val="auto"/>
          <w:sz w:val="24"/>
          <w:szCs w:val="24"/>
        </w:rPr>
        <w:t>1</w:t>
      </w:r>
      <w:r>
        <w:rPr>
          <w:rFonts w:ascii="宋体" w:hAnsi="宋体" w:cs="宋体"/>
          <w:color w:val="auto"/>
          <w:sz w:val="24"/>
          <w:szCs w:val="24"/>
        </w:rPr>
        <w:t xml:space="preserve"> 次；取得市安全文明样板工地的，可抵扣监理人严重违约责任 </w:t>
      </w:r>
      <w:r>
        <w:rPr>
          <w:rFonts w:hint="eastAsia" w:ascii="宋体" w:hAnsi="宋体" w:cs="宋体"/>
          <w:color w:val="auto"/>
          <w:sz w:val="24"/>
          <w:szCs w:val="24"/>
        </w:rPr>
        <w:t xml:space="preserve">2 次（如本工程有工地创优市优指标硬性要求的除外）。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（八）监理人在委托人组织的项目检查评分取得 90 分（含）以上的，可抵扣监理人一般违约责任 1 次。项目监理人员就本项目受到委托人及建设主管部门表彰的，每人次可抵扣监理人严重违约责任 1 次；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（九）监理人抵扣的违约处罚，可按照合同相应条款，在实际已发生的违约罚金内返还。如项目完工后，实际可抵扣的监理人违约责任多于实际处罚的违约责任，原则上不予经济奖励，</w:t>
      </w:r>
      <w:r>
        <w:rPr>
          <w:rFonts w:ascii="宋体" w:hAnsi="宋体" w:cs="宋体"/>
          <w:color w:val="auto"/>
          <w:sz w:val="24"/>
          <w:szCs w:val="24"/>
        </w:rPr>
        <w:t xml:space="preserve"> </w:t>
      </w:r>
      <w:r>
        <w:rPr>
          <w:rFonts w:hint="eastAsia" w:ascii="宋体" w:hAnsi="宋体" w:cs="宋体"/>
          <w:color w:val="auto"/>
          <w:sz w:val="24"/>
          <w:szCs w:val="24"/>
        </w:rPr>
        <w:t xml:space="preserve">委托方视情况给予通报表扬。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十）如本合同需缴纳合同印花税，监理人需在有关税务部门规定期限及结清本合同费用前，按规定代缴属委托人缴纳的部分，代缴后委托人按代缴金额实报实销。监理人未按规定期限代缴印花税的，因此产生的滞纳金由监理人承担。 </w:t>
      </w:r>
    </w:p>
    <w:p>
      <w:pPr>
        <w:pStyle w:val="12"/>
        <w:spacing w:after="0" w:line="307" w:lineRule="exact"/>
        <w:ind w:firstLine="480" w:firstLineChars="200"/>
        <w:rPr>
          <w:color w:val="auto"/>
        </w:rPr>
      </w:pPr>
      <w:r>
        <w:rPr>
          <w:rFonts w:hint="eastAsia" w:ascii="宋体" w:hAnsi="宋体" w:cs="宋体"/>
          <w:color w:val="auto"/>
          <w:sz w:val="24"/>
          <w:szCs w:val="24"/>
        </w:rPr>
        <w:t>（此页以下无正文</w:t>
      </w:r>
      <w:r>
        <w:rPr>
          <w:color w:val="auto"/>
        </w:rPr>
        <w:t xml:space="preserve">） </w:t>
      </w:r>
    </w:p>
    <w:p>
      <w:pPr>
        <w:pStyle w:val="12"/>
        <w:spacing w:after="0" w:line="364" w:lineRule="auto"/>
        <w:ind w:firstLine="460" w:firstLineChars="200"/>
        <w:rPr>
          <w:rFonts w:ascii="宋体" w:hAnsi="宋体" w:cs="宋体"/>
          <w:color w:val="auto"/>
          <w:spacing w:val="-5"/>
          <w:sz w:val="24"/>
          <w:szCs w:val="24"/>
        </w:rPr>
      </w:pPr>
    </w:p>
    <w:p>
      <w:pPr>
        <w:pStyle w:val="12"/>
        <w:spacing w:after="0" w:line="364" w:lineRule="auto"/>
        <w:ind w:firstLine="460" w:firstLineChars="200"/>
        <w:rPr>
          <w:rFonts w:ascii="宋体" w:hAnsi="宋体" w:cs="宋体"/>
          <w:color w:val="auto"/>
          <w:spacing w:val="-5"/>
          <w:sz w:val="24"/>
          <w:szCs w:val="24"/>
        </w:rPr>
      </w:pPr>
      <w:r>
        <w:rPr>
          <w:rFonts w:hint="eastAsia" w:ascii="宋体" w:hAnsi="宋体" w:cs="宋体"/>
          <w:color w:val="auto"/>
          <w:spacing w:val="-5"/>
          <w:sz w:val="24"/>
          <w:szCs w:val="24"/>
        </w:rPr>
        <w:t xml:space="preserve">附件一：拟委派监理人员一览表 </w:t>
      </w:r>
    </w:p>
    <w:p>
      <w:pPr>
        <w:pStyle w:val="12"/>
        <w:spacing w:after="0" w:line="364" w:lineRule="auto"/>
        <w:ind w:firstLine="460" w:firstLineChars="200"/>
        <w:rPr>
          <w:rFonts w:ascii="宋体" w:hAnsi="宋体" w:cs="宋体"/>
          <w:color w:val="auto"/>
          <w:spacing w:val="-5"/>
          <w:sz w:val="24"/>
          <w:szCs w:val="24"/>
        </w:rPr>
        <w:sectPr>
          <w:pgSz w:w="12240" w:h="15840"/>
          <w:pgMar w:top="1440" w:right="1803" w:bottom="1440" w:left="1803" w:header="0" w:footer="623" w:gutter="0"/>
          <w:cols w:space="720" w:num="1"/>
        </w:sectPr>
      </w:pPr>
      <w:r>
        <w:rPr>
          <w:rFonts w:hint="eastAsia" w:ascii="宋体" w:hAnsi="宋体" w:cs="宋体"/>
          <w:color w:val="auto"/>
          <w:spacing w:val="-5"/>
          <w:sz w:val="24"/>
          <w:szCs w:val="24"/>
        </w:rPr>
        <w:t>附件二：建设工程廉政责任书</w:t>
      </w:r>
    </w:p>
    <w:p>
      <w:pPr>
        <w:pStyle w:val="6"/>
        <w:spacing w:before="0" w:after="0"/>
        <w:ind w:firstLine="560" w:firstLineChars="200"/>
        <w:rPr>
          <w:color w:val="auto"/>
        </w:rPr>
      </w:pPr>
      <w:r>
        <w:rPr>
          <w:color w:val="auto"/>
        </w:rPr>
        <w:t>附件</w:t>
      </w:r>
      <w:r>
        <w:rPr>
          <w:rFonts w:hint="eastAsia"/>
          <w:color w:val="auto"/>
        </w:rPr>
        <w:t>一</w:t>
      </w:r>
      <w:r>
        <w:rPr>
          <w:color w:val="auto"/>
        </w:rPr>
        <w:t>：拟委派监理人员一览表</w:t>
      </w:r>
      <w:r>
        <w:rPr>
          <w:color w:val="auto"/>
          <w:w w:val="98"/>
        </w:rPr>
        <w:t xml:space="preserve"> </w:t>
      </w:r>
    </w:p>
    <w:p>
      <w:pPr>
        <w:ind w:firstLine="643" w:firstLineChars="200"/>
        <w:jc w:val="center"/>
        <w:rPr>
          <w:b/>
          <w:color w:val="auto"/>
          <w:sz w:val="32"/>
        </w:rPr>
      </w:pPr>
      <w:r>
        <w:rPr>
          <w:b/>
          <w:color w:val="auto"/>
          <w:sz w:val="32"/>
        </w:rPr>
        <w:t>拟委派监理人员一览表</w:t>
      </w:r>
      <w:r>
        <w:rPr>
          <w:b/>
          <w:color w:val="auto"/>
          <w:w w:val="98"/>
          <w:sz w:val="32"/>
        </w:rPr>
        <w:t xml:space="preserve"> </w:t>
      </w:r>
    </w:p>
    <w:tbl>
      <w:tblPr>
        <w:tblStyle w:val="23"/>
        <w:tblpPr w:leftFromText="180" w:rightFromText="180" w:vertAnchor="text" w:horzAnchor="page" w:tblpX="1137" w:tblpY="207"/>
        <w:tblOverlap w:val="never"/>
        <w:tblW w:w="93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6"/>
        <w:gridCol w:w="649"/>
        <w:gridCol w:w="1073"/>
        <w:gridCol w:w="1602"/>
        <w:gridCol w:w="770"/>
        <w:gridCol w:w="675"/>
        <w:gridCol w:w="968"/>
        <w:gridCol w:w="791"/>
        <w:gridCol w:w="722"/>
        <w:gridCol w:w="11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976" w:type="dxa"/>
            <w:vMerge w:val="restart"/>
            <w:vAlign w:val="center"/>
          </w:tcPr>
          <w:p>
            <w:pPr>
              <w:pStyle w:val="30"/>
              <w:jc w:val="center"/>
              <w:rPr>
                <w:rFonts w:hint="default"/>
                <w:b/>
                <w:color w:val="auto"/>
                <w:sz w:val="20"/>
                <w:szCs w:val="20"/>
              </w:rPr>
            </w:pPr>
            <w:r>
              <w:rPr>
                <w:b/>
                <w:color w:val="auto"/>
                <w:spacing w:val="53"/>
                <w:sz w:val="20"/>
                <w:szCs w:val="20"/>
              </w:rPr>
              <w:t>职务</w:t>
            </w:r>
          </w:p>
        </w:tc>
        <w:tc>
          <w:tcPr>
            <w:tcW w:w="649" w:type="dxa"/>
            <w:vMerge w:val="restart"/>
            <w:vAlign w:val="center"/>
          </w:tcPr>
          <w:p>
            <w:pPr>
              <w:pStyle w:val="30"/>
              <w:jc w:val="center"/>
              <w:rPr>
                <w:rFonts w:hint="default"/>
                <w:b/>
                <w:color w:val="auto"/>
                <w:sz w:val="20"/>
                <w:szCs w:val="20"/>
              </w:rPr>
            </w:pPr>
            <w:r>
              <w:rPr>
                <w:b/>
                <w:color w:val="auto"/>
                <w:sz w:val="20"/>
                <w:szCs w:val="20"/>
              </w:rPr>
              <w:t>姓名</w:t>
            </w:r>
          </w:p>
        </w:tc>
        <w:tc>
          <w:tcPr>
            <w:tcW w:w="1073" w:type="dxa"/>
            <w:vMerge w:val="restart"/>
            <w:vAlign w:val="center"/>
          </w:tcPr>
          <w:p>
            <w:pPr>
              <w:pStyle w:val="30"/>
              <w:jc w:val="center"/>
              <w:rPr>
                <w:rFonts w:hint="default"/>
                <w:b/>
                <w:color w:val="auto"/>
                <w:sz w:val="20"/>
                <w:szCs w:val="20"/>
              </w:rPr>
            </w:pPr>
            <w:r>
              <w:rPr>
                <w:b/>
                <w:color w:val="auto"/>
                <w:spacing w:val="53"/>
                <w:sz w:val="20"/>
                <w:szCs w:val="20"/>
              </w:rPr>
              <w:t>职称</w:t>
            </w:r>
          </w:p>
        </w:tc>
        <w:tc>
          <w:tcPr>
            <w:tcW w:w="4015" w:type="dxa"/>
            <w:gridSpan w:val="4"/>
            <w:vAlign w:val="center"/>
          </w:tcPr>
          <w:p>
            <w:pPr>
              <w:pStyle w:val="30"/>
              <w:jc w:val="center"/>
              <w:rPr>
                <w:rFonts w:hint="default"/>
                <w:b/>
                <w:color w:val="auto"/>
                <w:sz w:val="20"/>
                <w:szCs w:val="20"/>
              </w:rPr>
            </w:pPr>
            <w:r>
              <w:rPr>
                <w:b/>
                <w:color w:val="auto"/>
                <w:sz w:val="20"/>
                <w:szCs w:val="20"/>
              </w:rPr>
              <w:t>执业或职业资格证明</w:t>
            </w:r>
          </w:p>
        </w:tc>
        <w:tc>
          <w:tcPr>
            <w:tcW w:w="1513" w:type="dxa"/>
            <w:gridSpan w:val="2"/>
            <w:vAlign w:val="center"/>
          </w:tcPr>
          <w:p>
            <w:pPr>
              <w:pStyle w:val="30"/>
              <w:rPr>
                <w:rFonts w:hint="default"/>
                <w:b/>
                <w:color w:val="auto"/>
                <w:sz w:val="20"/>
                <w:szCs w:val="20"/>
              </w:rPr>
            </w:pPr>
            <w:r>
              <w:rPr>
                <w:b/>
                <w:color w:val="auto"/>
                <w:sz w:val="20"/>
                <w:szCs w:val="20"/>
              </w:rPr>
              <w:t>目前参与工程数量（含本工程）</w:t>
            </w:r>
          </w:p>
        </w:tc>
        <w:tc>
          <w:tcPr>
            <w:tcW w:w="1171" w:type="dxa"/>
            <w:vMerge w:val="restart"/>
            <w:vAlign w:val="center"/>
          </w:tcPr>
          <w:p>
            <w:pPr>
              <w:pStyle w:val="30"/>
              <w:jc w:val="center"/>
              <w:rPr>
                <w:rFonts w:hint="default"/>
                <w:b/>
                <w:color w:val="auto"/>
                <w:sz w:val="20"/>
                <w:szCs w:val="20"/>
              </w:rPr>
            </w:pPr>
            <w:r>
              <w:rPr>
                <w:b/>
                <w:color w:val="auto"/>
                <w:sz w:val="20"/>
                <w:szCs w:val="20"/>
              </w:rPr>
              <w:t>手机号码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976" w:type="dxa"/>
            <w:vMerge w:val="continue"/>
            <w:vAlign w:val="center"/>
          </w:tcPr>
          <w:p>
            <w:pPr>
              <w:spacing w:line="440" w:lineRule="exact"/>
              <w:ind w:firstLine="400" w:firstLineChars="200"/>
              <w:rPr>
                <w:color w:val="auto"/>
                <w:sz w:val="20"/>
                <w:szCs w:val="20"/>
              </w:rPr>
            </w:pPr>
          </w:p>
        </w:tc>
        <w:tc>
          <w:tcPr>
            <w:tcW w:w="649" w:type="dxa"/>
            <w:vMerge w:val="continue"/>
            <w:vAlign w:val="center"/>
          </w:tcPr>
          <w:p>
            <w:pPr>
              <w:spacing w:line="440" w:lineRule="exact"/>
              <w:ind w:firstLine="400" w:firstLineChars="200"/>
              <w:rPr>
                <w:color w:val="auto"/>
                <w:sz w:val="20"/>
                <w:szCs w:val="20"/>
              </w:rPr>
            </w:pPr>
          </w:p>
        </w:tc>
        <w:tc>
          <w:tcPr>
            <w:tcW w:w="1073" w:type="dxa"/>
            <w:vMerge w:val="continue"/>
            <w:vAlign w:val="center"/>
          </w:tcPr>
          <w:p>
            <w:pPr>
              <w:ind w:firstLine="400" w:firstLineChars="200"/>
              <w:rPr>
                <w:color w:val="auto"/>
                <w:sz w:val="20"/>
                <w:szCs w:val="20"/>
              </w:rPr>
            </w:pPr>
          </w:p>
        </w:tc>
        <w:tc>
          <w:tcPr>
            <w:tcW w:w="1602" w:type="dxa"/>
            <w:vAlign w:val="center"/>
          </w:tcPr>
          <w:p>
            <w:pPr>
              <w:pStyle w:val="30"/>
              <w:ind w:firstLine="402" w:firstLineChars="200"/>
              <w:rPr>
                <w:rFonts w:hint="default"/>
                <w:b/>
                <w:color w:val="auto"/>
                <w:sz w:val="20"/>
                <w:szCs w:val="20"/>
              </w:rPr>
            </w:pPr>
            <w:r>
              <w:rPr>
                <w:b/>
                <w:color w:val="auto"/>
                <w:sz w:val="20"/>
                <w:szCs w:val="20"/>
              </w:rPr>
              <w:t>证书名称</w:t>
            </w:r>
          </w:p>
        </w:tc>
        <w:tc>
          <w:tcPr>
            <w:tcW w:w="770" w:type="dxa"/>
            <w:vAlign w:val="center"/>
          </w:tcPr>
          <w:p>
            <w:pPr>
              <w:pStyle w:val="30"/>
              <w:jc w:val="center"/>
              <w:rPr>
                <w:rFonts w:hint="default"/>
                <w:b/>
                <w:color w:val="auto"/>
                <w:sz w:val="20"/>
                <w:szCs w:val="20"/>
              </w:rPr>
            </w:pPr>
            <w:r>
              <w:rPr>
                <w:b/>
                <w:color w:val="auto"/>
                <w:sz w:val="20"/>
                <w:szCs w:val="20"/>
              </w:rPr>
              <w:t>级别</w:t>
            </w:r>
          </w:p>
        </w:tc>
        <w:tc>
          <w:tcPr>
            <w:tcW w:w="675" w:type="dxa"/>
            <w:vAlign w:val="center"/>
          </w:tcPr>
          <w:p>
            <w:pPr>
              <w:pStyle w:val="30"/>
              <w:jc w:val="center"/>
              <w:rPr>
                <w:rFonts w:hint="default"/>
                <w:b/>
                <w:color w:val="auto"/>
                <w:sz w:val="20"/>
                <w:szCs w:val="20"/>
              </w:rPr>
            </w:pPr>
            <w:r>
              <w:rPr>
                <w:b/>
                <w:color w:val="auto"/>
                <w:sz w:val="20"/>
                <w:szCs w:val="20"/>
              </w:rPr>
              <w:t>证号</w:t>
            </w:r>
          </w:p>
        </w:tc>
        <w:tc>
          <w:tcPr>
            <w:tcW w:w="968" w:type="dxa"/>
            <w:vAlign w:val="center"/>
          </w:tcPr>
          <w:p>
            <w:pPr>
              <w:pStyle w:val="30"/>
              <w:jc w:val="center"/>
              <w:rPr>
                <w:rFonts w:hint="default"/>
                <w:b/>
                <w:color w:val="auto"/>
                <w:sz w:val="20"/>
                <w:szCs w:val="20"/>
              </w:rPr>
            </w:pPr>
            <w:r>
              <w:rPr>
                <w:b/>
                <w:color w:val="auto"/>
                <w:sz w:val="20"/>
                <w:szCs w:val="20"/>
              </w:rPr>
              <w:t>专业</w:t>
            </w:r>
          </w:p>
        </w:tc>
        <w:tc>
          <w:tcPr>
            <w:tcW w:w="791" w:type="dxa"/>
            <w:vAlign w:val="center"/>
          </w:tcPr>
          <w:p>
            <w:pPr>
              <w:pStyle w:val="30"/>
              <w:jc w:val="center"/>
              <w:rPr>
                <w:rFonts w:hint="default"/>
                <w:b/>
                <w:color w:val="auto"/>
                <w:sz w:val="20"/>
                <w:szCs w:val="20"/>
              </w:rPr>
            </w:pPr>
            <w:r>
              <w:rPr>
                <w:b/>
                <w:color w:val="auto"/>
                <w:sz w:val="20"/>
                <w:szCs w:val="20"/>
              </w:rPr>
              <w:t>数量</w:t>
            </w:r>
          </w:p>
        </w:tc>
        <w:tc>
          <w:tcPr>
            <w:tcW w:w="722" w:type="dxa"/>
            <w:vAlign w:val="center"/>
          </w:tcPr>
          <w:p>
            <w:pPr>
              <w:pStyle w:val="30"/>
              <w:jc w:val="center"/>
              <w:rPr>
                <w:rFonts w:hint="default"/>
                <w:b/>
                <w:color w:val="auto"/>
                <w:sz w:val="20"/>
                <w:szCs w:val="20"/>
              </w:rPr>
            </w:pPr>
            <w:r>
              <w:rPr>
                <w:b/>
                <w:color w:val="auto"/>
                <w:sz w:val="20"/>
                <w:szCs w:val="20"/>
              </w:rPr>
              <w:t>名称</w:t>
            </w:r>
          </w:p>
        </w:tc>
        <w:tc>
          <w:tcPr>
            <w:tcW w:w="1171" w:type="dxa"/>
            <w:vMerge w:val="continue"/>
            <w:vAlign w:val="center"/>
          </w:tcPr>
          <w:p>
            <w:pPr>
              <w:pStyle w:val="30"/>
              <w:ind w:firstLine="402" w:firstLineChars="200"/>
              <w:rPr>
                <w:rFonts w:hint="default"/>
                <w:b/>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976" w:type="dxa"/>
            <w:vAlign w:val="center"/>
          </w:tcPr>
          <w:p>
            <w:pPr>
              <w:spacing w:line="440" w:lineRule="exact"/>
              <w:ind w:firstLine="400" w:firstLineChars="200"/>
              <w:rPr>
                <w:color w:val="auto"/>
                <w:sz w:val="20"/>
                <w:szCs w:val="20"/>
              </w:rPr>
            </w:pPr>
          </w:p>
        </w:tc>
        <w:tc>
          <w:tcPr>
            <w:tcW w:w="649" w:type="dxa"/>
            <w:vAlign w:val="center"/>
          </w:tcPr>
          <w:p>
            <w:pPr>
              <w:spacing w:line="440" w:lineRule="exact"/>
              <w:ind w:firstLine="400" w:firstLineChars="200"/>
              <w:rPr>
                <w:color w:val="auto"/>
                <w:sz w:val="20"/>
                <w:szCs w:val="20"/>
              </w:rPr>
            </w:pPr>
          </w:p>
        </w:tc>
        <w:tc>
          <w:tcPr>
            <w:tcW w:w="1073" w:type="dxa"/>
            <w:vAlign w:val="center"/>
          </w:tcPr>
          <w:p>
            <w:pPr>
              <w:spacing w:line="440" w:lineRule="exact"/>
              <w:ind w:firstLine="400" w:firstLineChars="200"/>
              <w:rPr>
                <w:color w:val="auto"/>
                <w:sz w:val="20"/>
                <w:szCs w:val="20"/>
              </w:rPr>
            </w:pPr>
          </w:p>
        </w:tc>
        <w:tc>
          <w:tcPr>
            <w:tcW w:w="1602" w:type="dxa"/>
            <w:vAlign w:val="center"/>
          </w:tcPr>
          <w:p>
            <w:pPr>
              <w:ind w:firstLine="400" w:firstLineChars="200"/>
              <w:rPr>
                <w:color w:val="auto"/>
                <w:sz w:val="20"/>
                <w:szCs w:val="20"/>
              </w:rPr>
            </w:pPr>
          </w:p>
        </w:tc>
        <w:tc>
          <w:tcPr>
            <w:tcW w:w="770" w:type="dxa"/>
            <w:vAlign w:val="center"/>
          </w:tcPr>
          <w:p>
            <w:pPr>
              <w:ind w:firstLine="400" w:firstLineChars="200"/>
              <w:rPr>
                <w:color w:val="auto"/>
                <w:sz w:val="20"/>
                <w:szCs w:val="20"/>
              </w:rPr>
            </w:pPr>
          </w:p>
        </w:tc>
        <w:tc>
          <w:tcPr>
            <w:tcW w:w="675" w:type="dxa"/>
            <w:vAlign w:val="center"/>
          </w:tcPr>
          <w:p>
            <w:pPr>
              <w:ind w:firstLine="400" w:firstLineChars="200"/>
              <w:rPr>
                <w:color w:val="auto"/>
                <w:sz w:val="20"/>
                <w:szCs w:val="20"/>
              </w:rPr>
            </w:pPr>
          </w:p>
        </w:tc>
        <w:tc>
          <w:tcPr>
            <w:tcW w:w="968" w:type="dxa"/>
            <w:vAlign w:val="center"/>
          </w:tcPr>
          <w:p>
            <w:pPr>
              <w:ind w:firstLine="400" w:firstLineChars="200"/>
              <w:rPr>
                <w:color w:val="auto"/>
                <w:sz w:val="20"/>
                <w:szCs w:val="20"/>
              </w:rPr>
            </w:pPr>
          </w:p>
        </w:tc>
        <w:tc>
          <w:tcPr>
            <w:tcW w:w="791" w:type="dxa"/>
            <w:vAlign w:val="center"/>
          </w:tcPr>
          <w:p>
            <w:pPr>
              <w:ind w:firstLine="400" w:firstLineChars="200"/>
              <w:rPr>
                <w:color w:val="auto"/>
                <w:sz w:val="20"/>
                <w:szCs w:val="20"/>
              </w:rPr>
            </w:pPr>
          </w:p>
        </w:tc>
        <w:tc>
          <w:tcPr>
            <w:tcW w:w="722" w:type="dxa"/>
            <w:vAlign w:val="center"/>
          </w:tcPr>
          <w:p>
            <w:pPr>
              <w:ind w:firstLine="400" w:firstLineChars="200"/>
              <w:rPr>
                <w:color w:val="auto"/>
                <w:sz w:val="20"/>
                <w:szCs w:val="20"/>
              </w:rPr>
            </w:pPr>
          </w:p>
        </w:tc>
        <w:tc>
          <w:tcPr>
            <w:tcW w:w="1171" w:type="dxa"/>
            <w:vAlign w:val="center"/>
          </w:tcPr>
          <w:p>
            <w:pPr>
              <w:ind w:firstLine="400" w:firstLineChars="200"/>
              <w:rPr>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976" w:type="dxa"/>
            <w:vAlign w:val="center"/>
          </w:tcPr>
          <w:p>
            <w:pPr>
              <w:spacing w:line="440" w:lineRule="exact"/>
              <w:ind w:firstLine="400" w:firstLineChars="200"/>
              <w:rPr>
                <w:color w:val="auto"/>
                <w:sz w:val="20"/>
                <w:szCs w:val="20"/>
              </w:rPr>
            </w:pPr>
          </w:p>
        </w:tc>
        <w:tc>
          <w:tcPr>
            <w:tcW w:w="649" w:type="dxa"/>
            <w:vAlign w:val="center"/>
          </w:tcPr>
          <w:p>
            <w:pPr>
              <w:spacing w:line="440" w:lineRule="exact"/>
              <w:ind w:firstLine="400" w:firstLineChars="200"/>
              <w:rPr>
                <w:color w:val="auto"/>
                <w:sz w:val="20"/>
                <w:szCs w:val="20"/>
              </w:rPr>
            </w:pPr>
          </w:p>
        </w:tc>
        <w:tc>
          <w:tcPr>
            <w:tcW w:w="1073" w:type="dxa"/>
            <w:vAlign w:val="center"/>
          </w:tcPr>
          <w:p>
            <w:pPr>
              <w:ind w:firstLine="400" w:firstLineChars="200"/>
              <w:rPr>
                <w:color w:val="auto"/>
                <w:sz w:val="20"/>
                <w:szCs w:val="20"/>
              </w:rPr>
            </w:pPr>
          </w:p>
        </w:tc>
        <w:tc>
          <w:tcPr>
            <w:tcW w:w="1602" w:type="dxa"/>
            <w:vAlign w:val="center"/>
          </w:tcPr>
          <w:p>
            <w:pPr>
              <w:ind w:firstLine="400" w:firstLineChars="200"/>
              <w:rPr>
                <w:color w:val="auto"/>
                <w:sz w:val="20"/>
                <w:szCs w:val="20"/>
              </w:rPr>
            </w:pPr>
          </w:p>
        </w:tc>
        <w:tc>
          <w:tcPr>
            <w:tcW w:w="770" w:type="dxa"/>
            <w:vAlign w:val="center"/>
          </w:tcPr>
          <w:p>
            <w:pPr>
              <w:ind w:firstLine="400" w:firstLineChars="200"/>
              <w:rPr>
                <w:color w:val="auto"/>
                <w:sz w:val="20"/>
                <w:szCs w:val="20"/>
              </w:rPr>
            </w:pPr>
          </w:p>
        </w:tc>
        <w:tc>
          <w:tcPr>
            <w:tcW w:w="675" w:type="dxa"/>
            <w:vAlign w:val="center"/>
          </w:tcPr>
          <w:p>
            <w:pPr>
              <w:ind w:firstLine="400" w:firstLineChars="200"/>
              <w:rPr>
                <w:color w:val="auto"/>
                <w:sz w:val="20"/>
                <w:szCs w:val="20"/>
              </w:rPr>
            </w:pPr>
          </w:p>
        </w:tc>
        <w:tc>
          <w:tcPr>
            <w:tcW w:w="968" w:type="dxa"/>
            <w:vAlign w:val="center"/>
          </w:tcPr>
          <w:p>
            <w:pPr>
              <w:ind w:firstLine="400" w:firstLineChars="200"/>
              <w:rPr>
                <w:color w:val="auto"/>
                <w:sz w:val="20"/>
                <w:szCs w:val="20"/>
              </w:rPr>
            </w:pPr>
          </w:p>
        </w:tc>
        <w:tc>
          <w:tcPr>
            <w:tcW w:w="791" w:type="dxa"/>
            <w:vAlign w:val="center"/>
          </w:tcPr>
          <w:p>
            <w:pPr>
              <w:ind w:firstLine="400" w:firstLineChars="200"/>
              <w:rPr>
                <w:color w:val="auto"/>
                <w:sz w:val="20"/>
                <w:szCs w:val="20"/>
              </w:rPr>
            </w:pPr>
          </w:p>
        </w:tc>
        <w:tc>
          <w:tcPr>
            <w:tcW w:w="722" w:type="dxa"/>
            <w:vAlign w:val="center"/>
          </w:tcPr>
          <w:p>
            <w:pPr>
              <w:ind w:firstLine="400" w:firstLineChars="200"/>
              <w:rPr>
                <w:color w:val="auto"/>
                <w:sz w:val="20"/>
                <w:szCs w:val="20"/>
              </w:rPr>
            </w:pPr>
          </w:p>
        </w:tc>
        <w:tc>
          <w:tcPr>
            <w:tcW w:w="1171" w:type="dxa"/>
            <w:vAlign w:val="center"/>
          </w:tcPr>
          <w:p>
            <w:pPr>
              <w:ind w:firstLine="400" w:firstLineChars="200"/>
              <w:rPr>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976" w:type="dxa"/>
            <w:vAlign w:val="center"/>
          </w:tcPr>
          <w:p>
            <w:pPr>
              <w:ind w:firstLine="400" w:firstLineChars="200"/>
              <w:rPr>
                <w:color w:val="auto"/>
                <w:sz w:val="20"/>
                <w:szCs w:val="20"/>
              </w:rPr>
            </w:pPr>
          </w:p>
        </w:tc>
        <w:tc>
          <w:tcPr>
            <w:tcW w:w="649" w:type="dxa"/>
            <w:vAlign w:val="center"/>
          </w:tcPr>
          <w:p>
            <w:pPr>
              <w:ind w:firstLine="400" w:firstLineChars="200"/>
              <w:rPr>
                <w:color w:val="auto"/>
                <w:sz w:val="20"/>
                <w:szCs w:val="20"/>
              </w:rPr>
            </w:pPr>
          </w:p>
        </w:tc>
        <w:tc>
          <w:tcPr>
            <w:tcW w:w="1073" w:type="dxa"/>
            <w:vAlign w:val="center"/>
          </w:tcPr>
          <w:p>
            <w:pPr>
              <w:ind w:firstLine="400" w:firstLineChars="200"/>
              <w:rPr>
                <w:color w:val="auto"/>
                <w:sz w:val="20"/>
                <w:szCs w:val="20"/>
              </w:rPr>
            </w:pPr>
          </w:p>
        </w:tc>
        <w:tc>
          <w:tcPr>
            <w:tcW w:w="1602" w:type="dxa"/>
            <w:vAlign w:val="center"/>
          </w:tcPr>
          <w:p>
            <w:pPr>
              <w:ind w:firstLine="400" w:firstLineChars="200"/>
              <w:rPr>
                <w:color w:val="auto"/>
                <w:sz w:val="20"/>
                <w:szCs w:val="20"/>
              </w:rPr>
            </w:pPr>
          </w:p>
        </w:tc>
        <w:tc>
          <w:tcPr>
            <w:tcW w:w="770" w:type="dxa"/>
            <w:vAlign w:val="center"/>
          </w:tcPr>
          <w:p>
            <w:pPr>
              <w:ind w:firstLine="400" w:firstLineChars="200"/>
              <w:rPr>
                <w:color w:val="auto"/>
                <w:sz w:val="20"/>
                <w:szCs w:val="20"/>
              </w:rPr>
            </w:pPr>
          </w:p>
        </w:tc>
        <w:tc>
          <w:tcPr>
            <w:tcW w:w="675" w:type="dxa"/>
            <w:vAlign w:val="center"/>
          </w:tcPr>
          <w:p>
            <w:pPr>
              <w:ind w:firstLine="400" w:firstLineChars="200"/>
              <w:rPr>
                <w:color w:val="auto"/>
                <w:sz w:val="20"/>
                <w:szCs w:val="20"/>
              </w:rPr>
            </w:pPr>
          </w:p>
        </w:tc>
        <w:tc>
          <w:tcPr>
            <w:tcW w:w="968" w:type="dxa"/>
            <w:vAlign w:val="center"/>
          </w:tcPr>
          <w:p>
            <w:pPr>
              <w:ind w:firstLine="400" w:firstLineChars="200"/>
              <w:rPr>
                <w:color w:val="auto"/>
                <w:sz w:val="20"/>
                <w:szCs w:val="20"/>
              </w:rPr>
            </w:pPr>
          </w:p>
        </w:tc>
        <w:tc>
          <w:tcPr>
            <w:tcW w:w="791" w:type="dxa"/>
            <w:vAlign w:val="center"/>
          </w:tcPr>
          <w:p>
            <w:pPr>
              <w:ind w:firstLine="400" w:firstLineChars="200"/>
              <w:rPr>
                <w:color w:val="auto"/>
                <w:sz w:val="20"/>
                <w:szCs w:val="20"/>
              </w:rPr>
            </w:pPr>
          </w:p>
        </w:tc>
        <w:tc>
          <w:tcPr>
            <w:tcW w:w="722" w:type="dxa"/>
            <w:vAlign w:val="center"/>
          </w:tcPr>
          <w:p>
            <w:pPr>
              <w:ind w:firstLine="400" w:firstLineChars="200"/>
              <w:rPr>
                <w:color w:val="auto"/>
                <w:sz w:val="20"/>
                <w:szCs w:val="20"/>
              </w:rPr>
            </w:pPr>
          </w:p>
        </w:tc>
        <w:tc>
          <w:tcPr>
            <w:tcW w:w="1171" w:type="dxa"/>
            <w:vAlign w:val="center"/>
          </w:tcPr>
          <w:p>
            <w:pPr>
              <w:ind w:firstLine="400" w:firstLineChars="200"/>
              <w:rPr>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976" w:type="dxa"/>
            <w:vAlign w:val="center"/>
          </w:tcPr>
          <w:p>
            <w:pPr>
              <w:spacing w:line="440" w:lineRule="exact"/>
              <w:ind w:firstLine="400" w:firstLineChars="200"/>
              <w:rPr>
                <w:color w:val="auto"/>
                <w:sz w:val="20"/>
                <w:szCs w:val="20"/>
              </w:rPr>
            </w:pPr>
          </w:p>
        </w:tc>
        <w:tc>
          <w:tcPr>
            <w:tcW w:w="649" w:type="dxa"/>
            <w:vAlign w:val="center"/>
          </w:tcPr>
          <w:p>
            <w:pPr>
              <w:spacing w:line="440" w:lineRule="exact"/>
              <w:ind w:firstLine="400" w:firstLineChars="200"/>
              <w:rPr>
                <w:color w:val="auto"/>
                <w:sz w:val="20"/>
                <w:szCs w:val="20"/>
              </w:rPr>
            </w:pPr>
          </w:p>
        </w:tc>
        <w:tc>
          <w:tcPr>
            <w:tcW w:w="1073" w:type="dxa"/>
            <w:vAlign w:val="center"/>
          </w:tcPr>
          <w:p>
            <w:pPr>
              <w:spacing w:line="440" w:lineRule="exact"/>
              <w:ind w:firstLine="400" w:firstLineChars="200"/>
              <w:rPr>
                <w:color w:val="auto"/>
                <w:sz w:val="20"/>
                <w:szCs w:val="20"/>
              </w:rPr>
            </w:pPr>
          </w:p>
        </w:tc>
        <w:tc>
          <w:tcPr>
            <w:tcW w:w="1602" w:type="dxa"/>
            <w:vAlign w:val="center"/>
          </w:tcPr>
          <w:p>
            <w:pPr>
              <w:ind w:firstLine="400" w:firstLineChars="200"/>
              <w:rPr>
                <w:color w:val="auto"/>
                <w:sz w:val="20"/>
                <w:szCs w:val="20"/>
              </w:rPr>
            </w:pPr>
          </w:p>
        </w:tc>
        <w:tc>
          <w:tcPr>
            <w:tcW w:w="770" w:type="dxa"/>
            <w:vAlign w:val="center"/>
          </w:tcPr>
          <w:p>
            <w:pPr>
              <w:ind w:firstLine="400" w:firstLineChars="200"/>
              <w:rPr>
                <w:color w:val="auto"/>
                <w:sz w:val="20"/>
                <w:szCs w:val="20"/>
              </w:rPr>
            </w:pPr>
          </w:p>
        </w:tc>
        <w:tc>
          <w:tcPr>
            <w:tcW w:w="675" w:type="dxa"/>
            <w:vAlign w:val="center"/>
          </w:tcPr>
          <w:p>
            <w:pPr>
              <w:ind w:firstLine="400" w:firstLineChars="200"/>
              <w:rPr>
                <w:color w:val="auto"/>
                <w:sz w:val="20"/>
                <w:szCs w:val="20"/>
              </w:rPr>
            </w:pPr>
          </w:p>
        </w:tc>
        <w:tc>
          <w:tcPr>
            <w:tcW w:w="968" w:type="dxa"/>
            <w:vAlign w:val="center"/>
          </w:tcPr>
          <w:p>
            <w:pPr>
              <w:ind w:firstLine="400" w:firstLineChars="200"/>
              <w:rPr>
                <w:color w:val="auto"/>
                <w:sz w:val="20"/>
                <w:szCs w:val="20"/>
              </w:rPr>
            </w:pPr>
          </w:p>
        </w:tc>
        <w:tc>
          <w:tcPr>
            <w:tcW w:w="791" w:type="dxa"/>
            <w:vAlign w:val="center"/>
          </w:tcPr>
          <w:p>
            <w:pPr>
              <w:ind w:firstLine="400" w:firstLineChars="200"/>
              <w:rPr>
                <w:color w:val="auto"/>
                <w:sz w:val="20"/>
                <w:szCs w:val="20"/>
              </w:rPr>
            </w:pPr>
          </w:p>
        </w:tc>
        <w:tc>
          <w:tcPr>
            <w:tcW w:w="722" w:type="dxa"/>
            <w:vAlign w:val="center"/>
          </w:tcPr>
          <w:p>
            <w:pPr>
              <w:ind w:firstLine="400" w:firstLineChars="200"/>
              <w:rPr>
                <w:color w:val="auto"/>
                <w:sz w:val="20"/>
                <w:szCs w:val="20"/>
              </w:rPr>
            </w:pPr>
          </w:p>
        </w:tc>
        <w:tc>
          <w:tcPr>
            <w:tcW w:w="1171" w:type="dxa"/>
            <w:vAlign w:val="center"/>
          </w:tcPr>
          <w:p>
            <w:pPr>
              <w:ind w:firstLine="400" w:firstLineChars="200"/>
              <w:rPr>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976" w:type="dxa"/>
            <w:vAlign w:val="center"/>
          </w:tcPr>
          <w:p>
            <w:pPr>
              <w:spacing w:line="440" w:lineRule="exact"/>
              <w:ind w:firstLine="400" w:firstLineChars="200"/>
              <w:rPr>
                <w:color w:val="auto"/>
                <w:sz w:val="20"/>
                <w:szCs w:val="20"/>
              </w:rPr>
            </w:pPr>
          </w:p>
        </w:tc>
        <w:tc>
          <w:tcPr>
            <w:tcW w:w="649" w:type="dxa"/>
            <w:vAlign w:val="center"/>
          </w:tcPr>
          <w:p>
            <w:pPr>
              <w:spacing w:line="440" w:lineRule="exact"/>
              <w:ind w:firstLine="400" w:firstLineChars="200"/>
              <w:rPr>
                <w:color w:val="auto"/>
                <w:sz w:val="20"/>
                <w:szCs w:val="20"/>
              </w:rPr>
            </w:pPr>
          </w:p>
        </w:tc>
        <w:tc>
          <w:tcPr>
            <w:tcW w:w="1073" w:type="dxa"/>
            <w:vAlign w:val="center"/>
          </w:tcPr>
          <w:p>
            <w:pPr>
              <w:spacing w:line="440" w:lineRule="exact"/>
              <w:ind w:firstLine="400" w:firstLineChars="200"/>
              <w:rPr>
                <w:color w:val="auto"/>
                <w:sz w:val="20"/>
                <w:szCs w:val="20"/>
              </w:rPr>
            </w:pPr>
          </w:p>
        </w:tc>
        <w:tc>
          <w:tcPr>
            <w:tcW w:w="1602" w:type="dxa"/>
            <w:vAlign w:val="center"/>
          </w:tcPr>
          <w:p>
            <w:pPr>
              <w:ind w:firstLine="400" w:firstLineChars="200"/>
              <w:rPr>
                <w:color w:val="auto"/>
                <w:sz w:val="20"/>
                <w:szCs w:val="20"/>
              </w:rPr>
            </w:pPr>
          </w:p>
        </w:tc>
        <w:tc>
          <w:tcPr>
            <w:tcW w:w="770" w:type="dxa"/>
            <w:vAlign w:val="center"/>
          </w:tcPr>
          <w:p>
            <w:pPr>
              <w:ind w:firstLine="400" w:firstLineChars="200"/>
              <w:rPr>
                <w:color w:val="auto"/>
                <w:sz w:val="20"/>
                <w:szCs w:val="20"/>
              </w:rPr>
            </w:pPr>
          </w:p>
        </w:tc>
        <w:tc>
          <w:tcPr>
            <w:tcW w:w="675" w:type="dxa"/>
            <w:vAlign w:val="center"/>
          </w:tcPr>
          <w:p>
            <w:pPr>
              <w:ind w:firstLine="400" w:firstLineChars="200"/>
              <w:rPr>
                <w:color w:val="auto"/>
                <w:sz w:val="20"/>
                <w:szCs w:val="20"/>
              </w:rPr>
            </w:pPr>
          </w:p>
        </w:tc>
        <w:tc>
          <w:tcPr>
            <w:tcW w:w="968" w:type="dxa"/>
            <w:vAlign w:val="center"/>
          </w:tcPr>
          <w:p>
            <w:pPr>
              <w:ind w:firstLine="400" w:firstLineChars="200"/>
              <w:rPr>
                <w:color w:val="auto"/>
                <w:sz w:val="20"/>
                <w:szCs w:val="20"/>
              </w:rPr>
            </w:pPr>
          </w:p>
        </w:tc>
        <w:tc>
          <w:tcPr>
            <w:tcW w:w="791" w:type="dxa"/>
            <w:vAlign w:val="center"/>
          </w:tcPr>
          <w:p>
            <w:pPr>
              <w:ind w:firstLine="400" w:firstLineChars="200"/>
              <w:rPr>
                <w:color w:val="auto"/>
                <w:sz w:val="20"/>
                <w:szCs w:val="20"/>
              </w:rPr>
            </w:pPr>
          </w:p>
        </w:tc>
        <w:tc>
          <w:tcPr>
            <w:tcW w:w="722" w:type="dxa"/>
            <w:vAlign w:val="center"/>
          </w:tcPr>
          <w:p>
            <w:pPr>
              <w:ind w:firstLine="400" w:firstLineChars="200"/>
              <w:rPr>
                <w:color w:val="auto"/>
                <w:sz w:val="20"/>
                <w:szCs w:val="20"/>
              </w:rPr>
            </w:pPr>
          </w:p>
        </w:tc>
        <w:tc>
          <w:tcPr>
            <w:tcW w:w="1171" w:type="dxa"/>
            <w:vAlign w:val="center"/>
          </w:tcPr>
          <w:p>
            <w:pPr>
              <w:ind w:firstLine="400" w:firstLineChars="200"/>
              <w:rPr>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976" w:type="dxa"/>
            <w:vAlign w:val="center"/>
          </w:tcPr>
          <w:p>
            <w:pPr>
              <w:ind w:firstLine="400" w:firstLineChars="200"/>
              <w:rPr>
                <w:color w:val="auto"/>
                <w:sz w:val="20"/>
                <w:szCs w:val="20"/>
              </w:rPr>
            </w:pPr>
          </w:p>
        </w:tc>
        <w:tc>
          <w:tcPr>
            <w:tcW w:w="649" w:type="dxa"/>
            <w:vAlign w:val="center"/>
          </w:tcPr>
          <w:p>
            <w:pPr>
              <w:ind w:firstLine="400" w:firstLineChars="200"/>
              <w:rPr>
                <w:color w:val="auto"/>
                <w:sz w:val="20"/>
                <w:szCs w:val="20"/>
              </w:rPr>
            </w:pPr>
          </w:p>
        </w:tc>
        <w:tc>
          <w:tcPr>
            <w:tcW w:w="1073" w:type="dxa"/>
            <w:vAlign w:val="center"/>
          </w:tcPr>
          <w:p>
            <w:pPr>
              <w:ind w:firstLine="400" w:firstLineChars="200"/>
              <w:rPr>
                <w:color w:val="auto"/>
                <w:sz w:val="20"/>
                <w:szCs w:val="20"/>
              </w:rPr>
            </w:pPr>
          </w:p>
        </w:tc>
        <w:tc>
          <w:tcPr>
            <w:tcW w:w="1602" w:type="dxa"/>
            <w:vAlign w:val="center"/>
          </w:tcPr>
          <w:p>
            <w:pPr>
              <w:ind w:firstLine="400" w:firstLineChars="200"/>
              <w:rPr>
                <w:color w:val="auto"/>
                <w:sz w:val="20"/>
                <w:szCs w:val="20"/>
              </w:rPr>
            </w:pPr>
          </w:p>
        </w:tc>
        <w:tc>
          <w:tcPr>
            <w:tcW w:w="770" w:type="dxa"/>
            <w:vAlign w:val="center"/>
          </w:tcPr>
          <w:p>
            <w:pPr>
              <w:ind w:firstLine="400" w:firstLineChars="200"/>
              <w:rPr>
                <w:color w:val="auto"/>
                <w:sz w:val="20"/>
                <w:szCs w:val="20"/>
              </w:rPr>
            </w:pPr>
          </w:p>
        </w:tc>
        <w:tc>
          <w:tcPr>
            <w:tcW w:w="675" w:type="dxa"/>
            <w:vAlign w:val="center"/>
          </w:tcPr>
          <w:p>
            <w:pPr>
              <w:ind w:firstLine="400" w:firstLineChars="200"/>
              <w:rPr>
                <w:color w:val="auto"/>
                <w:sz w:val="20"/>
                <w:szCs w:val="20"/>
              </w:rPr>
            </w:pPr>
          </w:p>
        </w:tc>
        <w:tc>
          <w:tcPr>
            <w:tcW w:w="968" w:type="dxa"/>
            <w:vAlign w:val="center"/>
          </w:tcPr>
          <w:p>
            <w:pPr>
              <w:ind w:firstLine="400" w:firstLineChars="200"/>
              <w:rPr>
                <w:color w:val="auto"/>
                <w:sz w:val="20"/>
                <w:szCs w:val="20"/>
              </w:rPr>
            </w:pPr>
          </w:p>
        </w:tc>
        <w:tc>
          <w:tcPr>
            <w:tcW w:w="791" w:type="dxa"/>
            <w:vAlign w:val="center"/>
          </w:tcPr>
          <w:p>
            <w:pPr>
              <w:ind w:firstLine="400" w:firstLineChars="200"/>
              <w:rPr>
                <w:color w:val="auto"/>
                <w:sz w:val="20"/>
                <w:szCs w:val="20"/>
              </w:rPr>
            </w:pPr>
          </w:p>
        </w:tc>
        <w:tc>
          <w:tcPr>
            <w:tcW w:w="722" w:type="dxa"/>
            <w:vAlign w:val="center"/>
          </w:tcPr>
          <w:p>
            <w:pPr>
              <w:ind w:firstLine="400" w:firstLineChars="200"/>
              <w:rPr>
                <w:color w:val="auto"/>
                <w:sz w:val="20"/>
                <w:szCs w:val="20"/>
              </w:rPr>
            </w:pPr>
          </w:p>
        </w:tc>
        <w:tc>
          <w:tcPr>
            <w:tcW w:w="1171" w:type="dxa"/>
            <w:vAlign w:val="center"/>
          </w:tcPr>
          <w:p>
            <w:pPr>
              <w:ind w:firstLine="400" w:firstLineChars="200"/>
              <w:rPr>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76" w:type="dxa"/>
            <w:vAlign w:val="center"/>
          </w:tcPr>
          <w:p>
            <w:pPr>
              <w:spacing w:line="440" w:lineRule="exact"/>
              <w:ind w:firstLine="400" w:firstLineChars="200"/>
              <w:rPr>
                <w:color w:val="auto"/>
                <w:sz w:val="20"/>
                <w:szCs w:val="20"/>
              </w:rPr>
            </w:pPr>
          </w:p>
        </w:tc>
        <w:tc>
          <w:tcPr>
            <w:tcW w:w="649" w:type="dxa"/>
            <w:vAlign w:val="center"/>
          </w:tcPr>
          <w:p>
            <w:pPr>
              <w:spacing w:line="440" w:lineRule="exact"/>
              <w:ind w:firstLine="400" w:firstLineChars="200"/>
              <w:rPr>
                <w:color w:val="auto"/>
                <w:sz w:val="20"/>
                <w:szCs w:val="20"/>
              </w:rPr>
            </w:pPr>
          </w:p>
        </w:tc>
        <w:tc>
          <w:tcPr>
            <w:tcW w:w="1073" w:type="dxa"/>
            <w:vAlign w:val="center"/>
          </w:tcPr>
          <w:p>
            <w:pPr>
              <w:spacing w:line="440" w:lineRule="exact"/>
              <w:ind w:firstLine="400" w:firstLineChars="200"/>
              <w:rPr>
                <w:color w:val="auto"/>
                <w:sz w:val="20"/>
                <w:szCs w:val="20"/>
              </w:rPr>
            </w:pPr>
          </w:p>
        </w:tc>
        <w:tc>
          <w:tcPr>
            <w:tcW w:w="1602" w:type="dxa"/>
            <w:vAlign w:val="center"/>
          </w:tcPr>
          <w:p>
            <w:pPr>
              <w:ind w:firstLine="400" w:firstLineChars="200"/>
              <w:rPr>
                <w:color w:val="auto"/>
                <w:sz w:val="20"/>
                <w:szCs w:val="20"/>
              </w:rPr>
            </w:pPr>
          </w:p>
        </w:tc>
        <w:tc>
          <w:tcPr>
            <w:tcW w:w="770" w:type="dxa"/>
            <w:vAlign w:val="center"/>
          </w:tcPr>
          <w:p>
            <w:pPr>
              <w:ind w:firstLine="400" w:firstLineChars="200"/>
              <w:rPr>
                <w:color w:val="auto"/>
                <w:sz w:val="20"/>
                <w:szCs w:val="20"/>
              </w:rPr>
            </w:pPr>
          </w:p>
        </w:tc>
        <w:tc>
          <w:tcPr>
            <w:tcW w:w="675" w:type="dxa"/>
            <w:vAlign w:val="center"/>
          </w:tcPr>
          <w:p>
            <w:pPr>
              <w:ind w:firstLine="400" w:firstLineChars="200"/>
              <w:rPr>
                <w:color w:val="auto"/>
                <w:sz w:val="20"/>
                <w:szCs w:val="20"/>
              </w:rPr>
            </w:pPr>
          </w:p>
        </w:tc>
        <w:tc>
          <w:tcPr>
            <w:tcW w:w="968" w:type="dxa"/>
            <w:vAlign w:val="center"/>
          </w:tcPr>
          <w:p>
            <w:pPr>
              <w:ind w:firstLine="400" w:firstLineChars="200"/>
              <w:rPr>
                <w:color w:val="auto"/>
                <w:sz w:val="20"/>
                <w:szCs w:val="20"/>
              </w:rPr>
            </w:pPr>
          </w:p>
        </w:tc>
        <w:tc>
          <w:tcPr>
            <w:tcW w:w="791" w:type="dxa"/>
            <w:vAlign w:val="center"/>
          </w:tcPr>
          <w:p>
            <w:pPr>
              <w:ind w:firstLine="400" w:firstLineChars="200"/>
              <w:rPr>
                <w:color w:val="auto"/>
                <w:sz w:val="20"/>
                <w:szCs w:val="20"/>
              </w:rPr>
            </w:pPr>
          </w:p>
        </w:tc>
        <w:tc>
          <w:tcPr>
            <w:tcW w:w="722" w:type="dxa"/>
            <w:vAlign w:val="center"/>
          </w:tcPr>
          <w:p>
            <w:pPr>
              <w:ind w:firstLine="400" w:firstLineChars="200"/>
              <w:rPr>
                <w:color w:val="auto"/>
                <w:sz w:val="20"/>
                <w:szCs w:val="20"/>
              </w:rPr>
            </w:pPr>
          </w:p>
        </w:tc>
        <w:tc>
          <w:tcPr>
            <w:tcW w:w="1171" w:type="dxa"/>
            <w:vAlign w:val="center"/>
          </w:tcPr>
          <w:p>
            <w:pPr>
              <w:ind w:firstLine="400" w:firstLineChars="200"/>
              <w:rPr>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76" w:type="dxa"/>
            <w:vAlign w:val="center"/>
          </w:tcPr>
          <w:p>
            <w:pPr>
              <w:spacing w:line="440" w:lineRule="exact"/>
              <w:ind w:firstLine="400" w:firstLineChars="200"/>
              <w:rPr>
                <w:color w:val="auto"/>
                <w:sz w:val="20"/>
                <w:szCs w:val="20"/>
              </w:rPr>
            </w:pPr>
          </w:p>
        </w:tc>
        <w:tc>
          <w:tcPr>
            <w:tcW w:w="649" w:type="dxa"/>
            <w:vAlign w:val="center"/>
          </w:tcPr>
          <w:p>
            <w:pPr>
              <w:spacing w:line="440" w:lineRule="exact"/>
              <w:ind w:firstLine="400" w:firstLineChars="200"/>
              <w:rPr>
                <w:color w:val="auto"/>
                <w:sz w:val="20"/>
                <w:szCs w:val="20"/>
              </w:rPr>
            </w:pPr>
          </w:p>
        </w:tc>
        <w:tc>
          <w:tcPr>
            <w:tcW w:w="1073" w:type="dxa"/>
            <w:vAlign w:val="center"/>
          </w:tcPr>
          <w:p>
            <w:pPr>
              <w:spacing w:line="440" w:lineRule="exact"/>
              <w:ind w:firstLine="400" w:firstLineChars="200"/>
              <w:rPr>
                <w:color w:val="auto"/>
                <w:sz w:val="20"/>
                <w:szCs w:val="20"/>
              </w:rPr>
            </w:pPr>
          </w:p>
        </w:tc>
        <w:tc>
          <w:tcPr>
            <w:tcW w:w="1602" w:type="dxa"/>
            <w:vAlign w:val="center"/>
          </w:tcPr>
          <w:p>
            <w:pPr>
              <w:ind w:firstLine="400" w:firstLineChars="200"/>
              <w:rPr>
                <w:color w:val="auto"/>
                <w:sz w:val="20"/>
                <w:szCs w:val="20"/>
              </w:rPr>
            </w:pPr>
          </w:p>
        </w:tc>
        <w:tc>
          <w:tcPr>
            <w:tcW w:w="770" w:type="dxa"/>
            <w:vAlign w:val="center"/>
          </w:tcPr>
          <w:p>
            <w:pPr>
              <w:ind w:firstLine="400" w:firstLineChars="200"/>
              <w:rPr>
                <w:color w:val="auto"/>
                <w:sz w:val="20"/>
                <w:szCs w:val="20"/>
              </w:rPr>
            </w:pPr>
          </w:p>
        </w:tc>
        <w:tc>
          <w:tcPr>
            <w:tcW w:w="675" w:type="dxa"/>
            <w:vAlign w:val="center"/>
          </w:tcPr>
          <w:p>
            <w:pPr>
              <w:ind w:firstLine="400" w:firstLineChars="200"/>
              <w:rPr>
                <w:color w:val="auto"/>
                <w:sz w:val="20"/>
                <w:szCs w:val="20"/>
              </w:rPr>
            </w:pPr>
          </w:p>
        </w:tc>
        <w:tc>
          <w:tcPr>
            <w:tcW w:w="968" w:type="dxa"/>
            <w:vAlign w:val="center"/>
          </w:tcPr>
          <w:p>
            <w:pPr>
              <w:ind w:firstLine="400" w:firstLineChars="200"/>
              <w:rPr>
                <w:color w:val="auto"/>
                <w:sz w:val="20"/>
                <w:szCs w:val="20"/>
              </w:rPr>
            </w:pPr>
          </w:p>
        </w:tc>
        <w:tc>
          <w:tcPr>
            <w:tcW w:w="791" w:type="dxa"/>
            <w:vAlign w:val="center"/>
          </w:tcPr>
          <w:p>
            <w:pPr>
              <w:ind w:firstLine="400" w:firstLineChars="200"/>
              <w:rPr>
                <w:color w:val="auto"/>
                <w:sz w:val="20"/>
                <w:szCs w:val="20"/>
              </w:rPr>
            </w:pPr>
          </w:p>
        </w:tc>
        <w:tc>
          <w:tcPr>
            <w:tcW w:w="722" w:type="dxa"/>
            <w:vAlign w:val="center"/>
          </w:tcPr>
          <w:p>
            <w:pPr>
              <w:ind w:firstLine="400" w:firstLineChars="200"/>
              <w:rPr>
                <w:color w:val="auto"/>
                <w:sz w:val="20"/>
                <w:szCs w:val="20"/>
              </w:rPr>
            </w:pPr>
          </w:p>
        </w:tc>
        <w:tc>
          <w:tcPr>
            <w:tcW w:w="1171" w:type="dxa"/>
            <w:vAlign w:val="center"/>
          </w:tcPr>
          <w:p>
            <w:pPr>
              <w:ind w:firstLine="400" w:firstLineChars="200"/>
              <w:rPr>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76" w:type="dxa"/>
            <w:vAlign w:val="center"/>
          </w:tcPr>
          <w:p>
            <w:pPr>
              <w:spacing w:line="440" w:lineRule="exact"/>
              <w:ind w:firstLine="400" w:firstLineChars="200"/>
              <w:rPr>
                <w:color w:val="auto"/>
                <w:sz w:val="20"/>
                <w:szCs w:val="20"/>
              </w:rPr>
            </w:pPr>
          </w:p>
        </w:tc>
        <w:tc>
          <w:tcPr>
            <w:tcW w:w="649" w:type="dxa"/>
            <w:vAlign w:val="center"/>
          </w:tcPr>
          <w:p>
            <w:pPr>
              <w:spacing w:line="440" w:lineRule="exact"/>
              <w:ind w:firstLine="400" w:firstLineChars="200"/>
              <w:rPr>
                <w:color w:val="auto"/>
                <w:sz w:val="20"/>
                <w:szCs w:val="20"/>
              </w:rPr>
            </w:pPr>
          </w:p>
        </w:tc>
        <w:tc>
          <w:tcPr>
            <w:tcW w:w="1073" w:type="dxa"/>
            <w:vAlign w:val="center"/>
          </w:tcPr>
          <w:p>
            <w:pPr>
              <w:spacing w:line="440" w:lineRule="exact"/>
              <w:ind w:firstLine="400" w:firstLineChars="200"/>
              <w:rPr>
                <w:color w:val="auto"/>
                <w:sz w:val="20"/>
                <w:szCs w:val="20"/>
              </w:rPr>
            </w:pPr>
          </w:p>
        </w:tc>
        <w:tc>
          <w:tcPr>
            <w:tcW w:w="1602" w:type="dxa"/>
            <w:vAlign w:val="center"/>
          </w:tcPr>
          <w:p>
            <w:pPr>
              <w:ind w:firstLine="400" w:firstLineChars="200"/>
              <w:rPr>
                <w:color w:val="auto"/>
                <w:sz w:val="20"/>
                <w:szCs w:val="20"/>
              </w:rPr>
            </w:pPr>
          </w:p>
        </w:tc>
        <w:tc>
          <w:tcPr>
            <w:tcW w:w="770" w:type="dxa"/>
            <w:vAlign w:val="center"/>
          </w:tcPr>
          <w:p>
            <w:pPr>
              <w:ind w:firstLine="400" w:firstLineChars="200"/>
              <w:rPr>
                <w:color w:val="auto"/>
                <w:sz w:val="20"/>
                <w:szCs w:val="20"/>
              </w:rPr>
            </w:pPr>
          </w:p>
        </w:tc>
        <w:tc>
          <w:tcPr>
            <w:tcW w:w="675" w:type="dxa"/>
            <w:vAlign w:val="center"/>
          </w:tcPr>
          <w:p>
            <w:pPr>
              <w:ind w:firstLine="400" w:firstLineChars="200"/>
              <w:rPr>
                <w:color w:val="auto"/>
                <w:sz w:val="20"/>
                <w:szCs w:val="20"/>
              </w:rPr>
            </w:pPr>
          </w:p>
        </w:tc>
        <w:tc>
          <w:tcPr>
            <w:tcW w:w="968" w:type="dxa"/>
            <w:vAlign w:val="center"/>
          </w:tcPr>
          <w:p>
            <w:pPr>
              <w:ind w:firstLine="400" w:firstLineChars="200"/>
              <w:rPr>
                <w:color w:val="auto"/>
                <w:sz w:val="20"/>
                <w:szCs w:val="20"/>
              </w:rPr>
            </w:pPr>
          </w:p>
        </w:tc>
        <w:tc>
          <w:tcPr>
            <w:tcW w:w="791" w:type="dxa"/>
            <w:vAlign w:val="center"/>
          </w:tcPr>
          <w:p>
            <w:pPr>
              <w:ind w:firstLine="400" w:firstLineChars="200"/>
              <w:rPr>
                <w:color w:val="auto"/>
                <w:sz w:val="20"/>
                <w:szCs w:val="20"/>
              </w:rPr>
            </w:pPr>
          </w:p>
        </w:tc>
        <w:tc>
          <w:tcPr>
            <w:tcW w:w="722" w:type="dxa"/>
            <w:vAlign w:val="center"/>
          </w:tcPr>
          <w:p>
            <w:pPr>
              <w:ind w:firstLine="400" w:firstLineChars="200"/>
              <w:rPr>
                <w:color w:val="auto"/>
                <w:sz w:val="20"/>
                <w:szCs w:val="20"/>
              </w:rPr>
            </w:pPr>
          </w:p>
        </w:tc>
        <w:tc>
          <w:tcPr>
            <w:tcW w:w="1171" w:type="dxa"/>
            <w:vAlign w:val="center"/>
          </w:tcPr>
          <w:p>
            <w:pPr>
              <w:ind w:firstLine="400" w:firstLineChars="200"/>
              <w:rPr>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76" w:type="dxa"/>
            <w:vAlign w:val="center"/>
          </w:tcPr>
          <w:p>
            <w:pPr>
              <w:spacing w:line="440" w:lineRule="exact"/>
              <w:ind w:firstLine="400" w:firstLineChars="200"/>
              <w:rPr>
                <w:color w:val="auto"/>
                <w:sz w:val="20"/>
                <w:szCs w:val="20"/>
              </w:rPr>
            </w:pPr>
          </w:p>
        </w:tc>
        <w:tc>
          <w:tcPr>
            <w:tcW w:w="649" w:type="dxa"/>
            <w:vAlign w:val="center"/>
          </w:tcPr>
          <w:p>
            <w:pPr>
              <w:spacing w:line="440" w:lineRule="exact"/>
              <w:ind w:firstLine="400" w:firstLineChars="200"/>
              <w:rPr>
                <w:color w:val="auto"/>
                <w:sz w:val="20"/>
                <w:szCs w:val="20"/>
              </w:rPr>
            </w:pPr>
          </w:p>
        </w:tc>
        <w:tc>
          <w:tcPr>
            <w:tcW w:w="1073" w:type="dxa"/>
            <w:vAlign w:val="center"/>
          </w:tcPr>
          <w:p>
            <w:pPr>
              <w:spacing w:line="440" w:lineRule="exact"/>
              <w:ind w:firstLine="400" w:firstLineChars="200"/>
              <w:rPr>
                <w:color w:val="auto"/>
                <w:sz w:val="20"/>
                <w:szCs w:val="20"/>
              </w:rPr>
            </w:pPr>
          </w:p>
        </w:tc>
        <w:tc>
          <w:tcPr>
            <w:tcW w:w="1602" w:type="dxa"/>
            <w:vAlign w:val="center"/>
          </w:tcPr>
          <w:p>
            <w:pPr>
              <w:ind w:firstLine="400" w:firstLineChars="200"/>
              <w:rPr>
                <w:color w:val="auto"/>
                <w:sz w:val="20"/>
                <w:szCs w:val="20"/>
              </w:rPr>
            </w:pPr>
          </w:p>
        </w:tc>
        <w:tc>
          <w:tcPr>
            <w:tcW w:w="770" w:type="dxa"/>
            <w:vAlign w:val="center"/>
          </w:tcPr>
          <w:p>
            <w:pPr>
              <w:ind w:firstLine="400" w:firstLineChars="200"/>
              <w:rPr>
                <w:color w:val="auto"/>
                <w:sz w:val="20"/>
                <w:szCs w:val="20"/>
              </w:rPr>
            </w:pPr>
          </w:p>
        </w:tc>
        <w:tc>
          <w:tcPr>
            <w:tcW w:w="675" w:type="dxa"/>
            <w:vAlign w:val="center"/>
          </w:tcPr>
          <w:p>
            <w:pPr>
              <w:ind w:firstLine="400" w:firstLineChars="200"/>
              <w:rPr>
                <w:color w:val="auto"/>
                <w:sz w:val="20"/>
                <w:szCs w:val="20"/>
              </w:rPr>
            </w:pPr>
          </w:p>
        </w:tc>
        <w:tc>
          <w:tcPr>
            <w:tcW w:w="968" w:type="dxa"/>
            <w:vAlign w:val="center"/>
          </w:tcPr>
          <w:p>
            <w:pPr>
              <w:ind w:firstLine="400" w:firstLineChars="200"/>
              <w:rPr>
                <w:color w:val="auto"/>
                <w:sz w:val="20"/>
                <w:szCs w:val="20"/>
              </w:rPr>
            </w:pPr>
          </w:p>
        </w:tc>
        <w:tc>
          <w:tcPr>
            <w:tcW w:w="791" w:type="dxa"/>
            <w:vAlign w:val="center"/>
          </w:tcPr>
          <w:p>
            <w:pPr>
              <w:ind w:firstLine="400" w:firstLineChars="200"/>
              <w:rPr>
                <w:color w:val="auto"/>
                <w:sz w:val="20"/>
                <w:szCs w:val="20"/>
              </w:rPr>
            </w:pPr>
          </w:p>
        </w:tc>
        <w:tc>
          <w:tcPr>
            <w:tcW w:w="722" w:type="dxa"/>
            <w:vAlign w:val="center"/>
          </w:tcPr>
          <w:p>
            <w:pPr>
              <w:ind w:firstLine="400" w:firstLineChars="200"/>
              <w:rPr>
                <w:color w:val="auto"/>
                <w:sz w:val="20"/>
                <w:szCs w:val="20"/>
              </w:rPr>
            </w:pPr>
          </w:p>
        </w:tc>
        <w:tc>
          <w:tcPr>
            <w:tcW w:w="1171" w:type="dxa"/>
            <w:vAlign w:val="center"/>
          </w:tcPr>
          <w:p>
            <w:pPr>
              <w:ind w:firstLine="400" w:firstLineChars="200"/>
              <w:rPr>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76" w:type="dxa"/>
            <w:vAlign w:val="center"/>
          </w:tcPr>
          <w:p>
            <w:pPr>
              <w:spacing w:line="440" w:lineRule="exact"/>
              <w:ind w:firstLine="400" w:firstLineChars="200"/>
              <w:rPr>
                <w:color w:val="auto"/>
                <w:sz w:val="20"/>
                <w:szCs w:val="20"/>
              </w:rPr>
            </w:pPr>
          </w:p>
        </w:tc>
        <w:tc>
          <w:tcPr>
            <w:tcW w:w="649" w:type="dxa"/>
            <w:vAlign w:val="center"/>
          </w:tcPr>
          <w:p>
            <w:pPr>
              <w:spacing w:line="440" w:lineRule="exact"/>
              <w:ind w:firstLine="400" w:firstLineChars="200"/>
              <w:rPr>
                <w:color w:val="auto"/>
                <w:sz w:val="20"/>
                <w:szCs w:val="20"/>
              </w:rPr>
            </w:pPr>
          </w:p>
        </w:tc>
        <w:tc>
          <w:tcPr>
            <w:tcW w:w="1073" w:type="dxa"/>
            <w:vAlign w:val="center"/>
          </w:tcPr>
          <w:p>
            <w:pPr>
              <w:spacing w:line="440" w:lineRule="exact"/>
              <w:ind w:firstLine="400" w:firstLineChars="200"/>
              <w:rPr>
                <w:color w:val="auto"/>
                <w:sz w:val="20"/>
                <w:szCs w:val="20"/>
              </w:rPr>
            </w:pPr>
          </w:p>
        </w:tc>
        <w:tc>
          <w:tcPr>
            <w:tcW w:w="1602" w:type="dxa"/>
            <w:vAlign w:val="center"/>
          </w:tcPr>
          <w:p>
            <w:pPr>
              <w:ind w:firstLine="400" w:firstLineChars="200"/>
              <w:rPr>
                <w:color w:val="auto"/>
                <w:sz w:val="20"/>
                <w:szCs w:val="20"/>
              </w:rPr>
            </w:pPr>
          </w:p>
        </w:tc>
        <w:tc>
          <w:tcPr>
            <w:tcW w:w="770" w:type="dxa"/>
            <w:vAlign w:val="center"/>
          </w:tcPr>
          <w:p>
            <w:pPr>
              <w:ind w:firstLine="400" w:firstLineChars="200"/>
              <w:rPr>
                <w:color w:val="auto"/>
                <w:sz w:val="20"/>
                <w:szCs w:val="20"/>
              </w:rPr>
            </w:pPr>
          </w:p>
        </w:tc>
        <w:tc>
          <w:tcPr>
            <w:tcW w:w="675" w:type="dxa"/>
            <w:vAlign w:val="center"/>
          </w:tcPr>
          <w:p>
            <w:pPr>
              <w:ind w:firstLine="400" w:firstLineChars="200"/>
              <w:rPr>
                <w:color w:val="auto"/>
                <w:sz w:val="20"/>
                <w:szCs w:val="20"/>
              </w:rPr>
            </w:pPr>
          </w:p>
        </w:tc>
        <w:tc>
          <w:tcPr>
            <w:tcW w:w="968" w:type="dxa"/>
            <w:vAlign w:val="center"/>
          </w:tcPr>
          <w:p>
            <w:pPr>
              <w:ind w:firstLine="400" w:firstLineChars="200"/>
              <w:rPr>
                <w:color w:val="auto"/>
                <w:sz w:val="20"/>
                <w:szCs w:val="20"/>
              </w:rPr>
            </w:pPr>
          </w:p>
        </w:tc>
        <w:tc>
          <w:tcPr>
            <w:tcW w:w="791" w:type="dxa"/>
            <w:vAlign w:val="center"/>
          </w:tcPr>
          <w:p>
            <w:pPr>
              <w:ind w:firstLine="400" w:firstLineChars="200"/>
              <w:rPr>
                <w:color w:val="auto"/>
                <w:sz w:val="20"/>
                <w:szCs w:val="20"/>
              </w:rPr>
            </w:pPr>
          </w:p>
        </w:tc>
        <w:tc>
          <w:tcPr>
            <w:tcW w:w="722" w:type="dxa"/>
            <w:vAlign w:val="center"/>
          </w:tcPr>
          <w:p>
            <w:pPr>
              <w:ind w:firstLine="400" w:firstLineChars="200"/>
              <w:rPr>
                <w:color w:val="auto"/>
                <w:sz w:val="20"/>
                <w:szCs w:val="20"/>
              </w:rPr>
            </w:pPr>
          </w:p>
        </w:tc>
        <w:tc>
          <w:tcPr>
            <w:tcW w:w="1171" w:type="dxa"/>
            <w:vAlign w:val="center"/>
          </w:tcPr>
          <w:p>
            <w:pPr>
              <w:ind w:firstLine="400" w:firstLineChars="200"/>
              <w:rPr>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76" w:type="dxa"/>
            <w:vAlign w:val="center"/>
          </w:tcPr>
          <w:p>
            <w:pPr>
              <w:spacing w:line="440" w:lineRule="exact"/>
              <w:ind w:firstLine="400" w:firstLineChars="200"/>
              <w:rPr>
                <w:color w:val="auto"/>
                <w:sz w:val="20"/>
                <w:szCs w:val="20"/>
              </w:rPr>
            </w:pPr>
          </w:p>
        </w:tc>
        <w:tc>
          <w:tcPr>
            <w:tcW w:w="649" w:type="dxa"/>
            <w:vAlign w:val="center"/>
          </w:tcPr>
          <w:p>
            <w:pPr>
              <w:spacing w:line="440" w:lineRule="exact"/>
              <w:ind w:firstLine="400" w:firstLineChars="200"/>
              <w:rPr>
                <w:color w:val="auto"/>
                <w:sz w:val="20"/>
                <w:szCs w:val="20"/>
              </w:rPr>
            </w:pPr>
          </w:p>
        </w:tc>
        <w:tc>
          <w:tcPr>
            <w:tcW w:w="1073" w:type="dxa"/>
            <w:vAlign w:val="center"/>
          </w:tcPr>
          <w:p>
            <w:pPr>
              <w:spacing w:line="440" w:lineRule="exact"/>
              <w:ind w:firstLine="400" w:firstLineChars="200"/>
              <w:rPr>
                <w:color w:val="auto"/>
                <w:sz w:val="20"/>
                <w:szCs w:val="20"/>
              </w:rPr>
            </w:pPr>
          </w:p>
        </w:tc>
        <w:tc>
          <w:tcPr>
            <w:tcW w:w="1602" w:type="dxa"/>
            <w:vAlign w:val="center"/>
          </w:tcPr>
          <w:p>
            <w:pPr>
              <w:ind w:firstLine="400" w:firstLineChars="200"/>
              <w:rPr>
                <w:color w:val="auto"/>
                <w:sz w:val="20"/>
                <w:szCs w:val="20"/>
              </w:rPr>
            </w:pPr>
          </w:p>
        </w:tc>
        <w:tc>
          <w:tcPr>
            <w:tcW w:w="770" w:type="dxa"/>
            <w:vAlign w:val="center"/>
          </w:tcPr>
          <w:p>
            <w:pPr>
              <w:ind w:firstLine="400" w:firstLineChars="200"/>
              <w:rPr>
                <w:color w:val="auto"/>
                <w:sz w:val="20"/>
                <w:szCs w:val="20"/>
              </w:rPr>
            </w:pPr>
          </w:p>
        </w:tc>
        <w:tc>
          <w:tcPr>
            <w:tcW w:w="675" w:type="dxa"/>
            <w:vAlign w:val="center"/>
          </w:tcPr>
          <w:p>
            <w:pPr>
              <w:ind w:firstLine="400" w:firstLineChars="200"/>
              <w:rPr>
                <w:color w:val="auto"/>
                <w:sz w:val="20"/>
                <w:szCs w:val="20"/>
              </w:rPr>
            </w:pPr>
          </w:p>
        </w:tc>
        <w:tc>
          <w:tcPr>
            <w:tcW w:w="968" w:type="dxa"/>
            <w:vAlign w:val="center"/>
          </w:tcPr>
          <w:p>
            <w:pPr>
              <w:ind w:firstLine="400" w:firstLineChars="200"/>
              <w:rPr>
                <w:color w:val="auto"/>
                <w:sz w:val="20"/>
                <w:szCs w:val="20"/>
              </w:rPr>
            </w:pPr>
          </w:p>
        </w:tc>
        <w:tc>
          <w:tcPr>
            <w:tcW w:w="791" w:type="dxa"/>
            <w:vAlign w:val="center"/>
          </w:tcPr>
          <w:p>
            <w:pPr>
              <w:ind w:firstLine="400" w:firstLineChars="200"/>
              <w:rPr>
                <w:color w:val="auto"/>
                <w:sz w:val="20"/>
                <w:szCs w:val="20"/>
              </w:rPr>
            </w:pPr>
          </w:p>
        </w:tc>
        <w:tc>
          <w:tcPr>
            <w:tcW w:w="722" w:type="dxa"/>
            <w:vAlign w:val="center"/>
          </w:tcPr>
          <w:p>
            <w:pPr>
              <w:ind w:firstLine="400" w:firstLineChars="200"/>
              <w:rPr>
                <w:color w:val="auto"/>
                <w:sz w:val="20"/>
                <w:szCs w:val="20"/>
              </w:rPr>
            </w:pPr>
          </w:p>
        </w:tc>
        <w:tc>
          <w:tcPr>
            <w:tcW w:w="1171" w:type="dxa"/>
            <w:vAlign w:val="center"/>
          </w:tcPr>
          <w:p>
            <w:pPr>
              <w:ind w:firstLine="400" w:firstLineChars="200"/>
              <w:rPr>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76" w:type="dxa"/>
            <w:vAlign w:val="center"/>
          </w:tcPr>
          <w:p>
            <w:pPr>
              <w:spacing w:line="440" w:lineRule="exact"/>
              <w:ind w:firstLine="400" w:firstLineChars="200"/>
              <w:rPr>
                <w:color w:val="auto"/>
                <w:sz w:val="20"/>
                <w:szCs w:val="20"/>
              </w:rPr>
            </w:pPr>
          </w:p>
        </w:tc>
        <w:tc>
          <w:tcPr>
            <w:tcW w:w="649" w:type="dxa"/>
            <w:vAlign w:val="center"/>
          </w:tcPr>
          <w:p>
            <w:pPr>
              <w:spacing w:line="440" w:lineRule="exact"/>
              <w:ind w:firstLine="400" w:firstLineChars="200"/>
              <w:rPr>
                <w:color w:val="auto"/>
                <w:sz w:val="20"/>
                <w:szCs w:val="20"/>
              </w:rPr>
            </w:pPr>
          </w:p>
        </w:tc>
        <w:tc>
          <w:tcPr>
            <w:tcW w:w="1073" w:type="dxa"/>
            <w:vAlign w:val="center"/>
          </w:tcPr>
          <w:p>
            <w:pPr>
              <w:spacing w:line="440" w:lineRule="exact"/>
              <w:ind w:firstLine="400" w:firstLineChars="200"/>
              <w:rPr>
                <w:color w:val="auto"/>
                <w:sz w:val="20"/>
                <w:szCs w:val="20"/>
              </w:rPr>
            </w:pPr>
          </w:p>
        </w:tc>
        <w:tc>
          <w:tcPr>
            <w:tcW w:w="1602" w:type="dxa"/>
            <w:vAlign w:val="center"/>
          </w:tcPr>
          <w:p>
            <w:pPr>
              <w:ind w:firstLine="400" w:firstLineChars="200"/>
              <w:rPr>
                <w:color w:val="auto"/>
                <w:sz w:val="20"/>
                <w:szCs w:val="20"/>
              </w:rPr>
            </w:pPr>
          </w:p>
        </w:tc>
        <w:tc>
          <w:tcPr>
            <w:tcW w:w="770" w:type="dxa"/>
            <w:vAlign w:val="center"/>
          </w:tcPr>
          <w:p>
            <w:pPr>
              <w:ind w:firstLine="400" w:firstLineChars="200"/>
              <w:rPr>
                <w:color w:val="auto"/>
                <w:sz w:val="20"/>
                <w:szCs w:val="20"/>
              </w:rPr>
            </w:pPr>
          </w:p>
        </w:tc>
        <w:tc>
          <w:tcPr>
            <w:tcW w:w="675" w:type="dxa"/>
            <w:vAlign w:val="center"/>
          </w:tcPr>
          <w:p>
            <w:pPr>
              <w:ind w:firstLine="400" w:firstLineChars="200"/>
              <w:rPr>
                <w:color w:val="auto"/>
                <w:sz w:val="20"/>
                <w:szCs w:val="20"/>
              </w:rPr>
            </w:pPr>
          </w:p>
        </w:tc>
        <w:tc>
          <w:tcPr>
            <w:tcW w:w="968" w:type="dxa"/>
            <w:vAlign w:val="center"/>
          </w:tcPr>
          <w:p>
            <w:pPr>
              <w:ind w:firstLine="400" w:firstLineChars="200"/>
              <w:rPr>
                <w:color w:val="auto"/>
                <w:sz w:val="20"/>
                <w:szCs w:val="20"/>
              </w:rPr>
            </w:pPr>
          </w:p>
        </w:tc>
        <w:tc>
          <w:tcPr>
            <w:tcW w:w="791" w:type="dxa"/>
            <w:vAlign w:val="center"/>
          </w:tcPr>
          <w:p>
            <w:pPr>
              <w:ind w:firstLine="400" w:firstLineChars="200"/>
              <w:rPr>
                <w:color w:val="auto"/>
                <w:sz w:val="20"/>
                <w:szCs w:val="20"/>
              </w:rPr>
            </w:pPr>
          </w:p>
        </w:tc>
        <w:tc>
          <w:tcPr>
            <w:tcW w:w="722" w:type="dxa"/>
            <w:vAlign w:val="center"/>
          </w:tcPr>
          <w:p>
            <w:pPr>
              <w:ind w:firstLine="400" w:firstLineChars="200"/>
              <w:rPr>
                <w:color w:val="auto"/>
                <w:sz w:val="20"/>
                <w:szCs w:val="20"/>
              </w:rPr>
            </w:pPr>
          </w:p>
        </w:tc>
        <w:tc>
          <w:tcPr>
            <w:tcW w:w="1171" w:type="dxa"/>
            <w:vAlign w:val="center"/>
          </w:tcPr>
          <w:p>
            <w:pPr>
              <w:ind w:firstLine="400" w:firstLineChars="200"/>
              <w:rPr>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76" w:type="dxa"/>
            <w:vAlign w:val="center"/>
          </w:tcPr>
          <w:p>
            <w:pPr>
              <w:spacing w:line="440" w:lineRule="exact"/>
              <w:ind w:firstLine="400" w:firstLineChars="200"/>
              <w:rPr>
                <w:color w:val="auto"/>
                <w:sz w:val="20"/>
                <w:szCs w:val="20"/>
              </w:rPr>
            </w:pPr>
          </w:p>
        </w:tc>
        <w:tc>
          <w:tcPr>
            <w:tcW w:w="649" w:type="dxa"/>
            <w:vAlign w:val="center"/>
          </w:tcPr>
          <w:p>
            <w:pPr>
              <w:spacing w:line="440" w:lineRule="exact"/>
              <w:ind w:firstLine="400" w:firstLineChars="200"/>
              <w:rPr>
                <w:color w:val="auto"/>
                <w:sz w:val="20"/>
                <w:szCs w:val="20"/>
              </w:rPr>
            </w:pPr>
          </w:p>
        </w:tc>
        <w:tc>
          <w:tcPr>
            <w:tcW w:w="1073" w:type="dxa"/>
            <w:vAlign w:val="center"/>
          </w:tcPr>
          <w:p>
            <w:pPr>
              <w:spacing w:line="440" w:lineRule="exact"/>
              <w:ind w:firstLine="400" w:firstLineChars="200"/>
              <w:rPr>
                <w:color w:val="auto"/>
                <w:sz w:val="20"/>
                <w:szCs w:val="20"/>
              </w:rPr>
            </w:pPr>
          </w:p>
        </w:tc>
        <w:tc>
          <w:tcPr>
            <w:tcW w:w="1602" w:type="dxa"/>
            <w:vAlign w:val="center"/>
          </w:tcPr>
          <w:p>
            <w:pPr>
              <w:ind w:firstLine="400" w:firstLineChars="200"/>
              <w:rPr>
                <w:color w:val="auto"/>
                <w:sz w:val="20"/>
                <w:szCs w:val="20"/>
              </w:rPr>
            </w:pPr>
          </w:p>
        </w:tc>
        <w:tc>
          <w:tcPr>
            <w:tcW w:w="770" w:type="dxa"/>
            <w:vAlign w:val="center"/>
          </w:tcPr>
          <w:p>
            <w:pPr>
              <w:ind w:firstLine="400" w:firstLineChars="200"/>
              <w:rPr>
                <w:color w:val="auto"/>
                <w:sz w:val="20"/>
                <w:szCs w:val="20"/>
              </w:rPr>
            </w:pPr>
          </w:p>
        </w:tc>
        <w:tc>
          <w:tcPr>
            <w:tcW w:w="675" w:type="dxa"/>
            <w:vAlign w:val="center"/>
          </w:tcPr>
          <w:p>
            <w:pPr>
              <w:ind w:firstLine="400" w:firstLineChars="200"/>
              <w:rPr>
                <w:color w:val="auto"/>
                <w:sz w:val="20"/>
                <w:szCs w:val="20"/>
              </w:rPr>
            </w:pPr>
          </w:p>
        </w:tc>
        <w:tc>
          <w:tcPr>
            <w:tcW w:w="968" w:type="dxa"/>
            <w:vAlign w:val="center"/>
          </w:tcPr>
          <w:p>
            <w:pPr>
              <w:ind w:firstLine="400" w:firstLineChars="200"/>
              <w:rPr>
                <w:color w:val="auto"/>
                <w:sz w:val="20"/>
                <w:szCs w:val="20"/>
              </w:rPr>
            </w:pPr>
          </w:p>
        </w:tc>
        <w:tc>
          <w:tcPr>
            <w:tcW w:w="791" w:type="dxa"/>
            <w:vAlign w:val="center"/>
          </w:tcPr>
          <w:p>
            <w:pPr>
              <w:ind w:firstLine="400" w:firstLineChars="200"/>
              <w:rPr>
                <w:color w:val="auto"/>
                <w:sz w:val="20"/>
                <w:szCs w:val="20"/>
              </w:rPr>
            </w:pPr>
          </w:p>
        </w:tc>
        <w:tc>
          <w:tcPr>
            <w:tcW w:w="722" w:type="dxa"/>
            <w:vAlign w:val="center"/>
          </w:tcPr>
          <w:p>
            <w:pPr>
              <w:ind w:firstLine="400" w:firstLineChars="200"/>
              <w:rPr>
                <w:color w:val="auto"/>
                <w:sz w:val="20"/>
                <w:szCs w:val="20"/>
              </w:rPr>
            </w:pPr>
          </w:p>
        </w:tc>
        <w:tc>
          <w:tcPr>
            <w:tcW w:w="1171" w:type="dxa"/>
            <w:vAlign w:val="center"/>
          </w:tcPr>
          <w:p>
            <w:pPr>
              <w:ind w:firstLine="400" w:firstLineChars="200"/>
              <w:rPr>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76" w:type="dxa"/>
            <w:vAlign w:val="center"/>
          </w:tcPr>
          <w:p>
            <w:pPr>
              <w:spacing w:line="440" w:lineRule="exact"/>
              <w:ind w:firstLine="400" w:firstLineChars="200"/>
              <w:rPr>
                <w:color w:val="auto"/>
                <w:sz w:val="20"/>
                <w:szCs w:val="20"/>
              </w:rPr>
            </w:pPr>
          </w:p>
        </w:tc>
        <w:tc>
          <w:tcPr>
            <w:tcW w:w="649" w:type="dxa"/>
            <w:vAlign w:val="center"/>
          </w:tcPr>
          <w:p>
            <w:pPr>
              <w:spacing w:line="440" w:lineRule="exact"/>
              <w:ind w:firstLine="400" w:firstLineChars="200"/>
              <w:rPr>
                <w:color w:val="auto"/>
                <w:sz w:val="20"/>
                <w:szCs w:val="20"/>
              </w:rPr>
            </w:pPr>
          </w:p>
        </w:tc>
        <w:tc>
          <w:tcPr>
            <w:tcW w:w="1073" w:type="dxa"/>
            <w:vAlign w:val="center"/>
          </w:tcPr>
          <w:p>
            <w:pPr>
              <w:spacing w:line="440" w:lineRule="exact"/>
              <w:ind w:firstLine="400" w:firstLineChars="200"/>
              <w:rPr>
                <w:color w:val="auto"/>
                <w:sz w:val="20"/>
                <w:szCs w:val="20"/>
              </w:rPr>
            </w:pPr>
          </w:p>
        </w:tc>
        <w:tc>
          <w:tcPr>
            <w:tcW w:w="1602" w:type="dxa"/>
            <w:vAlign w:val="center"/>
          </w:tcPr>
          <w:p>
            <w:pPr>
              <w:ind w:firstLine="400" w:firstLineChars="200"/>
              <w:rPr>
                <w:color w:val="auto"/>
                <w:sz w:val="20"/>
                <w:szCs w:val="20"/>
              </w:rPr>
            </w:pPr>
          </w:p>
        </w:tc>
        <w:tc>
          <w:tcPr>
            <w:tcW w:w="770" w:type="dxa"/>
            <w:vAlign w:val="center"/>
          </w:tcPr>
          <w:p>
            <w:pPr>
              <w:ind w:firstLine="400" w:firstLineChars="200"/>
              <w:rPr>
                <w:color w:val="auto"/>
                <w:sz w:val="20"/>
                <w:szCs w:val="20"/>
              </w:rPr>
            </w:pPr>
          </w:p>
        </w:tc>
        <w:tc>
          <w:tcPr>
            <w:tcW w:w="675" w:type="dxa"/>
            <w:vAlign w:val="center"/>
          </w:tcPr>
          <w:p>
            <w:pPr>
              <w:ind w:firstLine="400" w:firstLineChars="200"/>
              <w:rPr>
                <w:color w:val="auto"/>
                <w:sz w:val="20"/>
                <w:szCs w:val="20"/>
              </w:rPr>
            </w:pPr>
          </w:p>
        </w:tc>
        <w:tc>
          <w:tcPr>
            <w:tcW w:w="968" w:type="dxa"/>
            <w:vAlign w:val="center"/>
          </w:tcPr>
          <w:p>
            <w:pPr>
              <w:ind w:firstLine="400" w:firstLineChars="200"/>
              <w:rPr>
                <w:color w:val="auto"/>
                <w:sz w:val="20"/>
                <w:szCs w:val="20"/>
              </w:rPr>
            </w:pPr>
          </w:p>
        </w:tc>
        <w:tc>
          <w:tcPr>
            <w:tcW w:w="791" w:type="dxa"/>
            <w:vAlign w:val="center"/>
          </w:tcPr>
          <w:p>
            <w:pPr>
              <w:ind w:firstLine="400" w:firstLineChars="200"/>
              <w:rPr>
                <w:color w:val="auto"/>
                <w:sz w:val="20"/>
                <w:szCs w:val="20"/>
              </w:rPr>
            </w:pPr>
          </w:p>
        </w:tc>
        <w:tc>
          <w:tcPr>
            <w:tcW w:w="722" w:type="dxa"/>
            <w:vAlign w:val="center"/>
          </w:tcPr>
          <w:p>
            <w:pPr>
              <w:ind w:firstLine="400" w:firstLineChars="200"/>
              <w:rPr>
                <w:color w:val="auto"/>
                <w:sz w:val="20"/>
                <w:szCs w:val="20"/>
              </w:rPr>
            </w:pPr>
          </w:p>
        </w:tc>
        <w:tc>
          <w:tcPr>
            <w:tcW w:w="1171" w:type="dxa"/>
            <w:vAlign w:val="center"/>
          </w:tcPr>
          <w:p>
            <w:pPr>
              <w:ind w:firstLine="400" w:firstLineChars="200"/>
              <w:rPr>
                <w:color w:val="auto"/>
                <w:sz w:val="20"/>
                <w:szCs w:val="20"/>
              </w:rPr>
            </w:pPr>
          </w:p>
        </w:tc>
      </w:tr>
    </w:tbl>
    <w:p>
      <w:pPr>
        <w:pStyle w:val="12"/>
        <w:spacing w:after="0"/>
        <w:ind w:firstLine="181" w:firstLineChars="200"/>
        <w:rPr>
          <w:b/>
          <w:color w:val="auto"/>
          <w:sz w:val="9"/>
        </w:rPr>
      </w:pPr>
    </w:p>
    <w:p>
      <w:pPr>
        <w:rPr>
          <w:color w:val="auto"/>
        </w:rPr>
      </w:pPr>
      <w:r>
        <w:rPr>
          <w:rFonts w:hint="eastAsia" w:ascii="宋体" w:hAnsi="宋体" w:cs="宋体"/>
          <w:color w:val="auto"/>
          <w:sz w:val="24"/>
        </w:rPr>
        <w:t>注：表中所列人员配备为最低限度要求，委托人可根据实际施工进度、施工作业面及专业需要，要求中标单位配备足够专业监理人员，所有监理人员均须身体健康。</w:t>
      </w:r>
    </w:p>
    <w:p>
      <w:pPr>
        <w:pStyle w:val="16"/>
        <w:ind w:firstLine="360" w:firstLineChars="200"/>
        <w:jc w:val="both"/>
        <w:rPr>
          <w:color w:val="auto"/>
        </w:rPr>
      </w:pPr>
    </w:p>
    <w:p>
      <w:pPr>
        <w:ind w:firstLine="643" w:firstLineChars="200"/>
        <w:rPr>
          <w:b/>
          <w:bCs/>
          <w:color w:val="auto"/>
          <w:sz w:val="32"/>
          <w:szCs w:val="32"/>
        </w:rPr>
      </w:pPr>
      <w:bookmarkStart w:id="556" w:name="_Toc3935"/>
      <w:bookmarkStart w:id="557" w:name="_Toc477938369"/>
      <w:bookmarkStart w:id="558" w:name="_Toc17589"/>
      <w:r>
        <w:rPr>
          <w:rFonts w:hint="eastAsia"/>
          <w:b/>
          <w:bCs/>
          <w:color w:val="auto"/>
          <w:sz w:val="32"/>
          <w:szCs w:val="32"/>
        </w:rPr>
        <w:br w:type="page"/>
      </w:r>
    </w:p>
    <w:p>
      <w:pPr>
        <w:spacing w:line="360" w:lineRule="auto"/>
        <w:ind w:firstLine="643" w:firstLineChars="200"/>
        <w:outlineLvl w:val="2"/>
        <w:rPr>
          <w:b/>
          <w:bCs/>
          <w:color w:val="auto"/>
          <w:sz w:val="32"/>
          <w:szCs w:val="32"/>
        </w:rPr>
      </w:pPr>
      <w:r>
        <w:rPr>
          <w:rFonts w:hint="eastAsia"/>
          <w:b/>
          <w:bCs/>
          <w:color w:val="auto"/>
          <w:sz w:val="32"/>
          <w:szCs w:val="32"/>
        </w:rPr>
        <w:t>附件二：</w:t>
      </w:r>
      <w:bookmarkEnd w:id="556"/>
      <w:r>
        <w:rPr>
          <w:rFonts w:hint="eastAsia"/>
          <w:b/>
          <w:bCs/>
          <w:color w:val="auto"/>
          <w:sz w:val="32"/>
          <w:szCs w:val="32"/>
        </w:rPr>
        <w:t>建设工程廉政责任书（格式）</w:t>
      </w:r>
      <w:bookmarkEnd w:id="557"/>
      <w:bookmarkEnd w:id="558"/>
    </w:p>
    <w:p>
      <w:pPr>
        <w:ind w:firstLine="422" w:firstLineChars="200"/>
        <w:rPr>
          <w:b/>
          <w:color w:val="auto"/>
        </w:rPr>
      </w:pPr>
    </w:p>
    <w:p>
      <w:pPr>
        <w:spacing w:line="400" w:lineRule="exact"/>
        <w:ind w:firstLine="540" w:firstLineChars="200"/>
        <w:jc w:val="center"/>
        <w:rPr>
          <w:rFonts w:ascii="黑体" w:eastAsia="黑体"/>
          <w:color w:val="auto"/>
          <w:sz w:val="27"/>
          <w:szCs w:val="27"/>
        </w:rPr>
      </w:pPr>
      <w:r>
        <w:rPr>
          <w:rFonts w:hint="eastAsia" w:ascii="黑体" w:eastAsia="黑体"/>
          <w:color w:val="auto"/>
          <w:sz w:val="27"/>
          <w:szCs w:val="27"/>
        </w:rPr>
        <w:t>建设工程廉政责任书</w:t>
      </w:r>
    </w:p>
    <w:p>
      <w:pPr>
        <w:spacing w:line="400" w:lineRule="exact"/>
        <w:ind w:firstLine="480" w:firstLineChars="200"/>
        <w:rPr>
          <w:color w:val="auto"/>
          <w:sz w:val="24"/>
          <w:szCs w:val="24"/>
        </w:rPr>
      </w:pPr>
      <w:r>
        <w:rPr>
          <w:rFonts w:hint="eastAsia"/>
          <w:color w:val="auto"/>
          <w:sz w:val="24"/>
          <w:szCs w:val="24"/>
        </w:rPr>
        <w:t>工程项目名称：</w:t>
      </w:r>
    </w:p>
    <w:p>
      <w:pPr>
        <w:spacing w:line="400" w:lineRule="exact"/>
        <w:ind w:firstLine="480" w:firstLineChars="200"/>
        <w:rPr>
          <w:color w:val="auto"/>
          <w:sz w:val="24"/>
          <w:szCs w:val="24"/>
        </w:rPr>
      </w:pPr>
      <w:r>
        <w:rPr>
          <w:rFonts w:hint="eastAsia"/>
          <w:color w:val="auto"/>
          <w:sz w:val="24"/>
          <w:szCs w:val="24"/>
        </w:rPr>
        <w:t>工程项目地址：</w:t>
      </w:r>
    </w:p>
    <w:p>
      <w:pPr>
        <w:spacing w:line="400" w:lineRule="exact"/>
        <w:ind w:firstLine="480" w:firstLineChars="200"/>
        <w:rPr>
          <w:color w:val="auto"/>
          <w:sz w:val="24"/>
          <w:szCs w:val="24"/>
        </w:rPr>
      </w:pPr>
      <w:r>
        <w:rPr>
          <w:rFonts w:hint="eastAsia"/>
          <w:color w:val="auto"/>
          <w:sz w:val="24"/>
          <w:szCs w:val="24"/>
        </w:rPr>
        <w:t xml:space="preserve">发包人：                                               </w:t>
      </w:r>
    </w:p>
    <w:p>
      <w:pPr>
        <w:spacing w:line="400" w:lineRule="exact"/>
        <w:ind w:firstLine="480" w:firstLineChars="200"/>
        <w:rPr>
          <w:color w:val="auto"/>
          <w:sz w:val="24"/>
          <w:szCs w:val="24"/>
        </w:rPr>
      </w:pPr>
      <w:r>
        <w:rPr>
          <w:rFonts w:hint="eastAsia"/>
          <w:color w:val="auto"/>
          <w:sz w:val="24"/>
          <w:szCs w:val="24"/>
        </w:rPr>
        <w:t xml:space="preserve">承包人：                                               </w:t>
      </w:r>
    </w:p>
    <w:p>
      <w:pPr>
        <w:spacing w:line="400" w:lineRule="exact"/>
        <w:ind w:firstLine="480" w:firstLineChars="200"/>
        <w:rPr>
          <w:color w:val="auto"/>
          <w:sz w:val="24"/>
          <w:szCs w:val="24"/>
        </w:rPr>
      </w:pPr>
      <w:r>
        <w:rPr>
          <w:rFonts w:hint="eastAsia"/>
          <w:color w:val="auto"/>
          <w:sz w:val="24"/>
          <w:szCs w:val="24"/>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400" w:lineRule="exact"/>
        <w:ind w:firstLine="480" w:firstLineChars="200"/>
        <w:rPr>
          <w:color w:val="auto"/>
          <w:sz w:val="24"/>
          <w:szCs w:val="24"/>
        </w:rPr>
      </w:pPr>
      <w:r>
        <w:rPr>
          <w:rFonts w:hint="eastAsia"/>
          <w:color w:val="auto"/>
          <w:sz w:val="24"/>
          <w:szCs w:val="24"/>
        </w:rPr>
        <w:t>一、双方的责任</w:t>
      </w:r>
    </w:p>
    <w:p>
      <w:pPr>
        <w:spacing w:line="400" w:lineRule="exact"/>
        <w:ind w:firstLine="480" w:firstLineChars="200"/>
        <w:rPr>
          <w:color w:val="auto"/>
          <w:sz w:val="24"/>
          <w:szCs w:val="24"/>
        </w:rPr>
      </w:pPr>
      <w:r>
        <w:rPr>
          <w:rFonts w:hint="eastAsia"/>
          <w:color w:val="auto"/>
          <w:sz w:val="24"/>
          <w:szCs w:val="24"/>
        </w:rPr>
        <w:t>1.1应严格遵守国家关于建设工程的有关法律、法规，相关政策，以及廉政建设的各项规定。</w:t>
      </w:r>
    </w:p>
    <w:p>
      <w:pPr>
        <w:spacing w:line="400" w:lineRule="exact"/>
        <w:ind w:firstLine="480" w:firstLineChars="200"/>
        <w:rPr>
          <w:color w:val="auto"/>
          <w:sz w:val="24"/>
          <w:szCs w:val="24"/>
        </w:rPr>
      </w:pPr>
      <w:r>
        <w:rPr>
          <w:rFonts w:hint="eastAsia"/>
          <w:color w:val="auto"/>
          <w:sz w:val="24"/>
          <w:szCs w:val="24"/>
        </w:rPr>
        <w:t>1.2严格执行建设工程合同文件，自觉按合同办事。</w:t>
      </w:r>
    </w:p>
    <w:p>
      <w:pPr>
        <w:spacing w:line="400" w:lineRule="exact"/>
        <w:ind w:firstLine="480" w:firstLineChars="200"/>
        <w:rPr>
          <w:color w:val="auto"/>
          <w:sz w:val="24"/>
          <w:szCs w:val="24"/>
        </w:rPr>
      </w:pPr>
      <w:r>
        <w:rPr>
          <w:rFonts w:hint="eastAsia"/>
          <w:color w:val="auto"/>
          <w:sz w:val="24"/>
          <w:szCs w:val="24"/>
        </w:rPr>
        <w:t>1.3各项活动必须坚持公开、公平、公正、诚信、透明的原则（除法律法规另有规定者外），不得为获取不正当的利益，损害国家、集体和对方利益，不得违反建设工程管理的规章制度。</w:t>
      </w:r>
    </w:p>
    <w:p>
      <w:pPr>
        <w:spacing w:line="400" w:lineRule="exact"/>
        <w:ind w:firstLine="480" w:firstLineChars="200"/>
        <w:rPr>
          <w:color w:val="auto"/>
          <w:sz w:val="24"/>
          <w:szCs w:val="24"/>
        </w:rPr>
      </w:pPr>
      <w:r>
        <w:rPr>
          <w:rFonts w:hint="eastAsia"/>
          <w:color w:val="auto"/>
          <w:sz w:val="24"/>
          <w:szCs w:val="24"/>
        </w:rPr>
        <w:t>1.4发现对方在业务活动中有违规、违纪、违法行为的，应及时提醒对方，情节严重的，应向其上级主管部门或纪检监察、司法等有关机关举报。</w:t>
      </w:r>
    </w:p>
    <w:p>
      <w:pPr>
        <w:spacing w:line="400" w:lineRule="exact"/>
        <w:ind w:firstLine="480" w:firstLineChars="200"/>
        <w:rPr>
          <w:color w:val="auto"/>
          <w:sz w:val="24"/>
          <w:szCs w:val="24"/>
        </w:rPr>
      </w:pPr>
      <w:r>
        <w:rPr>
          <w:rFonts w:hint="eastAsia"/>
          <w:color w:val="auto"/>
          <w:sz w:val="24"/>
          <w:szCs w:val="24"/>
        </w:rPr>
        <w:t>二、发包人责任</w:t>
      </w:r>
    </w:p>
    <w:p>
      <w:pPr>
        <w:spacing w:line="400" w:lineRule="exact"/>
        <w:ind w:firstLine="480" w:firstLineChars="200"/>
        <w:rPr>
          <w:color w:val="auto"/>
          <w:sz w:val="24"/>
          <w:szCs w:val="24"/>
        </w:rPr>
      </w:pPr>
      <w:r>
        <w:rPr>
          <w:rFonts w:hint="eastAsia"/>
          <w:color w:val="auto"/>
          <w:sz w:val="24"/>
          <w:szCs w:val="24"/>
        </w:rPr>
        <w:t>发包人的领导和从事该建设工程项目的工作人员，在工程建设的事前、事中、事后应遵守以下规定：</w:t>
      </w:r>
    </w:p>
    <w:p>
      <w:pPr>
        <w:spacing w:line="400" w:lineRule="exact"/>
        <w:ind w:firstLine="480" w:firstLineChars="200"/>
        <w:rPr>
          <w:color w:val="auto"/>
          <w:sz w:val="24"/>
          <w:szCs w:val="24"/>
        </w:rPr>
      </w:pPr>
      <w:r>
        <w:rPr>
          <w:rFonts w:hint="eastAsia"/>
          <w:color w:val="auto"/>
          <w:sz w:val="24"/>
          <w:szCs w:val="24"/>
        </w:rPr>
        <w:t>2.1不得向承包人和相关单位索要或接受回扣、礼金、有价证券、贵重物品和好处费、感谢费等。</w:t>
      </w:r>
    </w:p>
    <w:p>
      <w:pPr>
        <w:spacing w:line="400" w:lineRule="exact"/>
        <w:ind w:firstLine="480" w:firstLineChars="200"/>
        <w:rPr>
          <w:color w:val="auto"/>
          <w:sz w:val="24"/>
          <w:szCs w:val="24"/>
        </w:rPr>
      </w:pPr>
      <w:r>
        <w:rPr>
          <w:rFonts w:hint="eastAsia"/>
          <w:color w:val="auto"/>
          <w:sz w:val="24"/>
          <w:szCs w:val="24"/>
        </w:rPr>
        <w:t>2.2不得在承包人和相关单位报销任何应由发包人或个人支付的费用。</w:t>
      </w:r>
    </w:p>
    <w:p>
      <w:pPr>
        <w:spacing w:line="400" w:lineRule="exact"/>
        <w:ind w:firstLine="480" w:firstLineChars="200"/>
        <w:rPr>
          <w:color w:val="auto"/>
          <w:sz w:val="24"/>
          <w:szCs w:val="24"/>
        </w:rPr>
      </w:pPr>
      <w:r>
        <w:rPr>
          <w:rFonts w:hint="eastAsia"/>
          <w:color w:val="auto"/>
          <w:sz w:val="24"/>
          <w:szCs w:val="24"/>
        </w:rPr>
        <w:t>2.3不得要求、暗示或接受承包人和相关单位为个人装修住房、婚丧嫁娶、配偶子女的工作安排以及出国（境）、旅游等提供方便。</w:t>
      </w:r>
    </w:p>
    <w:p>
      <w:pPr>
        <w:spacing w:line="400" w:lineRule="exact"/>
        <w:ind w:firstLine="480" w:firstLineChars="200"/>
        <w:rPr>
          <w:color w:val="auto"/>
          <w:sz w:val="24"/>
          <w:szCs w:val="24"/>
        </w:rPr>
      </w:pPr>
      <w:r>
        <w:rPr>
          <w:rFonts w:hint="eastAsia"/>
          <w:color w:val="auto"/>
          <w:sz w:val="24"/>
          <w:szCs w:val="24"/>
        </w:rPr>
        <w:t>2.4不得参加有可能影响公正执行公务的承包人和相关单位的宴请、健身、娱乐等活动。</w:t>
      </w:r>
    </w:p>
    <w:p>
      <w:pPr>
        <w:spacing w:line="400" w:lineRule="exact"/>
        <w:ind w:firstLine="480" w:firstLineChars="200"/>
        <w:rPr>
          <w:color w:val="auto"/>
          <w:sz w:val="24"/>
          <w:szCs w:val="24"/>
        </w:rPr>
      </w:pPr>
      <w:r>
        <w:rPr>
          <w:rFonts w:hint="eastAsia"/>
          <w:color w:val="auto"/>
          <w:sz w:val="24"/>
          <w:szCs w:val="24"/>
        </w:rPr>
        <w:t>2.5不得向承包人和相关单位介绍或为配偶、子女、亲属参与同发包人工程建设管理合同有关的业务活动；不得以任何理由要求承包人和相关单位使用某种产品、材料和设备。</w:t>
      </w:r>
    </w:p>
    <w:p>
      <w:pPr>
        <w:spacing w:line="400" w:lineRule="exact"/>
        <w:ind w:firstLine="480" w:firstLineChars="200"/>
        <w:rPr>
          <w:color w:val="auto"/>
          <w:sz w:val="24"/>
          <w:szCs w:val="24"/>
        </w:rPr>
      </w:pPr>
      <w:r>
        <w:rPr>
          <w:rFonts w:hint="eastAsia"/>
          <w:color w:val="auto"/>
          <w:sz w:val="24"/>
          <w:szCs w:val="24"/>
        </w:rPr>
        <w:t>三、承包人责任</w:t>
      </w:r>
    </w:p>
    <w:p>
      <w:pPr>
        <w:spacing w:line="400" w:lineRule="exact"/>
        <w:ind w:firstLine="480" w:firstLineChars="200"/>
        <w:rPr>
          <w:color w:val="auto"/>
          <w:sz w:val="24"/>
          <w:szCs w:val="24"/>
        </w:rPr>
      </w:pPr>
      <w:r>
        <w:rPr>
          <w:rFonts w:hint="eastAsia"/>
          <w:color w:val="auto"/>
          <w:sz w:val="24"/>
          <w:szCs w:val="24"/>
        </w:rPr>
        <w:t>应与发包人保持正常的业务交往，按照有关法律法规和程序开展业务工作，严格执行工程建设的有关方针、政策，执行工程建设强制性标准，并遵守以下规定：</w:t>
      </w:r>
    </w:p>
    <w:p>
      <w:pPr>
        <w:spacing w:line="400" w:lineRule="exact"/>
        <w:ind w:firstLine="480" w:firstLineChars="200"/>
        <w:rPr>
          <w:color w:val="auto"/>
          <w:sz w:val="24"/>
          <w:szCs w:val="24"/>
        </w:rPr>
      </w:pPr>
      <w:r>
        <w:rPr>
          <w:rFonts w:hint="eastAsia"/>
          <w:color w:val="auto"/>
          <w:sz w:val="24"/>
          <w:szCs w:val="24"/>
        </w:rPr>
        <w:t>3.1不得以任何理由向发包人及其工作人员索要、接受或赠送礼金、有价证券、贵重物品及回扣、好处费、感谢费等。</w:t>
      </w:r>
    </w:p>
    <w:p>
      <w:pPr>
        <w:spacing w:line="400" w:lineRule="exact"/>
        <w:ind w:firstLine="480" w:firstLineChars="200"/>
        <w:rPr>
          <w:color w:val="auto"/>
          <w:sz w:val="24"/>
          <w:szCs w:val="24"/>
        </w:rPr>
      </w:pPr>
      <w:r>
        <w:rPr>
          <w:rFonts w:hint="eastAsia"/>
          <w:color w:val="auto"/>
          <w:sz w:val="24"/>
          <w:szCs w:val="24"/>
        </w:rPr>
        <w:t>3.2不得以任何理由为发包人和相关单位报销应由对方或个人支付的费用。</w:t>
      </w:r>
    </w:p>
    <w:p>
      <w:pPr>
        <w:spacing w:line="400" w:lineRule="exact"/>
        <w:ind w:firstLine="480" w:firstLineChars="200"/>
        <w:rPr>
          <w:color w:val="auto"/>
          <w:sz w:val="24"/>
          <w:szCs w:val="24"/>
        </w:rPr>
      </w:pPr>
      <w:r>
        <w:rPr>
          <w:rFonts w:hint="eastAsia"/>
          <w:color w:val="auto"/>
          <w:sz w:val="24"/>
          <w:szCs w:val="24"/>
        </w:rPr>
        <w:t>3.3不得接受或暗示为发包人、相关单位或个人装修住房、婚丧嫁娶、配偶子女的工作安排以及出国（境）、旅游等提供方便。</w:t>
      </w:r>
    </w:p>
    <w:p>
      <w:pPr>
        <w:spacing w:line="400" w:lineRule="exact"/>
        <w:ind w:firstLine="480" w:firstLineChars="200"/>
        <w:rPr>
          <w:color w:val="auto"/>
          <w:sz w:val="24"/>
          <w:szCs w:val="24"/>
        </w:rPr>
      </w:pPr>
      <w:r>
        <w:rPr>
          <w:rFonts w:hint="eastAsia"/>
          <w:color w:val="auto"/>
          <w:sz w:val="24"/>
          <w:szCs w:val="24"/>
        </w:rPr>
        <w:t>3.4不得以任何理由为发包人、相关单位或个人组织有可能影响公正执行公务的宴请、健身、娱乐等活动。</w:t>
      </w:r>
    </w:p>
    <w:p>
      <w:pPr>
        <w:spacing w:line="400" w:lineRule="exact"/>
        <w:ind w:firstLine="480" w:firstLineChars="200"/>
        <w:rPr>
          <w:color w:val="auto"/>
          <w:sz w:val="24"/>
          <w:szCs w:val="24"/>
        </w:rPr>
      </w:pPr>
      <w:r>
        <w:rPr>
          <w:rFonts w:hint="eastAsia"/>
          <w:color w:val="auto"/>
          <w:sz w:val="24"/>
          <w:szCs w:val="24"/>
        </w:rPr>
        <w:t>四、违约责任</w:t>
      </w:r>
    </w:p>
    <w:p>
      <w:pPr>
        <w:spacing w:line="400" w:lineRule="exact"/>
        <w:ind w:firstLine="480" w:firstLineChars="200"/>
        <w:rPr>
          <w:color w:val="auto"/>
          <w:sz w:val="24"/>
          <w:szCs w:val="24"/>
        </w:rPr>
      </w:pPr>
      <w:r>
        <w:rPr>
          <w:rFonts w:hint="eastAsia"/>
          <w:color w:val="auto"/>
          <w:sz w:val="24"/>
          <w:szCs w:val="24"/>
        </w:rPr>
        <w:t>4.1发包人工作人员有违反本责任书第一、二条责任行为的，依据有关法律、法规给予处理；涉嫌犯罪的，移交司法机关追究刑事责任；给承包人单位造成经济损失的，应予以赔偿。</w:t>
      </w:r>
    </w:p>
    <w:p>
      <w:pPr>
        <w:spacing w:line="400" w:lineRule="exact"/>
        <w:ind w:firstLine="480" w:firstLineChars="200"/>
        <w:rPr>
          <w:color w:val="auto"/>
          <w:sz w:val="24"/>
          <w:szCs w:val="24"/>
        </w:rPr>
      </w:pPr>
      <w:r>
        <w:rPr>
          <w:rFonts w:hint="eastAsia"/>
          <w:color w:val="auto"/>
          <w:sz w:val="24"/>
          <w:szCs w:val="24"/>
        </w:rPr>
        <w:t>4.2承包人工作人员有违反本责任书第一、三条责任行为的，依据有关法律法规处理；涉嫌犯罪的，移交司法机关追究刑事责任；给发包人单位造成经济损失的，应予以赔偿。</w:t>
      </w:r>
    </w:p>
    <w:p>
      <w:pPr>
        <w:spacing w:line="400" w:lineRule="exact"/>
        <w:ind w:firstLine="480" w:firstLineChars="200"/>
        <w:rPr>
          <w:color w:val="auto"/>
          <w:sz w:val="24"/>
          <w:szCs w:val="24"/>
        </w:rPr>
      </w:pPr>
      <w:r>
        <w:rPr>
          <w:rFonts w:hint="eastAsia"/>
          <w:color w:val="auto"/>
          <w:sz w:val="24"/>
          <w:szCs w:val="24"/>
        </w:rPr>
        <w:t>4.3本责任书作为建设工程合同的组成部分，与建设工程合同具有同等法律效力。经双方签署后立即生效。</w:t>
      </w:r>
    </w:p>
    <w:p>
      <w:pPr>
        <w:spacing w:line="400" w:lineRule="exact"/>
        <w:ind w:firstLine="480" w:firstLineChars="200"/>
        <w:rPr>
          <w:color w:val="auto"/>
          <w:sz w:val="24"/>
          <w:szCs w:val="24"/>
        </w:rPr>
      </w:pPr>
      <w:r>
        <w:rPr>
          <w:rFonts w:hint="eastAsia"/>
          <w:color w:val="auto"/>
          <w:sz w:val="24"/>
          <w:szCs w:val="24"/>
        </w:rPr>
        <w:t>五、责任书有效期</w:t>
      </w:r>
    </w:p>
    <w:p>
      <w:pPr>
        <w:spacing w:line="400" w:lineRule="exact"/>
        <w:ind w:firstLine="480" w:firstLineChars="200"/>
        <w:rPr>
          <w:color w:val="auto"/>
          <w:sz w:val="24"/>
          <w:szCs w:val="24"/>
        </w:rPr>
      </w:pPr>
      <w:r>
        <w:rPr>
          <w:rFonts w:hint="eastAsia"/>
          <w:color w:val="auto"/>
          <w:sz w:val="24"/>
          <w:szCs w:val="24"/>
        </w:rPr>
        <w:t>本责任书的有效期为双方签署之日起至该工程项目竣工验收合格时止。</w:t>
      </w:r>
    </w:p>
    <w:p>
      <w:pPr>
        <w:spacing w:line="400" w:lineRule="exact"/>
        <w:ind w:firstLine="480" w:firstLineChars="200"/>
        <w:rPr>
          <w:color w:val="auto"/>
          <w:sz w:val="24"/>
          <w:szCs w:val="24"/>
        </w:rPr>
      </w:pPr>
      <w:r>
        <w:rPr>
          <w:rFonts w:hint="eastAsia"/>
          <w:color w:val="auto"/>
          <w:sz w:val="24"/>
          <w:szCs w:val="24"/>
        </w:rPr>
        <w:t>六、责任书份数</w:t>
      </w:r>
    </w:p>
    <w:p>
      <w:pPr>
        <w:spacing w:line="400" w:lineRule="exact"/>
        <w:ind w:firstLine="480" w:firstLineChars="200"/>
        <w:rPr>
          <w:color w:val="auto"/>
          <w:sz w:val="24"/>
          <w:szCs w:val="24"/>
        </w:rPr>
      </w:pPr>
      <w:r>
        <w:rPr>
          <w:rFonts w:hint="eastAsia"/>
          <w:color w:val="auto"/>
          <w:sz w:val="24"/>
          <w:szCs w:val="24"/>
        </w:rPr>
        <w:t>本责任书一式</w:t>
      </w:r>
      <w:r>
        <w:rPr>
          <w:rFonts w:hint="eastAsia"/>
          <w:color w:val="auto"/>
          <w:sz w:val="24"/>
          <w:szCs w:val="24"/>
          <w:u w:val="single"/>
        </w:rPr>
        <w:t xml:space="preserve">   </w:t>
      </w:r>
      <w:r>
        <w:rPr>
          <w:rFonts w:hint="eastAsia"/>
          <w:color w:val="auto"/>
          <w:sz w:val="24"/>
          <w:szCs w:val="24"/>
        </w:rPr>
        <w:t>份，发包人承包人各执</w:t>
      </w:r>
      <w:r>
        <w:rPr>
          <w:rFonts w:hint="eastAsia"/>
          <w:color w:val="auto"/>
          <w:sz w:val="24"/>
          <w:szCs w:val="24"/>
          <w:u w:val="single"/>
        </w:rPr>
        <w:t xml:space="preserve">   </w:t>
      </w:r>
      <w:r>
        <w:rPr>
          <w:rFonts w:hint="eastAsia"/>
          <w:color w:val="auto"/>
          <w:sz w:val="24"/>
          <w:szCs w:val="24"/>
        </w:rPr>
        <w:t>份，具有同等效力。</w:t>
      </w:r>
    </w:p>
    <w:p>
      <w:pPr>
        <w:spacing w:line="400" w:lineRule="exact"/>
        <w:ind w:firstLine="420" w:firstLineChars="200"/>
        <w:rPr>
          <w:color w:val="auto"/>
        </w:rPr>
      </w:pPr>
    </w:p>
    <w:p>
      <w:pPr>
        <w:spacing w:line="500" w:lineRule="exact"/>
        <w:ind w:firstLine="480" w:firstLineChars="200"/>
        <w:rPr>
          <w:color w:val="auto"/>
          <w:sz w:val="24"/>
          <w:szCs w:val="24"/>
        </w:rPr>
      </w:pPr>
      <w:r>
        <w:rPr>
          <w:rFonts w:hint="eastAsia"/>
          <w:color w:val="auto"/>
          <w:sz w:val="24"/>
          <w:szCs w:val="24"/>
        </w:rPr>
        <w:t xml:space="preserve">发包人（公章）：                       承包人（公章）：                 </w:t>
      </w:r>
    </w:p>
    <w:p>
      <w:pPr>
        <w:spacing w:line="500" w:lineRule="exact"/>
        <w:ind w:firstLine="480" w:firstLineChars="200"/>
        <w:rPr>
          <w:color w:val="auto"/>
          <w:sz w:val="24"/>
          <w:szCs w:val="24"/>
        </w:rPr>
      </w:pPr>
      <w:r>
        <w:rPr>
          <w:rFonts w:hint="eastAsia"/>
          <w:color w:val="auto"/>
          <w:sz w:val="24"/>
          <w:szCs w:val="24"/>
        </w:rPr>
        <w:t>法定代表人或其                        法定代表人或其</w:t>
      </w:r>
    </w:p>
    <w:p>
      <w:pPr>
        <w:spacing w:line="500" w:lineRule="exact"/>
        <w:ind w:firstLine="480" w:firstLineChars="200"/>
        <w:rPr>
          <w:color w:val="auto"/>
          <w:sz w:val="24"/>
          <w:szCs w:val="24"/>
        </w:rPr>
      </w:pPr>
      <w:r>
        <w:rPr>
          <w:rFonts w:hint="eastAsia"/>
          <w:color w:val="auto"/>
          <w:sz w:val="24"/>
          <w:szCs w:val="24"/>
        </w:rPr>
        <w:t xml:space="preserve">委托代理人 （签字）：                  委托代理人（签字）：             </w:t>
      </w:r>
    </w:p>
    <w:p>
      <w:pPr>
        <w:spacing w:line="500" w:lineRule="exact"/>
        <w:ind w:firstLine="480" w:firstLineChars="200"/>
        <w:jc w:val="left"/>
        <w:rPr>
          <w:color w:val="auto"/>
          <w:sz w:val="24"/>
          <w:szCs w:val="24"/>
        </w:rPr>
      </w:pPr>
      <w:r>
        <w:rPr>
          <w:rFonts w:hint="eastAsia"/>
          <w:color w:val="auto"/>
          <w:sz w:val="24"/>
          <w:szCs w:val="24"/>
        </w:rPr>
        <w:t xml:space="preserve">    年   月   日</w:t>
      </w:r>
    </w:p>
    <w:p>
      <w:pPr>
        <w:pStyle w:val="31"/>
        <w:spacing w:line="360" w:lineRule="auto"/>
        <w:ind w:firstLine="480" w:firstLineChars="200"/>
        <w:jc w:val="both"/>
        <w:rPr>
          <w:rFonts w:ascii="宋体" w:hAnsi="宋体"/>
          <w:color w:val="auto"/>
        </w:rPr>
      </w:pPr>
    </w:p>
    <w:p>
      <w:pPr>
        <w:pStyle w:val="3"/>
        <w:snapToGrid w:val="0"/>
        <w:spacing w:after="0" w:line="400" w:lineRule="atLeast"/>
        <w:ind w:left="0" w:leftChars="0" w:firstLine="420" w:firstLineChars="200"/>
        <w:rPr>
          <w:color w:val="auto"/>
          <w:szCs w:val="21"/>
        </w:rPr>
      </w:pPr>
    </w:p>
    <w:p>
      <w:pPr>
        <w:pStyle w:val="3"/>
        <w:snapToGrid w:val="0"/>
        <w:spacing w:after="0" w:line="400" w:lineRule="atLeast"/>
        <w:ind w:left="0" w:leftChars="0" w:firstLine="420" w:firstLineChars="200"/>
        <w:rPr>
          <w:color w:val="auto"/>
          <w:szCs w:val="21"/>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4"/>
        <w:keepNext w:val="0"/>
        <w:keepLines w:val="0"/>
        <w:spacing w:before="0" w:after="0" w:line="440" w:lineRule="exact"/>
        <w:jc w:val="center"/>
        <w:rPr>
          <w:color w:val="auto"/>
        </w:rPr>
      </w:pPr>
      <w:bookmarkStart w:id="559" w:name="_Toc89870621"/>
      <w:bookmarkStart w:id="560" w:name="_Toc246996338"/>
      <w:bookmarkStart w:id="561" w:name="_Toc179632787"/>
      <w:bookmarkStart w:id="562" w:name="_Toc247085853"/>
      <w:bookmarkStart w:id="563" w:name="_Toc246997081"/>
      <w:bookmarkStart w:id="564" w:name="_Toc184635122"/>
      <w:bookmarkStart w:id="565" w:name="_Toc247514197"/>
      <w:bookmarkStart w:id="566" w:name="_Toc152042388"/>
      <w:bookmarkStart w:id="567" w:name="_Toc152042549"/>
      <w:bookmarkStart w:id="568" w:name="_Toc300835199"/>
      <w:bookmarkStart w:id="569" w:name="_Toc144974829"/>
      <w:bookmarkStart w:id="570" w:name="_Toc247527798"/>
      <w:bookmarkStart w:id="571" w:name="_Toc152045610"/>
      <w:bookmarkStart w:id="572" w:name="_Toc144974578"/>
      <w:r>
        <w:rPr>
          <w:color w:val="auto"/>
        </w:rPr>
        <w:t>第</w:t>
      </w:r>
      <w:r>
        <w:rPr>
          <w:rFonts w:hint="eastAsia"/>
          <w:color w:val="auto"/>
        </w:rPr>
        <w:t>二</w:t>
      </w:r>
      <w:r>
        <w:rPr>
          <w:color w:val="auto"/>
        </w:rPr>
        <w:t>卷</w:t>
      </w:r>
      <w:bookmarkEnd w:id="559"/>
    </w:p>
    <w:p>
      <w:pPr>
        <w:rPr>
          <w:color w:val="auto"/>
          <w:sz w:val="36"/>
          <w:szCs w:val="36"/>
        </w:rPr>
      </w:pPr>
      <w:bookmarkStart w:id="573" w:name="_Toc89870622"/>
      <w:r>
        <w:rPr>
          <w:rFonts w:hint="eastAsia"/>
          <w:color w:val="auto"/>
          <w:sz w:val="36"/>
          <w:szCs w:val="36"/>
        </w:rPr>
        <w:br w:type="page"/>
      </w:r>
    </w:p>
    <w:p>
      <w:pPr>
        <w:pStyle w:val="4"/>
        <w:keepNext w:val="0"/>
        <w:keepLines w:val="0"/>
        <w:spacing w:before="0" w:after="0" w:line="360" w:lineRule="auto"/>
        <w:jc w:val="center"/>
        <w:rPr>
          <w:color w:val="auto"/>
          <w:sz w:val="36"/>
          <w:szCs w:val="36"/>
        </w:rPr>
      </w:pPr>
      <w:r>
        <w:rPr>
          <w:rFonts w:hint="eastAsia"/>
          <w:color w:val="auto"/>
          <w:sz w:val="36"/>
          <w:szCs w:val="36"/>
        </w:rPr>
        <w:t>第五章</w:t>
      </w:r>
      <w:r>
        <w:rPr>
          <w:color w:val="auto"/>
          <w:sz w:val="36"/>
          <w:szCs w:val="36"/>
        </w:rPr>
        <w:t xml:space="preserve"> </w:t>
      </w:r>
      <w:r>
        <w:rPr>
          <w:rFonts w:hint="eastAsia"/>
          <w:color w:val="auto"/>
          <w:sz w:val="36"/>
          <w:szCs w:val="36"/>
        </w:rPr>
        <w:t>委托人要求</w:t>
      </w:r>
      <w:bookmarkEnd w:id="560"/>
      <w:bookmarkEnd w:id="561"/>
      <w:bookmarkEnd w:id="562"/>
      <w:bookmarkEnd w:id="563"/>
      <w:bookmarkEnd w:id="573"/>
    </w:p>
    <w:p>
      <w:pPr>
        <w:adjustRightInd w:val="0"/>
        <w:snapToGrid w:val="0"/>
        <w:spacing w:line="360" w:lineRule="auto"/>
        <w:ind w:firstLine="480" w:firstLineChars="200"/>
        <w:rPr>
          <w:rFonts w:ascii="宋体" w:hAnsi="宋体"/>
          <w:color w:val="auto"/>
          <w:sz w:val="24"/>
        </w:rPr>
      </w:pPr>
      <w:r>
        <w:rPr>
          <w:rFonts w:ascii="宋体" w:hAnsi="宋体"/>
          <w:color w:val="auto"/>
          <w:sz w:val="24"/>
        </w:rPr>
        <w:t>委托人要求通常包括但不限于以下内容：</w:t>
      </w:r>
    </w:p>
    <w:p>
      <w:pPr>
        <w:pStyle w:val="5"/>
        <w:keepNext w:val="0"/>
        <w:keepLines w:val="0"/>
        <w:spacing w:before="0" w:after="0" w:line="360" w:lineRule="auto"/>
        <w:ind w:firstLine="560" w:firstLineChars="200"/>
        <w:rPr>
          <w:rFonts w:ascii="Times New Roman" w:hAnsi="Times New Roman"/>
          <w:b w:val="0"/>
          <w:color w:val="auto"/>
          <w:sz w:val="28"/>
          <w:szCs w:val="28"/>
        </w:rPr>
      </w:pPr>
      <w:bookmarkStart w:id="574" w:name="_Toc482188637"/>
      <w:bookmarkStart w:id="575" w:name="_Toc89870623"/>
      <w:bookmarkStart w:id="576" w:name="_Toc511557110"/>
      <w:bookmarkStart w:id="577" w:name="_Toc527028520"/>
      <w:r>
        <w:rPr>
          <w:rFonts w:ascii="Times New Roman" w:hAnsi="Times New Roman"/>
          <w:b w:val="0"/>
          <w:color w:val="auto"/>
          <w:sz w:val="28"/>
          <w:szCs w:val="28"/>
        </w:rPr>
        <w:t>一、监理要求</w:t>
      </w:r>
      <w:bookmarkEnd w:id="574"/>
      <w:bookmarkEnd w:id="575"/>
      <w:bookmarkEnd w:id="576"/>
      <w:bookmarkEnd w:id="577"/>
    </w:p>
    <w:p>
      <w:pPr>
        <w:adjustRightInd w:val="0"/>
        <w:snapToGrid w:val="0"/>
        <w:spacing w:line="360" w:lineRule="auto"/>
        <w:ind w:firstLine="480" w:firstLineChars="200"/>
        <w:rPr>
          <w:rFonts w:ascii="宋体" w:hAnsi="宋体"/>
          <w:color w:val="auto"/>
          <w:sz w:val="24"/>
        </w:rPr>
      </w:pPr>
      <w:r>
        <w:rPr>
          <w:rFonts w:ascii="宋体" w:hAnsi="宋体"/>
          <w:color w:val="auto"/>
          <w:sz w:val="24"/>
        </w:rPr>
        <w:t>招标人应当根据项目情况在本章中明确相应的监理要求，一般应包括以下内容：</w:t>
      </w:r>
    </w:p>
    <w:p>
      <w:pPr>
        <w:spacing w:line="360" w:lineRule="auto"/>
        <w:ind w:firstLine="482" w:firstLineChars="200"/>
        <w:rPr>
          <w:rFonts w:ascii="Times New Roman" w:hAnsi="Times New Roman"/>
          <w:b/>
          <w:color w:val="auto"/>
          <w:sz w:val="24"/>
          <w:szCs w:val="24"/>
        </w:rPr>
      </w:pPr>
      <w:r>
        <w:rPr>
          <w:rFonts w:hint="eastAsia" w:ascii="Times New Roman" w:hAnsi="Times New Roman"/>
          <w:b/>
          <w:color w:val="auto"/>
          <w:sz w:val="24"/>
          <w:szCs w:val="24"/>
        </w:rPr>
        <w:t>1. 项目概况</w:t>
      </w:r>
    </w:p>
    <w:p>
      <w:pPr>
        <w:spacing w:line="360" w:lineRule="auto"/>
        <w:ind w:firstLine="480" w:firstLineChars="200"/>
        <w:rPr>
          <w:rFonts w:ascii="宋体" w:hAnsi="宋体" w:cs="宋体"/>
          <w:color w:val="auto"/>
          <w:sz w:val="24"/>
          <w:szCs w:val="24"/>
        </w:rPr>
      </w:pPr>
      <w:r>
        <w:rPr>
          <w:rFonts w:hint="eastAsia"/>
          <w:color w:val="auto"/>
          <w:sz w:val="24"/>
          <w:szCs w:val="24"/>
        </w:rPr>
        <w:t>1.1项目名称：</w:t>
      </w:r>
      <w:r>
        <w:rPr>
          <w:rFonts w:hint="eastAsia" w:ascii="宋体" w:hAnsi="宋体" w:cs="宋体"/>
          <w:color w:val="auto"/>
          <w:sz w:val="24"/>
          <w:szCs w:val="24"/>
          <w:u w:val="single"/>
        </w:rPr>
        <w:t>增城区农村供水改造工程（第二批）</w:t>
      </w:r>
      <w:r>
        <w:rPr>
          <w:rFonts w:hint="eastAsia" w:ascii="宋体" w:hAnsi="宋体" w:cs="宋体"/>
          <w:color w:val="auto"/>
          <w:sz w:val="24"/>
          <w:szCs w:val="24"/>
          <w:u w:val="single"/>
          <w:lang w:val="en-US" w:eastAsia="zh-CN"/>
        </w:rPr>
        <w:t>监理</w:t>
      </w:r>
      <w:r>
        <w:rPr>
          <w:rFonts w:hint="eastAsia" w:ascii="宋体" w:hAnsi="宋体" w:cs="宋体"/>
          <w:color w:val="auto"/>
          <w:sz w:val="24"/>
          <w:szCs w:val="24"/>
        </w:rPr>
        <w:t>。</w:t>
      </w:r>
    </w:p>
    <w:p>
      <w:pPr>
        <w:spacing w:line="360" w:lineRule="auto"/>
        <w:ind w:firstLine="480" w:firstLineChars="200"/>
        <w:rPr>
          <w:rFonts w:ascii="宋体" w:hAnsi="宋体" w:cs="宋体"/>
          <w:color w:val="auto"/>
          <w:kern w:val="0"/>
          <w:sz w:val="24"/>
        </w:rPr>
      </w:pPr>
      <w:r>
        <w:rPr>
          <w:rFonts w:hint="eastAsia"/>
          <w:color w:val="auto"/>
          <w:sz w:val="24"/>
          <w:szCs w:val="24"/>
        </w:rPr>
        <w:t>1.2建设地点：</w:t>
      </w:r>
      <w:r>
        <w:rPr>
          <w:rFonts w:hint="eastAsia"/>
          <w:color w:val="auto"/>
          <w:sz w:val="24"/>
          <w:szCs w:val="24"/>
          <w:u w:val="single"/>
        </w:rPr>
        <w:t>本项目位于广州市增城区</w:t>
      </w:r>
      <w:r>
        <w:rPr>
          <w:rFonts w:hint="eastAsia" w:ascii="宋体" w:hAnsi="宋体" w:cs="宋体"/>
          <w:color w:val="auto"/>
          <w:sz w:val="24"/>
          <w:szCs w:val="24"/>
          <w:u w:val="single"/>
          <w:lang w:bidi="ar"/>
        </w:rPr>
        <w:t>派潭镇、朱村街、荔城街、仙村镇和中新镇</w:t>
      </w:r>
      <w:r>
        <w:rPr>
          <w:rFonts w:hint="eastAsia" w:ascii="宋体" w:hAnsi="宋体" w:cs="宋体"/>
          <w:color w:val="auto"/>
          <w:sz w:val="24"/>
          <w:szCs w:val="24"/>
        </w:rPr>
        <w:t>。</w:t>
      </w:r>
    </w:p>
    <w:p>
      <w:pPr>
        <w:spacing w:line="360" w:lineRule="auto"/>
        <w:ind w:firstLine="480" w:firstLineChars="200"/>
        <w:rPr>
          <w:rFonts w:ascii="宋体" w:hAnsi="宋体" w:cs="宋体"/>
          <w:color w:val="auto"/>
          <w:sz w:val="24"/>
          <w:szCs w:val="24"/>
          <w:u w:val="single"/>
        </w:rPr>
      </w:pPr>
      <w:r>
        <w:rPr>
          <w:rFonts w:hint="eastAsia"/>
          <w:color w:val="auto"/>
          <w:sz w:val="24"/>
          <w:szCs w:val="24"/>
        </w:rPr>
        <w:t>1.3项目规模：</w:t>
      </w:r>
      <w:r>
        <w:rPr>
          <w:rFonts w:hint="eastAsia"/>
          <w:color w:val="auto"/>
          <w:sz w:val="24"/>
          <w:szCs w:val="24"/>
          <w:u w:val="single"/>
          <w:lang w:val="en-US" w:eastAsia="zh-CN"/>
        </w:rPr>
        <w:t>本项目供水管网改造范围包含增城区派潭镇、朱村街、荔城街、仙村镇和中新镇等 5 个镇街，对总计 39 个农村供水管网及 5 个片区的市政路供水主管老旧配套设施进行 升级改造，建立一套完善与安全的供水体系，服务人口 54854 人，供水量约 1.6 万 m3/d，铺设DN20-DN600管道共计约700公里；新建阀门井 1870 座，排气井 400 座，排泥井 237 座；新建加压泵站 13 座，新建集中式 一体化供水站 7套等</w:t>
      </w:r>
      <w:r>
        <w:rPr>
          <w:rFonts w:hint="eastAsia"/>
          <w:color w:val="auto"/>
          <w:sz w:val="24"/>
          <w:szCs w:val="24"/>
          <w:u w:val="single"/>
        </w:rPr>
        <w:t>（</w:t>
      </w:r>
      <w:r>
        <w:rPr>
          <w:rFonts w:hint="eastAsia"/>
          <w:color w:val="auto"/>
          <w:sz w:val="24"/>
          <w:szCs w:val="24"/>
          <w:u w:val="single"/>
          <w:lang w:val="en-US" w:eastAsia="zh-CN"/>
        </w:rPr>
        <w:t>最终以施工图为准。</w:t>
      </w:r>
      <w:r>
        <w:rPr>
          <w:rFonts w:hint="eastAsia"/>
          <w:color w:val="auto"/>
          <w:sz w:val="24"/>
          <w:szCs w:val="24"/>
          <w:u w:val="single"/>
        </w:rPr>
        <w:t>）</w:t>
      </w:r>
    </w:p>
    <w:p>
      <w:pPr>
        <w:spacing w:line="360" w:lineRule="auto"/>
        <w:ind w:firstLine="480" w:firstLineChars="200"/>
        <w:rPr>
          <w:rFonts w:ascii="宋体" w:hAnsi="宋体" w:cs="宋体"/>
          <w:color w:val="auto"/>
          <w:sz w:val="24"/>
          <w:u w:val="single"/>
        </w:rPr>
      </w:pPr>
      <w:r>
        <w:rPr>
          <w:rFonts w:hint="eastAsia"/>
          <w:color w:val="auto"/>
          <w:sz w:val="24"/>
          <w:szCs w:val="24"/>
        </w:rPr>
        <w:t>1.4建筑安装工程费/工程概算：</w:t>
      </w:r>
      <w:r>
        <w:rPr>
          <w:rFonts w:hint="eastAsia"/>
          <w:color w:val="auto"/>
          <w:sz w:val="24"/>
          <w:szCs w:val="24"/>
          <w:u w:val="single"/>
        </w:rPr>
        <w:t>建安工程费</w:t>
      </w:r>
      <w:r>
        <w:rPr>
          <w:rFonts w:hint="eastAsia" w:ascii="宋体" w:hAnsi="宋体" w:cs="宋体"/>
          <w:color w:val="auto"/>
          <w:sz w:val="24"/>
          <w:szCs w:val="24"/>
          <w:u w:val="single"/>
          <w:lang w:bidi="ar"/>
        </w:rPr>
        <w:t>约为¥41786.43</w:t>
      </w:r>
      <w:r>
        <w:rPr>
          <w:rFonts w:ascii="宋体" w:hAnsi="宋体" w:cs="宋体"/>
          <w:color w:val="auto"/>
          <w:sz w:val="24"/>
          <w:szCs w:val="24"/>
          <w:u w:val="single"/>
          <w:lang w:bidi="ar"/>
        </w:rPr>
        <w:t>万元</w:t>
      </w:r>
      <w:r>
        <w:rPr>
          <w:rFonts w:hint="eastAsia"/>
          <w:color w:val="auto"/>
          <w:sz w:val="24"/>
          <w:szCs w:val="24"/>
        </w:rPr>
        <w:t>。</w:t>
      </w:r>
    </w:p>
    <w:p>
      <w:pPr>
        <w:spacing w:line="360" w:lineRule="auto"/>
        <w:ind w:firstLine="480" w:firstLineChars="200"/>
        <w:rPr>
          <w:rFonts w:ascii="宋体" w:hAnsi="宋体"/>
          <w:color w:val="auto"/>
          <w:sz w:val="24"/>
          <w:szCs w:val="24"/>
        </w:rPr>
      </w:pPr>
      <w:r>
        <w:rPr>
          <w:color w:val="auto"/>
          <w:sz w:val="24"/>
          <w:szCs w:val="24"/>
        </w:rPr>
        <w:t xml:space="preserve">1.5 </w:t>
      </w:r>
      <w:r>
        <w:rPr>
          <w:rFonts w:hint="eastAsia" w:ascii="宋体" w:hAnsi="宋体"/>
          <w:color w:val="auto"/>
          <w:sz w:val="24"/>
          <w:szCs w:val="24"/>
        </w:rPr>
        <w:t>监理服务期限</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施工准备阶段：</w:t>
      </w:r>
      <w:r>
        <w:rPr>
          <w:rFonts w:hint="eastAsia" w:ascii="宋体" w:hAnsi="宋体"/>
          <w:color w:val="auto"/>
          <w:sz w:val="24"/>
          <w:szCs w:val="24"/>
          <w:u w:val="single"/>
        </w:rPr>
        <w:t>从中标通知书发出到工程开工之日</w:t>
      </w:r>
      <w:r>
        <w:rPr>
          <w:rFonts w:hint="eastAsia" w:ascii="宋体" w:hAnsi="宋体"/>
          <w:color w:val="auto"/>
          <w:sz w:val="24"/>
          <w:szCs w:val="24"/>
        </w:rPr>
        <w:t>；</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施工阶段监理服务期：</w:t>
      </w:r>
      <w:r>
        <w:rPr>
          <w:rFonts w:hint="eastAsia" w:ascii="宋体" w:hAnsi="宋体"/>
          <w:color w:val="auto"/>
          <w:sz w:val="24"/>
          <w:szCs w:val="24"/>
          <w:u w:val="single"/>
        </w:rPr>
        <w:t>从业主下达开工令或开工报告审批之日起至施工项目全部完工并办理竣工验收、竣工结算、备案管理为止</w:t>
      </w:r>
      <w:r>
        <w:rPr>
          <w:rFonts w:hint="eastAsia" w:ascii="宋体" w:hAnsi="宋体"/>
          <w:color w:val="auto"/>
          <w:sz w:val="24"/>
          <w:szCs w:val="24"/>
        </w:rPr>
        <w:t>；</w:t>
      </w:r>
    </w:p>
    <w:p>
      <w:pPr>
        <w:spacing w:line="360" w:lineRule="auto"/>
        <w:ind w:firstLine="480" w:firstLineChars="200"/>
        <w:rPr>
          <w:rFonts w:ascii="宋体" w:hAnsi="宋体"/>
          <w:color w:val="auto"/>
          <w:sz w:val="24"/>
          <w:szCs w:val="24"/>
        </w:rPr>
      </w:pPr>
      <w:r>
        <w:rPr>
          <w:rFonts w:hint="eastAsia" w:ascii="宋体" w:hAnsi="宋体"/>
          <w:color w:val="auto"/>
          <w:sz w:val="24"/>
          <w:szCs w:val="24"/>
        </w:rPr>
        <w:t>工程收尾阶段：</w:t>
      </w:r>
      <w:r>
        <w:rPr>
          <w:rFonts w:hint="eastAsia" w:ascii="宋体" w:hAnsi="宋体" w:cs="宋体"/>
          <w:color w:val="auto"/>
          <w:sz w:val="24"/>
          <w:szCs w:val="24"/>
        </w:rPr>
        <w:t>包括竣工收尾、验收、整改、移交、结算、考核评价等方面的监理工作完成为止。</w:t>
      </w:r>
    </w:p>
    <w:p>
      <w:pPr>
        <w:spacing w:line="360" w:lineRule="auto"/>
        <w:ind w:firstLine="480" w:firstLineChars="200"/>
        <w:rPr>
          <w:rFonts w:ascii="宋体" w:hAnsi="宋体"/>
          <w:color w:val="auto"/>
          <w:sz w:val="24"/>
          <w:szCs w:val="24"/>
        </w:rPr>
      </w:pPr>
      <w:r>
        <w:rPr>
          <w:rFonts w:hint="eastAsia" w:ascii="宋体" w:hAnsi="宋体"/>
          <w:color w:val="auto"/>
          <w:sz w:val="24"/>
          <w:szCs w:val="24"/>
        </w:rPr>
        <w:t>缺陷责任期阶段监理服务期：</w:t>
      </w:r>
      <w:r>
        <w:rPr>
          <w:rFonts w:hint="eastAsia" w:ascii="宋体" w:hAnsi="宋体"/>
          <w:color w:val="auto"/>
          <w:sz w:val="24"/>
          <w:szCs w:val="24"/>
          <w:u w:val="single"/>
        </w:rPr>
        <w:t>从工程竣工验收合格之日起</w:t>
      </w:r>
      <w:r>
        <w:rPr>
          <w:rFonts w:ascii="宋体" w:hAnsi="宋体"/>
          <w:color w:val="auto"/>
          <w:sz w:val="24"/>
          <w:szCs w:val="24"/>
          <w:u w:val="single"/>
        </w:rPr>
        <w:t>2年</w:t>
      </w:r>
      <w:r>
        <w:rPr>
          <w:rFonts w:ascii="宋体" w:hAnsi="宋体"/>
          <w:color w:val="auto"/>
          <w:sz w:val="24"/>
          <w:szCs w:val="24"/>
        </w:rPr>
        <w:t>。</w:t>
      </w:r>
    </w:p>
    <w:p>
      <w:pPr>
        <w:adjustRightInd w:val="0"/>
        <w:snapToGrid w:val="0"/>
        <w:spacing w:line="360" w:lineRule="auto"/>
        <w:ind w:firstLine="482" w:firstLineChars="200"/>
        <w:rPr>
          <w:rFonts w:ascii="Times New Roman" w:hAnsi="Times New Roman"/>
          <w:b/>
          <w:color w:val="auto"/>
          <w:sz w:val="24"/>
          <w:szCs w:val="24"/>
        </w:rPr>
      </w:pPr>
      <w:r>
        <w:rPr>
          <w:rFonts w:ascii="Times New Roman" w:hAnsi="Times New Roman"/>
          <w:b/>
          <w:color w:val="auto"/>
          <w:sz w:val="24"/>
          <w:szCs w:val="24"/>
        </w:rPr>
        <w:t xml:space="preserve">2. </w:t>
      </w:r>
      <w:r>
        <w:rPr>
          <w:rFonts w:hint="eastAsia" w:ascii="Times New Roman" w:hAnsi="Times New Roman"/>
          <w:b/>
          <w:color w:val="auto"/>
          <w:sz w:val="24"/>
          <w:szCs w:val="24"/>
        </w:rPr>
        <w:t>监理</w:t>
      </w:r>
      <w:r>
        <w:rPr>
          <w:rFonts w:ascii="Times New Roman" w:hAnsi="Times New Roman"/>
          <w:b/>
          <w:color w:val="auto"/>
          <w:sz w:val="24"/>
          <w:szCs w:val="24"/>
        </w:rPr>
        <w:t>范围及内容</w:t>
      </w:r>
    </w:p>
    <w:p>
      <w:pPr>
        <w:adjustRightInd w:val="0"/>
        <w:snapToGrid w:val="0"/>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2.1</w:t>
      </w:r>
      <w:r>
        <w:rPr>
          <w:rFonts w:hint="eastAsia" w:ascii="Times New Roman" w:hAnsi="Times New Roman"/>
          <w:color w:val="auto"/>
          <w:sz w:val="24"/>
          <w:szCs w:val="24"/>
        </w:rPr>
        <w:t>监理范围：</w:t>
      </w:r>
      <w:r>
        <w:rPr>
          <w:rFonts w:hint="eastAsia" w:ascii="宋体" w:hAnsi="宋体"/>
          <w:color w:val="auto"/>
          <w:sz w:val="24"/>
          <w:szCs w:val="24"/>
          <w:u w:val="single"/>
        </w:rPr>
        <w:t>包括但不限于以下内容：本工程的施工准备、施工、竣工结算、缺陷责任期、保修阶段的质量控制、职业健康、安全生产及环境监督管理、投资控制、进度控制、合同管理、信息管理、组织协调等监理工作及造价咨询（含进度款审核、变更签证造价审核、结算审核等造价咨询服务）等相关工作。</w:t>
      </w:r>
    </w:p>
    <w:p>
      <w:pPr>
        <w:spacing w:line="360" w:lineRule="auto"/>
        <w:ind w:firstLine="480" w:firstLineChars="200"/>
        <w:rPr>
          <w:color w:val="auto"/>
          <w:lang w:bidi="ar"/>
        </w:rPr>
      </w:pPr>
      <w:r>
        <w:rPr>
          <w:rFonts w:hint="eastAsia" w:ascii="Times New Roman" w:hAnsi="Times New Roman"/>
          <w:color w:val="auto"/>
          <w:sz w:val="24"/>
          <w:szCs w:val="24"/>
          <w:lang w:bidi="ar"/>
        </w:rPr>
        <w:t>2</w:t>
      </w:r>
      <w:r>
        <w:rPr>
          <w:rFonts w:ascii="Times New Roman" w:hAnsi="Times New Roman"/>
          <w:color w:val="auto"/>
          <w:sz w:val="24"/>
          <w:szCs w:val="24"/>
          <w:lang w:bidi="ar"/>
        </w:rPr>
        <w:t xml:space="preserve">.2 </w:t>
      </w:r>
      <w:r>
        <w:rPr>
          <w:rFonts w:hint="eastAsia" w:ascii="Times New Roman" w:hAnsi="Times New Roman"/>
          <w:color w:val="auto"/>
          <w:sz w:val="24"/>
          <w:szCs w:val="24"/>
          <w:lang w:bidi="ar"/>
        </w:rPr>
        <w:t>监理人监理工作内容</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1、建设工程监理一般规定： </w:t>
      </w:r>
    </w:p>
    <w:p>
      <w:pPr>
        <w:tabs>
          <w:tab w:val="left" w:pos="1310"/>
        </w:tabs>
        <w:spacing w:line="364" w:lineRule="auto"/>
        <w:ind w:firstLine="480" w:firstLineChars="200"/>
        <w:rPr>
          <w:rFonts w:ascii="宋体" w:hAnsi="宋体" w:cs="宋体"/>
          <w:color w:val="auto"/>
          <w:sz w:val="24"/>
          <w:szCs w:val="24"/>
        </w:rPr>
      </w:pPr>
      <w:r>
        <w:rPr>
          <w:rFonts w:hint="eastAsia" w:ascii="宋体" w:hAnsi="宋体" w:cs="宋体"/>
          <w:color w:val="auto"/>
          <w:sz w:val="24"/>
          <w:szCs w:val="24"/>
        </w:rPr>
        <w:t>（1）实行总</w:t>
      </w:r>
      <w:r>
        <w:rPr>
          <w:rFonts w:hint="eastAsia" w:ascii="宋体" w:hAnsi="宋体" w:cs="宋体"/>
          <w:color w:val="auto"/>
          <w:spacing w:val="-3"/>
          <w:sz w:val="24"/>
          <w:szCs w:val="24"/>
        </w:rPr>
        <w:t>监理工程师</w:t>
      </w:r>
      <w:r>
        <w:rPr>
          <w:rFonts w:hint="eastAsia" w:ascii="宋体" w:hAnsi="宋体" w:cs="宋体"/>
          <w:color w:val="auto"/>
          <w:sz w:val="24"/>
          <w:szCs w:val="24"/>
        </w:rPr>
        <w:t>负责制。</w:t>
      </w:r>
      <w:r>
        <w:rPr>
          <w:rFonts w:ascii="宋体" w:hAnsi="宋体" w:cs="宋体"/>
          <w:color w:val="auto"/>
          <w:sz w:val="24"/>
          <w:szCs w:val="24"/>
        </w:rPr>
        <w:t xml:space="preserve"> </w:t>
      </w:r>
    </w:p>
    <w:p>
      <w:pPr>
        <w:tabs>
          <w:tab w:val="left" w:pos="1310"/>
        </w:tabs>
        <w:spacing w:line="364" w:lineRule="auto"/>
        <w:ind w:firstLine="480" w:firstLineChars="200"/>
        <w:rPr>
          <w:rFonts w:ascii="宋体" w:hAnsi="宋体" w:cs="宋体"/>
          <w:color w:val="auto"/>
          <w:sz w:val="24"/>
          <w:szCs w:val="24"/>
        </w:rPr>
      </w:pPr>
      <w:r>
        <w:rPr>
          <w:rFonts w:hint="eastAsia" w:ascii="宋体" w:hAnsi="宋体" w:cs="宋体"/>
          <w:color w:val="auto"/>
          <w:sz w:val="24"/>
          <w:szCs w:val="24"/>
        </w:rPr>
        <w:t>（2）监理人应公正、独立、自主地开展监理工作，维护委托人的合法权益。</w:t>
      </w:r>
    </w:p>
    <w:p>
      <w:pPr>
        <w:pStyle w:val="32"/>
        <w:tabs>
          <w:tab w:val="left" w:pos="1310"/>
        </w:tabs>
        <w:spacing w:line="364" w:lineRule="auto"/>
        <w:ind w:firstLine="480" w:firstLineChars="0"/>
        <w:rPr>
          <w:rFonts w:ascii="宋体" w:hAnsi="宋体" w:cs="宋体"/>
          <w:color w:val="auto"/>
          <w:sz w:val="24"/>
          <w:szCs w:val="24"/>
        </w:rPr>
      </w:pPr>
      <w:r>
        <w:rPr>
          <w:rFonts w:hint="eastAsia" w:ascii="宋体" w:hAnsi="宋体" w:cs="宋体"/>
          <w:color w:val="auto"/>
          <w:sz w:val="24"/>
          <w:szCs w:val="24"/>
        </w:rPr>
        <w:t>（3）监理人除应按《建设工程监理规范》（GB50319-2013）</w:t>
      </w:r>
      <w:r>
        <w:rPr>
          <w:rFonts w:hint="eastAsia" w:ascii="宋体" w:hAnsi="宋体" w:cs="宋体"/>
          <w:color w:val="auto"/>
          <w:spacing w:val="-2"/>
          <w:sz w:val="24"/>
          <w:szCs w:val="24"/>
        </w:rPr>
        <w:t>履行监理职责外，还应符合</w:t>
      </w:r>
      <w:r>
        <w:rPr>
          <w:rFonts w:hint="eastAsia" w:ascii="宋体" w:hAnsi="宋体" w:cs="宋体"/>
          <w:color w:val="auto"/>
          <w:sz w:val="24"/>
          <w:szCs w:val="24"/>
        </w:rPr>
        <w:t xml:space="preserve">国家现行的有关强制性标准、规范的规定。 </w:t>
      </w:r>
    </w:p>
    <w:p>
      <w:pPr>
        <w:pStyle w:val="32"/>
        <w:tabs>
          <w:tab w:val="left" w:pos="1310"/>
        </w:tabs>
        <w:spacing w:line="364" w:lineRule="auto"/>
        <w:ind w:firstLine="480"/>
        <w:rPr>
          <w:rFonts w:ascii="宋体" w:hAnsi="宋体" w:cs="宋体"/>
          <w:color w:val="auto"/>
          <w:sz w:val="24"/>
          <w:szCs w:val="24"/>
        </w:rPr>
      </w:pPr>
      <w:r>
        <w:rPr>
          <w:rFonts w:hint="eastAsia" w:ascii="宋体" w:hAnsi="宋体" w:cs="宋体"/>
          <w:color w:val="auto"/>
          <w:sz w:val="24"/>
          <w:szCs w:val="24"/>
        </w:rPr>
        <w:t>2、负责</w:t>
      </w:r>
      <w:r>
        <w:rPr>
          <w:rFonts w:hint="eastAsia" w:ascii="宋体" w:hAnsi="宋体" w:cs="宋体"/>
          <w:color w:val="auto"/>
          <w:spacing w:val="-3"/>
          <w:sz w:val="24"/>
          <w:szCs w:val="24"/>
        </w:rPr>
        <w:t>施工准备</w:t>
      </w:r>
      <w:r>
        <w:rPr>
          <w:rFonts w:hint="eastAsia" w:ascii="宋体" w:hAnsi="宋体" w:cs="宋体"/>
          <w:color w:val="auto"/>
          <w:sz w:val="24"/>
          <w:szCs w:val="24"/>
        </w:rPr>
        <w:t xml:space="preserve">阶段的监理工作，包括但不限于以下内容： </w:t>
      </w:r>
    </w:p>
    <w:p>
      <w:pPr>
        <w:tabs>
          <w:tab w:val="left" w:pos="1310"/>
        </w:tabs>
        <w:spacing w:line="364" w:lineRule="auto"/>
        <w:ind w:firstLine="480" w:firstLineChars="200"/>
        <w:rPr>
          <w:rFonts w:ascii="宋体" w:hAnsi="宋体" w:cs="宋体"/>
          <w:color w:val="auto"/>
          <w:sz w:val="24"/>
          <w:szCs w:val="24"/>
        </w:rPr>
      </w:pPr>
      <w:r>
        <w:rPr>
          <w:rFonts w:hint="eastAsia" w:ascii="宋体" w:hAnsi="宋体" w:cs="宋体"/>
          <w:color w:val="auto"/>
          <w:sz w:val="24"/>
          <w:szCs w:val="24"/>
        </w:rPr>
        <w:t>（1）协助</w:t>
      </w:r>
      <w:r>
        <w:rPr>
          <w:rFonts w:hint="eastAsia" w:ascii="宋体" w:hAnsi="宋体" w:cs="宋体"/>
          <w:color w:val="auto"/>
          <w:spacing w:val="-3"/>
          <w:sz w:val="24"/>
          <w:szCs w:val="24"/>
        </w:rPr>
        <w:t>进行</w:t>
      </w:r>
      <w:r>
        <w:rPr>
          <w:rFonts w:hint="eastAsia" w:ascii="宋体" w:hAnsi="宋体" w:cs="宋体"/>
          <w:color w:val="auto"/>
          <w:sz w:val="24"/>
          <w:szCs w:val="24"/>
        </w:rPr>
        <w:t>勘察设计报审相关工作；</w:t>
      </w:r>
      <w:r>
        <w:rPr>
          <w:rFonts w:ascii="宋体" w:hAnsi="宋体" w:cs="宋体"/>
          <w:color w:val="auto"/>
          <w:sz w:val="24"/>
          <w:szCs w:val="24"/>
        </w:rPr>
        <w:t xml:space="preserve"> </w:t>
      </w:r>
    </w:p>
    <w:p>
      <w:pPr>
        <w:pStyle w:val="32"/>
        <w:tabs>
          <w:tab w:val="left" w:pos="1310"/>
        </w:tabs>
        <w:spacing w:line="364" w:lineRule="auto"/>
        <w:ind w:firstLine="476" w:firstLineChars="0"/>
        <w:rPr>
          <w:rFonts w:ascii="宋体" w:hAnsi="宋体" w:cs="宋体"/>
          <w:color w:val="auto"/>
          <w:sz w:val="24"/>
          <w:szCs w:val="24"/>
        </w:rPr>
      </w:pPr>
      <w:r>
        <w:rPr>
          <w:rFonts w:hint="eastAsia" w:ascii="宋体" w:hAnsi="宋体" w:cs="宋体"/>
          <w:color w:val="auto"/>
          <w:spacing w:val="-1"/>
          <w:sz w:val="24"/>
          <w:szCs w:val="24"/>
        </w:rPr>
        <w:t>（2）参加</w:t>
      </w:r>
      <w:r>
        <w:rPr>
          <w:rFonts w:hint="eastAsia" w:ascii="宋体" w:hAnsi="宋体" w:cs="宋体"/>
          <w:color w:val="auto"/>
          <w:spacing w:val="-3"/>
          <w:sz w:val="24"/>
          <w:szCs w:val="24"/>
        </w:rPr>
        <w:t>设计</w:t>
      </w:r>
      <w:r>
        <w:rPr>
          <w:rFonts w:hint="eastAsia" w:ascii="宋体" w:hAnsi="宋体" w:cs="宋体"/>
          <w:color w:val="auto"/>
          <w:spacing w:val="-1"/>
          <w:sz w:val="24"/>
          <w:szCs w:val="24"/>
        </w:rPr>
        <w:t xml:space="preserve">交底，对图纸中存在的问题通过委托人向设计单位提出书面意见和建议， </w:t>
      </w:r>
      <w:r>
        <w:rPr>
          <w:rFonts w:hint="eastAsia" w:ascii="宋体" w:hAnsi="宋体" w:cs="宋体"/>
          <w:color w:val="auto"/>
          <w:sz w:val="24"/>
          <w:szCs w:val="24"/>
        </w:rPr>
        <w:t xml:space="preserve">做好图纸会审记录并提交给委托人； </w:t>
      </w:r>
    </w:p>
    <w:p>
      <w:pPr>
        <w:spacing w:line="362" w:lineRule="auto"/>
        <w:ind w:firstLine="476" w:firstLineChars="200"/>
        <w:rPr>
          <w:rFonts w:ascii="宋体" w:hAnsi="宋体" w:cs="宋体"/>
          <w:color w:val="auto"/>
          <w:sz w:val="24"/>
          <w:szCs w:val="24"/>
        </w:rPr>
      </w:pPr>
      <w:r>
        <w:rPr>
          <w:rFonts w:hint="eastAsia" w:ascii="宋体" w:hAnsi="宋体" w:cs="宋体"/>
          <w:color w:val="auto"/>
          <w:spacing w:val="-1"/>
          <w:sz w:val="24"/>
          <w:szCs w:val="24"/>
        </w:rPr>
        <w:t>（3）审查承包人报送的施工组织设计</w:t>
      </w:r>
      <w:r>
        <w:rPr>
          <w:rFonts w:ascii="宋体" w:hAnsi="宋体" w:cs="宋体"/>
          <w:color w:val="auto"/>
          <w:spacing w:val="-1"/>
          <w:sz w:val="24"/>
          <w:szCs w:val="24"/>
        </w:rPr>
        <w:t>(</w:t>
      </w:r>
      <w:r>
        <w:rPr>
          <w:rFonts w:hint="eastAsia" w:ascii="宋体" w:hAnsi="宋体" w:cs="宋体"/>
          <w:color w:val="auto"/>
          <w:spacing w:val="-1"/>
          <w:sz w:val="24"/>
          <w:szCs w:val="24"/>
        </w:rPr>
        <w:t>方案</w:t>
      </w:r>
      <w:r>
        <w:rPr>
          <w:rFonts w:ascii="宋体" w:hAnsi="宋体" w:cs="宋体"/>
          <w:color w:val="auto"/>
          <w:spacing w:val="-1"/>
          <w:sz w:val="24"/>
          <w:szCs w:val="24"/>
        </w:rPr>
        <w:t>)</w:t>
      </w:r>
      <w:r>
        <w:rPr>
          <w:rFonts w:hint="eastAsia" w:ascii="宋体" w:hAnsi="宋体" w:cs="宋体"/>
          <w:color w:val="auto"/>
          <w:spacing w:val="-1"/>
          <w:sz w:val="24"/>
          <w:szCs w:val="24"/>
        </w:rPr>
        <w:t>；制定监理规划及监理实施细则并报委托人</w:t>
      </w:r>
      <w:r>
        <w:rPr>
          <w:rFonts w:hint="eastAsia" w:ascii="宋体" w:hAnsi="宋体" w:cs="宋体"/>
          <w:color w:val="auto"/>
          <w:sz w:val="24"/>
          <w:szCs w:val="24"/>
        </w:rPr>
        <w:t>审定。</w:t>
      </w:r>
      <w:r>
        <w:rPr>
          <w:rFonts w:ascii="宋体" w:hAnsi="宋体" w:cs="宋体"/>
          <w:color w:val="auto"/>
          <w:sz w:val="24"/>
          <w:szCs w:val="24"/>
        </w:rPr>
        <w:t xml:space="preserve"> </w:t>
      </w:r>
    </w:p>
    <w:p>
      <w:pPr>
        <w:spacing w:line="364" w:lineRule="auto"/>
        <w:ind w:firstLine="476" w:firstLineChars="200"/>
        <w:rPr>
          <w:rFonts w:ascii="宋体" w:hAnsi="宋体" w:cs="宋体"/>
          <w:color w:val="auto"/>
          <w:sz w:val="24"/>
          <w:szCs w:val="24"/>
        </w:rPr>
      </w:pPr>
      <w:r>
        <w:rPr>
          <w:rFonts w:hint="eastAsia" w:ascii="宋体" w:hAnsi="宋体" w:cs="宋体"/>
          <w:color w:val="auto"/>
          <w:spacing w:val="-1"/>
          <w:sz w:val="24"/>
          <w:szCs w:val="24"/>
        </w:rPr>
        <w:t>（4）负责协调承包人进场前的现场准备和制定勘察清障方案，为承包人进场制定前期准</w:t>
      </w:r>
      <w:r>
        <w:rPr>
          <w:rFonts w:hint="eastAsia" w:ascii="宋体" w:hAnsi="宋体" w:cs="宋体"/>
          <w:color w:val="auto"/>
          <w:sz w:val="24"/>
          <w:szCs w:val="24"/>
        </w:rPr>
        <w:t>备方案并组织实施。</w:t>
      </w:r>
      <w:r>
        <w:rPr>
          <w:rFonts w:ascii="宋体" w:hAnsi="宋体" w:cs="宋体"/>
          <w:color w:val="auto"/>
          <w:sz w:val="24"/>
          <w:szCs w:val="24"/>
        </w:rPr>
        <w:t xml:space="preserve"> </w:t>
      </w:r>
    </w:p>
    <w:p>
      <w:pPr>
        <w:spacing w:line="362" w:lineRule="auto"/>
        <w:ind w:firstLine="476" w:firstLineChars="200"/>
        <w:rPr>
          <w:rFonts w:ascii="宋体" w:hAnsi="宋体" w:cs="宋体"/>
          <w:color w:val="auto"/>
          <w:sz w:val="24"/>
          <w:szCs w:val="24"/>
        </w:rPr>
      </w:pPr>
      <w:r>
        <w:rPr>
          <w:rFonts w:hint="eastAsia" w:ascii="宋体" w:hAnsi="宋体" w:cs="宋体"/>
          <w:color w:val="auto"/>
          <w:spacing w:val="-1"/>
          <w:sz w:val="24"/>
          <w:szCs w:val="24"/>
        </w:rPr>
        <w:t>（5）审查由承包人编制，并经承包人的技术部门审批盖章的施工组织设计、施工方案及</w:t>
      </w:r>
      <w:r>
        <w:rPr>
          <w:rFonts w:hint="eastAsia" w:ascii="宋体" w:hAnsi="宋体" w:cs="宋体"/>
          <w:color w:val="auto"/>
          <w:sz w:val="24"/>
          <w:szCs w:val="24"/>
        </w:rPr>
        <w:t>施工进度计划，并督促检查实施；协助审批各单项工程开工报告。</w:t>
      </w:r>
      <w:r>
        <w:rPr>
          <w:rFonts w:ascii="宋体" w:hAnsi="宋体" w:cs="宋体"/>
          <w:color w:val="auto"/>
          <w:sz w:val="24"/>
          <w:szCs w:val="24"/>
        </w:rPr>
        <w:t xml:space="preserve"> </w:t>
      </w:r>
    </w:p>
    <w:p>
      <w:pPr>
        <w:spacing w:line="362" w:lineRule="auto"/>
        <w:ind w:firstLine="480" w:firstLineChars="200"/>
        <w:rPr>
          <w:rFonts w:ascii="宋体" w:hAnsi="宋体" w:cs="宋体"/>
          <w:color w:val="auto"/>
          <w:sz w:val="24"/>
          <w:szCs w:val="24"/>
        </w:rPr>
      </w:pPr>
      <w:r>
        <w:rPr>
          <w:rFonts w:hint="eastAsia" w:ascii="宋体" w:hAnsi="宋体" w:cs="宋体"/>
          <w:color w:val="auto"/>
          <w:sz w:val="24"/>
          <w:szCs w:val="24"/>
        </w:rPr>
        <w:t>（6）审查承包人及委托人提供的材料和设备清单及其所列的规格与质量。</w:t>
      </w:r>
      <w:r>
        <w:rPr>
          <w:rFonts w:ascii="宋体" w:hAnsi="宋体" w:cs="宋体"/>
          <w:color w:val="auto"/>
          <w:sz w:val="24"/>
          <w:szCs w:val="24"/>
        </w:rPr>
        <w:t xml:space="preserve"> </w:t>
      </w:r>
    </w:p>
    <w:p>
      <w:pPr>
        <w:pStyle w:val="32"/>
        <w:numPr>
          <w:ilvl w:val="255"/>
          <w:numId w:val="0"/>
        </w:numPr>
        <w:tabs>
          <w:tab w:val="left" w:pos="1190"/>
        </w:tabs>
        <w:spacing w:line="362" w:lineRule="auto"/>
        <w:ind w:left="480"/>
        <w:rPr>
          <w:rFonts w:ascii="宋体" w:hAnsi="宋体" w:cs="宋体"/>
          <w:color w:val="auto"/>
          <w:sz w:val="24"/>
          <w:szCs w:val="24"/>
        </w:rPr>
      </w:pPr>
      <w:r>
        <w:rPr>
          <w:rFonts w:hint="eastAsia" w:ascii="宋体" w:hAnsi="宋体" w:cs="宋体"/>
          <w:color w:val="auto"/>
          <w:sz w:val="24"/>
          <w:szCs w:val="24"/>
        </w:rPr>
        <w:t xml:space="preserve">3、施工阶段的监理工作，包括但不限于以下内容： </w:t>
      </w:r>
    </w:p>
    <w:p>
      <w:pPr>
        <w:spacing w:line="364" w:lineRule="auto"/>
        <w:ind w:firstLine="480" w:firstLineChars="200"/>
        <w:rPr>
          <w:rFonts w:ascii="宋体" w:hAnsi="宋体" w:cs="宋体"/>
          <w:color w:val="auto"/>
          <w:sz w:val="24"/>
          <w:szCs w:val="24"/>
        </w:rPr>
      </w:pPr>
      <w:r>
        <w:rPr>
          <w:rFonts w:hint="eastAsia" w:ascii="宋体" w:hAnsi="宋体" w:cs="宋体"/>
          <w:color w:val="auto"/>
          <w:sz w:val="24"/>
          <w:szCs w:val="24"/>
        </w:rPr>
        <w:t>（1）督促承包人严格执行合同和严格按照国家技术规范、标准、地方建筑安装规程、设计图纸文件的要求进行施工，并检查其实施情况；核查施工过程中的主要部位、环节以及隐蔽工程的施工验收签证；严格控制工程质量及安全，发现工程质量、安全问题，立即责令相关单位整改，并通知委托人。</w:t>
      </w:r>
      <w:r>
        <w:rPr>
          <w:rFonts w:ascii="宋体" w:hAnsi="宋体" w:cs="宋体"/>
          <w:color w:val="auto"/>
          <w:sz w:val="24"/>
          <w:szCs w:val="24"/>
        </w:rPr>
        <w:t xml:space="preserve"> </w:t>
      </w:r>
    </w:p>
    <w:p>
      <w:pPr>
        <w:spacing w:line="364" w:lineRule="auto"/>
        <w:ind w:firstLine="480" w:firstLineChars="200"/>
        <w:rPr>
          <w:rFonts w:ascii="宋体" w:hAnsi="宋体" w:cs="宋体"/>
          <w:color w:val="auto"/>
          <w:sz w:val="24"/>
          <w:szCs w:val="24"/>
        </w:rPr>
      </w:pPr>
      <w:r>
        <w:rPr>
          <w:rFonts w:hint="eastAsia" w:ascii="宋体" w:hAnsi="宋体" w:cs="宋体"/>
          <w:color w:val="auto"/>
          <w:sz w:val="24"/>
          <w:szCs w:val="24"/>
        </w:rPr>
        <w:t>（2）督促承包人严格按进度计划实施，检查承包人填报的报表，提出监理意见，控制工程进度。在施工过程中，当承包人对已批准的施工组织设计进行调整、补充或变动时，应经专业监理工程师审查，并应由总监理工程师签认。发现施工单位进度落后的，应督促施工单位采取有效措施，防止工期延误事件发生。</w:t>
      </w:r>
      <w:r>
        <w:rPr>
          <w:rFonts w:ascii="宋体" w:hAnsi="宋体" w:cs="宋体"/>
          <w:color w:val="auto"/>
          <w:sz w:val="24"/>
          <w:szCs w:val="24"/>
        </w:rPr>
        <w:t xml:space="preserve"> </w:t>
      </w:r>
    </w:p>
    <w:p>
      <w:pPr>
        <w:spacing w:line="364" w:lineRule="auto"/>
        <w:ind w:firstLine="480" w:firstLineChars="200"/>
        <w:rPr>
          <w:rFonts w:ascii="宋体" w:hAnsi="宋体" w:cs="宋体"/>
          <w:color w:val="auto"/>
          <w:sz w:val="24"/>
          <w:szCs w:val="24"/>
        </w:rPr>
      </w:pPr>
      <w:r>
        <w:rPr>
          <w:rFonts w:hint="eastAsia" w:ascii="宋体" w:hAnsi="宋体" w:cs="宋体"/>
          <w:color w:val="auto"/>
          <w:sz w:val="24"/>
          <w:szCs w:val="24"/>
        </w:rPr>
        <w:t>（3）对用于本工程的主要材料、设备等进行检查、检验，对未经监理人员验收或验收不合格的工程材料、构配件、设备，监理人员应拒绝签认，并应签发监理工程师通知单，书面通知承包人限期将不合格的工程材料、构配件、设备撤出现场。</w:t>
      </w:r>
      <w:r>
        <w:rPr>
          <w:rFonts w:ascii="宋体" w:hAnsi="宋体" w:cs="宋体"/>
          <w:color w:val="auto"/>
          <w:sz w:val="24"/>
          <w:szCs w:val="24"/>
        </w:rPr>
        <w:t xml:space="preserve"> </w:t>
      </w:r>
    </w:p>
    <w:p>
      <w:pPr>
        <w:spacing w:line="364" w:lineRule="auto"/>
        <w:ind w:firstLine="480" w:firstLineChars="200"/>
        <w:rPr>
          <w:rFonts w:ascii="宋体" w:hAnsi="宋体" w:cs="宋体"/>
          <w:color w:val="auto"/>
          <w:sz w:val="24"/>
          <w:szCs w:val="24"/>
        </w:rPr>
      </w:pPr>
      <w:r>
        <w:rPr>
          <w:rFonts w:hint="eastAsia" w:ascii="宋体" w:hAnsi="宋体" w:cs="宋体"/>
          <w:color w:val="auto"/>
          <w:sz w:val="24"/>
          <w:szCs w:val="24"/>
        </w:rPr>
        <w:t>（4）总监理工程师应安排监理人员对施工过程进行巡视和检查。对基础工程中土方回填，混凝土灌注桩浇筑，地下连续墙、土钉墙、后浇带及其他结构混凝土、防水混凝土浇筑，卷材防水层细部构造处理，钢结构安装和主体结构工程中梁柱节点钢筋隐蔽过程，混凝土浇筑，</w:t>
      </w:r>
      <w:r>
        <w:rPr>
          <w:rFonts w:ascii="宋体" w:hAnsi="宋体" w:cs="宋体"/>
          <w:color w:val="auto"/>
          <w:sz w:val="24"/>
          <w:szCs w:val="24"/>
        </w:rPr>
        <w:t xml:space="preserve"> </w:t>
      </w:r>
      <w:r>
        <w:rPr>
          <w:rFonts w:hint="eastAsia" w:ascii="宋体" w:hAnsi="宋体" w:cs="宋体"/>
          <w:color w:val="auto"/>
          <w:sz w:val="24"/>
          <w:szCs w:val="24"/>
        </w:rPr>
        <w:t>预应力张拉，装配式结构安装，钢结构安装，网架结构安装，索膜安装等，应安排监理员进行旁站，做好旁站监理记录和监理日记，保存旁站监理原始资料。旁站监理人员应当认真履行职责，</w:t>
      </w:r>
      <w:r>
        <w:rPr>
          <w:rFonts w:ascii="宋体" w:hAnsi="宋体" w:cs="宋体"/>
          <w:color w:val="auto"/>
          <w:sz w:val="24"/>
          <w:szCs w:val="24"/>
        </w:rPr>
        <w:t xml:space="preserve"> </w:t>
      </w:r>
      <w:r>
        <w:rPr>
          <w:rFonts w:hint="eastAsia" w:ascii="宋体" w:hAnsi="宋体" w:cs="宋体"/>
          <w:color w:val="auto"/>
          <w:sz w:val="24"/>
          <w:szCs w:val="24"/>
        </w:rPr>
        <w:t>对需要实施旁站监理的关键部位、关键工序在施工现场跟班监督，及时发现和处理旁站监理过程中出现的问题，责令施工企业进行整改。</w:t>
      </w:r>
      <w:r>
        <w:rPr>
          <w:rFonts w:ascii="宋体" w:hAnsi="宋体" w:cs="宋体"/>
          <w:color w:val="auto"/>
          <w:sz w:val="24"/>
          <w:szCs w:val="24"/>
        </w:rPr>
        <w:t xml:space="preserve"> </w:t>
      </w:r>
    </w:p>
    <w:p>
      <w:pPr>
        <w:spacing w:line="364" w:lineRule="auto"/>
        <w:ind w:firstLine="480" w:firstLineChars="200"/>
        <w:rPr>
          <w:rFonts w:ascii="宋体" w:hAnsi="宋体" w:cs="宋体"/>
          <w:color w:val="auto"/>
          <w:sz w:val="24"/>
          <w:szCs w:val="24"/>
        </w:rPr>
      </w:pPr>
      <w:r>
        <w:rPr>
          <w:rFonts w:hint="eastAsia" w:ascii="宋体" w:hAnsi="宋体" w:cs="宋体"/>
          <w:color w:val="auto"/>
          <w:sz w:val="24"/>
          <w:szCs w:val="24"/>
        </w:rPr>
        <w:t>（5）根据承包人报送的隐蔽工程报验申请表和自检结果进行现场检查，符合要求予以签认。</w:t>
      </w:r>
      <w:r>
        <w:rPr>
          <w:rFonts w:ascii="宋体" w:hAnsi="宋体" w:cs="宋体"/>
          <w:color w:val="auto"/>
          <w:sz w:val="24"/>
          <w:szCs w:val="24"/>
        </w:rPr>
        <w:t xml:space="preserve"> </w:t>
      </w:r>
    </w:p>
    <w:p>
      <w:pPr>
        <w:spacing w:line="362" w:lineRule="auto"/>
        <w:ind w:firstLine="480" w:firstLineChars="200"/>
        <w:rPr>
          <w:rFonts w:ascii="宋体" w:hAnsi="宋体" w:cs="宋体"/>
          <w:color w:val="auto"/>
          <w:sz w:val="24"/>
          <w:szCs w:val="24"/>
        </w:rPr>
      </w:pPr>
      <w:r>
        <w:rPr>
          <w:rFonts w:hint="eastAsia" w:ascii="宋体" w:hAnsi="宋体" w:cs="宋体"/>
          <w:color w:val="auto"/>
          <w:sz w:val="24"/>
          <w:szCs w:val="24"/>
        </w:rPr>
        <w:t>（6）对工程发生质量、安全事故按相关规定保护好现场并及时处理，向委托人提交有关工程质量、安全事故的书面报告，并应将完整的事故处理记录整理归档。</w:t>
      </w:r>
      <w:r>
        <w:rPr>
          <w:rFonts w:ascii="宋体" w:hAnsi="宋体" w:cs="宋体"/>
          <w:color w:val="auto"/>
          <w:sz w:val="24"/>
          <w:szCs w:val="24"/>
        </w:rPr>
        <w:t xml:space="preserve"> </w:t>
      </w:r>
    </w:p>
    <w:p>
      <w:pPr>
        <w:spacing w:line="364" w:lineRule="auto"/>
        <w:ind w:firstLine="480" w:firstLineChars="200"/>
        <w:rPr>
          <w:rFonts w:ascii="宋体" w:hAnsi="宋体" w:cs="宋体"/>
          <w:color w:val="auto"/>
          <w:sz w:val="24"/>
          <w:szCs w:val="24"/>
        </w:rPr>
      </w:pPr>
      <w:r>
        <w:rPr>
          <w:rFonts w:hint="eastAsia" w:ascii="宋体" w:hAnsi="宋体" w:cs="宋体"/>
          <w:color w:val="auto"/>
          <w:sz w:val="24"/>
          <w:szCs w:val="24"/>
        </w:rPr>
        <w:t>（7）根据《广州市建设工程文明施工管理规定》（</w:t>
      </w:r>
      <w:r>
        <w:rPr>
          <w:rFonts w:hint="eastAsia" w:ascii="宋体" w:hAnsi="宋体" w:cs="宋体"/>
          <w:color w:val="auto"/>
          <w:spacing w:val="-5"/>
          <w:sz w:val="24"/>
          <w:szCs w:val="24"/>
        </w:rPr>
        <w:t>广州市人民政府令第</w:t>
      </w:r>
      <w:r>
        <w:rPr>
          <w:rFonts w:ascii="宋体" w:hAnsi="宋体" w:cs="宋体"/>
          <w:color w:val="auto"/>
          <w:spacing w:val="-5"/>
          <w:sz w:val="24"/>
          <w:szCs w:val="24"/>
        </w:rPr>
        <w:t xml:space="preserve"> </w:t>
      </w:r>
      <w:r>
        <w:rPr>
          <w:rFonts w:ascii="宋体" w:hAnsi="宋体" w:cs="宋体"/>
          <w:color w:val="auto"/>
          <w:sz w:val="24"/>
          <w:szCs w:val="24"/>
        </w:rPr>
        <w:t>62</w:t>
      </w:r>
      <w:r>
        <w:rPr>
          <w:rFonts w:ascii="宋体" w:hAnsi="宋体" w:cs="宋体"/>
          <w:color w:val="auto"/>
          <w:spacing w:val="-24"/>
          <w:sz w:val="24"/>
          <w:szCs w:val="24"/>
        </w:rPr>
        <w:t xml:space="preserve"> </w:t>
      </w:r>
      <w:r>
        <w:rPr>
          <w:rFonts w:hint="eastAsia" w:ascii="宋体" w:hAnsi="宋体" w:cs="宋体"/>
          <w:color w:val="auto"/>
          <w:spacing w:val="-24"/>
          <w:sz w:val="24"/>
          <w:szCs w:val="24"/>
        </w:rPr>
        <w:t>号</w:t>
      </w:r>
      <w:r>
        <w:rPr>
          <w:rFonts w:hint="eastAsia" w:ascii="宋体" w:hAnsi="宋体" w:cs="宋体"/>
          <w:color w:val="auto"/>
          <w:sz w:val="24"/>
          <w:szCs w:val="24"/>
        </w:rPr>
        <w:t>）</w:t>
      </w:r>
      <w:r>
        <w:rPr>
          <w:rFonts w:hint="eastAsia" w:ascii="宋体" w:hAnsi="宋体" w:cs="宋体"/>
          <w:color w:val="auto"/>
          <w:spacing w:val="-5"/>
          <w:sz w:val="24"/>
          <w:szCs w:val="24"/>
        </w:rPr>
        <w:t>的规定，</w:t>
      </w:r>
      <w:r>
        <w:rPr>
          <w:rFonts w:hint="eastAsia" w:ascii="宋体" w:hAnsi="宋体" w:cs="宋体"/>
          <w:color w:val="auto"/>
          <w:sz w:val="24"/>
          <w:szCs w:val="24"/>
        </w:rPr>
        <w:t>监理人在对本工程实施监理的时候，应当履行下列管理责任：</w:t>
      </w:r>
      <w:r>
        <w:rPr>
          <w:rFonts w:ascii="宋体" w:hAnsi="宋体" w:cs="宋体"/>
          <w:color w:val="auto"/>
          <w:sz w:val="24"/>
          <w:szCs w:val="24"/>
        </w:rPr>
        <w:t xml:space="preserve"> </w:t>
      </w:r>
    </w:p>
    <w:p>
      <w:pPr>
        <w:pStyle w:val="12"/>
        <w:spacing w:after="0" w:line="362" w:lineRule="auto"/>
        <w:ind w:firstLine="456" w:firstLineChars="200"/>
        <w:rPr>
          <w:rFonts w:ascii="宋体" w:hAnsi="宋体" w:cs="宋体"/>
          <w:color w:val="auto"/>
          <w:sz w:val="24"/>
          <w:szCs w:val="24"/>
        </w:rPr>
      </w:pPr>
      <w:r>
        <w:rPr>
          <w:rFonts w:hint="eastAsia" w:ascii="宋体" w:hAnsi="宋体" w:cs="宋体"/>
          <w:color w:val="auto"/>
          <w:spacing w:val="-6"/>
          <w:sz w:val="24"/>
          <w:szCs w:val="24"/>
        </w:rPr>
        <w:t>①审核施工单位拟定的施工组织设计文件，督促施工单位落实文明施工管理措施，审核确</w:t>
      </w:r>
      <w:r>
        <w:rPr>
          <w:rFonts w:hint="eastAsia" w:ascii="宋体" w:hAnsi="宋体" w:cs="宋体"/>
          <w:color w:val="auto"/>
          <w:sz w:val="24"/>
          <w:szCs w:val="24"/>
        </w:rPr>
        <w:t xml:space="preserve">认施工单位文明施工措施费用使用情况。 </w:t>
      </w:r>
    </w:p>
    <w:p>
      <w:pPr>
        <w:pStyle w:val="12"/>
        <w:spacing w:after="0" w:line="362"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②实施监理过程中，发现施工单位有违反文明施工管理规定的，应当要求施工单位整改； 施工单位拒不整改的，应当要求施工单位暂停施工，并向委托人报告。 </w:t>
      </w:r>
    </w:p>
    <w:p>
      <w:pPr>
        <w:pStyle w:val="12"/>
        <w:spacing w:after="0" w:line="364" w:lineRule="auto"/>
        <w:ind w:firstLine="460" w:firstLineChars="200"/>
        <w:rPr>
          <w:rFonts w:ascii="宋体" w:hAnsi="宋体" w:cs="宋体"/>
          <w:color w:val="auto"/>
          <w:sz w:val="24"/>
          <w:szCs w:val="24"/>
        </w:rPr>
      </w:pPr>
      <w:r>
        <w:rPr>
          <w:rFonts w:hint="eastAsia" w:ascii="宋体" w:hAnsi="宋体" w:cs="宋体"/>
          <w:color w:val="auto"/>
          <w:spacing w:val="-5"/>
          <w:sz w:val="24"/>
          <w:szCs w:val="24"/>
        </w:rPr>
        <w:t>③施工单位违反文明施工管理规定拒不整改或者不停止施工的，及时向工程行政管理部门</w:t>
      </w:r>
      <w:r>
        <w:rPr>
          <w:rFonts w:hint="eastAsia" w:ascii="宋体" w:hAnsi="宋体" w:cs="宋体"/>
          <w:color w:val="auto"/>
          <w:sz w:val="24"/>
          <w:szCs w:val="24"/>
        </w:rPr>
        <w:t xml:space="preserve">报告。 </w:t>
      </w:r>
    </w:p>
    <w:p>
      <w:pPr>
        <w:spacing w:line="364" w:lineRule="auto"/>
        <w:ind w:firstLine="464" w:firstLineChars="200"/>
        <w:rPr>
          <w:rFonts w:ascii="宋体" w:hAnsi="宋体" w:cs="宋体"/>
          <w:color w:val="auto"/>
          <w:sz w:val="24"/>
          <w:szCs w:val="24"/>
        </w:rPr>
      </w:pPr>
      <w:r>
        <w:rPr>
          <w:rFonts w:hint="eastAsia" w:ascii="宋体" w:hAnsi="宋体" w:cs="宋体"/>
          <w:color w:val="auto"/>
          <w:spacing w:val="-4"/>
          <w:sz w:val="24"/>
          <w:szCs w:val="24"/>
        </w:rPr>
        <w:t>（8）根据《广州市建筑施工实名制管理办法》</w:t>
      </w:r>
      <w:r>
        <w:rPr>
          <w:rFonts w:hint="eastAsia" w:ascii="宋体" w:hAnsi="宋体" w:cs="宋体"/>
          <w:color w:val="auto"/>
          <w:sz w:val="24"/>
          <w:szCs w:val="24"/>
        </w:rPr>
        <w:t>（穗建规字</w:t>
      </w:r>
      <w:r>
        <w:rPr>
          <w:rFonts w:ascii="宋体" w:hAnsi="宋体" w:cs="宋体"/>
          <w:color w:val="auto"/>
          <w:sz w:val="24"/>
          <w:szCs w:val="24"/>
        </w:rPr>
        <w:t>[2020]18</w:t>
      </w:r>
      <w:r>
        <w:rPr>
          <w:rFonts w:ascii="宋体" w:hAnsi="宋体" w:cs="宋体"/>
          <w:color w:val="auto"/>
          <w:spacing w:val="-32"/>
          <w:sz w:val="24"/>
          <w:szCs w:val="24"/>
        </w:rPr>
        <w:t xml:space="preserve"> </w:t>
      </w:r>
      <w:r>
        <w:rPr>
          <w:rFonts w:hint="eastAsia" w:ascii="宋体" w:hAnsi="宋体" w:cs="宋体"/>
          <w:color w:val="auto"/>
          <w:spacing w:val="-32"/>
          <w:sz w:val="24"/>
          <w:szCs w:val="24"/>
        </w:rPr>
        <w:t>号</w:t>
      </w:r>
      <w:r>
        <w:rPr>
          <w:rFonts w:hint="eastAsia" w:ascii="宋体" w:hAnsi="宋体" w:cs="宋体"/>
          <w:color w:val="auto"/>
          <w:spacing w:val="-5"/>
          <w:sz w:val="24"/>
          <w:szCs w:val="24"/>
        </w:rPr>
        <w:t>）</w:t>
      </w:r>
      <w:r>
        <w:rPr>
          <w:rFonts w:hint="eastAsia" w:ascii="宋体" w:hAnsi="宋体" w:cs="宋体"/>
          <w:color w:val="auto"/>
          <w:spacing w:val="-4"/>
          <w:sz w:val="24"/>
          <w:szCs w:val="24"/>
        </w:rPr>
        <w:t>和《广州市建设</w:t>
      </w:r>
      <w:r>
        <w:rPr>
          <w:rFonts w:hint="eastAsia" w:ascii="宋体" w:hAnsi="宋体" w:cs="宋体"/>
          <w:color w:val="auto"/>
          <w:spacing w:val="-5"/>
          <w:sz w:val="24"/>
          <w:szCs w:val="24"/>
        </w:rPr>
        <w:t>领域工人工资支付分账管理实施细则》</w:t>
      </w:r>
      <w:r>
        <w:rPr>
          <w:rFonts w:hint="eastAsia" w:ascii="宋体" w:hAnsi="宋体" w:cs="宋体"/>
          <w:color w:val="auto"/>
          <w:sz w:val="24"/>
          <w:szCs w:val="24"/>
        </w:rPr>
        <w:t>（穗建规字</w:t>
      </w:r>
      <w:r>
        <w:rPr>
          <w:rFonts w:ascii="宋体" w:hAnsi="宋体" w:cs="宋体"/>
          <w:color w:val="auto"/>
          <w:sz w:val="24"/>
          <w:szCs w:val="24"/>
        </w:rPr>
        <w:t>[2020]37</w:t>
      </w:r>
      <w:r>
        <w:rPr>
          <w:rFonts w:ascii="宋体" w:hAnsi="宋体" w:cs="宋体"/>
          <w:color w:val="auto"/>
          <w:spacing w:val="-30"/>
          <w:sz w:val="24"/>
          <w:szCs w:val="24"/>
        </w:rPr>
        <w:t xml:space="preserve"> </w:t>
      </w:r>
      <w:r>
        <w:rPr>
          <w:rFonts w:hint="eastAsia" w:ascii="宋体" w:hAnsi="宋体" w:cs="宋体"/>
          <w:color w:val="auto"/>
          <w:spacing w:val="-30"/>
          <w:sz w:val="24"/>
          <w:szCs w:val="24"/>
        </w:rPr>
        <w:t>号</w:t>
      </w:r>
      <w:r>
        <w:rPr>
          <w:rFonts w:hint="eastAsia" w:ascii="宋体" w:hAnsi="宋体" w:cs="宋体"/>
          <w:color w:val="auto"/>
          <w:spacing w:val="-39"/>
          <w:sz w:val="24"/>
          <w:szCs w:val="24"/>
        </w:rPr>
        <w:t>）</w:t>
      </w:r>
      <w:r>
        <w:rPr>
          <w:rFonts w:hint="eastAsia" w:ascii="宋体" w:hAnsi="宋体" w:cs="宋体"/>
          <w:color w:val="auto"/>
          <w:spacing w:val="-7"/>
          <w:sz w:val="24"/>
          <w:szCs w:val="24"/>
        </w:rPr>
        <w:t>的规定，监理人在对本工程实</w:t>
      </w:r>
      <w:r>
        <w:rPr>
          <w:rFonts w:hint="eastAsia" w:ascii="宋体" w:hAnsi="宋体" w:cs="宋体"/>
          <w:color w:val="auto"/>
          <w:sz w:val="24"/>
          <w:szCs w:val="24"/>
        </w:rPr>
        <w:t>施监理的时候，应当履行下列管理责任：</w:t>
      </w:r>
      <w:r>
        <w:rPr>
          <w:rFonts w:ascii="宋体" w:hAnsi="宋体" w:cs="宋体"/>
          <w:color w:val="auto"/>
          <w:sz w:val="24"/>
          <w:szCs w:val="24"/>
        </w:rPr>
        <w:t xml:space="preserve"> </w:t>
      </w:r>
    </w:p>
    <w:p>
      <w:pPr>
        <w:pStyle w:val="12"/>
        <w:spacing w:after="0" w:line="362" w:lineRule="auto"/>
        <w:ind w:firstLine="460" w:firstLineChars="200"/>
        <w:rPr>
          <w:rFonts w:ascii="宋体" w:hAnsi="宋体" w:cs="宋体"/>
          <w:color w:val="auto"/>
          <w:sz w:val="24"/>
          <w:szCs w:val="24"/>
        </w:rPr>
      </w:pPr>
      <w:r>
        <w:rPr>
          <w:rFonts w:hint="eastAsia" w:ascii="宋体" w:hAnsi="宋体" w:cs="宋体"/>
          <w:color w:val="auto"/>
          <w:spacing w:val="-5"/>
          <w:sz w:val="24"/>
          <w:szCs w:val="24"/>
        </w:rPr>
        <w:t>①督促施工单位落实实名制及工人工资分账管理制度，如施工单位未按规定执行的，应当</w:t>
      </w:r>
      <w:r>
        <w:rPr>
          <w:rFonts w:hint="eastAsia" w:ascii="宋体" w:hAnsi="宋体" w:cs="宋体"/>
          <w:color w:val="auto"/>
          <w:sz w:val="24"/>
          <w:szCs w:val="24"/>
        </w:rPr>
        <w:t xml:space="preserve">要求施工单位整改；施工单位拒不整改的，须立即向委托人及工程行政管理部门报告。 </w:t>
      </w:r>
    </w:p>
    <w:p>
      <w:pPr>
        <w:pStyle w:val="12"/>
        <w:spacing w:after="0" w:line="362" w:lineRule="auto"/>
        <w:ind w:firstLine="456" w:firstLineChars="200"/>
        <w:rPr>
          <w:rFonts w:ascii="宋体" w:hAnsi="宋体" w:cs="宋体"/>
          <w:color w:val="auto"/>
          <w:sz w:val="24"/>
          <w:szCs w:val="24"/>
        </w:rPr>
      </w:pPr>
      <w:r>
        <w:rPr>
          <w:rFonts w:hint="eastAsia" w:ascii="宋体" w:hAnsi="宋体" w:cs="宋体"/>
          <w:color w:val="auto"/>
          <w:spacing w:val="-6"/>
          <w:sz w:val="24"/>
          <w:szCs w:val="24"/>
        </w:rPr>
        <w:t>②审核施工单位报送的工人考勤、工资结算和支付等管理台账。如工人工资支付账户内资</w:t>
      </w:r>
      <w:r>
        <w:rPr>
          <w:rFonts w:hint="eastAsia" w:ascii="宋体" w:hAnsi="宋体" w:cs="宋体"/>
          <w:color w:val="auto"/>
          <w:spacing w:val="-9"/>
          <w:sz w:val="24"/>
          <w:szCs w:val="24"/>
        </w:rPr>
        <w:t>金少于应付支付工人工资的，监理人应督促施工单位及时补足，确保工人工资按时足额支付。</w:t>
      </w:r>
      <w:r>
        <w:rPr>
          <w:rFonts w:hint="eastAsia" w:ascii="宋体" w:hAnsi="宋体" w:cs="宋体"/>
          <w:color w:val="auto"/>
          <w:sz w:val="24"/>
          <w:szCs w:val="24"/>
        </w:rPr>
        <w:t xml:space="preserve"> </w:t>
      </w:r>
    </w:p>
    <w:p>
      <w:pPr>
        <w:pStyle w:val="12"/>
        <w:spacing w:after="0" w:line="364" w:lineRule="auto"/>
        <w:ind w:firstLine="452" w:firstLineChars="200"/>
        <w:rPr>
          <w:rFonts w:ascii="宋体" w:hAnsi="宋体" w:cs="宋体"/>
          <w:color w:val="auto"/>
          <w:spacing w:val="-5"/>
          <w:sz w:val="24"/>
          <w:szCs w:val="24"/>
        </w:rPr>
      </w:pPr>
      <w:r>
        <w:rPr>
          <w:rFonts w:hint="eastAsia" w:ascii="宋体" w:hAnsi="宋体" w:cs="宋体"/>
          <w:color w:val="auto"/>
          <w:spacing w:val="-7"/>
          <w:sz w:val="24"/>
          <w:szCs w:val="24"/>
        </w:rPr>
        <w:t>③实施监理过程中，发现施工单位违反上述规定，存在拖欠工人工资、工人工资支付信息</w:t>
      </w:r>
      <w:r>
        <w:rPr>
          <w:rFonts w:hint="eastAsia" w:ascii="宋体" w:hAnsi="宋体" w:cs="宋体"/>
          <w:color w:val="auto"/>
          <w:spacing w:val="-14"/>
          <w:sz w:val="24"/>
          <w:szCs w:val="24"/>
        </w:rPr>
        <w:t>与实名制登记的用工信息严重不符、约定的工程进度款中的工人工资款比例低于参照比例下限、</w:t>
      </w:r>
      <w:r>
        <w:rPr>
          <w:rFonts w:hint="eastAsia" w:ascii="宋体" w:hAnsi="宋体" w:cs="宋体"/>
          <w:color w:val="auto"/>
          <w:spacing w:val="-5"/>
          <w:sz w:val="24"/>
          <w:szCs w:val="24"/>
        </w:rPr>
        <w:t>工资支付专用账户发生异常情况等，应当要求施工单位立即整改并及时向委托人报告；如发现</w:t>
      </w:r>
      <w:r>
        <w:rPr>
          <w:rFonts w:hint="eastAsia" w:ascii="宋体" w:hAnsi="宋体" w:cs="宋体"/>
          <w:color w:val="auto"/>
          <w:spacing w:val="-10"/>
          <w:sz w:val="24"/>
          <w:szCs w:val="24"/>
        </w:rPr>
        <w:t xml:space="preserve">施工单位转包或者违法分包造成拖欠工人工资的，须立即上报委托人及工程行政管理部门严肃处理。 </w:t>
      </w:r>
    </w:p>
    <w:p>
      <w:pPr>
        <w:pStyle w:val="12"/>
        <w:spacing w:after="0" w:line="364" w:lineRule="auto"/>
        <w:ind w:firstLine="460" w:firstLineChars="200"/>
        <w:rPr>
          <w:rFonts w:ascii="宋体" w:hAnsi="宋体" w:cs="宋体"/>
          <w:color w:val="auto"/>
          <w:sz w:val="24"/>
          <w:szCs w:val="24"/>
        </w:rPr>
      </w:pPr>
      <w:r>
        <w:rPr>
          <w:rFonts w:hint="eastAsia" w:ascii="宋体" w:hAnsi="宋体" w:cs="宋体"/>
          <w:color w:val="auto"/>
          <w:spacing w:val="-5"/>
          <w:sz w:val="24"/>
          <w:szCs w:val="24"/>
        </w:rPr>
        <w:t>④审核确认工程完工及施工单位结清工人工资的情况，配合施工单位办理工人工资支付专</w:t>
      </w:r>
      <w:r>
        <w:rPr>
          <w:rFonts w:hint="eastAsia" w:ascii="宋体" w:hAnsi="宋体" w:cs="宋体"/>
          <w:color w:val="auto"/>
          <w:sz w:val="24"/>
          <w:szCs w:val="24"/>
        </w:rPr>
        <w:t xml:space="preserve">用账户撤销手续。 </w:t>
      </w:r>
    </w:p>
    <w:p>
      <w:pPr>
        <w:pStyle w:val="12"/>
        <w:spacing w:after="0" w:line="364" w:lineRule="auto"/>
        <w:ind w:firstLine="480" w:firstLineChars="200"/>
        <w:rPr>
          <w:rFonts w:ascii="宋体" w:hAnsi="宋体" w:cs="宋体"/>
          <w:color w:val="auto"/>
          <w:sz w:val="24"/>
          <w:szCs w:val="24"/>
        </w:rPr>
      </w:pPr>
      <w:r>
        <w:rPr>
          <w:rFonts w:hint="eastAsia" w:ascii="宋体" w:hAnsi="宋体" w:cs="宋体"/>
          <w:color w:val="auto"/>
          <w:sz w:val="24"/>
          <w:szCs w:val="24"/>
        </w:rPr>
        <w:t>4</w:t>
      </w:r>
      <w:r>
        <w:rPr>
          <w:rFonts w:hint="eastAsia" w:ascii="宋体" w:hAnsi="宋体" w:cs="宋体"/>
          <w:color w:val="auto"/>
          <w:spacing w:val="-1"/>
          <w:sz w:val="24"/>
          <w:szCs w:val="24"/>
        </w:rPr>
        <w:t>、监理人应严格按广州市、增城区有关施工现场余泥渣土排放、建筑垃圾运输管理、市</w:t>
      </w:r>
      <w:r>
        <w:rPr>
          <w:rFonts w:hint="eastAsia" w:ascii="宋体" w:hAnsi="宋体" w:cs="宋体"/>
          <w:color w:val="auto"/>
          <w:spacing w:val="-10"/>
          <w:sz w:val="24"/>
          <w:szCs w:val="24"/>
        </w:rPr>
        <w:t>容卫生、文明施工管理规定的标准和要求，加强对承包人的监督和检查。监理人必须对施工承</w:t>
      </w:r>
      <w:r>
        <w:rPr>
          <w:rFonts w:hint="eastAsia" w:ascii="宋体" w:hAnsi="宋体" w:cs="宋体"/>
          <w:color w:val="auto"/>
          <w:spacing w:val="-6"/>
          <w:sz w:val="24"/>
          <w:szCs w:val="24"/>
        </w:rPr>
        <w:t>包人的土石方专业工程分包合同、建筑垃圾运输合同进行备案和跟踪管理。检查发现问题，应</w:t>
      </w:r>
      <w:r>
        <w:rPr>
          <w:rFonts w:hint="eastAsia" w:ascii="宋体" w:hAnsi="宋体" w:cs="宋体"/>
          <w:color w:val="auto"/>
          <w:spacing w:val="-7"/>
          <w:sz w:val="24"/>
          <w:szCs w:val="24"/>
        </w:rPr>
        <w:t>立即发出监理通知予以制止。监理人还必须审查余泥渣土、建筑垃圾运输单位的资质，发现问</w:t>
      </w:r>
      <w:r>
        <w:rPr>
          <w:rFonts w:hint="eastAsia" w:ascii="宋体" w:hAnsi="宋体" w:cs="宋体"/>
          <w:color w:val="auto"/>
          <w:spacing w:val="-9"/>
          <w:sz w:val="24"/>
          <w:szCs w:val="24"/>
        </w:rPr>
        <w:t>题立即予以制止，并同时向委托人、建设主管部门、余泥渣土排放主管部门及城管部门一并报</w:t>
      </w:r>
      <w:r>
        <w:rPr>
          <w:rFonts w:hint="eastAsia" w:ascii="宋体" w:hAnsi="宋体" w:cs="宋体"/>
          <w:color w:val="auto"/>
          <w:spacing w:val="-10"/>
          <w:sz w:val="24"/>
          <w:szCs w:val="24"/>
        </w:rPr>
        <w:t>告。监理人对每台出泥运输车应当现场做好出泥登记和双方签名确认，以供城市管理部门和建</w:t>
      </w:r>
      <w:r>
        <w:rPr>
          <w:rFonts w:hint="eastAsia" w:ascii="宋体" w:hAnsi="宋体" w:cs="宋体"/>
          <w:color w:val="auto"/>
          <w:sz w:val="24"/>
          <w:szCs w:val="24"/>
        </w:rPr>
        <w:t xml:space="preserve">设主管部门随时抽查。 </w:t>
      </w:r>
    </w:p>
    <w:p>
      <w:pPr>
        <w:pStyle w:val="12"/>
        <w:spacing w:after="0" w:line="362" w:lineRule="auto"/>
        <w:ind w:firstLine="480" w:firstLineChars="200"/>
        <w:rPr>
          <w:rFonts w:ascii="宋体" w:hAnsi="宋体" w:cs="宋体"/>
          <w:color w:val="auto"/>
          <w:sz w:val="24"/>
          <w:szCs w:val="24"/>
        </w:rPr>
      </w:pPr>
      <w:r>
        <w:rPr>
          <w:rFonts w:ascii="宋体" w:hAnsi="宋体" w:cs="宋体"/>
          <w:color w:val="auto"/>
          <w:sz w:val="24"/>
          <w:szCs w:val="24"/>
        </w:rPr>
        <w:t>5</w:t>
      </w:r>
      <w:r>
        <w:rPr>
          <w:rFonts w:hint="eastAsia" w:ascii="宋体" w:hAnsi="宋体" w:cs="宋体"/>
          <w:color w:val="auto"/>
          <w:sz w:val="24"/>
          <w:szCs w:val="24"/>
        </w:rPr>
        <w:t xml:space="preserve">、工程造价控制工作，包括但不限于以下工作： </w:t>
      </w:r>
    </w:p>
    <w:p>
      <w:pPr>
        <w:pStyle w:val="12"/>
        <w:spacing w:after="0" w:line="362" w:lineRule="auto"/>
        <w:ind w:firstLine="480" w:firstLineChars="20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）监理人应每日统计承包人实际完成的工程量，并记录于监理日志中。</w:t>
      </w:r>
      <w:r>
        <w:rPr>
          <w:rFonts w:ascii="宋体" w:hAnsi="宋体" w:cs="宋体"/>
          <w:color w:val="auto"/>
          <w:sz w:val="24"/>
          <w:szCs w:val="24"/>
        </w:rPr>
        <w:t xml:space="preserve"> </w:t>
      </w:r>
    </w:p>
    <w:p>
      <w:pPr>
        <w:pStyle w:val="12"/>
        <w:spacing w:after="0" w:line="362" w:lineRule="auto"/>
        <w:ind w:firstLine="476" w:firstLineChars="200"/>
        <w:rPr>
          <w:rFonts w:ascii="宋体" w:hAnsi="宋体" w:cs="宋体"/>
          <w:color w:val="auto"/>
          <w:sz w:val="24"/>
          <w:szCs w:val="24"/>
        </w:rPr>
      </w:pPr>
      <w:r>
        <w:rPr>
          <w:rFonts w:hint="eastAsia" w:ascii="宋体" w:hAnsi="宋体" w:cs="宋体"/>
          <w:color w:val="auto"/>
          <w:spacing w:val="-1"/>
          <w:sz w:val="24"/>
          <w:szCs w:val="24"/>
        </w:rPr>
        <w:t>（</w:t>
      </w:r>
      <w:r>
        <w:rPr>
          <w:rFonts w:ascii="宋体" w:hAnsi="宋体" w:cs="宋体"/>
          <w:color w:val="auto"/>
          <w:spacing w:val="-1"/>
          <w:sz w:val="24"/>
          <w:szCs w:val="24"/>
        </w:rPr>
        <w:t>2</w:t>
      </w:r>
      <w:r>
        <w:rPr>
          <w:rFonts w:hint="eastAsia" w:ascii="宋体" w:hAnsi="宋体" w:cs="宋体"/>
          <w:color w:val="auto"/>
          <w:spacing w:val="-1"/>
          <w:sz w:val="24"/>
          <w:szCs w:val="24"/>
        </w:rPr>
        <w:t>）复核当期验收合格的工程量，按施工合同的约定审核承包人提交的工程量清单和工</w:t>
      </w:r>
      <w:r>
        <w:rPr>
          <w:rFonts w:hint="eastAsia" w:ascii="宋体" w:hAnsi="宋体" w:cs="宋体"/>
          <w:color w:val="auto"/>
          <w:sz w:val="24"/>
          <w:szCs w:val="24"/>
        </w:rPr>
        <w:t>程款支付申请表并报委托人。</w:t>
      </w:r>
      <w:r>
        <w:rPr>
          <w:rFonts w:ascii="宋体" w:hAnsi="宋体" w:cs="宋体"/>
          <w:color w:val="auto"/>
          <w:sz w:val="24"/>
          <w:szCs w:val="24"/>
        </w:rPr>
        <w:t xml:space="preserve"> </w:t>
      </w:r>
    </w:p>
    <w:p>
      <w:pPr>
        <w:pStyle w:val="12"/>
        <w:spacing w:after="0" w:line="362" w:lineRule="auto"/>
        <w:ind w:firstLine="476" w:firstLineChars="200"/>
        <w:rPr>
          <w:rFonts w:ascii="宋体" w:hAnsi="宋体" w:cs="宋体"/>
          <w:color w:val="auto"/>
          <w:sz w:val="24"/>
          <w:szCs w:val="24"/>
        </w:rPr>
      </w:pPr>
      <w:r>
        <w:rPr>
          <w:rFonts w:hint="eastAsia" w:ascii="宋体" w:hAnsi="宋体" w:cs="宋体"/>
          <w:color w:val="auto"/>
          <w:spacing w:val="-1"/>
          <w:sz w:val="24"/>
          <w:szCs w:val="24"/>
        </w:rPr>
        <w:t>（</w:t>
      </w:r>
      <w:r>
        <w:rPr>
          <w:rFonts w:ascii="宋体" w:hAnsi="宋体" w:cs="宋体"/>
          <w:color w:val="auto"/>
          <w:spacing w:val="-1"/>
          <w:sz w:val="24"/>
          <w:szCs w:val="24"/>
        </w:rPr>
        <w:t>3</w:t>
      </w:r>
      <w:r>
        <w:rPr>
          <w:rFonts w:hint="eastAsia" w:ascii="宋体" w:hAnsi="宋体" w:cs="宋体"/>
          <w:color w:val="auto"/>
          <w:spacing w:val="-1"/>
          <w:sz w:val="24"/>
          <w:szCs w:val="24"/>
        </w:rPr>
        <w:t>）依据施工合同有关条款、施工图，对工程项目造价目标进行风险分析，并应制定防</w:t>
      </w:r>
      <w:r>
        <w:rPr>
          <w:rFonts w:hint="eastAsia" w:ascii="宋体" w:hAnsi="宋体" w:cs="宋体"/>
          <w:color w:val="auto"/>
          <w:sz w:val="24"/>
          <w:szCs w:val="24"/>
        </w:rPr>
        <w:t>范性对策。</w:t>
      </w:r>
      <w:r>
        <w:rPr>
          <w:rFonts w:ascii="宋体" w:hAnsi="宋体" w:cs="宋体"/>
          <w:color w:val="auto"/>
          <w:sz w:val="24"/>
          <w:szCs w:val="24"/>
        </w:rPr>
        <w:t xml:space="preserve"> </w:t>
      </w:r>
    </w:p>
    <w:p>
      <w:pPr>
        <w:pStyle w:val="12"/>
        <w:spacing w:after="0" w:line="362" w:lineRule="auto"/>
        <w:ind w:firstLine="480" w:firstLineChars="200"/>
        <w:rPr>
          <w:rFonts w:ascii="宋体" w:hAnsi="宋体" w:cs="宋体"/>
          <w:color w:val="auto"/>
          <w:sz w:val="24"/>
          <w:szCs w:val="24"/>
        </w:rPr>
      </w:pPr>
      <w:r>
        <w:rPr>
          <w:rFonts w:hint="eastAsia" w:ascii="宋体" w:hAnsi="宋体" w:cs="宋体"/>
          <w:color w:val="auto"/>
          <w:sz w:val="24"/>
          <w:szCs w:val="24"/>
        </w:rPr>
        <w:t>6、按区及委托人关于工程变更、签证管理的相关规定，从造价、项目的功能要求、质量和工期等方面对</w:t>
      </w:r>
      <w:r>
        <w:rPr>
          <w:rFonts w:hint="eastAsia" w:ascii="宋体" w:hAnsi="宋体" w:cs="宋体"/>
          <w:color w:val="auto"/>
          <w:spacing w:val="-3"/>
          <w:sz w:val="24"/>
          <w:szCs w:val="24"/>
        </w:rPr>
        <w:t>工程</w:t>
      </w:r>
      <w:r>
        <w:rPr>
          <w:rFonts w:hint="eastAsia" w:ascii="宋体" w:hAnsi="宋体" w:cs="宋体"/>
          <w:color w:val="auto"/>
          <w:sz w:val="24"/>
          <w:szCs w:val="24"/>
        </w:rPr>
        <w:t xml:space="preserve">变更、签证进行审核，并督促相关单位按经审定的变更、签证实施。 </w:t>
      </w:r>
    </w:p>
    <w:p>
      <w:pPr>
        <w:pStyle w:val="12"/>
        <w:spacing w:after="0" w:line="362"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7、按监理规范向委托人提交监理月报，内容包括但不限于本月工程实施概况，工程计量及支付情况，工程变更、签证及索赔情况，监理工作小结等。 </w:t>
      </w:r>
    </w:p>
    <w:p>
      <w:pPr>
        <w:pStyle w:val="12"/>
        <w:spacing w:after="0" w:line="362"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8、工程收尾阶段，包括竣工收尾、验收、整改、移交、结算、考核评价等方面的监理工作，包括但不限于以下内容： </w:t>
      </w:r>
    </w:p>
    <w:p>
      <w:pPr>
        <w:pStyle w:val="12"/>
        <w:spacing w:after="0" w:line="362" w:lineRule="auto"/>
        <w:ind w:firstLine="480" w:firstLineChars="200"/>
        <w:rPr>
          <w:rFonts w:ascii="宋体" w:hAnsi="宋体" w:cs="宋体"/>
          <w:color w:val="auto"/>
          <w:sz w:val="24"/>
          <w:szCs w:val="24"/>
        </w:rPr>
      </w:pPr>
      <w:r>
        <w:rPr>
          <w:rFonts w:hint="eastAsia" w:ascii="宋体" w:hAnsi="宋体" w:cs="宋体"/>
          <w:color w:val="auto"/>
          <w:sz w:val="24"/>
          <w:szCs w:val="24"/>
        </w:rPr>
        <w:t>（1）依据有关法律、法规、工程建设强制性标准、设计文件及施工合同，对承包人报送</w:t>
      </w:r>
      <w:r>
        <w:rPr>
          <w:rFonts w:hint="eastAsia" w:ascii="宋体" w:hAnsi="宋体" w:cs="宋体"/>
          <w:color w:val="auto"/>
          <w:spacing w:val="-20"/>
          <w:sz w:val="24"/>
          <w:szCs w:val="24"/>
        </w:rPr>
        <w:t>的竣工资</w:t>
      </w:r>
      <w:r>
        <w:rPr>
          <w:rFonts w:hint="eastAsia" w:ascii="宋体" w:hAnsi="宋体" w:cs="宋体"/>
          <w:color w:val="auto"/>
          <w:sz w:val="24"/>
          <w:szCs w:val="24"/>
        </w:rPr>
        <w:t>料进行审查，并对</w:t>
      </w:r>
      <w:r>
        <w:rPr>
          <w:rFonts w:hint="eastAsia" w:ascii="宋体" w:hAnsi="宋体" w:cs="宋体"/>
          <w:color w:val="auto"/>
          <w:spacing w:val="-20"/>
          <w:sz w:val="24"/>
          <w:szCs w:val="24"/>
        </w:rPr>
        <w:t xml:space="preserve">工程质量进行竣工预验收。对存在的问题，应及时要求承包人整改。 </w:t>
      </w:r>
    </w:p>
    <w:p>
      <w:pPr>
        <w:pStyle w:val="12"/>
        <w:spacing w:after="0" w:line="362" w:lineRule="auto"/>
        <w:ind w:firstLine="480" w:firstLineChars="200"/>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pacing w:val="-1"/>
          <w:sz w:val="24"/>
          <w:szCs w:val="24"/>
        </w:rPr>
        <w:t>参加由委托人组织的竣工验收。对验收中提出的整改问题，督促承包人进行整改。</w:t>
      </w:r>
      <w:r>
        <w:rPr>
          <w:rFonts w:hint="eastAsia" w:ascii="宋体" w:hAnsi="宋体" w:cs="宋体"/>
          <w:color w:val="auto"/>
          <w:sz w:val="24"/>
          <w:szCs w:val="24"/>
        </w:rPr>
        <w:t>工程质量符合</w:t>
      </w:r>
      <w:r>
        <w:rPr>
          <w:rFonts w:hint="eastAsia" w:ascii="宋体" w:hAnsi="宋体" w:cs="宋体"/>
          <w:color w:val="auto"/>
          <w:spacing w:val="-3"/>
          <w:sz w:val="24"/>
          <w:szCs w:val="24"/>
        </w:rPr>
        <w:t>要求</w:t>
      </w:r>
      <w:r>
        <w:rPr>
          <w:rFonts w:hint="eastAsia" w:ascii="宋体" w:hAnsi="宋体" w:cs="宋体"/>
          <w:color w:val="auto"/>
          <w:sz w:val="24"/>
          <w:szCs w:val="24"/>
        </w:rPr>
        <w:t xml:space="preserve">，会同参加验收的各方签署竣工验收报告。 </w:t>
      </w:r>
    </w:p>
    <w:p>
      <w:pPr>
        <w:pStyle w:val="12"/>
        <w:spacing w:after="0" w:line="362" w:lineRule="auto"/>
        <w:ind w:firstLine="480" w:firstLineChars="200"/>
        <w:rPr>
          <w:rFonts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pacing w:val="-1"/>
          <w:sz w:val="24"/>
          <w:szCs w:val="24"/>
        </w:rPr>
        <w:t>根据有关文件规定，督促检查承包人完成各阶段及全套竣工图的工作和整理各种必</w:t>
      </w:r>
      <w:r>
        <w:rPr>
          <w:rFonts w:hint="eastAsia" w:ascii="宋体" w:hAnsi="宋体" w:cs="宋体"/>
          <w:color w:val="auto"/>
          <w:sz w:val="24"/>
          <w:szCs w:val="24"/>
        </w:rPr>
        <w:t xml:space="preserve">须归档的资料，办理工程竣工档案备案手续。 </w:t>
      </w:r>
    </w:p>
    <w:p>
      <w:pPr>
        <w:pStyle w:val="12"/>
        <w:spacing w:after="0" w:line="362" w:lineRule="auto"/>
        <w:ind w:firstLine="480" w:firstLineChars="200"/>
        <w:rPr>
          <w:rFonts w:ascii="宋体" w:hAnsi="宋体" w:cs="宋体"/>
          <w:color w:val="auto"/>
          <w:sz w:val="24"/>
          <w:szCs w:val="24"/>
        </w:rPr>
      </w:pPr>
      <w:r>
        <w:rPr>
          <w:rFonts w:hint="eastAsia" w:ascii="宋体" w:hAnsi="宋体" w:cs="宋体"/>
          <w:color w:val="auto"/>
          <w:sz w:val="24"/>
          <w:szCs w:val="24"/>
        </w:rPr>
        <w:t>（4）负责对项目实施过程中形成的声像材料按区及委托人有关规定进行归档整理后，移交</w:t>
      </w:r>
      <w:r>
        <w:rPr>
          <w:rFonts w:hint="eastAsia" w:ascii="宋体" w:hAnsi="宋体" w:cs="宋体"/>
          <w:color w:val="auto"/>
          <w:spacing w:val="-3"/>
          <w:sz w:val="24"/>
          <w:szCs w:val="24"/>
        </w:rPr>
        <w:t>委托人</w:t>
      </w:r>
      <w:r>
        <w:rPr>
          <w:rFonts w:hint="eastAsia" w:ascii="宋体" w:hAnsi="宋体" w:cs="宋体"/>
          <w:color w:val="auto"/>
          <w:sz w:val="24"/>
          <w:szCs w:val="24"/>
        </w:rPr>
        <w:t xml:space="preserve">。 </w:t>
      </w:r>
    </w:p>
    <w:p>
      <w:pPr>
        <w:pStyle w:val="12"/>
        <w:spacing w:after="0" w:line="362"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（5）组织或协助委托人、承包人和产权管理单位对项目进行移交。 </w:t>
      </w:r>
    </w:p>
    <w:p>
      <w:pPr>
        <w:pStyle w:val="12"/>
        <w:spacing w:after="0" w:line="362" w:lineRule="auto"/>
        <w:ind w:firstLine="480" w:firstLineChars="200"/>
        <w:rPr>
          <w:rFonts w:ascii="宋体" w:hAnsi="宋体" w:cs="宋体"/>
          <w:color w:val="auto"/>
          <w:sz w:val="24"/>
          <w:szCs w:val="24"/>
        </w:rPr>
      </w:pPr>
      <w:r>
        <w:rPr>
          <w:rFonts w:hint="eastAsia" w:ascii="宋体" w:hAnsi="宋体" w:cs="宋体"/>
          <w:color w:val="auto"/>
          <w:sz w:val="24"/>
          <w:szCs w:val="24"/>
        </w:rPr>
        <w:t>（6）按委托人</w:t>
      </w:r>
      <w:r>
        <w:rPr>
          <w:rFonts w:hint="eastAsia" w:ascii="宋体" w:hAnsi="宋体" w:cs="宋体"/>
          <w:color w:val="auto"/>
          <w:spacing w:val="-3"/>
          <w:sz w:val="24"/>
          <w:szCs w:val="24"/>
        </w:rPr>
        <w:t>施工</w:t>
      </w:r>
      <w:r>
        <w:rPr>
          <w:rFonts w:hint="eastAsia" w:ascii="宋体" w:hAnsi="宋体" w:cs="宋体"/>
          <w:color w:val="auto"/>
          <w:sz w:val="24"/>
          <w:szCs w:val="24"/>
        </w:rPr>
        <w:t>类合同结算编审要求及区有关规定组织编制及办理建设项目工程结算</w:t>
      </w:r>
      <w:r>
        <w:rPr>
          <w:rFonts w:hint="eastAsia" w:ascii="宋体" w:hAnsi="宋体" w:cs="宋体"/>
          <w:color w:val="auto"/>
          <w:spacing w:val="-8"/>
          <w:sz w:val="24"/>
          <w:szCs w:val="24"/>
        </w:rPr>
        <w:t xml:space="preserve">。工程完工经验收通过后 </w:t>
      </w:r>
      <w:r>
        <w:rPr>
          <w:rFonts w:hint="eastAsia" w:ascii="宋体" w:hAnsi="宋体" w:cs="宋体"/>
          <w:color w:val="auto"/>
          <w:sz w:val="24"/>
          <w:szCs w:val="24"/>
        </w:rPr>
        <w:t>45</w:t>
      </w:r>
      <w:r>
        <w:rPr>
          <w:rFonts w:hint="eastAsia" w:ascii="宋体" w:hAnsi="宋体" w:cs="宋体"/>
          <w:color w:val="auto"/>
          <w:spacing w:val="-7"/>
          <w:sz w:val="24"/>
          <w:szCs w:val="24"/>
        </w:rPr>
        <w:t xml:space="preserve"> 天内督促承包人提交工程结算文件，并在收到承包人结算资料后十</w:t>
      </w:r>
      <w:r>
        <w:rPr>
          <w:rFonts w:hint="eastAsia" w:ascii="宋体" w:hAnsi="宋体" w:cs="宋体"/>
          <w:color w:val="auto"/>
          <w:spacing w:val="-3"/>
          <w:sz w:val="24"/>
          <w:szCs w:val="24"/>
        </w:rPr>
        <w:t>日内</w:t>
      </w:r>
      <w:r>
        <w:rPr>
          <w:rFonts w:hint="eastAsia" w:ascii="宋体" w:hAnsi="宋体" w:cs="宋体"/>
          <w:color w:val="auto"/>
          <w:spacing w:val="-7"/>
          <w:sz w:val="24"/>
          <w:szCs w:val="24"/>
        </w:rPr>
        <w:t xml:space="preserve">，根据相关合同约定完成审核并提交委托人。 </w:t>
      </w:r>
    </w:p>
    <w:p>
      <w:pPr>
        <w:pStyle w:val="12"/>
        <w:spacing w:after="0" w:line="362" w:lineRule="auto"/>
        <w:ind w:firstLine="480" w:firstLineChars="200"/>
        <w:rPr>
          <w:rFonts w:ascii="宋体" w:hAnsi="宋体" w:cs="宋体"/>
          <w:color w:val="auto"/>
          <w:sz w:val="24"/>
          <w:szCs w:val="24"/>
        </w:rPr>
      </w:pPr>
      <w:r>
        <w:rPr>
          <w:rFonts w:hint="eastAsia" w:ascii="宋体" w:hAnsi="宋体" w:cs="宋体"/>
          <w:color w:val="auto"/>
          <w:sz w:val="24"/>
          <w:szCs w:val="24"/>
        </w:rPr>
        <w:t>9</w:t>
      </w:r>
      <w:r>
        <w:rPr>
          <w:rFonts w:hint="eastAsia" w:ascii="宋体" w:hAnsi="宋体" w:cs="宋体"/>
          <w:color w:val="auto"/>
          <w:spacing w:val="-1"/>
          <w:sz w:val="24"/>
          <w:szCs w:val="24"/>
        </w:rPr>
        <w:t>、督促承包人在工程保修期内对工程进行保修，对委托人提出的工程质量缺陷进行检查</w:t>
      </w:r>
      <w:r>
        <w:rPr>
          <w:rFonts w:hint="eastAsia" w:ascii="宋体" w:hAnsi="宋体" w:cs="宋体"/>
          <w:color w:val="auto"/>
          <w:spacing w:val="-10"/>
          <w:sz w:val="24"/>
          <w:szCs w:val="24"/>
        </w:rPr>
        <w:t>和记录，对承包人进行修复的工程质量进行验收，合格后予以签认。对工程质量缺陷原因进行</w:t>
      </w:r>
      <w:r>
        <w:rPr>
          <w:rFonts w:hint="eastAsia" w:ascii="宋体" w:hAnsi="宋体" w:cs="宋体"/>
          <w:color w:val="auto"/>
          <w:spacing w:val="-7"/>
          <w:sz w:val="24"/>
          <w:szCs w:val="24"/>
        </w:rPr>
        <w:t>调查分析并确定责任归属，对非承包人原因造成的工程质量缺陷，监理人员应核实修复工程的</w:t>
      </w:r>
      <w:r>
        <w:rPr>
          <w:rFonts w:hint="eastAsia" w:ascii="宋体" w:hAnsi="宋体" w:cs="宋体"/>
          <w:color w:val="auto"/>
          <w:sz w:val="24"/>
          <w:szCs w:val="24"/>
        </w:rPr>
        <w:t xml:space="preserve">费用和签署工程款支付证书，并报委托人。 </w:t>
      </w:r>
    </w:p>
    <w:p>
      <w:pPr>
        <w:pStyle w:val="12"/>
        <w:spacing w:after="0" w:line="362" w:lineRule="auto"/>
        <w:ind w:firstLine="480" w:firstLineChars="200"/>
        <w:rPr>
          <w:rFonts w:ascii="宋体" w:hAnsi="宋体" w:cs="宋体"/>
          <w:color w:val="auto"/>
          <w:sz w:val="24"/>
          <w:szCs w:val="24"/>
        </w:rPr>
      </w:pPr>
      <w:r>
        <w:rPr>
          <w:rFonts w:hint="eastAsia" w:ascii="宋体" w:hAnsi="宋体" w:cs="宋体"/>
          <w:color w:val="auto"/>
          <w:sz w:val="24"/>
          <w:szCs w:val="24"/>
        </w:rPr>
        <w:t>10</w:t>
      </w:r>
      <w:r>
        <w:rPr>
          <w:rFonts w:hint="eastAsia" w:ascii="宋体" w:hAnsi="宋体" w:cs="宋体"/>
          <w:color w:val="auto"/>
          <w:spacing w:val="-11"/>
          <w:sz w:val="24"/>
          <w:szCs w:val="24"/>
        </w:rPr>
        <w:t>、在整个监理服务期内，定期组织、主持现场工程协调会议，负责协调各承包人的配合</w:t>
      </w:r>
      <w:r>
        <w:rPr>
          <w:rFonts w:hint="eastAsia" w:ascii="宋体" w:hAnsi="宋体" w:cs="宋体"/>
          <w:color w:val="auto"/>
          <w:sz w:val="24"/>
          <w:szCs w:val="24"/>
        </w:rPr>
        <w:t>穿插施工</w:t>
      </w:r>
      <w:r>
        <w:rPr>
          <w:rFonts w:hint="eastAsia" w:ascii="宋体" w:hAnsi="宋体" w:cs="宋体"/>
          <w:color w:val="auto"/>
          <w:spacing w:val="-3"/>
          <w:sz w:val="24"/>
          <w:szCs w:val="24"/>
        </w:rPr>
        <w:t>安排</w:t>
      </w:r>
      <w:r>
        <w:rPr>
          <w:rFonts w:hint="eastAsia" w:ascii="宋体" w:hAnsi="宋体" w:cs="宋体"/>
          <w:color w:val="auto"/>
          <w:sz w:val="24"/>
          <w:szCs w:val="24"/>
        </w:rPr>
        <w:t xml:space="preserve">。 </w:t>
      </w:r>
    </w:p>
    <w:p>
      <w:pPr>
        <w:pStyle w:val="14"/>
        <w:widowControl/>
        <w:adjustRightInd w:val="0"/>
        <w:snapToGrid w:val="0"/>
        <w:spacing w:line="360" w:lineRule="auto"/>
        <w:ind w:firstLine="480" w:firstLineChars="200"/>
        <w:rPr>
          <w:color w:val="auto"/>
        </w:rPr>
      </w:pPr>
      <w:r>
        <w:rPr>
          <w:rFonts w:hint="eastAsia" w:hAnsi="宋体" w:cs="宋体"/>
          <w:color w:val="auto"/>
          <w:sz w:val="24"/>
          <w:szCs w:val="24"/>
        </w:rPr>
        <w:t xml:space="preserve">11、其他为完成本工程建设所需要的监理工作。 </w:t>
      </w:r>
    </w:p>
    <w:p>
      <w:pPr>
        <w:adjustRightInd w:val="0"/>
        <w:snapToGrid w:val="0"/>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3.监理依据：</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（1）适用的法律、行政法规及部门规章；</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（2）与工程有关的规范、标准、规程；</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（3）工程勘察文件、设计文件及其他文件；</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（4）本工程监理的委托合同及补充合同；</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（5）委托人签订的勘察、设计和施工承包合同；</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（6）合同履行中与监理服务有关的来往函件；</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（7）其他监理依据。</w:t>
      </w:r>
    </w:p>
    <w:p>
      <w:pPr>
        <w:spacing w:line="440" w:lineRule="exact"/>
        <w:ind w:firstLine="482" w:firstLineChars="200"/>
        <w:rPr>
          <w:rFonts w:ascii="宋体" w:hAnsi="宋体" w:cs="宋体"/>
          <w:b/>
          <w:color w:val="auto"/>
          <w:sz w:val="24"/>
          <w:szCs w:val="24"/>
        </w:rPr>
      </w:pPr>
      <w:r>
        <w:rPr>
          <w:rFonts w:hint="eastAsia" w:ascii="宋体" w:hAnsi="宋体" w:cs="宋体"/>
          <w:b/>
          <w:color w:val="auto"/>
          <w:sz w:val="24"/>
          <w:szCs w:val="24"/>
        </w:rPr>
        <w:t>4.监理的技术要求：</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（1）符合法律、行政法规及部门规章；</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（2）符合本工程有关的规范、标准、规程；</w:t>
      </w:r>
    </w:p>
    <w:p>
      <w:pPr>
        <w:spacing w:line="440" w:lineRule="exact"/>
        <w:ind w:firstLine="482" w:firstLineChars="200"/>
        <w:rPr>
          <w:rFonts w:ascii="宋体" w:hAnsi="宋体" w:cs="宋体"/>
          <w:b/>
          <w:color w:val="auto"/>
          <w:sz w:val="24"/>
          <w:szCs w:val="24"/>
        </w:rPr>
      </w:pPr>
      <w:r>
        <w:rPr>
          <w:rFonts w:hint="eastAsia" w:ascii="宋体" w:hAnsi="宋体" w:cs="宋体"/>
          <w:b/>
          <w:color w:val="auto"/>
          <w:sz w:val="24"/>
          <w:szCs w:val="24"/>
        </w:rPr>
        <w:t>5.监理人员、设备要求：</w:t>
      </w:r>
    </w:p>
    <w:p>
      <w:pPr>
        <w:spacing w:line="440" w:lineRule="exact"/>
        <w:ind w:firstLine="480" w:firstLineChars="200"/>
        <w:rPr>
          <w:rFonts w:ascii="宋体" w:hAnsi="宋体" w:cs="宋体"/>
          <w:b/>
          <w:color w:val="auto"/>
          <w:sz w:val="24"/>
          <w:szCs w:val="24"/>
        </w:rPr>
      </w:pPr>
      <w:r>
        <w:rPr>
          <w:rFonts w:hint="eastAsia" w:ascii="宋体" w:hAnsi="宋体" w:cs="宋体"/>
          <w:color w:val="auto"/>
          <w:sz w:val="24"/>
          <w:szCs w:val="24"/>
        </w:rPr>
        <w:t>（1）本项目拟投入的监理机构人员配备要求：</w:t>
      </w:r>
    </w:p>
    <w:tbl>
      <w:tblPr>
        <w:tblStyle w:val="23"/>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1350"/>
        <w:gridCol w:w="915"/>
        <w:gridCol w:w="3495"/>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6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bCs/>
                <w:color w:val="auto"/>
                <w:sz w:val="24"/>
                <w:szCs w:val="24"/>
              </w:rPr>
            </w:pPr>
            <w:r>
              <w:rPr>
                <w:rFonts w:hint="eastAsia" w:ascii="宋体" w:hAnsi="宋体" w:cs="宋体"/>
                <w:b/>
                <w:bCs/>
                <w:color w:val="auto"/>
                <w:sz w:val="24"/>
                <w:szCs w:val="24"/>
              </w:rPr>
              <w:t>岗位</w:t>
            </w:r>
          </w:p>
        </w:tc>
        <w:tc>
          <w:tcPr>
            <w:tcW w:w="13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bCs/>
                <w:color w:val="auto"/>
                <w:sz w:val="24"/>
                <w:szCs w:val="24"/>
              </w:rPr>
            </w:pPr>
            <w:r>
              <w:rPr>
                <w:rFonts w:hint="eastAsia" w:ascii="宋体" w:hAnsi="宋体" w:cs="宋体"/>
                <w:b/>
                <w:bCs/>
                <w:color w:val="auto"/>
                <w:sz w:val="24"/>
                <w:szCs w:val="24"/>
              </w:rPr>
              <w:t>人员要求</w:t>
            </w:r>
          </w:p>
        </w:tc>
        <w:tc>
          <w:tcPr>
            <w:tcW w:w="6324"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bCs/>
                <w:color w:val="auto"/>
                <w:sz w:val="24"/>
                <w:szCs w:val="24"/>
              </w:rPr>
            </w:pPr>
            <w:r>
              <w:rPr>
                <w:rFonts w:hint="eastAsia" w:ascii="宋体" w:hAnsi="宋体" w:cs="宋体"/>
                <w:b/>
                <w:bCs/>
                <w:color w:val="auto"/>
                <w:sz w:val="24"/>
                <w:szCs w:val="24"/>
              </w:rPr>
              <w:t>持证上岗要求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66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szCs w:val="24"/>
              </w:rPr>
            </w:pPr>
            <w:r>
              <w:rPr>
                <w:rFonts w:hint="eastAsia" w:ascii="宋体" w:hAnsi="宋体" w:cs="宋体"/>
                <w:color w:val="auto"/>
                <w:sz w:val="24"/>
                <w:szCs w:val="24"/>
              </w:rPr>
              <w:t>总监理工程师</w:t>
            </w:r>
          </w:p>
        </w:tc>
        <w:tc>
          <w:tcPr>
            <w:tcW w:w="13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szCs w:val="24"/>
              </w:rPr>
            </w:pPr>
            <w:r>
              <w:rPr>
                <w:rFonts w:ascii="宋体" w:hAnsi="宋体" w:cs="宋体"/>
                <w:color w:val="auto"/>
                <w:sz w:val="24"/>
                <w:szCs w:val="24"/>
              </w:rPr>
              <w:t>1名</w:t>
            </w:r>
          </w:p>
        </w:tc>
        <w:tc>
          <w:tcPr>
            <w:tcW w:w="6324"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szCs w:val="24"/>
              </w:rPr>
            </w:pPr>
            <w:r>
              <w:rPr>
                <w:rFonts w:hint="eastAsia" w:ascii="宋体" w:hAnsi="宋体" w:cs="宋体"/>
                <w:color w:val="auto"/>
                <w:sz w:val="24"/>
                <w:szCs w:val="24"/>
              </w:rPr>
              <w:t>要求为注册监理工程师、注册专业为市政公用工程，并具备本科或以上学历。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szCs w:val="24"/>
              </w:rPr>
            </w:pPr>
            <w:r>
              <w:rPr>
                <w:rFonts w:hint="eastAsia" w:ascii="宋体" w:hAnsi="宋体" w:cs="宋体"/>
                <w:color w:val="auto"/>
                <w:sz w:val="24"/>
                <w:szCs w:val="24"/>
              </w:rPr>
              <w:t>专业监理工程师（工程师职称以上）</w:t>
            </w:r>
          </w:p>
        </w:tc>
        <w:tc>
          <w:tcPr>
            <w:tcW w:w="13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szCs w:val="24"/>
              </w:rPr>
            </w:pPr>
            <w:r>
              <w:rPr>
                <w:rFonts w:hint="eastAsia" w:ascii="宋体" w:hAnsi="宋体" w:cs="宋体"/>
                <w:color w:val="auto"/>
                <w:sz w:val="24"/>
                <w:szCs w:val="24"/>
              </w:rPr>
              <w:t>不少于</w:t>
            </w:r>
            <w:r>
              <w:rPr>
                <w:rFonts w:hint="eastAsia" w:ascii="宋体" w:hAnsi="宋体" w:cs="宋体"/>
                <w:color w:val="auto"/>
                <w:sz w:val="24"/>
                <w:szCs w:val="24"/>
                <w:u w:val="single"/>
              </w:rPr>
              <w:t>18</w:t>
            </w:r>
            <w:r>
              <w:rPr>
                <w:rFonts w:ascii="宋体" w:hAnsi="宋体" w:cs="宋体"/>
                <w:color w:val="auto"/>
                <w:sz w:val="24"/>
                <w:szCs w:val="24"/>
                <w:u w:val="single"/>
              </w:rPr>
              <w:t xml:space="preserve"> </w:t>
            </w:r>
            <w:r>
              <w:rPr>
                <w:rFonts w:hint="eastAsia" w:ascii="宋体" w:hAnsi="宋体" w:cs="宋体"/>
                <w:color w:val="auto"/>
                <w:sz w:val="24"/>
                <w:szCs w:val="24"/>
              </w:rPr>
              <w:t>名</w:t>
            </w:r>
          </w:p>
        </w:tc>
        <w:tc>
          <w:tcPr>
            <w:tcW w:w="91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szCs w:val="24"/>
              </w:rPr>
            </w:pPr>
            <w:r>
              <w:rPr>
                <w:rFonts w:hint="eastAsia" w:ascii="宋体" w:hAnsi="宋体" w:cs="宋体"/>
                <w:color w:val="auto"/>
                <w:sz w:val="24"/>
                <w:szCs w:val="24"/>
              </w:rPr>
              <w:t>市政工程专业</w:t>
            </w:r>
          </w:p>
        </w:tc>
        <w:tc>
          <w:tcPr>
            <w:tcW w:w="3495" w:type="dxa"/>
            <w:tcBorders>
              <w:top w:val="single" w:color="auto" w:sz="4" w:space="0"/>
              <w:left w:val="single" w:color="auto" w:sz="4" w:space="0"/>
              <w:bottom w:val="single" w:color="auto" w:sz="4" w:space="0"/>
              <w:right w:val="single" w:color="auto" w:sz="4" w:space="0"/>
            </w:tcBorders>
            <w:vAlign w:val="center"/>
          </w:tcPr>
          <w:p>
            <w:pPr>
              <w:spacing w:line="440" w:lineRule="exact"/>
              <w:ind w:left="240" w:hanging="240" w:hangingChars="100"/>
              <w:rPr>
                <w:rFonts w:ascii="宋体" w:hAnsi="宋体" w:cs="宋体"/>
                <w:color w:val="auto"/>
                <w:sz w:val="24"/>
                <w:szCs w:val="24"/>
              </w:rPr>
            </w:pPr>
            <w:r>
              <w:rPr>
                <w:rFonts w:hint="eastAsia" w:ascii="宋体" w:hAnsi="宋体" w:cs="宋体"/>
                <w:color w:val="auto"/>
                <w:sz w:val="24"/>
                <w:szCs w:val="24"/>
              </w:rPr>
              <w:t>☑市政公用工程注册监理工程</w:t>
            </w:r>
          </w:p>
          <w:p>
            <w:pPr>
              <w:spacing w:line="440" w:lineRule="exact"/>
              <w:ind w:left="240" w:hanging="240" w:hangingChars="100"/>
              <w:rPr>
                <w:rFonts w:ascii="宋体" w:hAnsi="宋体" w:cs="宋体"/>
                <w:color w:val="auto"/>
                <w:sz w:val="24"/>
                <w:szCs w:val="24"/>
              </w:rPr>
            </w:pPr>
            <w:r>
              <w:rPr>
                <w:rFonts w:hint="eastAsia" w:ascii="宋体" w:hAnsi="宋体" w:cs="宋体"/>
                <w:color w:val="auto"/>
                <w:sz w:val="24"/>
                <w:szCs w:val="24"/>
              </w:rPr>
              <w:t>师</w:t>
            </w:r>
            <w:r>
              <w:rPr>
                <w:rFonts w:ascii="宋体" w:hAnsi="宋体" w:cs="宋体"/>
                <w:color w:val="auto"/>
                <w:sz w:val="24"/>
                <w:szCs w:val="24"/>
                <w:u w:val="single"/>
              </w:rPr>
              <w:t xml:space="preserve"> 1 </w:t>
            </w:r>
            <w:r>
              <w:rPr>
                <w:rFonts w:hint="eastAsia" w:ascii="宋体" w:hAnsi="宋体" w:cs="宋体"/>
                <w:color w:val="auto"/>
                <w:sz w:val="24"/>
                <w:szCs w:val="24"/>
              </w:rPr>
              <w:t>名。</w:t>
            </w:r>
            <w:r>
              <w:rPr>
                <w:rFonts w:ascii="宋体" w:hAnsi="宋体" w:cs="宋体"/>
                <w:color w:val="auto"/>
                <w:sz w:val="24"/>
                <w:szCs w:val="24"/>
              </w:rPr>
              <w:t xml:space="preserve">  </w:t>
            </w:r>
          </w:p>
          <w:p>
            <w:pPr>
              <w:spacing w:line="440" w:lineRule="exact"/>
              <w:ind w:left="240" w:hanging="240" w:hangingChars="100"/>
              <w:rPr>
                <w:rFonts w:ascii="宋体" w:hAnsi="宋体" w:cs="宋体"/>
                <w:color w:val="auto"/>
                <w:sz w:val="24"/>
                <w:szCs w:val="24"/>
              </w:rPr>
            </w:pPr>
            <w:r>
              <w:rPr>
                <w:rFonts w:hint="eastAsia" w:ascii="宋体" w:hAnsi="宋体" w:cs="宋体"/>
                <w:color w:val="auto"/>
                <w:sz w:val="24"/>
                <w:szCs w:val="24"/>
              </w:rPr>
              <w:t>☑工民建（建筑、土木）</w:t>
            </w:r>
          </w:p>
          <w:p>
            <w:pPr>
              <w:rPr>
                <w:rFonts w:ascii="宋体" w:hAnsi="宋体" w:cs="宋体"/>
                <w:color w:val="auto"/>
                <w:sz w:val="24"/>
                <w:szCs w:val="24"/>
              </w:rPr>
            </w:pPr>
            <w:r>
              <w:rPr>
                <w:rFonts w:hint="eastAsia" w:ascii="宋体" w:hAnsi="宋体" w:cs="宋体"/>
                <w:color w:val="auto"/>
                <w:sz w:val="24"/>
                <w:szCs w:val="24"/>
              </w:rPr>
              <w:t>☑给排水、☑电气、强电、弱电</w:t>
            </w:r>
          </w:p>
          <w:p>
            <w:pPr>
              <w:rPr>
                <w:rFonts w:ascii="宋体" w:hAnsi="宋体" w:cs="宋体"/>
                <w:color w:val="auto"/>
                <w:sz w:val="24"/>
                <w:szCs w:val="24"/>
              </w:rPr>
            </w:pPr>
            <w:r>
              <w:rPr>
                <w:rFonts w:hint="eastAsia" w:ascii="宋体" w:hAnsi="宋体" w:cs="宋体"/>
                <w:color w:val="auto"/>
                <w:sz w:val="24"/>
                <w:szCs w:val="24"/>
              </w:rPr>
              <w:t>☑测量、☑交通、☑机电安装</w:t>
            </w:r>
          </w:p>
          <w:p>
            <w:pPr>
              <w:spacing w:line="440" w:lineRule="exact"/>
              <w:rPr>
                <w:rFonts w:ascii="宋体" w:hAnsi="宋体" w:cs="宋体"/>
                <w:color w:val="auto"/>
                <w:sz w:val="24"/>
                <w:szCs w:val="24"/>
              </w:rPr>
            </w:pPr>
            <w:r>
              <w:rPr>
                <w:rFonts w:hint="eastAsia" w:ascii="宋体" w:hAnsi="宋体" w:cs="宋体"/>
                <w:color w:val="auto"/>
                <w:sz w:val="24"/>
                <w:szCs w:val="24"/>
              </w:rPr>
              <w:t>☑造价。</w:t>
            </w:r>
          </w:p>
        </w:tc>
        <w:tc>
          <w:tcPr>
            <w:tcW w:w="19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szCs w:val="24"/>
              </w:rPr>
            </w:pPr>
            <w:r>
              <w:rPr>
                <w:rFonts w:hint="eastAsia" w:ascii="宋体" w:hAnsi="宋体" w:cs="宋体"/>
                <w:color w:val="auto"/>
                <w:sz w:val="24"/>
                <w:szCs w:val="24"/>
              </w:rPr>
              <w:t>专业以监理工程师注册证或专业监理工程师证或职称证中的专业名称（含相近专业）为准；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66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szCs w:val="24"/>
              </w:rPr>
            </w:pPr>
            <w:r>
              <w:rPr>
                <w:rFonts w:hint="eastAsia" w:ascii="宋体" w:hAnsi="宋体" w:cs="宋体"/>
                <w:color w:val="auto"/>
                <w:sz w:val="24"/>
                <w:szCs w:val="24"/>
              </w:rPr>
              <w:t>造价工程师</w:t>
            </w:r>
          </w:p>
        </w:tc>
        <w:tc>
          <w:tcPr>
            <w:tcW w:w="13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szCs w:val="24"/>
              </w:rPr>
            </w:pPr>
            <w:r>
              <w:rPr>
                <w:rFonts w:ascii="宋体" w:hAnsi="宋体" w:cs="宋体"/>
                <w:color w:val="auto"/>
                <w:sz w:val="24"/>
                <w:szCs w:val="24"/>
                <w:u w:val="single"/>
              </w:rPr>
              <w:t xml:space="preserve"> 1 </w:t>
            </w:r>
            <w:r>
              <w:rPr>
                <w:rFonts w:hint="eastAsia" w:ascii="宋体" w:hAnsi="宋体" w:cs="宋体"/>
                <w:color w:val="auto"/>
                <w:sz w:val="24"/>
                <w:szCs w:val="24"/>
              </w:rPr>
              <w:t>名</w:t>
            </w:r>
          </w:p>
        </w:tc>
        <w:tc>
          <w:tcPr>
            <w:tcW w:w="6324"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szCs w:val="24"/>
              </w:rPr>
            </w:pPr>
            <w:r>
              <w:rPr>
                <w:rFonts w:hint="eastAsia" w:ascii="宋体" w:hAnsi="宋体" w:cs="宋体"/>
                <w:color w:val="auto"/>
                <w:sz w:val="24"/>
                <w:szCs w:val="24"/>
              </w:rPr>
              <w:t>具备国家注册造价工程师资格或注册一级造价工程师资格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szCs w:val="24"/>
              </w:rPr>
            </w:pPr>
            <w:r>
              <w:rPr>
                <w:rFonts w:hint="eastAsia" w:ascii="宋体" w:hAnsi="宋体" w:cs="宋体"/>
                <w:color w:val="auto"/>
                <w:sz w:val="24"/>
                <w:szCs w:val="24"/>
              </w:rPr>
              <w:t>监理员</w:t>
            </w:r>
          </w:p>
        </w:tc>
        <w:tc>
          <w:tcPr>
            <w:tcW w:w="13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szCs w:val="24"/>
              </w:rPr>
            </w:pPr>
            <w:r>
              <w:rPr>
                <w:rFonts w:ascii="宋体" w:hAnsi="宋体" w:cs="宋体"/>
                <w:color w:val="auto"/>
                <w:sz w:val="24"/>
                <w:szCs w:val="24"/>
                <w:u w:val="single"/>
              </w:rPr>
              <w:t xml:space="preserve"> 2 </w:t>
            </w:r>
            <w:r>
              <w:rPr>
                <w:rFonts w:hint="eastAsia" w:ascii="宋体" w:hAnsi="宋体" w:cs="宋体"/>
                <w:color w:val="auto"/>
                <w:sz w:val="24"/>
                <w:szCs w:val="24"/>
              </w:rPr>
              <w:t>名</w:t>
            </w:r>
          </w:p>
        </w:tc>
        <w:tc>
          <w:tcPr>
            <w:tcW w:w="6324"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szCs w:val="24"/>
              </w:rPr>
            </w:pPr>
            <w:r>
              <w:rPr>
                <w:rFonts w:hint="eastAsia" w:ascii="宋体" w:hAnsi="宋体" w:cs="宋体"/>
                <w:color w:val="auto"/>
                <w:sz w:val="24"/>
                <w:szCs w:val="24"/>
              </w:rPr>
              <w:t>监理员</w:t>
            </w:r>
            <w:r>
              <w:rPr>
                <w:rFonts w:ascii="宋体" w:hAnsi="宋体" w:cs="宋体"/>
                <w:color w:val="auto"/>
                <w:sz w:val="24"/>
                <w:szCs w:val="24"/>
                <w:u w:val="single"/>
              </w:rPr>
              <w:t xml:space="preserve"> 2 </w:t>
            </w:r>
            <w:r>
              <w:rPr>
                <w:rFonts w:hint="eastAsia" w:ascii="宋体" w:hAnsi="宋体" w:cs="宋体"/>
                <w:color w:val="auto"/>
                <w:sz w:val="24"/>
                <w:szCs w:val="24"/>
              </w:rPr>
              <w:t>人或以上，具备监理员证，要求专业对口</w:t>
            </w:r>
          </w:p>
          <w:p>
            <w:pPr>
              <w:spacing w:line="440" w:lineRule="exact"/>
              <w:jc w:val="center"/>
              <w:rPr>
                <w:rFonts w:ascii="宋体" w:hAnsi="宋体" w:cs="宋体"/>
                <w:color w:val="auto"/>
                <w:sz w:val="24"/>
                <w:szCs w:val="24"/>
              </w:rPr>
            </w:pPr>
            <w:r>
              <w:rPr>
                <w:rFonts w:hint="eastAsia" w:ascii="宋体" w:hAnsi="宋体" w:cs="宋体"/>
                <w:color w:val="auto"/>
                <w:sz w:val="24"/>
                <w:szCs w:val="24"/>
              </w:rPr>
              <w:t>（以岗位证或职称证或毕业证中的专业为准）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szCs w:val="24"/>
              </w:rPr>
            </w:pPr>
            <w:r>
              <w:rPr>
                <w:rFonts w:hint="eastAsia" w:ascii="宋体" w:hAnsi="宋体" w:cs="宋体"/>
                <w:color w:val="auto"/>
                <w:sz w:val="24"/>
                <w:szCs w:val="24"/>
              </w:rPr>
              <w:t>安全员</w:t>
            </w:r>
          </w:p>
        </w:tc>
        <w:tc>
          <w:tcPr>
            <w:tcW w:w="13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szCs w:val="24"/>
                <w:u w:val="single"/>
              </w:rPr>
            </w:pPr>
            <w:r>
              <w:rPr>
                <w:rFonts w:ascii="宋体" w:hAnsi="宋体" w:cs="宋体"/>
                <w:color w:val="auto"/>
                <w:sz w:val="24"/>
                <w:szCs w:val="24"/>
                <w:u w:val="single"/>
              </w:rPr>
              <w:t xml:space="preserve"> 1 </w:t>
            </w:r>
            <w:r>
              <w:rPr>
                <w:rFonts w:hint="eastAsia" w:ascii="宋体" w:hAnsi="宋体" w:cs="宋体"/>
                <w:color w:val="auto"/>
                <w:sz w:val="24"/>
                <w:szCs w:val="24"/>
              </w:rPr>
              <w:t>名</w:t>
            </w:r>
          </w:p>
        </w:tc>
        <w:tc>
          <w:tcPr>
            <w:tcW w:w="6324"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szCs w:val="24"/>
              </w:rPr>
            </w:pPr>
            <w:r>
              <w:rPr>
                <w:rFonts w:hint="eastAsia" w:ascii="宋体" w:hAnsi="宋体" w:cs="宋体"/>
                <w:color w:val="auto"/>
                <w:sz w:val="24"/>
                <w:szCs w:val="24"/>
              </w:rPr>
              <w:t>具备安全员证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66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szCs w:val="24"/>
              </w:rPr>
            </w:pPr>
            <w:r>
              <w:rPr>
                <w:rFonts w:hint="eastAsia" w:ascii="宋体" w:hAnsi="宋体" w:cs="宋体"/>
                <w:color w:val="auto"/>
                <w:sz w:val="24"/>
                <w:szCs w:val="24"/>
              </w:rPr>
              <w:t>总计</w:t>
            </w:r>
          </w:p>
        </w:tc>
        <w:tc>
          <w:tcPr>
            <w:tcW w:w="13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szCs w:val="24"/>
              </w:rPr>
            </w:pPr>
            <w:r>
              <w:rPr>
                <w:rFonts w:hint="eastAsia" w:ascii="宋体" w:hAnsi="宋体" w:cs="宋体"/>
                <w:color w:val="auto"/>
                <w:sz w:val="24"/>
                <w:szCs w:val="24"/>
              </w:rPr>
              <w:t>不少于</w:t>
            </w:r>
            <w:r>
              <w:rPr>
                <w:rFonts w:hint="eastAsia" w:ascii="宋体" w:hAnsi="宋体" w:cs="宋体"/>
                <w:color w:val="auto"/>
                <w:sz w:val="24"/>
                <w:szCs w:val="24"/>
                <w:u w:val="single"/>
              </w:rPr>
              <w:t>23</w:t>
            </w:r>
            <w:r>
              <w:rPr>
                <w:rFonts w:hint="eastAsia" w:ascii="宋体" w:hAnsi="宋体" w:cs="宋体"/>
                <w:color w:val="auto"/>
                <w:sz w:val="24"/>
                <w:szCs w:val="24"/>
              </w:rPr>
              <w:t>名</w:t>
            </w:r>
          </w:p>
        </w:tc>
        <w:tc>
          <w:tcPr>
            <w:tcW w:w="6324"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szCs w:val="24"/>
              </w:rPr>
            </w:pPr>
          </w:p>
        </w:tc>
      </w:tr>
    </w:tbl>
    <w:p>
      <w:pPr>
        <w:spacing w:line="440" w:lineRule="exact"/>
        <w:ind w:firstLine="480" w:firstLineChars="200"/>
        <w:rPr>
          <w:rFonts w:ascii="宋体" w:hAnsi="宋体" w:cs="宋体"/>
          <w:color w:val="auto"/>
          <w:sz w:val="24"/>
        </w:rPr>
      </w:pPr>
      <w:r>
        <w:rPr>
          <w:rFonts w:hint="eastAsia" w:ascii="宋体" w:hAnsi="宋体" w:cs="宋体"/>
          <w:color w:val="auto"/>
          <w:sz w:val="24"/>
        </w:rPr>
        <w:t>注：1）表中所列人员配备为最低限度要求，招标单位可根据实际施工进度、施工作业面及专业需要，要求中标单位配备足够专业监理人员，所有监理人员均须身体健康。投标人提供的人员须为投标人在职员工，并</w:t>
      </w:r>
      <w:r>
        <w:rPr>
          <w:rFonts w:hint="eastAsia" w:ascii="宋体" w:hAnsi="宋体" w:cs="宋体"/>
          <w:color w:val="auto"/>
          <w:sz w:val="24"/>
          <w:u w:val="single"/>
        </w:rPr>
        <w:t>提供近一个月（即招标公告发布当月的前一个月）</w:t>
      </w:r>
      <w:r>
        <w:rPr>
          <w:rFonts w:hint="eastAsia" w:ascii="宋体" w:hAnsi="宋体" w:cs="宋体"/>
          <w:color w:val="auto"/>
          <w:sz w:val="24"/>
        </w:rPr>
        <w:t>社保缴纳证明（社保缴纳期限包含新型冠状病毒疫情期的，若当地政府部门允许企业在疫情期间缓缴社会保险费且投标人未缴纳的，投标人可提供当地政府部门允许缓缴社保的相关文件作为缴纳社保的证明。确定中标人后，招标人将采取有效措施，核实后续中标人管理团队的社保补缴情况。）原件清晰彩色扫描件。</w:t>
      </w:r>
    </w:p>
    <w:p>
      <w:pPr>
        <w:spacing w:line="360" w:lineRule="auto"/>
        <w:ind w:firstLine="480" w:firstLineChars="200"/>
        <w:rPr>
          <w:rFonts w:ascii="宋体" w:hAnsi="宋体" w:cs="宋体"/>
          <w:color w:val="auto"/>
          <w:sz w:val="24"/>
        </w:rPr>
      </w:pPr>
      <w:r>
        <w:rPr>
          <w:rFonts w:hint="eastAsia" w:ascii="宋体" w:hAnsi="宋体" w:cs="宋体"/>
          <w:color w:val="auto"/>
          <w:sz w:val="24"/>
        </w:rPr>
        <w:t>2）有效的注册造价工程师指根据原人事部、原建设部发布的《造价工程师执业资格制度暂行规定》（人发〔1996〕77号）取得的造价工程师执业资格，并经注册且在有效期内；有效的注册一级造价工程师资格指根据住房城乡建设部、交通运输部、水利部、人力资源社会保障部发布的《造价工程师职业资格制度规定》《造价工程师职业资格考试实施办法》（建人〔2018〕67号）取得的一级造价工程师职业资格，并经注册且在有效期内。</w:t>
      </w:r>
    </w:p>
    <w:p>
      <w:pPr>
        <w:spacing w:line="360" w:lineRule="auto"/>
        <w:ind w:firstLine="480" w:firstLineChars="200"/>
        <w:rPr>
          <w:rFonts w:ascii="宋体" w:hAnsi="宋体" w:cs="宋体"/>
          <w:color w:val="auto"/>
          <w:sz w:val="24"/>
        </w:rPr>
      </w:pPr>
      <w:r>
        <w:rPr>
          <w:rFonts w:ascii="宋体" w:hAnsi="宋体" w:cs="宋体"/>
          <w:color w:val="auto"/>
          <w:sz w:val="24"/>
        </w:rPr>
        <w:t>3）本表不作为形式评审、资格评审、响应性评审的审查依据，只作为综合评分表中</w:t>
      </w:r>
      <w:r>
        <w:rPr>
          <w:rFonts w:hint="eastAsia" w:ascii="宋体" w:hAnsi="宋体" w:cs="宋体"/>
          <w:color w:val="auto"/>
          <w:sz w:val="24"/>
        </w:rPr>
        <w:t>相关人员的评审依据。</w:t>
      </w:r>
    </w:p>
    <w:p>
      <w:pPr>
        <w:spacing w:line="360" w:lineRule="auto"/>
        <w:ind w:firstLine="480" w:firstLineChars="200"/>
        <w:rPr>
          <w:rFonts w:ascii="宋体" w:hAnsi="宋体" w:cs="宋体"/>
          <w:color w:val="auto"/>
          <w:sz w:val="24"/>
        </w:rPr>
      </w:pPr>
      <w:r>
        <w:rPr>
          <w:rFonts w:hint="eastAsia" w:ascii="宋体" w:hAnsi="宋体" w:cs="宋体"/>
          <w:color w:val="auto"/>
          <w:sz w:val="24"/>
        </w:rPr>
        <w:t>（2）设备要求：/。</w:t>
      </w:r>
    </w:p>
    <w:p>
      <w:pPr>
        <w:spacing w:line="360" w:lineRule="auto"/>
        <w:ind w:firstLine="482" w:firstLineChars="200"/>
        <w:rPr>
          <w:rFonts w:ascii="宋体" w:hAnsi="宋体" w:cs="宋体"/>
          <w:b/>
          <w:color w:val="auto"/>
          <w:sz w:val="24"/>
          <w:szCs w:val="24"/>
        </w:rPr>
      </w:pPr>
      <w:r>
        <w:rPr>
          <w:rFonts w:ascii="宋体" w:hAnsi="宋体" w:cs="宋体"/>
          <w:b/>
          <w:color w:val="auto"/>
          <w:sz w:val="24"/>
          <w:szCs w:val="24"/>
        </w:rPr>
        <w:t>6.监理文件要求：</w:t>
      </w:r>
    </w:p>
    <w:p>
      <w:pPr>
        <w:spacing w:line="360" w:lineRule="auto"/>
        <w:ind w:firstLine="480" w:firstLineChars="200"/>
        <w:rPr>
          <w:rFonts w:ascii="宋体"/>
          <w:color w:val="auto"/>
          <w:sz w:val="24"/>
          <w:szCs w:val="24"/>
        </w:rPr>
      </w:pPr>
      <w:r>
        <w:rPr>
          <w:rFonts w:hint="eastAsia" w:ascii="宋体" w:hAnsi="宋体" w:cs="宋体"/>
          <w:color w:val="auto"/>
          <w:sz w:val="24"/>
          <w:szCs w:val="24"/>
        </w:rPr>
        <w:t>本工程监理文件包括监理管理文件、质量监理文件、安全监理文件、环保监理文件、费用与进度监理文件、合同事项管理文件，以及监理日志、巡视记录、旁站记录、监理月报、监理工作报告等其他监理文件和影像资料，具体类别、编制要求、编制内容、提交时间和份数等应满足相关法律法规的规定。</w:t>
      </w:r>
    </w:p>
    <w:p>
      <w:pPr>
        <w:spacing w:line="360" w:lineRule="auto"/>
        <w:ind w:firstLine="482" w:firstLineChars="200"/>
        <w:rPr>
          <w:color w:val="auto"/>
        </w:rPr>
      </w:pPr>
      <w:r>
        <w:rPr>
          <w:rFonts w:ascii="宋体"/>
          <w:b/>
          <w:color w:val="auto"/>
          <w:sz w:val="24"/>
          <w:szCs w:val="24"/>
        </w:rPr>
        <w:t>7.</w:t>
      </w:r>
      <w:r>
        <w:rPr>
          <w:rFonts w:hint="eastAsia" w:ascii="宋体"/>
          <w:b/>
          <w:color w:val="auto"/>
          <w:sz w:val="24"/>
          <w:szCs w:val="24"/>
        </w:rPr>
        <w:t>监理工作目标要求</w:t>
      </w:r>
    </w:p>
    <w:p>
      <w:pPr>
        <w:spacing w:line="360" w:lineRule="auto"/>
        <w:ind w:firstLine="480" w:firstLineChars="200"/>
        <w:rPr>
          <w:rFonts w:ascii="宋体"/>
          <w:color w:val="auto"/>
          <w:sz w:val="24"/>
          <w:szCs w:val="24"/>
        </w:rPr>
      </w:pPr>
      <w:r>
        <w:rPr>
          <w:rFonts w:hint="eastAsia" w:ascii="宋体"/>
          <w:color w:val="auto"/>
          <w:sz w:val="24"/>
          <w:szCs w:val="24"/>
        </w:rPr>
        <w:t>①质量控制目标：执行国家、地方或行业现行的工程建设质量验收标准及规范，须达到合格标准。</w:t>
      </w:r>
    </w:p>
    <w:p>
      <w:pPr>
        <w:spacing w:line="360" w:lineRule="auto"/>
        <w:ind w:firstLine="480" w:firstLineChars="200"/>
        <w:rPr>
          <w:rFonts w:ascii="宋体"/>
          <w:color w:val="auto"/>
          <w:sz w:val="24"/>
          <w:szCs w:val="24"/>
        </w:rPr>
      </w:pPr>
      <w:r>
        <w:rPr>
          <w:rFonts w:hint="eastAsia" w:ascii="宋体"/>
          <w:color w:val="auto"/>
          <w:sz w:val="24"/>
          <w:szCs w:val="24"/>
        </w:rPr>
        <w:t>②进度控制目标：施工工期为业主下达开工令或开工报告审批之日起。按施工进度要求控制。</w:t>
      </w:r>
    </w:p>
    <w:p>
      <w:pPr>
        <w:spacing w:line="360" w:lineRule="auto"/>
        <w:ind w:firstLine="480" w:firstLineChars="200"/>
        <w:rPr>
          <w:rFonts w:ascii="宋体"/>
          <w:color w:val="auto"/>
          <w:sz w:val="24"/>
          <w:szCs w:val="24"/>
        </w:rPr>
      </w:pPr>
      <w:r>
        <w:rPr>
          <w:rFonts w:hint="eastAsia" w:ascii="宋体"/>
          <w:color w:val="auto"/>
          <w:sz w:val="24"/>
          <w:szCs w:val="24"/>
        </w:rPr>
        <w:t>③造价控制目标：造价控制在采购人确认的工程投资总概算及预算内。</w:t>
      </w:r>
    </w:p>
    <w:p>
      <w:pPr>
        <w:spacing w:line="360" w:lineRule="auto"/>
        <w:ind w:firstLine="480" w:firstLineChars="200"/>
        <w:rPr>
          <w:rFonts w:ascii="宋体"/>
          <w:color w:val="auto"/>
          <w:sz w:val="24"/>
          <w:szCs w:val="24"/>
        </w:rPr>
      </w:pPr>
      <w:r>
        <w:rPr>
          <w:rFonts w:hint="eastAsia" w:ascii="宋体"/>
          <w:color w:val="auto"/>
          <w:sz w:val="24"/>
          <w:szCs w:val="24"/>
        </w:rPr>
        <w:t>④安全文明管理目标：确保工程无重大安全事故。</w:t>
      </w:r>
    </w:p>
    <w:p>
      <w:pPr>
        <w:spacing w:line="360" w:lineRule="auto"/>
        <w:ind w:firstLine="480" w:firstLineChars="200"/>
        <w:rPr>
          <w:rFonts w:ascii="宋体"/>
          <w:color w:val="auto"/>
          <w:sz w:val="24"/>
          <w:szCs w:val="24"/>
        </w:rPr>
      </w:pPr>
      <w:r>
        <w:rPr>
          <w:rFonts w:hint="eastAsia" w:ascii="宋体"/>
          <w:color w:val="auto"/>
          <w:sz w:val="24"/>
          <w:szCs w:val="24"/>
        </w:rPr>
        <w:t>⑤合同管理目标：\</w:t>
      </w:r>
    </w:p>
    <w:p>
      <w:pPr>
        <w:spacing w:line="360" w:lineRule="auto"/>
        <w:ind w:firstLine="480" w:firstLineChars="200"/>
        <w:rPr>
          <w:rFonts w:ascii="宋体"/>
          <w:color w:val="auto"/>
          <w:sz w:val="24"/>
          <w:szCs w:val="24"/>
        </w:rPr>
      </w:pPr>
      <w:r>
        <w:rPr>
          <w:rFonts w:hint="eastAsia" w:ascii="宋体"/>
          <w:color w:val="auto"/>
          <w:sz w:val="24"/>
          <w:szCs w:val="24"/>
        </w:rPr>
        <w:t>⑥信息管理目标：\</w:t>
      </w:r>
    </w:p>
    <w:p>
      <w:pPr>
        <w:spacing w:line="360" w:lineRule="auto"/>
        <w:ind w:firstLine="480" w:firstLineChars="200"/>
        <w:rPr>
          <w:rFonts w:ascii="宋体"/>
          <w:color w:val="auto"/>
          <w:sz w:val="24"/>
          <w:szCs w:val="24"/>
        </w:rPr>
      </w:pPr>
      <w:r>
        <w:rPr>
          <w:rFonts w:hint="eastAsia" w:ascii="宋体"/>
          <w:color w:val="auto"/>
          <w:sz w:val="24"/>
          <w:szCs w:val="24"/>
        </w:rPr>
        <w:t>⑦建筑节能目标：\</w:t>
      </w:r>
    </w:p>
    <w:p>
      <w:pPr>
        <w:spacing w:line="360" w:lineRule="auto"/>
        <w:ind w:firstLine="480" w:firstLineChars="200"/>
        <w:rPr>
          <w:rFonts w:ascii="宋体"/>
          <w:color w:val="auto"/>
          <w:sz w:val="24"/>
          <w:szCs w:val="24"/>
        </w:rPr>
      </w:pPr>
      <w:r>
        <w:rPr>
          <w:rFonts w:hint="eastAsia" w:ascii="宋体"/>
          <w:color w:val="auto"/>
          <w:sz w:val="24"/>
          <w:szCs w:val="24"/>
        </w:rPr>
        <w:t>8. 其他要求：\。</w:t>
      </w:r>
    </w:p>
    <w:p>
      <w:pPr>
        <w:pStyle w:val="5"/>
        <w:keepNext w:val="0"/>
        <w:keepLines w:val="0"/>
        <w:spacing w:before="0" w:after="0" w:line="360" w:lineRule="auto"/>
        <w:ind w:firstLine="560" w:firstLineChars="200"/>
        <w:rPr>
          <w:rFonts w:ascii="Times New Roman" w:hAnsi="Times New Roman"/>
          <w:b w:val="0"/>
          <w:color w:val="auto"/>
          <w:sz w:val="28"/>
          <w:szCs w:val="28"/>
        </w:rPr>
      </w:pPr>
      <w:bookmarkStart w:id="578" w:name="_Toc89870624"/>
      <w:bookmarkStart w:id="579" w:name="_Toc511557111"/>
      <w:bookmarkStart w:id="580" w:name="_Toc482188638"/>
      <w:bookmarkStart w:id="581" w:name="_Toc527028521"/>
      <w:r>
        <w:rPr>
          <w:rFonts w:ascii="Times New Roman" w:hAnsi="Times New Roman"/>
          <w:b w:val="0"/>
          <w:color w:val="auto"/>
          <w:sz w:val="28"/>
          <w:szCs w:val="28"/>
        </w:rPr>
        <w:t>二、适用规范标准</w:t>
      </w:r>
      <w:bookmarkEnd w:id="578"/>
      <w:bookmarkEnd w:id="579"/>
      <w:bookmarkEnd w:id="580"/>
      <w:bookmarkEnd w:id="581"/>
    </w:p>
    <w:p>
      <w:pPr>
        <w:spacing w:line="360" w:lineRule="auto"/>
        <w:ind w:firstLine="480" w:firstLineChars="200"/>
        <w:rPr>
          <w:rFonts w:ascii="宋体"/>
          <w:color w:val="auto"/>
          <w:sz w:val="24"/>
          <w:szCs w:val="24"/>
        </w:rPr>
      </w:pPr>
      <w:r>
        <w:rPr>
          <w:rFonts w:ascii="Times New Roman" w:hAnsi="Times New Roman"/>
          <w:color w:val="auto"/>
          <w:sz w:val="24"/>
          <w:szCs w:val="24"/>
        </w:rPr>
        <w:t>1. 国家、行业、项目所在地规范名录</w:t>
      </w:r>
      <w:r>
        <w:rPr>
          <w:rFonts w:hint="eastAsia" w:ascii="Times New Roman" w:hAnsi="Times New Roman"/>
          <w:color w:val="auto"/>
          <w:sz w:val="24"/>
          <w:szCs w:val="24"/>
        </w:rPr>
        <w:t>：</w:t>
      </w:r>
      <w:r>
        <w:rPr>
          <w:rFonts w:hint="eastAsia" w:ascii="宋体" w:hAnsi="宋体"/>
          <w:color w:val="auto"/>
          <w:sz w:val="24"/>
          <w:szCs w:val="24"/>
          <w:u w:val="single"/>
        </w:rPr>
        <w:t>《建设工程监理规范》</w:t>
      </w:r>
      <w:r>
        <w:rPr>
          <w:rFonts w:ascii="宋体" w:hAnsi="宋体"/>
          <w:color w:val="auto"/>
          <w:sz w:val="24"/>
          <w:szCs w:val="24"/>
          <w:u w:val="single"/>
        </w:rPr>
        <w:t>GB/T50319-2013</w:t>
      </w:r>
      <w:r>
        <w:rPr>
          <w:rFonts w:hint="eastAsia" w:ascii="宋体" w:hAnsi="宋体"/>
          <w:color w:val="auto"/>
          <w:sz w:val="24"/>
          <w:szCs w:val="24"/>
          <w:u w:val="single"/>
        </w:rPr>
        <w:t>，按国家、行业、项目所在地规范名录执行。</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2. 国家、行业、项目所在地标准名录</w:t>
      </w:r>
      <w:r>
        <w:rPr>
          <w:rFonts w:hint="eastAsia" w:ascii="Times New Roman" w:hAnsi="Times New Roman"/>
          <w:color w:val="auto"/>
          <w:sz w:val="24"/>
          <w:szCs w:val="24"/>
        </w:rPr>
        <w:t>：</w:t>
      </w:r>
      <w:r>
        <w:rPr>
          <w:rFonts w:hint="eastAsia" w:ascii="宋体" w:hAnsi="宋体"/>
          <w:color w:val="auto"/>
          <w:sz w:val="24"/>
          <w:szCs w:val="24"/>
          <w:u w:val="single"/>
        </w:rPr>
        <w:t>按国家、行业、项目所在地规范标准执行。</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3. 国家、行业、项目所在地规程名录</w:t>
      </w:r>
      <w:r>
        <w:rPr>
          <w:rFonts w:hint="eastAsia" w:ascii="宋体" w:hAnsi="宋体"/>
          <w:color w:val="auto"/>
          <w:sz w:val="24"/>
          <w:szCs w:val="24"/>
        </w:rPr>
        <w:t>：</w:t>
      </w:r>
      <w:r>
        <w:rPr>
          <w:rFonts w:hint="eastAsia" w:ascii="宋体" w:hAnsi="宋体"/>
          <w:color w:val="auto"/>
          <w:sz w:val="24"/>
          <w:szCs w:val="24"/>
          <w:u w:val="single"/>
        </w:rPr>
        <w:t>按国家、行业、项目所在地规范规程执行。</w:t>
      </w:r>
    </w:p>
    <w:p>
      <w:pPr>
        <w:pStyle w:val="5"/>
        <w:keepNext w:val="0"/>
        <w:keepLines w:val="0"/>
        <w:spacing w:before="0" w:after="0" w:line="360" w:lineRule="auto"/>
        <w:ind w:firstLine="560" w:firstLineChars="200"/>
        <w:rPr>
          <w:rFonts w:ascii="Times New Roman" w:hAnsi="Times New Roman"/>
          <w:b w:val="0"/>
          <w:color w:val="auto"/>
          <w:sz w:val="28"/>
          <w:szCs w:val="28"/>
        </w:rPr>
      </w:pPr>
      <w:bookmarkStart w:id="582" w:name="_Toc527028522"/>
      <w:bookmarkStart w:id="583" w:name="_Toc511557112"/>
      <w:bookmarkStart w:id="584" w:name="_Toc482188639"/>
      <w:bookmarkStart w:id="585" w:name="_Toc89870625"/>
      <w:r>
        <w:rPr>
          <w:rFonts w:ascii="Times New Roman" w:hAnsi="Times New Roman"/>
          <w:b w:val="0"/>
          <w:color w:val="auto"/>
          <w:sz w:val="28"/>
          <w:szCs w:val="28"/>
        </w:rPr>
        <w:t>三、成果文件要求</w:t>
      </w:r>
      <w:bookmarkEnd w:id="582"/>
      <w:bookmarkEnd w:id="583"/>
      <w:bookmarkEnd w:id="584"/>
      <w:bookmarkEnd w:id="585"/>
    </w:p>
    <w:p>
      <w:pPr>
        <w:snapToGrid w:val="0"/>
        <w:spacing w:line="360" w:lineRule="auto"/>
        <w:ind w:firstLine="480" w:firstLineChars="200"/>
        <w:rPr>
          <w:rFonts w:ascii="宋体"/>
          <w:color w:val="auto"/>
          <w:sz w:val="24"/>
          <w:szCs w:val="24"/>
        </w:rPr>
      </w:pPr>
      <w:r>
        <w:rPr>
          <w:rFonts w:hint="eastAsia" w:ascii="宋体" w:hAnsi="宋体"/>
          <w:color w:val="auto"/>
          <w:sz w:val="24"/>
          <w:szCs w:val="24"/>
        </w:rPr>
        <w:t>按《建设工程监理规范》（</w:t>
      </w:r>
      <w:r>
        <w:rPr>
          <w:rFonts w:ascii="宋体" w:hAnsi="宋体"/>
          <w:color w:val="auto"/>
          <w:sz w:val="24"/>
          <w:szCs w:val="24"/>
        </w:rPr>
        <w:t>GB/T50319-2013</w:t>
      </w:r>
      <w:r>
        <w:rPr>
          <w:rFonts w:hint="eastAsia" w:ascii="宋体" w:hAnsi="宋体"/>
          <w:color w:val="auto"/>
          <w:sz w:val="24"/>
          <w:szCs w:val="24"/>
        </w:rPr>
        <w:t>）和招标人要求</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1. 成果文件的组成</w:t>
      </w:r>
    </w:p>
    <w:p>
      <w:pPr>
        <w:numPr>
          <w:ilvl w:val="0"/>
          <w:numId w:val="5"/>
        </w:numPr>
        <w:snapToGrid w:val="0"/>
        <w:spacing w:line="360" w:lineRule="auto"/>
        <w:ind w:firstLine="480" w:firstLineChars="200"/>
        <w:rPr>
          <w:rFonts w:ascii="宋体"/>
          <w:color w:val="auto"/>
          <w:sz w:val="24"/>
          <w:szCs w:val="24"/>
          <w:u w:val="single"/>
        </w:rPr>
      </w:pPr>
      <w:r>
        <w:rPr>
          <w:rFonts w:ascii="宋体" w:hAnsi="宋体"/>
          <w:color w:val="auto"/>
          <w:sz w:val="24"/>
          <w:szCs w:val="24"/>
          <w:u w:val="single"/>
        </w:rPr>
        <w:t>1</w:t>
      </w:r>
      <w:r>
        <w:rPr>
          <w:rFonts w:hint="eastAsia" w:ascii="宋体" w:hAnsi="宋体"/>
          <w:color w:val="auto"/>
          <w:sz w:val="24"/>
          <w:szCs w:val="24"/>
          <w:u w:val="single"/>
        </w:rPr>
        <w:t>、勘察设计文件、建设工程监理合同及其他合同文件；</w:t>
      </w:r>
    </w:p>
    <w:p>
      <w:pPr>
        <w:numPr>
          <w:ilvl w:val="0"/>
          <w:numId w:val="5"/>
        </w:numPr>
        <w:tabs>
          <w:tab w:val="left" w:pos="680"/>
        </w:tabs>
        <w:snapToGrid w:val="0"/>
        <w:spacing w:line="360" w:lineRule="auto"/>
        <w:ind w:firstLine="480" w:firstLineChars="200"/>
        <w:rPr>
          <w:rFonts w:ascii="宋体"/>
          <w:color w:val="auto"/>
          <w:sz w:val="24"/>
          <w:szCs w:val="24"/>
          <w:u w:val="single"/>
        </w:rPr>
      </w:pPr>
      <w:r>
        <w:rPr>
          <w:rFonts w:ascii="宋体" w:hAnsi="宋体"/>
          <w:color w:val="auto"/>
          <w:sz w:val="24"/>
          <w:szCs w:val="24"/>
          <w:u w:val="single"/>
        </w:rPr>
        <w:t>2</w:t>
      </w:r>
      <w:r>
        <w:rPr>
          <w:rFonts w:hint="eastAsia" w:ascii="宋体" w:hAnsi="宋体"/>
          <w:color w:val="auto"/>
          <w:sz w:val="24"/>
          <w:szCs w:val="24"/>
          <w:u w:val="single"/>
        </w:rPr>
        <w:t>、监理规划、监理实施细则；</w:t>
      </w:r>
    </w:p>
    <w:p>
      <w:pPr>
        <w:numPr>
          <w:ilvl w:val="0"/>
          <w:numId w:val="5"/>
        </w:numPr>
        <w:tabs>
          <w:tab w:val="left" w:pos="680"/>
        </w:tabs>
        <w:snapToGrid w:val="0"/>
        <w:spacing w:line="360" w:lineRule="auto"/>
        <w:ind w:firstLine="480" w:firstLineChars="200"/>
        <w:rPr>
          <w:rFonts w:ascii="宋体"/>
          <w:color w:val="auto"/>
          <w:sz w:val="24"/>
          <w:szCs w:val="24"/>
          <w:u w:val="single"/>
        </w:rPr>
      </w:pPr>
      <w:r>
        <w:rPr>
          <w:rFonts w:ascii="宋体" w:hAnsi="宋体"/>
          <w:color w:val="auto"/>
          <w:sz w:val="24"/>
          <w:szCs w:val="24"/>
          <w:u w:val="single"/>
        </w:rPr>
        <w:t>3</w:t>
      </w:r>
      <w:r>
        <w:rPr>
          <w:rFonts w:hint="eastAsia" w:ascii="宋体" w:hAnsi="宋体"/>
          <w:color w:val="auto"/>
          <w:sz w:val="24"/>
          <w:szCs w:val="24"/>
          <w:u w:val="single"/>
        </w:rPr>
        <w:t>、设计交底和图纸会审会议纪要；</w:t>
      </w:r>
    </w:p>
    <w:p>
      <w:pPr>
        <w:numPr>
          <w:ilvl w:val="0"/>
          <w:numId w:val="5"/>
        </w:numPr>
        <w:tabs>
          <w:tab w:val="left" w:pos="680"/>
        </w:tabs>
        <w:snapToGrid w:val="0"/>
        <w:spacing w:line="360" w:lineRule="auto"/>
        <w:ind w:firstLine="480" w:firstLineChars="200"/>
        <w:rPr>
          <w:rFonts w:ascii="宋体"/>
          <w:color w:val="auto"/>
          <w:sz w:val="24"/>
          <w:szCs w:val="24"/>
          <w:u w:val="single"/>
        </w:rPr>
      </w:pPr>
      <w:r>
        <w:rPr>
          <w:rFonts w:ascii="宋体" w:hAnsi="宋体"/>
          <w:color w:val="auto"/>
          <w:sz w:val="24"/>
          <w:szCs w:val="24"/>
          <w:u w:val="single"/>
        </w:rPr>
        <w:t>4</w:t>
      </w:r>
      <w:r>
        <w:rPr>
          <w:rFonts w:hint="eastAsia" w:ascii="宋体" w:hAnsi="宋体"/>
          <w:color w:val="auto"/>
          <w:sz w:val="24"/>
          <w:szCs w:val="24"/>
          <w:u w:val="single"/>
        </w:rPr>
        <w:t>、施工组织设计、（专项）施工方案、施工进度计划报审文件资料；</w:t>
      </w:r>
    </w:p>
    <w:p>
      <w:pPr>
        <w:numPr>
          <w:ilvl w:val="0"/>
          <w:numId w:val="5"/>
        </w:numPr>
        <w:tabs>
          <w:tab w:val="left" w:pos="680"/>
        </w:tabs>
        <w:snapToGrid w:val="0"/>
        <w:spacing w:line="360" w:lineRule="auto"/>
        <w:ind w:firstLine="480" w:firstLineChars="200"/>
        <w:rPr>
          <w:rFonts w:ascii="宋体"/>
          <w:color w:val="auto"/>
          <w:sz w:val="24"/>
          <w:szCs w:val="24"/>
          <w:u w:val="single"/>
        </w:rPr>
      </w:pPr>
      <w:r>
        <w:rPr>
          <w:rFonts w:ascii="宋体" w:hAnsi="宋体"/>
          <w:color w:val="auto"/>
          <w:sz w:val="24"/>
          <w:szCs w:val="24"/>
          <w:u w:val="single"/>
        </w:rPr>
        <w:t>5</w:t>
      </w:r>
      <w:r>
        <w:rPr>
          <w:rFonts w:hint="eastAsia" w:ascii="宋体" w:hAnsi="宋体"/>
          <w:color w:val="auto"/>
          <w:sz w:val="24"/>
          <w:szCs w:val="24"/>
          <w:u w:val="single"/>
        </w:rPr>
        <w:t>、分包单位资格报审文件资料；</w:t>
      </w:r>
    </w:p>
    <w:p>
      <w:pPr>
        <w:numPr>
          <w:ilvl w:val="0"/>
          <w:numId w:val="5"/>
        </w:numPr>
        <w:tabs>
          <w:tab w:val="left" w:pos="680"/>
        </w:tabs>
        <w:snapToGrid w:val="0"/>
        <w:spacing w:line="360" w:lineRule="auto"/>
        <w:ind w:firstLine="480" w:firstLineChars="200"/>
        <w:rPr>
          <w:rFonts w:ascii="宋体"/>
          <w:color w:val="auto"/>
          <w:sz w:val="24"/>
          <w:szCs w:val="24"/>
          <w:u w:val="single"/>
        </w:rPr>
      </w:pPr>
      <w:r>
        <w:rPr>
          <w:rFonts w:ascii="宋体" w:hAnsi="宋体"/>
          <w:color w:val="auto"/>
          <w:sz w:val="24"/>
          <w:szCs w:val="24"/>
          <w:u w:val="single"/>
        </w:rPr>
        <w:t>6</w:t>
      </w:r>
      <w:r>
        <w:rPr>
          <w:rFonts w:hint="eastAsia" w:ascii="宋体" w:hAnsi="宋体"/>
          <w:color w:val="auto"/>
          <w:sz w:val="24"/>
          <w:szCs w:val="24"/>
          <w:u w:val="single"/>
        </w:rPr>
        <w:t>、施工控制测量成果报验文件资料；</w:t>
      </w:r>
    </w:p>
    <w:p>
      <w:pPr>
        <w:numPr>
          <w:ilvl w:val="0"/>
          <w:numId w:val="5"/>
        </w:numPr>
        <w:tabs>
          <w:tab w:val="left" w:pos="680"/>
        </w:tabs>
        <w:snapToGrid w:val="0"/>
        <w:spacing w:line="360" w:lineRule="auto"/>
        <w:ind w:firstLine="480" w:firstLineChars="200"/>
        <w:rPr>
          <w:rFonts w:ascii="宋体"/>
          <w:color w:val="auto"/>
          <w:sz w:val="24"/>
          <w:szCs w:val="24"/>
          <w:u w:val="single"/>
        </w:rPr>
      </w:pPr>
      <w:r>
        <w:rPr>
          <w:rFonts w:ascii="宋体" w:hAnsi="宋体"/>
          <w:color w:val="auto"/>
          <w:sz w:val="24"/>
          <w:szCs w:val="24"/>
          <w:u w:val="single"/>
        </w:rPr>
        <w:t>7</w:t>
      </w:r>
      <w:r>
        <w:rPr>
          <w:rFonts w:hint="eastAsia" w:ascii="宋体" w:hAnsi="宋体"/>
          <w:color w:val="auto"/>
          <w:sz w:val="24"/>
          <w:szCs w:val="24"/>
          <w:u w:val="single"/>
        </w:rPr>
        <w:t>、总监理工程师任命书、工程开工令、暂停令、复工令、开工或复工报审文件资料；</w:t>
      </w:r>
    </w:p>
    <w:p>
      <w:pPr>
        <w:numPr>
          <w:ilvl w:val="0"/>
          <w:numId w:val="5"/>
        </w:numPr>
        <w:tabs>
          <w:tab w:val="left" w:pos="680"/>
        </w:tabs>
        <w:snapToGrid w:val="0"/>
        <w:spacing w:line="360" w:lineRule="auto"/>
        <w:ind w:firstLine="480" w:firstLineChars="200"/>
        <w:rPr>
          <w:rFonts w:ascii="宋体"/>
          <w:color w:val="auto"/>
          <w:sz w:val="24"/>
          <w:szCs w:val="24"/>
          <w:u w:val="single"/>
        </w:rPr>
      </w:pPr>
      <w:r>
        <w:rPr>
          <w:rFonts w:ascii="宋体" w:hAnsi="宋体"/>
          <w:color w:val="auto"/>
          <w:sz w:val="24"/>
          <w:szCs w:val="24"/>
          <w:u w:val="single"/>
        </w:rPr>
        <w:t>8</w:t>
      </w:r>
      <w:r>
        <w:rPr>
          <w:rFonts w:hint="eastAsia" w:ascii="宋体" w:hAnsi="宋体"/>
          <w:color w:val="auto"/>
          <w:sz w:val="24"/>
          <w:szCs w:val="24"/>
          <w:u w:val="single"/>
        </w:rPr>
        <w:t>、工程材料、设备、构配件报验文件资料；</w:t>
      </w:r>
    </w:p>
    <w:p>
      <w:pPr>
        <w:numPr>
          <w:ilvl w:val="0"/>
          <w:numId w:val="5"/>
        </w:numPr>
        <w:tabs>
          <w:tab w:val="left" w:pos="680"/>
        </w:tabs>
        <w:snapToGrid w:val="0"/>
        <w:spacing w:line="360" w:lineRule="auto"/>
        <w:ind w:firstLine="480" w:firstLineChars="200"/>
        <w:rPr>
          <w:rFonts w:ascii="宋体"/>
          <w:color w:val="auto"/>
          <w:sz w:val="24"/>
          <w:szCs w:val="24"/>
          <w:u w:val="single"/>
        </w:rPr>
      </w:pPr>
      <w:r>
        <w:rPr>
          <w:rFonts w:ascii="宋体" w:hAnsi="宋体"/>
          <w:color w:val="auto"/>
          <w:sz w:val="24"/>
          <w:szCs w:val="24"/>
          <w:u w:val="single"/>
        </w:rPr>
        <w:t>9</w:t>
      </w:r>
      <w:r>
        <w:rPr>
          <w:rFonts w:hint="eastAsia" w:ascii="宋体" w:hAnsi="宋体"/>
          <w:color w:val="auto"/>
          <w:sz w:val="24"/>
          <w:szCs w:val="24"/>
          <w:u w:val="single"/>
        </w:rPr>
        <w:t>、见证取样和平行检验文件资料；</w:t>
      </w:r>
    </w:p>
    <w:p>
      <w:pPr>
        <w:numPr>
          <w:ilvl w:val="0"/>
          <w:numId w:val="5"/>
        </w:numPr>
        <w:tabs>
          <w:tab w:val="left" w:pos="680"/>
        </w:tabs>
        <w:snapToGrid w:val="0"/>
        <w:spacing w:line="360" w:lineRule="auto"/>
        <w:ind w:firstLine="480" w:firstLineChars="200"/>
        <w:rPr>
          <w:rFonts w:ascii="宋体"/>
          <w:color w:val="auto"/>
          <w:sz w:val="24"/>
          <w:szCs w:val="24"/>
          <w:u w:val="single"/>
        </w:rPr>
      </w:pPr>
      <w:r>
        <w:rPr>
          <w:rFonts w:ascii="宋体" w:hAnsi="宋体"/>
          <w:color w:val="auto"/>
          <w:sz w:val="24"/>
          <w:szCs w:val="24"/>
          <w:u w:val="single"/>
        </w:rPr>
        <w:t>10</w:t>
      </w:r>
      <w:r>
        <w:rPr>
          <w:rFonts w:hint="eastAsia" w:ascii="宋体" w:hAnsi="宋体"/>
          <w:color w:val="auto"/>
          <w:sz w:val="24"/>
          <w:szCs w:val="24"/>
          <w:u w:val="single"/>
        </w:rPr>
        <w:t>、工程质量检查报验资料及工程有关验收资料；</w:t>
      </w:r>
    </w:p>
    <w:p>
      <w:pPr>
        <w:numPr>
          <w:ilvl w:val="0"/>
          <w:numId w:val="5"/>
        </w:numPr>
        <w:tabs>
          <w:tab w:val="left" w:pos="680"/>
        </w:tabs>
        <w:snapToGrid w:val="0"/>
        <w:spacing w:line="360" w:lineRule="auto"/>
        <w:ind w:firstLine="480" w:firstLineChars="200"/>
        <w:rPr>
          <w:rFonts w:ascii="宋体"/>
          <w:color w:val="auto"/>
          <w:sz w:val="24"/>
          <w:szCs w:val="24"/>
          <w:u w:val="single"/>
        </w:rPr>
      </w:pPr>
      <w:r>
        <w:rPr>
          <w:rFonts w:ascii="宋体" w:hAnsi="宋体"/>
          <w:color w:val="auto"/>
          <w:sz w:val="24"/>
          <w:szCs w:val="24"/>
          <w:u w:val="single"/>
        </w:rPr>
        <w:t>11</w:t>
      </w:r>
      <w:r>
        <w:rPr>
          <w:rFonts w:hint="eastAsia" w:ascii="宋体" w:hAnsi="宋体"/>
          <w:color w:val="auto"/>
          <w:sz w:val="24"/>
          <w:szCs w:val="24"/>
          <w:u w:val="single"/>
        </w:rPr>
        <w:t>、工程变更、费用索赔及工程延期文件资料；</w:t>
      </w:r>
    </w:p>
    <w:p>
      <w:pPr>
        <w:numPr>
          <w:ilvl w:val="0"/>
          <w:numId w:val="5"/>
        </w:numPr>
        <w:tabs>
          <w:tab w:val="left" w:pos="680"/>
        </w:tabs>
        <w:snapToGrid w:val="0"/>
        <w:spacing w:line="360" w:lineRule="auto"/>
        <w:ind w:firstLine="480" w:firstLineChars="200"/>
        <w:rPr>
          <w:rFonts w:ascii="宋体"/>
          <w:color w:val="auto"/>
          <w:sz w:val="24"/>
          <w:szCs w:val="24"/>
          <w:u w:val="single"/>
        </w:rPr>
      </w:pPr>
      <w:r>
        <w:rPr>
          <w:rFonts w:ascii="宋体" w:hAnsi="宋体"/>
          <w:color w:val="auto"/>
          <w:sz w:val="24"/>
          <w:szCs w:val="24"/>
          <w:u w:val="single"/>
        </w:rPr>
        <w:t>12</w:t>
      </w:r>
      <w:r>
        <w:rPr>
          <w:rFonts w:hint="eastAsia" w:ascii="宋体" w:hAnsi="宋体"/>
          <w:color w:val="auto"/>
          <w:sz w:val="24"/>
          <w:szCs w:val="24"/>
          <w:u w:val="single"/>
        </w:rPr>
        <w:t>、工程计量、工程款支付文件资料；</w:t>
      </w:r>
    </w:p>
    <w:p>
      <w:pPr>
        <w:numPr>
          <w:ilvl w:val="0"/>
          <w:numId w:val="5"/>
        </w:numPr>
        <w:tabs>
          <w:tab w:val="left" w:pos="680"/>
        </w:tabs>
        <w:snapToGrid w:val="0"/>
        <w:spacing w:line="360" w:lineRule="auto"/>
        <w:ind w:firstLine="480" w:firstLineChars="200"/>
        <w:rPr>
          <w:rFonts w:ascii="宋体"/>
          <w:color w:val="auto"/>
          <w:sz w:val="24"/>
          <w:szCs w:val="24"/>
          <w:u w:val="single"/>
        </w:rPr>
      </w:pPr>
      <w:r>
        <w:rPr>
          <w:rFonts w:ascii="宋体" w:hAnsi="宋体"/>
          <w:color w:val="auto"/>
          <w:sz w:val="24"/>
          <w:szCs w:val="24"/>
          <w:u w:val="single"/>
        </w:rPr>
        <w:t>13</w:t>
      </w:r>
      <w:r>
        <w:rPr>
          <w:rFonts w:hint="eastAsia" w:ascii="宋体" w:hAnsi="宋体"/>
          <w:color w:val="auto"/>
          <w:sz w:val="24"/>
          <w:szCs w:val="24"/>
          <w:u w:val="single"/>
        </w:rPr>
        <w:t>、监理通知单、工作联系单与监理报告；</w:t>
      </w:r>
    </w:p>
    <w:p>
      <w:pPr>
        <w:numPr>
          <w:ilvl w:val="0"/>
          <w:numId w:val="5"/>
        </w:numPr>
        <w:tabs>
          <w:tab w:val="left" w:pos="680"/>
        </w:tabs>
        <w:snapToGrid w:val="0"/>
        <w:spacing w:line="360" w:lineRule="auto"/>
        <w:ind w:firstLine="480" w:firstLineChars="200"/>
        <w:rPr>
          <w:rFonts w:ascii="宋体"/>
          <w:color w:val="auto"/>
          <w:sz w:val="24"/>
          <w:szCs w:val="24"/>
          <w:u w:val="single"/>
        </w:rPr>
      </w:pPr>
      <w:r>
        <w:rPr>
          <w:rFonts w:ascii="宋体" w:hAnsi="宋体"/>
          <w:color w:val="auto"/>
          <w:sz w:val="24"/>
          <w:szCs w:val="24"/>
          <w:u w:val="single"/>
        </w:rPr>
        <w:t>14</w:t>
      </w:r>
      <w:r>
        <w:rPr>
          <w:rFonts w:hint="eastAsia" w:ascii="宋体" w:hAnsi="宋体"/>
          <w:color w:val="auto"/>
          <w:sz w:val="24"/>
          <w:szCs w:val="24"/>
          <w:u w:val="single"/>
        </w:rPr>
        <w:t>、第一次工地会议、监理例会、专题会议等会议纪要；</w:t>
      </w:r>
    </w:p>
    <w:p>
      <w:pPr>
        <w:numPr>
          <w:ilvl w:val="0"/>
          <w:numId w:val="5"/>
        </w:numPr>
        <w:tabs>
          <w:tab w:val="left" w:pos="680"/>
        </w:tabs>
        <w:snapToGrid w:val="0"/>
        <w:spacing w:line="360" w:lineRule="auto"/>
        <w:ind w:firstLine="480" w:firstLineChars="200"/>
        <w:rPr>
          <w:rFonts w:ascii="宋体"/>
          <w:color w:val="auto"/>
          <w:sz w:val="24"/>
          <w:szCs w:val="24"/>
          <w:u w:val="single"/>
        </w:rPr>
      </w:pPr>
      <w:r>
        <w:rPr>
          <w:rFonts w:ascii="宋体" w:hAnsi="宋体"/>
          <w:color w:val="auto"/>
          <w:sz w:val="24"/>
          <w:szCs w:val="24"/>
          <w:u w:val="single"/>
        </w:rPr>
        <w:t>15</w:t>
      </w:r>
      <w:r>
        <w:rPr>
          <w:rFonts w:hint="eastAsia" w:ascii="宋体" w:hAnsi="宋体"/>
          <w:color w:val="auto"/>
          <w:sz w:val="24"/>
          <w:szCs w:val="24"/>
          <w:u w:val="single"/>
        </w:rPr>
        <w:t>、监理月报、监理日志、旁站记录；</w:t>
      </w:r>
    </w:p>
    <w:p>
      <w:pPr>
        <w:numPr>
          <w:ilvl w:val="0"/>
          <w:numId w:val="5"/>
        </w:numPr>
        <w:tabs>
          <w:tab w:val="left" w:pos="680"/>
        </w:tabs>
        <w:snapToGrid w:val="0"/>
        <w:spacing w:line="360" w:lineRule="auto"/>
        <w:ind w:firstLine="480" w:firstLineChars="200"/>
        <w:rPr>
          <w:rFonts w:ascii="宋体"/>
          <w:color w:val="auto"/>
          <w:sz w:val="24"/>
          <w:szCs w:val="24"/>
          <w:u w:val="single"/>
        </w:rPr>
      </w:pPr>
      <w:r>
        <w:rPr>
          <w:rFonts w:ascii="宋体" w:hAnsi="宋体"/>
          <w:color w:val="auto"/>
          <w:sz w:val="24"/>
          <w:szCs w:val="24"/>
          <w:u w:val="single"/>
        </w:rPr>
        <w:t>16</w:t>
      </w:r>
      <w:r>
        <w:rPr>
          <w:rFonts w:hint="eastAsia" w:ascii="宋体" w:hAnsi="宋体"/>
          <w:color w:val="auto"/>
          <w:sz w:val="24"/>
          <w:szCs w:val="24"/>
          <w:u w:val="single"/>
        </w:rPr>
        <w:t>、工程质量或生产安全事故处理文件资料；</w:t>
      </w:r>
    </w:p>
    <w:p>
      <w:pPr>
        <w:numPr>
          <w:ilvl w:val="0"/>
          <w:numId w:val="5"/>
        </w:numPr>
        <w:tabs>
          <w:tab w:val="left" w:pos="680"/>
        </w:tabs>
        <w:snapToGrid w:val="0"/>
        <w:spacing w:line="360" w:lineRule="auto"/>
        <w:ind w:firstLine="480" w:firstLineChars="200"/>
        <w:rPr>
          <w:rFonts w:ascii="宋体"/>
          <w:color w:val="auto"/>
          <w:sz w:val="24"/>
          <w:szCs w:val="24"/>
          <w:u w:val="single"/>
        </w:rPr>
      </w:pPr>
      <w:r>
        <w:rPr>
          <w:rFonts w:ascii="宋体" w:hAnsi="宋体"/>
          <w:color w:val="auto"/>
          <w:sz w:val="24"/>
          <w:szCs w:val="24"/>
          <w:u w:val="single"/>
        </w:rPr>
        <w:t>17</w:t>
      </w:r>
      <w:r>
        <w:rPr>
          <w:rFonts w:hint="eastAsia" w:ascii="宋体" w:hAnsi="宋体"/>
          <w:color w:val="auto"/>
          <w:sz w:val="24"/>
          <w:szCs w:val="24"/>
          <w:u w:val="single"/>
        </w:rPr>
        <w:t>、工程质量评估报告及竣工验收监理文件资料；</w:t>
      </w:r>
    </w:p>
    <w:p>
      <w:pPr>
        <w:numPr>
          <w:ilvl w:val="0"/>
          <w:numId w:val="5"/>
        </w:numPr>
        <w:tabs>
          <w:tab w:val="left" w:pos="680"/>
        </w:tabs>
        <w:snapToGrid w:val="0"/>
        <w:spacing w:line="360" w:lineRule="auto"/>
        <w:ind w:firstLine="480" w:firstLineChars="200"/>
        <w:rPr>
          <w:rFonts w:ascii="宋体" w:hAnsi="宋体"/>
          <w:color w:val="auto"/>
          <w:sz w:val="24"/>
          <w:szCs w:val="24"/>
          <w:u w:val="single"/>
        </w:rPr>
      </w:pPr>
      <w:r>
        <w:rPr>
          <w:rFonts w:ascii="宋体" w:hAnsi="宋体"/>
          <w:color w:val="auto"/>
          <w:sz w:val="24"/>
          <w:szCs w:val="24"/>
          <w:u w:val="single"/>
        </w:rPr>
        <w:t>18</w:t>
      </w:r>
      <w:r>
        <w:rPr>
          <w:rFonts w:hint="eastAsia" w:ascii="宋体" w:hAnsi="宋体"/>
          <w:color w:val="auto"/>
          <w:sz w:val="24"/>
          <w:szCs w:val="24"/>
          <w:u w:val="single"/>
        </w:rPr>
        <w:t>、监理工作总结。</w:t>
      </w:r>
      <w:r>
        <w:rPr>
          <w:rFonts w:ascii="宋体" w:hAnsi="宋体"/>
          <w:color w:val="auto"/>
          <w:sz w:val="24"/>
          <w:szCs w:val="24"/>
          <w:u w:val="single"/>
        </w:rPr>
        <w:t xml:space="preserve"> </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2. 成果文件的深度</w:t>
      </w:r>
      <w:r>
        <w:rPr>
          <w:rFonts w:hint="eastAsia" w:ascii="Times New Roman" w:hAnsi="Times New Roman"/>
          <w:color w:val="auto"/>
          <w:sz w:val="24"/>
          <w:szCs w:val="24"/>
        </w:rPr>
        <w:t>:</w:t>
      </w:r>
      <w:r>
        <w:rPr>
          <w:rFonts w:hint="eastAsia" w:ascii="宋体" w:hAnsi="宋体"/>
          <w:color w:val="auto"/>
          <w:sz w:val="24"/>
          <w:szCs w:val="24"/>
          <w:u w:val="single"/>
        </w:rPr>
        <w:t xml:space="preserve"> 满足本项目监理服务要求。</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3. 成果文件的格式要求</w:t>
      </w:r>
      <w:r>
        <w:rPr>
          <w:rFonts w:hint="eastAsia" w:ascii="Times New Roman" w:hAnsi="Times New Roman"/>
          <w:color w:val="auto"/>
          <w:sz w:val="24"/>
          <w:szCs w:val="24"/>
        </w:rPr>
        <w:t>:</w:t>
      </w:r>
      <w:r>
        <w:rPr>
          <w:rFonts w:hint="eastAsia" w:ascii="宋体" w:hAnsi="宋体"/>
          <w:color w:val="auto"/>
          <w:sz w:val="24"/>
          <w:szCs w:val="24"/>
          <w:u w:val="single"/>
        </w:rPr>
        <w:t xml:space="preserve"> 满足本项目监理服务要求。</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4. 成果文件的份数要求</w:t>
      </w:r>
      <w:r>
        <w:rPr>
          <w:rFonts w:hint="eastAsia" w:ascii="Times New Roman" w:hAnsi="Times New Roman"/>
          <w:color w:val="auto"/>
          <w:sz w:val="24"/>
          <w:szCs w:val="24"/>
        </w:rPr>
        <w:t>:</w:t>
      </w:r>
      <w:r>
        <w:rPr>
          <w:rFonts w:hint="eastAsia" w:ascii="宋体" w:hAnsi="宋体"/>
          <w:color w:val="auto"/>
          <w:sz w:val="24"/>
          <w:szCs w:val="24"/>
          <w:u w:val="single"/>
        </w:rPr>
        <w:t xml:space="preserve"> 一式六份；</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5. 成果文件的载体要求</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（1）纸质版的要求</w:t>
      </w:r>
      <w:r>
        <w:rPr>
          <w:rFonts w:hint="eastAsia" w:ascii="Times New Roman" w:hAnsi="Times New Roman"/>
          <w:color w:val="auto"/>
          <w:sz w:val="24"/>
          <w:szCs w:val="24"/>
        </w:rPr>
        <w:t>：:</w:t>
      </w:r>
      <w:r>
        <w:rPr>
          <w:rFonts w:hint="eastAsia" w:ascii="宋体" w:hAnsi="宋体"/>
          <w:color w:val="auto"/>
          <w:sz w:val="24"/>
          <w:szCs w:val="24"/>
          <w:u w:val="single"/>
        </w:rPr>
        <w:t xml:space="preserve"> 一式六份；</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（2）电子版的要求</w:t>
      </w:r>
      <w:r>
        <w:rPr>
          <w:rFonts w:hint="eastAsia" w:ascii="Times New Roman" w:hAnsi="Times New Roman"/>
          <w:color w:val="auto"/>
          <w:sz w:val="24"/>
          <w:szCs w:val="24"/>
        </w:rPr>
        <w:t>：:</w:t>
      </w:r>
      <w:r>
        <w:rPr>
          <w:rFonts w:hint="eastAsia" w:ascii="宋体" w:hAnsi="宋体"/>
          <w:color w:val="auto"/>
          <w:sz w:val="24"/>
          <w:szCs w:val="24"/>
          <w:u w:val="single"/>
        </w:rPr>
        <w:t xml:space="preserve"> 与纸质版一致的电子版文件</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（3）其他要求。</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6. 成果文件的其他要求</w:t>
      </w:r>
      <w:r>
        <w:rPr>
          <w:rFonts w:hint="eastAsia" w:ascii="Times New Roman" w:hAnsi="Times New Roman"/>
          <w:color w:val="auto"/>
          <w:sz w:val="24"/>
          <w:szCs w:val="24"/>
        </w:rPr>
        <w:t>::</w:t>
      </w:r>
      <w:r>
        <w:rPr>
          <w:rFonts w:hint="eastAsia" w:ascii="宋体" w:hAnsi="宋体"/>
          <w:color w:val="auto"/>
          <w:sz w:val="24"/>
          <w:szCs w:val="24"/>
          <w:u w:val="single"/>
        </w:rPr>
        <w:t xml:space="preserve"> 满足本项目监理服务要求。</w:t>
      </w:r>
    </w:p>
    <w:p>
      <w:pPr>
        <w:pStyle w:val="5"/>
        <w:keepNext w:val="0"/>
        <w:keepLines w:val="0"/>
        <w:spacing w:before="0" w:after="0" w:line="360" w:lineRule="auto"/>
        <w:ind w:firstLine="560" w:firstLineChars="200"/>
        <w:rPr>
          <w:rFonts w:ascii="Times New Roman" w:hAnsi="Times New Roman"/>
          <w:b w:val="0"/>
          <w:color w:val="auto"/>
          <w:sz w:val="28"/>
          <w:szCs w:val="28"/>
        </w:rPr>
      </w:pPr>
      <w:bookmarkStart w:id="586" w:name="_Toc527028523"/>
      <w:bookmarkStart w:id="587" w:name="_Toc482188640"/>
      <w:bookmarkStart w:id="588" w:name="_Toc89870626"/>
      <w:bookmarkStart w:id="589" w:name="_Toc511557113"/>
      <w:r>
        <w:rPr>
          <w:rFonts w:ascii="Times New Roman" w:hAnsi="Times New Roman"/>
          <w:b w:val="0"/>
          <w:color w:val="auto"/>
          <w:sz w:val="28"/>
          <w:szCs w:val="28"/>
        </w:rPr>
        <w:t>四、委托人财产清单</w:t>
      </w:r>
      <w:bookmarkEnd w:id="586"/>
      <w:bookmarkEnd w:id="587"/>
      <w:bookmarkEnd w:id="588"/>
      <w:bookmarkEnd w:id="589"/>
    </w:p>
    <w:p>
      <w:pPr>
        <w:pStyle w:val="6"/>
        <w:keepNext w:val="0"/>
        <w:keepLines w:val="0"/>
        <w:spacing w:before="0" w:after="0" w:line="360" w:lineRule="auto"/>
        <w:ind w:firstLine="560" w:firstLineChars="200"/>
        <w:rPr>
          <w:rFonts w:ascii="Times New Roman" w:hAnsi="Times New Roman"/>
          <w:color w:val="auto"/>
        </w:rPr>
      </w:pPr>
      <w:bookmarkStart w:id="590" w:name="_Toc89870627"/>
      <w:bookmarkStart w:id="591" w:name="_Toc527028524"/>
      <w:bookmarkStart w:id="592" w:name="_Toc527028703"/>
      <w:bookmarkStart w:id="593" w:name="_Toc482188641"/>
      <w:bookmarkStart w:id="594" w:name="_Toc511557114"/>
      <w:bookmarkStart w:id="595" w:name="_Toc527028874"/>
      <w:r>
        <w:rPr>
          <w:rFonts w:ascii="Times New Roman" w:hAnsi="Times New Roman"/>
          <w:color w:val="auto"/>
        </w:rPr>
        <w:t>（一）委托人提供的设备、设施</w:t>
      </w:r>
      <w:bookmarkEnd w:id="590"/>
      <w:bookmarkEnd w:id="591"/>
      <w:bookmarkEnd w:id="592"/>
      <w:bookmarkEnd w:id="593"/>
      <w:bookmarkEnd w:id="594"/>
      <w:bookmarkEnd w:id="595"/>
    </w:p>
    <w:p>
      <w:pPr>
        <w:spacing w:line="360" w:lineRule="auto"/>
        <w:ind w:firstLine="480" w:firstLineChars="200"/>
        <w:rPr>
          <w:rFonts w:ascii="Times New Roman" w:hAnsi="Times New Roman"/>
          <w:color w:val="auto"/>
          <w:sz w:val="24"/>
          <w:szCs w:val="24"/>
          <w:u w:val="single"/>
        </w:rPr>
      </w:pPr>
      <w:r>
        <w:rPr>
          <w:rFonts w:ascii="Times New Roman" w:hAnsi="Times New Roman"/>
          <w:color w:val="auto"/>
          <w:sz w:val="24"/>
          <w:szCs w:val="24"/>
        </w:rPr>
        <w:t>1. 委托人提供的办公房屋及冷暖设施：</w:t>
      </w:r>
      <w:r>
        <w:rPr>
          <w:rFonts w:hint="eastAsia" w:ascii="Times New Roman" w:hAnsi="Times New Roman"/>
          <w:color w:val="auto"/>
          <w:sz w:val="24"/>
          <w:szCs w:val="24"/>
          <w:u w:val="single"/>
        </w:rPr>
        <w:t>无；</w:t>
      </w:r>
    </w:p>
    <w:p>
      <w:pPr>
        <w:spacing w:line="360" w:lineRule="auto"/>
        <w:ind w:firstLine="480" w:firstLineChars="200"/>
        <w:rPr>
          <w:rFonts w:ascii="Times New Roman" w:hAnsi="Times New Roman"/>
          <w:color w:val="auto"/>
          <w:sz w:val="24"/>
          <w:szCs w:val="24"/>
          <w:u w:val="single"/>
        </w:rPr>
      </w:pPr>
      <w:r>
        <w:rPr>
          <w:rFonts w:ascii="Times New Roman" w:hAnsi="Times New Roman"/>
          <w:color w:val="auto"/>
          <w:sz w:val="24"/>
          <w:szCs w:val="24"/>
        </w:rPr>
        <w:t>2. 委托人提供的设备清单：</w:t>
      </w:r>
      <w:r>
        <w:rPr>
          <w:rFonts w:hint="eastAsia" w:ascii="Times New Roman" w:hAnsi="Times New Roman"/>
          <w:color w:val="auto"/>
          <w:sz w:val="24"/>
          <w:szCs w:val="24"/>
          <w:u w:val="single"/>
        </w:rPr>
        <w:t>无；</w:t>
      </w:r>
    </w:p>
    <w:p>
      <w:pPr>
        <w:spacing w:line="360" w:lineRule="auto"/>
        <w:ind w:firstLine="480" w:firstLineChars="200"/>
        <w:rPr>
          <w:rFonts w:ascii="Times New Roman" w:hAnsi="Times New Roman"/>
          <w:color w:val="auto"/>
        </w:rPr>
      </w:pPr>
      <w:r>
        <w:rPr>
          <w:rFonts w:ascii="Times New Roman" w:hAnsi="Times New Roman"/>
          <w:color w:val="auto"/>
          <w:sz w:val="24"/>
          <w:szCs w:val="24"/>
        </w:rPr>
        <w:t>3. 委托人提供的设施清单：</w:t>
      </w:r>
      <w:r>
        <w:rPr>
          <w:rFonts w:hint="eastAsia" w:ascii="Times New Roman" w:hAnsi="Times New Roman"/>
          <w:color w:val="auto"/>
          <w:sz w:val="24"/>
          <w:szCs w:val="24"/>
          <w:u w:val="single"/>
        </w:rPr>
        <w:t>无；</w:t>
      </w:r>
    </w:p>
    <w:p>
      <w:pPr>
        <w:pStyle w:val="6"/>
        <w:keepNext w:val="0"/>
        <w:keepLines w:val="0"/>
        <w:spacing w:before="0" w:after="0" w:line="360" w:lineRule="auto"/>
        <w:ind w:firstLine="560" w:firstLineChars="200"/>
        <w:rPr>
          <w:rFonts w:ascii="Times New Roman" w:hAnsi="Times New Roman"/>
          <w:color w:val="auto"/>
        </w:rPr>
      </w:pPr>
      <w:bookmarkStart w:id="596" w:name="_Toc511557115"/>
      <w:bookmarkStart w:id="597" w:name="_Toc89870628"/>
      <w:bookmarkStart w:id="598" w:name="_Toc527028525"/>
      <w:bookmarkStart w:id="599" w:name="_Toc527028875"/>
      <w:bookmarkStart w:id="600" w:name="_Toc527028704"/>
      <w:bookmarkStart w:id="601" w:name="_Toc482188642"/>
      <w:r>
        <w:rPr>
          <w:rFonts w:ascii="Times New Roman" w:hAnsi="Times New Roman"/>
          <w:color w:val="auto"/>
        </w:rPr>
        <w:t>（二）委托人提供的资料</w:t>
      </w:r>
      <w:bookmarkEnd w:id="596"/>
      <w:bookmarkEnd w:id="597"/>
      <w:bookmarkEnd w:id="598"/>
      <w:bookmarkEnd w:id="599"/>
      <w:bookmarkEnd w:id="600"/>
      <w:bookmarkEnd w:id="601"/>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1. 施工场地及毗邻区域内的供水、排水、供电、供气、供热、通信、广播电视等地下管线资料、气象和水文观测资料，相邻建筑物和构筑物、地下工程的有关资料，以及其他与建设工程有关的原始资料</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2. 定位放线的基准点、基准线和基准标高</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3. 委托人取得的有关审批、核准和备案材料</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4. 勘察文件、设计文件等资料</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5. 技术标准、规范</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6. 工程承包合同及其他相关合同</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7. 其他资料</w:t>
      </w:r>
    </w:p>
    <w:p>
      <w:pPr>
        <w:pStyle w:val="6"/>
        <w:keepNext w:val="0"/>
        <w:keepLines w:val="0"/>
        <w:spacing w:before="0" w:after="0" w:line="360" w:lineRule="auto"/>
        <w:ind w:firstLine="560" w:firstLineChars="200"/>
        <w:rPr>
          <w:rFonts w:ascii="Times New Roman" w:hAnsi="Times New Roman"/>
          <w:color w:val="auto"/>
        </w:rPr>
      </w:pPr>
      <w:bookmarkStart w:id="602" w:name="_Toc89870629"/>
      <w:bookmarkStart w:id="603" w:name="_Toc527028526"/>
      <w:bookmarkStart w:id="604" w:name="_Toc527028705"/>
      <w:bookmarkStart w:id="605" w:name="_Toc527028876"/>
      <w:bookmarkStart w:id="606" w:name="_Toc511557116"/>
      <w:bookmarkStart w:id="607" w:name="_Toc482188643"/>
      <w:r>
        <w:rPr>
          <w:rFonts w:ascii="Times New Roman" w:hAnsi="Times New Roman"/>
          <w:color w:val="auto"/>
        </w:rPr>
        <w:t>（三）委托人财产使用要求及退还要求</w:t>
      </w:r>
      <w:bookmarkEnd w:id="602"/>
      <w:bookmarkEnd w:id="603"/>
      <w:bookmarkEnd w:id="604"/>
      <w:bookmarkEnd w:id="605"/>
      <w:bookmarkEnd w:id="606"/>
      <w:bookmarkEnd w:id="607"/>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1. 委托人财产使用要求</w:t>
      </w:r>
      <w:r>
        <w:rPr>
          <w:rFonts w:hint="eastAsia" w:ascii="Times New Roman" w:hAnsi="Times New Roman"/>
          <w:color w:val="auto"/>
          <w:sz w:val="24"/>
          <w:szCs w:val="24"/>
        </w:rPr>
        <w:t>：</w:t>
      </w:r>
      <w:r>
        <w:rPr>
          <w:rFonts w:hint="eastAsia" w:ascii="宋体" w:hAnsi="宋体"/>
          <w:color w:val="auto"/>
          <w:sz w:val="24"/>
          <w:szCs w:val="24"/>
          <w:u w:val="single"/>
        </w:rPr>
        <w:t>监理人对委托人财产保存完好，避免有损坏或丢失等情况发生；</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2. 委托人财产退还要求</w:t>
      </w:r>
      <w:r>
        <w:rPr>
          <w:rFonts w:hint="eastAsia" w:ascii="Times New Roman" w:hAnsi="Times New Roman"/>
          <w:color w:val="auto"/>
          <w:sz w:val="24"/>
          <w:szCs w:val="24"/>
        </w:rPr>
        <w:t>：</w:t>
      </w:r>
      <w:r>
        <w:rPr>
          <w:rFonts w:hint="eastAsia" w:ascii="宋体" w:hAnsi="宋体"/>
          <w:color w:val="auto"/>
          <w:sz w:val="24"/>
          <w:szCs w:val="24"/>
          <w:u w:val="single"/>
        </w:rPr>
        <w:t>工程完工后监理人将委托人财产全数完好地退还给委托人。</w:t>
      </w:r>
    </w:p>
    <w:p>
      <w:pPr>
        <w:pStyle w:val="5"/>
        <w:keepNext w:val="0"/>
        <w:keepLines w:val="0"/>
        <w:spacing w:before="0" w:after="0" w:line="360" w:lineRule="auto"/>
        <w:ind w:firstLine="560" w:firstLineChars="200"/>
        <w:rPr>
          <w:rFonts w:ascii="Times New Roman" w:hAnsi="Times New Roman"/>
          <w:b w:val="0"/>
          <w:color w:val="auto"/>
          <w:sz w:val="28"/>
          <w:szCs w:val="28"/>
        </w:rPr>
      </w:pPr>
      <w:bookmarkStart w:id="608" w:name="_Toc511557117"/>
      <w:bookmarkStart w:id="609" w:name="_Toc482188644"/>
      <w:bookmarkStart w:id="610" w:name="_Toc527028527"/>
      <w:bookmarkStart w:id="611" w:name="_Toc89870630"/>
      <w:r>
        <w:rPr>
          <w:rFonts w:ascii="Times New Roman" w:hAnsi="Times New Roman"/>
          <w:b w:val="0"/>
          <w:color w:val="auto"/>
          <w:sz w:val="28"/>
          <w:szCs w:val="28"/>
        </w:rPr>
        <w:t>五、委托人提供的便利条件</w:t>
      </w:r>
      <w:bookmarkEnd w:id="608"/>
      <w:bookmarkEnd w:id="609"/>
      <w:bookmarkEnd w:id="610"/>
      <w:bookmarkEnd w:id="611"/>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1. 委托人提供的生活条件</w:t>
      </w:r>
      <w:r>
        <w:rPr>
          <w:rFonts w:hint="eastAsia" w:ascii="宋体" w:hAnsi="宋体"/>
          <w:color w:val="auto"/>
          <w:sz w:val="24"/>
          <w:szCs w:val="24"/>
        </w:rPr>
        <w:t>：</w:t>
      </w:r>
      <w:r>
        <w:rPr>
          <w:rFonts w:hint="eastAsia" w:ascii="Times New Roman" w:hAnsi="Times New Roman"/>
          <w:color w:val="auto"/>
          <w:sz w:val="24"/>
          <w:szCs w:val="24"/>
          <w:u w:val="single"/>
        </w:rPr>
        <w:t>无</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2. 委托人提供的交通条件</w:t>
      </w:r>
      <w:r>
        <w:rPr>
          <w:rFonts w:hint="eastAsia" w:ascii="宋体" w:hAnsi="宋体"/>
          <w:color w:val="auto"/>
          <w:sz w:val="24"/>
          <w:szCs w:val="24"/>
        </w:rPr>
        <w:t>：</w:t>
      </w:r>
      <w:r>
        <w:rPr>
          <w:rFonts w:hint="eastAsia" w:ascii="Times New Roman" w:hAnsi="Times New Roman"/>
          <w:color w:val="auto"/>
          <w:sz w:val="24"/>
          <w:szCs w:val="24"/>
          <w:u w:val="single"/>
        </w:rPr>
        <w:t>无</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3. 委托人提供的网络、通讯条件</w:t>
      </w:r>
      <w:r>
        <w:rPr>
          <w:rFonts w:hint="eastAsia" w:ascii="宋体" w:hAnsi="宋体"/>
          <w:color w:val="auto"/>
          <w:sz w:val="24"/>
          <w:szCs w:val="24"/>
        </w:rPr>
        <w:t>：</w:t>
      </w:r>
      <w:r>
        <w:rPr>
          <w:rFonts w:hint="eastAsia" w:ascii="Times New Roman" w:hAnsi="Times New Roman"/>
          <w:color w:val="auto"/>
          <w:sz w:val="24"/>
          <w:szCs w:val="24"/>
          <w:u w:val="single"/>
        </w:rPr>
        <w:t>无</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4. 委托人提供的协助人员</w:t>
      </w:r>
      <w:r>
        <w:rPr>
          <w:rFonts w:hint="eastAsia" w:ascii="宋体" w:hAnsi="宋体"/>
          <w:color w:val="auto"/>
          <w:sz w:val="24"/>
          <w:szCs w:val="24"/>
        </w:rPr>
        <w:t>：</w:t>
      </w:r>
      <w:r>
        <w:rPr>
          <w:rFonts w:hint="eastAsia" w:ascii="Times New Roman" w:hAnsi="Times New Roman"/>
          <w:color w:val="auto"/>
          <w:sz w:val="24"/>
          <w:szCs w:val="24"/>
          <w:u w:val="single"/>
        </w:rPr>
        <w:t>无</w:t>
      </w:r>
      <w:bookmarkStart w:id="612" w:name="_Toc482188645"/>
      <w:r>
        <w:rPr>
          <w:rFonts w:ascii="Times New Roman" w:hAnsi="Times New Roman"/>
          <w:color w:val="auto"/>
          <w:sz w:val="24"/>
          <w:szCs w:val="24"/>
        </w:rPr>
        <w:t>……</w:t>
      </w:r>
    </w:p>
    <w:p>
      <w:pPr>
        <w:pStyle w:val="5"/>
        <w:keepNext w:val="0"/>
        <w:keepLines w:val="0"/>
        <w:spacing w:before="0" w:after="0" w:line="360" w:lineRule="auto"/>
        <w:ind w:firstLine="560" w:firstLineChars="200"/>
        <w:rPr>
          <w:rFonts w:ascii="Times New Roman" w:hAnsi="Times New Roman"/>
          <w:b w:val="0"/>
          <w:color w:val="auto"/>
          <w:sz w:val="28"/>
          <w:szCs w:val="28"/>
        </w:rPr>
      </w:pPr>
      <w:bookmarkStart w:id="613" w:name="_Toc527028528"/>
      <w:bookmarkStart w:id="614" w:name="_Toc511557118"/>
      <w:bookmarkStart w:id="615" w:name="_Toc89870631"/>
      <w:r>
        <w:rPr>
          <w:rFonts w:ascii="Times New Roman" w:hAnsi="Times New Roman"/>
          <w:b w:val="0"/>
          <w:color w:val="auto"/>
          <w:sz w:val="28"/>
          <w:szCs w:val="28"/>
        </w:rPr>
        <w:t>六、监理人需要自备的工作条件</w:t>
      </w:r>
      <w:bookmarkEnd w:id="612"/>
      <w:bookmarkEnd w:id="613"/>
      <w:bookmarkEnd w:id="614"/>
      <w:bookmarkEnd w:id="615"/>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1. 监理人自备的工作手册：</w:t>
      </w:r>
      <w:r>
        <w:rPr>
          <w:rFonts w:hint="eastAsia" w:ascii="宋体" w:hAnsi="宋体"/>
          <w:color w:val="auto"/>
          <w:sz w:val="24"/>
          <w:szCs w:val="24"/>
          <w:u w:val="single"/>
        </w:rPr>
        <w:t>本项目必备的规范标准、图集等。</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2. 监理人自备的办公设备：</w:t>
      </w:r>
      <w:r>
        <w:rPr>
          <w:rFonts w:hint="eastAsia" w:ascii="宋体" w:hAnsi="宋体"/>
          <w:color w:val="auto"/>
          <w:sz w:val="24"/>
          <w:szCs w:val="24"/>
          <w:u w:val="single"/>
        </w:rPr>
        <w:t>电脑、软件、投影、打印机、复印机、照相机等。</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3. 监理人自备的交通工具：</w:t>
      </w:r>
      <w:r>
        <w:rPr>
          <w:rFonts w:hint="eastAsia" w:ascii="宋体" w:hAnsi="宋体"/>
          <w:color w:val="auto"/>
          <w:sz w:val="24"/>
          <w:szCs w:val="24"/>
          <w:u w:val="single"/>
        </w:rPr>
        <w:t>出行车辆等。</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4. 监理人自备的现场办公设施：</w:t>
      </w:r>
      <w:r>
        <w:rPr>
          <w:rFonts w:hint="eastAsia" w:ascii="宋体" w:hAnsi="宋体"/>
          <w:color w:val="auto"/>
          <w:sz w:val="24"/>
          <w:szCs w:val="24"/>
          <w:u w:val="single"/>
        </w:rPr>
        <w:t>办公桌椅、文件柜等。</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5. 监理人自备的安全设施：</w:t>
      </w:r>
      <w:r>
        <w:rPr>
          <w:rFonts w:hint="eastAsia" w:ascii="宋体" w:hAnsi="宋体"/>
          <w:color w:val="auto"/>
          <w:sz w:val="24"/>
          <w:szCs w:val="24"/>
          <w:u w:val="single"/>
        </w:rPr>
        <w:t>安全帽、安全鞋、手电筒等。</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6. 监理人自备的试验检测仪器、设备、工具</w:t>
      </w:r>
      <w:r>
        <w:rPr>
          <w:rFonts w:hint="eastAsia" w:ascii="宋体" w:hAnsi="宋体"/>
          <w:color w:val="auto"/>
          <w:sz w:val="24"/>
          <w:szCs w:val="24"/>
        </w:rPr>
        <w:t>：</w:t>
      </w:r>
      <w:r>
        <w:rPr>
          <w:rFonts w:hint="eastAsia" w:ascii="宋体" w:hAnsi="宋体"/>
          <w:color w:val="auto"/>
          <w:sz w:val="24"/>
          <w:szCs w:val="24"/>
          <w:u w:val="single"/>
        </w:rPr>
        <w:t>满足本项目监理服务要求。</w:t>
      </w:r>
    </w:p>
    <w:p>
      <w:pPr>
        <w:pStyle w:val="9"/>
        <w:spacing w:line="360" w:lineRule="auto"/>
        <w:ind w:firstLine="480" w:firstLineChars="200"/>
        <w:rPr>
          <w:color w:val="auto"/>
        </w:rPr>
      </w:pPr>
      <w:r>
        <w:rPr>
          <w:rFonts w:ascii="Times New Roman" w:hAnsi="Times New Roman"/>
          <w:color w:val="auto"/>
          <w:sz w:val="24"/>
          <w:szCs w:val="24"/>
        </w:rPr>
        <w:t>7. 监理人自备的试验用房、样品用房</w:t>
      </w:r>
      <w:r>
        <w:rPr>
          <w:rFonts w:hint="eastAsia" w:ascii="宋体" w:hAnsi="宋体"/>
          <w:color w:val="auto"/>
          <w:sz w:val="24"/>
          <w:szCs w:val="24"/>
        </w:rPr>
        <w:t>：</w:t>
      </w:r>
      <w:r>
        <w:rPr>
          <w:rFonts w:hint="eastAsia" w:ascii="宋体" w:hAnsi="宋体"/>
          <w:color w:val="auto"/>
          <w:sz w:val="24"/>
          <w:szCs w:val="24"/>
          <w:u w:val="single"/>
        </w:rPr>
        <w:t>监理人根据现场实际情况自行准备。</w:t>
      </w:r>
    </w:p>
    <w:p>
      <w:pPr>
        <w:pStyle w:val="5"/>
        <w:keepNext w:val="0"/>
        <w:keepLines w:val="0"/>
        <w:spacing w:before="0" w:after="0" w:line="360" w:lineRule="auto"/>
        <w:ind w:firstLine="560" w:firstLineChars="200"/>
        <w:rPr>
          <w:rFonts w:ascii="Times New Roman" w:hAnsi="Times New Roman"/>
          <w:b w:val="0"/>
          <w:color w:val="auto"/>
          <w:sz w:val="28"/>
          <w:szCs w:val="28"/>
        </w:rPr>
      </w:pPr>
      <w:bookmarkStart w:id="616" w:name="_Toc482188646"/>
      <w:bookmarkStart w:id="617" w:name="_Toc511557119"/>
      <w:bookmarkStart w:id="618" w:name="_Toc527028529"/>
      <w:bookmarkStart w:id="619" w:name="_Toc89870632"/>
      <w:r>
        <w:rPr>
          <w:rFonts w:ascii="Times New Roman" w:hAnsi="Times New Roman"/>
          <w:b w:val="0"/>
          <w:color w:val="auto"/>
          <w:sz w:val="28"/>
          <w:szCs w:val="28"/>
        </w:rPr>
        <w:t>七、委托人的其他要求</w:t>
      </w:r>
      <w:bookmarkEnd w:id="616"/>
      <w:bookmarkEnd w:id="617"/>
      <w:bookmarkEnd w:id="618"/>
      <w:bookmarkEnd w:id="619"/>
    </w:p>
    <w:p>
      <w:pPr>
        <w:ind w:firstLine="480" w:firstLineChars="200"/>
        <w:rPr>
          <w:color w:val="auto"/>
        </w:rPr>
      </w:pPr>
      <w:r>
        <w:rPr>
          <w:rFonts w:ascii="Times New Roman" w:hAnsi="Times New Roman"/>
          <w:color w:val="auto"/>
          <w:sz w:val="24"/>
          <w:szCs w:val="24"/>
        </w:rPr>
        <w:t>委托人的其他要求</w:t>
      </w:r>
      <w:r>
        <w:rPr>
          <w:rFonts w:hint="eastAsia" w:ascii="宋体" w:hAnsi="宋体"/>
          <w:color w:val="auto"/>
          <w:sz w:val="24"/>
          <w:szCs w:val="24"/>
        </w:rPr>
        <w:t>：</w:t>
      </w:r>
      <w:r>
        <w:rPr>
          <w:rFonts w:hint="eastAsia" w:ascii="宋体" w:hAnsi="宋体"/>
          <w:color w:val="auto"/>
          <w:sz w:val="24"/>
          <w:szCs w:val="24"/>
          <w:u w:val="single"/>
        </w:rPr>
        <w:t>其他要求详见按监理合同。</w:t>
      </w:r>
      <w:bookmarkStart w:id="620" w:name="_Toc89870633"/>
      <w:r>
        <w:rPr>
          <w:color w:val="auto"/>
        </w:rPr>
        <w:br w:type="page"/>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4"/>
        <w:keepNext w:val="0"/>
        <w:keepLines w:val="0"/>
        <w:spacing w:before="0" w:after="0" w:line="240" w:lineRule="auto"/>
        <w:jc w:val="center"/>
        <w:rPr>
          <w:color w:val="auto"/>
        </w:rPr>
      </w:pPr>
      <w:r>
        <w:rPr>
          <w:color w:val="auto"/>
        </w:rPr>
        <w:t>第</w:t>
      </w:r>
      <w:r>
        <w:rPr>
          <w:rFonts w:hint="eastAsia"/>
          <w:color w:val="auto"/>
        </w:rPr>
        <w:t>三</w:t>
      </w:r>
      <w:r>
        <w:rPr>
          <w:color w:val="auto"/>
        </w:rPr>
        <w:t>卷</w:t>
      </w:r>
      <w:bookmarkEnd w:id="620"/>
    </w:p>
    <w:p>
      <w:pPr>
        <w:ind w:firstLine="420" w:firstLineChars="200"/>
        <w:rPr>
          <w:color w:val="auto"/>
        </w:rPr>
      </w:pPr>
      <w:bookmarkStart w:id="621" w:name="_Toc89870634"/>
      <w:r>
        <w:rPr>
          <w:color w:val="auto"/>
        </w:rPr>
        <w:br w:type="page"/>
      </w:r>
    </w:p>
    <w:p>
      <w:pPr>
        <w:pStyle w:val="4"/>
        <w:keepNext w:val="0"/>
        <w:keepLines w:val="0"/>
        <w:spacing w:before="0" w:after="0" w:line="360" w:lineRule="auto"/>
        <w:jc w:val="center"/>
        <w:rPr>
          <w:color w:val="auto"/>
        </w:rPr>
      </w:pPr>
      <w:r>
        <w:rPr>
          <w:color w:val="auto"/>
        </w:rPr>
        <w:t>第六章</w:t>
      </w:r>
      <w:r>
        <w:rPr>
          <w:rFonts w:hint="eastAsia"/>
          <w:color w:val="auto"/>
        </w:rPr>
        <w:t xml:space="preserve"> </w:t>
      </w:r>
      <w:r>
        <w:rPr>
          <w:color w:val="auto"/>
        </w:rPr>
        <w:t>投标文件格式</w:t>
      </w:r>
      <w:bookmarkEnd w:id="621"/>
    </w:p>
    <w:p>
      <w:pPr>
        <w:autoSpaceDE w:val="0"/>
        <w:autoSpaceDN w:val="0"/>
        <w:adjustRightInd w:val="0"/>
        <w:spacing w:line="360" w:lineRule="auto"/>
        <w:jc w:val="center"/>
        <w:rPr>
          <w:b/>
          <w:color w:val="auto"/>
          <w:sz w:val="44"/>
          <w:szCs w:val="44"/>
        </w:rPr>
      </w:pPr>
      <w:r>
        <w:rPr>
          <w:rFonts w:hint="eastAsia"/>
          <w:b/>
          <w:color w:val="auto"/>
          <w:sz w:val="44"/>
          <w:szCs w:val="44"/>
        </w:rPr>
        <w:t xml:space="preserve">增城区农村供水改造工程（第二批）监理 </w:t>
      </w:r>
    </w:p>
    <w:p>
      <w:pPr>
        <w:autoSpaceDE w:val="0"/>
        <w:autoSpaceDN w:val="0"/>
        <w:adjustRightInd w:val="0"/>
        <w:ind w:firstLine="883" w:firstLineChars="200"/>
        <w:rPr>
          <w:b/>
          <w:color w:val="auto"/>
          <w:sz w:val="44"/>
          <w:szCs w:val="44"/>
        </w:rPr>
      </w:pPr>
    </w:p>
    <w:p>
      <w:pPr>
        <w:ind w:firstLine="400" w:firstLineChars="200"/>
        <w:rPr>
          <w:rFonts w:ascii="Times New Roman" w:hAnsi="Times New Roman" w:eastAsia="黑体"/>
          <w:color w:val="auto"/>
          <w:sz w:val="20"/>
        </w:rPr>
      </w:pPr>
    </w:p>
    <w:p>
      <w:pPr>
        <w:ind w:firstLine="400" w:firstLineChars="200"/>
        <w:rPr>
          <w:rFonts w:ascii="Times New Roman" w:hAnsi="Times New Roman" w:eastAsia="黑体"/>
          <w:color w:val="auto"/>
          <w:sz w:val="20"/>
        </w:rPr>
      </w:pPr>
    </w:p>
    <w:p>
      <w:pPr>
        <w:ind w:firstLine="400" w:firstLineChars="200"/>
        <w:rPr>
          <w:rFonts w:ascii="Times New Roman" w:hAnsi="Times New Roman" w:eastAsia="黑体"/>
          <w:color w:val="auto"/>
          <w:sz w:val="20"/>
        </w:rPr>
      </w:pPr>
    </w:p>
    <w:p>
      <w:pPr>
        <w:ind w:firstLine="400" w:firstLineChars="200"/>
        <w:rPr>
          <w:rFonts w:ascii="Times New Roman" w:hAnsi="Times New Roman" w:eastAsia="黑体"/>
          <w:color w:val="auto"/>
          <w:sz w:val="20"/>
        </w:rPr>
      </w:pPr>
    </w:p>
    <w:p>
      <w:pPr>
        <w:ind w:firstLine="400" w:firstLineChars="200"/>
        <w:rPr>
          <w:rFonts w:ascii="Times New Roman" w:hAnsi="Times New Roman" w:eastAsia="黑体"/>
          <w:color w:val="auto"/>
          <w:sz w:val="20"/>
        </w:rPr>
      </w:pPr>
    </w:p>
    <w:p>
      <w:pPr>
        <w:pStyle w:val="14"/>
        <w:ind w:firstLine="420" w:firstLineChars="200"/>
        <w:rPr>
          <w:color w:val="auto"/>
        </w:rPr>
      </w:pPr>
    </w:p>
    <w:p>
      <w:pPr>
        <w:ind w:firstLine="420" w:firstLineChars="200"/>
        <w:rPr>
          <w:color w:val="auto"/>
        </w:rPr>
      </w:pPr>
    </w:p>
    <w:p>
      <w:pPr>
        <w:ind w:firstLine="420" w:firstLineChars="200"/>
        <w:rPr>
          <w:color w:val="auto"/>
        </w:rPr>
      </w:pPr>
    </w:p>
    <w:p>
      <w:pPr>
        <w:ind w:firstLine="1680" w:firstLineChars="200"/>
        <w:rPr>
          <w:rFonts w:ascii="Times New Roman" w:hAnsi="Times New Roman" w:eastAsia="黑体"/>
          <w:color w:val="auto"/>
          <w:sz w:val="84"/>
          <w:szCs w:val="84"/>
        </w:rPr>
      </w:pPr>
      <w:r>
        <w:rPr>
          <w:rFonts w:ascii="Times New Roman" w:hAnsi="Times New Roman" w:eastAsia="黑体"/>
          <w:color w:val="auto"/>
          <w:sz w:val="84"/>
          <w:szCs w:val="84"/>
        </w:rPr>
        <w:t>投 标 文 件</w:t>
      </w:r>
    </w:p>
    <w:p>
      <w:pPr>
        <w:ind w:firstLine="880" w:firstLineChars="200"/>
        <w:rPr>
          <w:rFonts w:ascii="Times New Roman" w:hAnsi="Times New Roman" w:eastAsia="黑体"/>
          <w:color w:val="auto"/>
          <w:sz w:val="44"/>
        </w:rPr>
      </w:pPr>
    </w:p>
    <w:p>
      <w:pPr>
        <w:ind w:firstLine="560" w:firstLineChars="200"/>
        <w:rPr>
          <w:rFonts w:ascii="Times New Roman" w:hAnsi="Times New Roman" w:eastAsia="黑体"/>
          <w:color w:val="auto"/>
          <w:sz w:val="28"/>
        </w:rPr>
      </w:pPr>
    </w:p>
    <w:p>
      <w:pPr>
        <w:ind w:firstLine="560" w:firstLineChars="200"/>
        <w:rPr>
          <w:rFonts w:ascii="Times New Roman" w:hAnsi="Times New Roman" w:eastAsia="黑体"/>
          <w:color w:val="auto"/>
          <w:sz w:val="28"/>
        </w:rPr>
      </w:pPr>
    </w:p>
    <w:p>
      <w:pPr>
        <w:ind w:firstLine="560" w:firstLineChars="200"/>
        <w:rPr>
          <w:rFonts w:ascii="Times New Roman" w:hAnsi="Times New Roman" w:eastAsia="黑体"/>
          <w:color w:val="auto"/>
          <w:sz w:val="28"/>
        </w:rPr>
      </w:pPr>
    </w:p>
    <w:p>
      <w:pPr>
        <w:ind w:firstLine="560" w:firstLineChars="200"/>
        <w:rPr>
          <w:rFonts w:ascii="Times New Roman" w:hAnsi="Times New Roman" w:eastAsia="黑体"/>
          <w:color w:val="auto"/>
          <w:sz w:val="28"/>
        </w:rPr>
      </w:pPr>
    </w:p>
    <w:p>
      <w:pPr>
        <w:ind w:firstLine="560" w:firstLineChars="200"/>
        <w:rPr>
          <w:rFonts w:ascii="Times New Roman" w:hAnsi="Times New Roman" w:eastAsia="黑体"/>
          <w:color w:val="auto"/>
          <w:sz w:val="28"/>
        </w:rPr>
      </w:pPr>
    </w:p>
    <w:p>
      <w:pPr>
        <w:ind w:firstLine="560" w:firstLineChars="200"/>
        <w:rPr>
          <w:rFonts w:ascii="Times New Roman" w:hAnsi="Times New Roman" w:eastAsia="黑体"/>
          <w:color w:val="auto"/>
          <w:sz w:val="28"/>
        </w:rPr>
      </w:pPr>
    </w:p>
    <w:p>
      <w:pPr>
        <w:ind w:firstLine="560" w:firstLineChars="200"/>
        <w:rPr>
          <w:rFonts w:ascii="Times New Roman" w:hAnsi="Times New Roman" w:eastAsia="黑体"/>
          <w:color w:val="auto"/>
          <w:sz w:val="28"/>
        </w:rPr>
      </w:pPr>
    </w:p>
    <w:p>
      <w:pPr>
        <w:spacing w:line="360" w:lineRule="auto"/>
        <w:ind w:firstLine="560" w:firstLineChars="200"/>
        <w:rPr>
          <w:rFonts w:ascii="Times New Roman" w:hAnsi="Times New Roman" w:eastAsia="黑体"/>
          <w:color w:val="auto"/>
          <w:sz w:val="28"/>
        </w:rPr>
      </w:pPr>
    </w:p>
    <w:p>
      <w:pPr>
        <w:spacing w:line="360" w:lineRule="auto"/>
        <w:ind w:firstLine="560" w:firstLineChars="200"/>
        <w:rPr>
          <w:rFonts w:ascii="Times New Roman" w:hAnsi="Times New Roman" w:eastAsia="黑体"/>
          <w:color w:val="auto"/>
          <w:sz w:val="28"/>
          <w:u w:val="single"/>
        </w:rPr>
      </w:pPr>
      <w:r>
        <w:rPr>
          <w:rFonts w:ascii="Times New Roman" w:hAnsi="Times New Roman" w:eastAsia="黑体"/>
          <w:color w:val="auto"/>
          <w:sz w:val="28"/>
        </w:rPr>
        <w:t>投标人：</w:t>
      </w:r>
      <w:r>
        <w:rPr>
          <w:rFonts w:ascii="Times New Roman" w:hAnsi="Times New Roman"/>
          <w:color w:val="auto"/>
          <w:u w:val="single"/>
        </w:rPr>
        <w:t xml:space="preserve">                                            </w:t>
      </w:r>
      <w:r>
        <w:rPr>
          <w:rFonts w:ascii="Times New Roman" w:hAnsi="Times New Roman" w:eastAsia="黑体"/>
          <w:color w:val="auto"/>
          <w:sz w:val="28"/>
        </w:rPr>
        <w:t>（盖单位章）</w:t>
      </w:r>
    </w:p>
    <w:p>
      <w:pPr>
        <w:spacing w:line="360" w:lineRule="auto"/>
        <w:ind w:firstLine="560" w:firstLineChars="200"/>
        <w:rPr>
          <w:rFonts w:ascii="Times New Roman" w:hAnsi="Times New Roman" w:eastAsia="黑体"/>
          <w:color w:val="auto"/>
          <w:sz w:val="28"/>
        </w:rPr>
      </w:pPr>
      <w:r>
        <w:rPr>
          <w:rFonts w:ascii="Times New Roman" w:hAnsi="Times New Roman" w:eastAsia="黑体"/>
          <w:color w:val="auto"/>
          <w:sz w:val="28"/>
        </w:rPr>
        <w:t>法定代表人或其委托代理人：</w:t>
      </w:r>
      <w:r>
        <w:rPr>
          <w:rFonts w:ascii="Times New Roman" w:hAnsi="Times New Roman"/>
          <w:color w:val="auto"/>
          <w:u w:val="single"/>
        </w:rPr>
        <w:t xml:space="preserve">       </w:t>
      </w:r>
      <w:r>
        <w:rPr>
          <w:rFonts w:ascii="Times New Roman" w:hAnsi="Times New Roman" w:eastAsia="黑体"/>
          <w:color w:val="auto"/>
          <w:sz w:val="28"/>
        </w:rPr>
        <w:t>（签字）</w:t>
      </w:r>
    </w:p>
    <w:p>
      <w:pPr>
        <w:spacing w:line="360" w:lineRule="auto"/>
        <w:ind w:firstLine="420" w:firstLineChars="200"/>
        <w:rPr>
          <w:rFonts w:ascii="Times New Roman" w:hAnsi="Times New Roman" w:eastAsia="黑体"/>
          <w:color w:val="auto"/>
          <w:sz w:val="28"/>
        </w:rPr>
      </w:pPr>
      <w:r>
        <w:rPr>
          <w:rFonts w:ascii="Times New Roman" w:hAnsi="Times New Roman"/>
          <w:color w:val="auto"/>
          <w:u w:val="single"/>
        </w:rPr>
        <w:t xml:space="preserve">       </w:t>
      </w:r>
      <w:r>
        <w:rPr>
          <w:rFonts w:ascii="Times New Roman" w:hAnsi="Times New Roman" w:eastAsia="黑体"/>
          <w:color w:val="auto"/>
          <w:sz w:val="28"/>
        </w:rPr>
        <w:t>年</w:t>
      </w:r>
      <w:r>
        <w:rPr>
          <w:rFonts w:ascii="Times New Roman" w:hAnsi="Times New Roman"/>
          <w:color w:val="auto"/>
          <w:u w:val="single"/>
        </w:rPr>
        <w:t xml:space="preserve">       </w:t>
      </w:r>
      <w:r>
        <w:rPr>
          <w:rFonts w:ascii="Times New Roman" w:hAnsi="Times New Roman" w:eastAsia="黑体"/>
          <w:color w:val="auto"/>
          <w:sz w:val="28"/>
        </w:rPr>
        <w:t>月</w:t>
      </w:r>
      <w:r>
        <w:rPr>
          <w:rFonts w:ascii="Times New Roman" w:hAnsi="Times New Roman"/>
          <w:color w:val="auto"/>
          <w:u w:val="single"/>
        </w:rPr>
        <w:t xml:space="preserve">       </w:t>
      </w:r>
      <w:r>
        <w:rPr>
          <w:rFonts w:ascii="Times New Roman" w:hAnsi="Times New Roman" w:eastAsia="黑体"/>
          <w:color w:val="auto"/>
          <w:sz w:val="28"/>
        </w:rPr>
        <w:t>日</w:t>
      </w:r>
    </w:p>
    <w:p>
      <w:pPr>
        <w:ind w:firstLine="420" w:firstLineChars="200"/>
        <w:rPr>
          <w:rFonts w:ascii="Times New Roman" w:hAnsi="Times New Roman"/>
          <w:color w:val="auto"/>
        </w:rPr>
      </w:pPr>
      <w:bookmarkStart w:id="622" w:name="_Toc89870635"/>
      <w:r>
        <w:rPr>
          <w:rFonts w:ascii="Times New Roman" w:hAnsi="Times New Roman"/>
          <w:color w:val="auto"/>
        </w:rPr>
        <w:br w:type="page"/>
      </w:r>
    </w:p>
    <w:p>
      <w:pPr>
        <w:pStyle w:val="5"/>
        <w:keepNext w:val="0"/>
        <w:keepLines w:val="0"/>
        <w:spacing w:before="0" w:after="0"/>
        <w:ind w:firstLine="643" w:firstLineChars="200"/>
        <w:jc w:val="center"/>
        <w:rPr>
          <w:rFonts w:ascii="Times New Roman" w:hAnsi="Times New Roman"/>
          <w:color w:val="auto"/>
        </w:rPr>
      </w:pPr>
      <w:r>
        <w:rPr>
          <w:rFonts w:ascii="Times New Roman" w:hAnsi="Times New Roman"/>
          <w:color w:val="auto"/>
        </w:rPr>
        <w:t>目</w:t>
      </w:r>
      <w:r>
        <w:rPr>
          <w:rFonts w:hint="eastAsia" w:ascii="Times New Roman" w:hAnsi="Times New Roman"/>
          <w:color w:val="auto"/>
        </w:rPr>
        <w:t xml:space="preserve">  </w:t>
      </w:r>
      <w:r>
        <w:rPr>
          <w:rFonts w:ascii="Times New Roman" w:hAnsi="Times New Roman"/>
          <w:color w:val="auto"/>
        </w:rPr>
        <w:t>录</w:t>
      </w:r>
      <w:bookmarkEnd w:id="622"/>
    </w:p>
    <w:p>
      <w:pPr>
        <w:spacing w:line="540" w:lineRule="exact"/>
        <w:ind w:firstLine="420" w:firstLineChars="200"/>
        <w:rPr>
          <w:rFonts w:ascii="Times New Roman" w:hAnsi="Times New Roman"/>
          <w:color w:val="auto"/>
        </w:rPr>
      </w:pPr>
      <w:r>
        <w:rPr>
          <w:rFonts w:ascii="Times New Roman" w:hAnsi="Times New Roman"/>
          <w:color w:val="auto"/>
        </w:rPr>
        <w:t>一、投标函及投标函附录、投标报价书</w:t>
      </w:r>
    </w:p>
    <w:p>
      <w:pPr>
        <w:spacing w:line="540" w:lineRule="exact"/>
        <w:ind w:firstLine="420" w:firstLineChars="200"/>
        <w:rPr>
          <w:rFonts w:ascii="Times New Roman" w:hAnsi="Times New Roman"/>
          <w:color w:val="auto"/>
        </w:rPr>
      </w:pPr>
      <w:r>
        <w:rPr>
          <w:rFonts w:ascii="Times New Roman" w:hAnsi="Times New Roman"/>
          <w:color w:val="auto"/>
        </w:rPr>
        <w:t>二、法定代表人身份证明（适用于无委托代理人的情况）</w:t>
      </w:r>
    </w:p>
    <w:p>
      <w:pPr>
        <w:spacing w:line="540" w:lineRule="exact"/>
        <w:ind w:firstLine="420" w:firstLineChars="200"/>
        <w:rPr>
          <w:rFonts w:ascii="Times New Roman" w:hAnsi="Times New Roman"/>
          <w:color w:val="auto"/>
        </w:rPr>
      </w:pPr>
      <w:r>
        <w:rPr>
          <w:rFonts w:ascii="Times New Roman" w:hAnsi="Times New Roman"/>
          <w:color w:val="auto"/>
        </w:rPr>
        <w:t>授权委托书（适用于有委托代理人的情况）</w:t>
      </w:r>
    </w:p>
    <w:p>
      <w:pPr>
        <w:spacing w:line="540" w:lineRule="exact"/>
        <w:ind w:firstLine="420" w:firstLineChars="200"/>
        <w:rPr>
          <w:rFonts w:ascii="Times New Roman" w:hAnsi="Times New Roman"/>
          <w:color w:val="auto"/>
        </w:rPr>
      </w:pPr>
      <w:r>
        <w:rPr>
          <w:rFonts w:hint="eastAsia" w:ascii="Times New Roman" w:hAnsi="Times New Roman"/>
          <w:color w:val="auto"/>
        </w:rPr>
        <w:t>三</w:t>
      </w:r>
      <w:r>
        <w:rPr>
          <w:rFonts w:ascii="Times New Roman" w:hAnsi="Times New Roman"/>
          <w:color w:val="auto"/>
        </w:rPr>
        <w:t>、投标保证金</w:t>
      </w:r>
    </w:p>
    <w:p>
      <w:pPr>
        <w:spacing w:line="540" w:lineRule="exact"/>
        <w:ind w:firstLine="420" w:firstLineChars="200"/>
        <w:rPr>
          <w:rFonts w:ascii="Times New Roman" w:hAnsi="Times New Roman"/>
          <w:color w:val="auto"/>
        </w:rPr>
      </w:pPr>
      <w:r>
        <w:rPr>
          <w:rFonts w:hint="eastAsia" w:ascii="Times New Roman" w:hAnsi="Times New Roman"/>
          <w:color w:val="auto"/>
        </w:rPr>
        <w:t>四</w:t>
      </w:r>
      <w:r>
        <w:rPr>
          <w:rFonts w:ascii="Times New Roman" w:hAnsi="Times New Roman"/>
          <w:color w:val="auto"/>
        </w:rPr>
        <w:t>、</w:t>
      </w:r>
      <w:r>
        <w:rPr>
          <w:rFonts w:hint="eastAsia" w:ascii="Times New Roman" w:hAnsi="Times New Roman"/>
          <w:color w:val="auto"/>
        </w:rPr>
        <w:t>广州建设工程监理投标书</w:t>
      </w:r>
    </w:p>
    <w:p>
      <w:pPr>
        <w:spacing w:line="540" w:lineRule="exact"/>
        <w:ind w:firstLine="420" w:firstLineChars="200"/>
        <w:rPr>
          <w:rFonts w:ascii="Times New Roman" w:hAnsi="Times New Roman"/>
          <w:color w:val="auto"/>
        </w:rPr>
      </w:pPr>
      <w:r>
        <w:rPr>
          <w:rFonts w:hint="eastAsia" w:ascii="Times New Roman" w:hAnsi="Times New Roman"/>
          <w:color w:val="auto"/>
        </w:rPr>
        <w:t>五</w:t>
      </w:r>
      <w:r>
        <w:rPr>
          <w:rFonts w:ascii="Times New Roman" w:hAnsi="Times New Roman"/>
          <w:color w:val="auto"/>
        </w:rPr>
        <w:t>、资格审查资料</w:t>
      </w:r>
    </w:p>
    <w:p>
      <w:pPr>
        <w:spacing w:line="540" w:lineRule="exact"/>
        <w:ind w:firstLine="420" w:firstLineChars="200"/>
        <w:rPr>
          <w:rFonts w:ascii="Times New Roman" w:hAnsi="Times New Roman"/>
          <w:color w:val="auto"/>
        </w:rPr>
      </w:pPr>
      <w:r>
        <w:rPr>
          <w:rFonts w:hint="eastAsia" w:ascii="Times New Roman" w:hAnsi="Times New Roman"/>
          <w:color w:val="auto"/>
        </w:rPr>
        <w:t>六</w:t>
      </w:r>
      <w:r>
        <w:rPr>
          <w:rFonts w:ascii="Times New Roman" w:hAnsi="Times New Roman"/>
          <w:color w:val="auto"/>
        </w:rPr>
        <w:t>、监理大纲</w:t>
      </w:r>
    </w:p>
    <w:p>
      <w:pPr>
        <w:spacing w:line="540" w:lineRule="exact"/>
        <w:ind w:firstLine="420" w:firstLineChars="200"/>
        <w:rPr>
          <w:rFonts w:ascii="Times New Roman" w:hAnsi="Times New Roman"/>
          <w:color w:val="auto"/>
        </w:rPr>
      </w:pPr>
      <w:bookmarkStart w:id="623" w:name="_Toc7039"/>
      <w:bookmarkStart w:id="624" w:name="_Toc369531691"/>
      <w:bookmarkStart w:id="625" w:name="_Toc352691655"/>
      <w:r>
        <w:rPr>
          <w:rFonts w:hint="eastAsia" w:ascii="Times New Roman" w:hAnsi="Times New Roman"/>
          <w:color w:val="auto"/>
        </w:rPr>
        <w:t>七</w:t>
      </w:r>
      <w:r>
        <w:rPr>
          <w:rFonts w:ascii="Times New Roman" w:hAnsi="Times New Roman"/>
          <w:color w:val="auto"/>
        </w:rPr>
        <w:t>、其他资料</w:t>
      </w:r>
    </w:p>
    <w:p>
      <w:pPr>
        <w:spacing w:line="540" w:lineRule="exact"/>
        <w:ind w:firstLine="400" w:firstLineChars="200"/>
        <w:rPr>
          <w:rFonts w:ascii="Times New Roman" w:hAnsi="Times New Roman" w:eastAsia="黑体"/>
          <w:color w:val="auto"/>
          <w:sz w:val="20"/>
        </w:rPr>
      </w:pPr>
    </w:p>
    <w:p>
      <w:pPr>
        <w:spacing w:line="540" w:lineRule="exact"/>
        <w:ind w:firstLine="400" w:firstLineChars="200"/>
        <w:rPr>
          <w:rFonts w:ascii="Times New Roman" w:hAnsi="Times New Roman" w:eastAsia="黑体"/>
          <w:color w:val="auto"/>
          <w:sz w:val="20"/>
        </w:rPr>
      </w:pPr>
    </w:p>
    <w:p>
      <w:pPr>
        <w:spacing w:line="540" w:lineRule="exact"/>
        <w:ind w:firstLine="400" w:firstLineChars="200"/>
        <w:rPr>
          <w:rFonts w:ascii="Times New Roman" w:hAnsi="Times New Roman" w:eastAsia="黑体"/>
          <w:color w:val="auto"/>
          <w:sz w:val="20"/>
        </w:rPr>
      </w:pPr>
    </w:p>
    <w:p>
      <w:pPr>
        <w:spacing w:line="540" w:lineRule="exact"/>
        <w:ind w:firstLine="400" w:firstLineChars="200"/>
        <w:rPr>
          <w:rFonts w:ascii="Times New Roman" w:hAnsi="Times New Roman" w:eastAsia="黑体"/>
          <w:color w:val="auto"/>
          <w:sz w:val="20"/>
        </w:rPr>
      </w:pPr>
    </w:p>
    <w:p>
      <w:pPr>
        <w:spacing w:line="540" w:lineRule="exact"/>
        <w:ind w:firstLine="400" w:firstLineChars="200"/>
        <w:rPr>
          <w:rFonts w:ascii="Times New Roman" w:hAnsi="Times New Roman" w:eastAsia="黑体"/>
          <w:color w:val="auto"/>
          <w:sz w:val="20"/>
        </w:rPr>
      </w:pPr>
    </w:p>
    <w:p>
      <w:pPr>
        <w:spacing w:line="540" w:lineRule="exact"/>
        <w:ind w:firstLine="400" w:firstLineChars="200"/>
        <w:rPr>
          <w:rFonts w:ascii="Times New Roman" w:hAnsi="Times New Roman" w:eastAsia="黑体"/>
          <w:color w:val="auto"/>
          <w:sz w:val="20"/>
        </w:rPr>
      </w:pPr>
    </w:p>
    <w:p>
      <w:pPr>
        <w:spacing w:line="540" w:lineRule="exact"/>
        <w:ind w:firstLine="400" w:firstLineChars="200"/>
        <w:rPr>
          <w:rFonts w:ascii="Times New Roman" w:hAnsi="Times New Roman" w:eastAsia="黑体"/>
          <w:color w:val="auto"/>
          <w:sz w:val="20"/>
        </w:rPr>
      </w:pPr>
    </w:p>
    <w:p>
      <w:pPr>
        <w:spacing w:line="540" w:lineRule="exact"/>
        <w:ind w:firstLine="400" w:firstLineChars="200"/>
        <w:rPr>
          <w:rFonts w:ascii="Times New Roman" w:hAnsi="Times New Roman" w:eastAsia="黑体"/>
          <w:color w:val="auto"/>
          <w:sz w:val="20"/>
        </w:rPr>
      </w:pPr>
    </w:p>
    <w:p>
      <w:pPr>
        <w:spacing w:line="540" w:lineRule="exact"/>
        <w:ind w:firstLine="400" w:firstLineChars="200"/>
        <w:rPr>
          <w:rFonts w:ascii="Times New Roman" w:hAnsi="Times New Roman" w:eastAsia="黑体"/>
          <w:color w:val="auto"/>
          <w:sz w:val="20"/>
        </w:rPr>
      </w:pPr>
    </w:p>
    <w:p>
      <w:pPr>
        <w:spacing w:line="540" w:lineRule="exact"/>
        <w:ind w:firstLine="400" w:firstLineChars="200"/>
        <w:rPr>
          <w:rFonts w:ascii="Times New Roman" w:hAnsi="Times New Roman" w:eastAsia="黑体"/>
          <w:color w:val="auto"/>
          <w:sz w:val="20"/>
        </w:rPr>
      </w:pPr>
    </w:p>
    <w:bookmarkEnd w:id="623"/>
    <w:bookmarkEnd w:id="624"/>
    <w:bookmarkEnd w:id="625"/>
    <w:p>
      <w:pPr>
        <w:pStyle w:val="5"/>
        <w:keepNext w:val="0"/>
        <w:keepLines w:val="0"/>
        <w:numPr>
          <w:ilvl w:val="0"/>
          <w:numId w:val="6"/>
        </w:numPr>
        <w:spacing w:before="0" w:after="0" w:line="360" w:lineRule="auto"/>
        <w:ind w:firstLine="643" w:firstLineChars="200"/>
        <w:rPr>
          <w:rFonts w:ascii="Times New Roman" w:hAnsi="Times New Roman"/>
          <w:color w:val="auto"/>
        </w:rPr>
      </w:pPr>
      <w:bookmarkStart w:id="809" w:name="_GoBack"/>
      <w:bookmarkEnd w:id="809"/>
      <w:r>
        <w:rPr>
          <w:rFonts w:ascii="Times New Roman" w:hAnsi="Times New Roman"/>
          <w:color w:val="auto"/>
        </w:rPr>
        <w:br w:type="page"/>
      </w:r>
      <w:bookmarkStart w:id="626" w:name="_Toc89870636"/>
      <w:r>
        <w:rPr>
          <w:rFonts w:ascii="Times New Roman" w:hAnsi="Times New Roman"/>
          <w:color w:val="auto"/>
        </w:rPr>
        <w:t>投标</w:t>
      </w:r>
      <w:bookmarkStart w:id="627" w:name="_Toc352691656"/>
      <w:bookmarkStart w:id="628" w:name="_Toc369531692"/>
      <w:bookmarkStart w:id="629" w:name="_Toc6931"/>
      <w:r>
        <w:rPr>
          <w:rFonts w:ascii="Times New Roman" w:hAnsi="Times New Roman"/>
          <w:color w:val="auto"/>
        </w:rPr>
        <w:t>函及投标函附录</w:t>
      </w:r>
      <w:bookmarkEnd w:id="626"/>
      <w:bookmarkEnd w:id="627"/>
      <w:bookmarkEnd w:id="628"/>
      <w:bookmarkEnd w:id="629"/>
      <w:bookmarkStart w:id="630" w:name="_Toc482188651"/>
      <w:bookmarkStart w:id="631" w:name="_Toc391394111"/>
      <w:bookmarkStart w:id="632" w:name="_Toc359594235"/>
      <w:bookmarkStart w:id="633" w:name="_Toc385943065"/>
      <w:bookmarkStart w:id="634" w:name="_Toc370676426"/>
    </w:p>
    <w:p>
      <w:pPr>
        <w:pStyle w:val="6"/>
        <w:keepNext w:val="0"/>
        <w:keepLines w:val="0"/>
        <w:spacing w:before="0" w:after="0"/>
        <w:ind w:firstLine="560" w:firstLineChars="200"/>
        <w:rPr>
          <w:rFonts w:ascii="Times New Roman" w:hAnsi="Times New Roman"/>
          <w:color w:val="auto"/>
        </w:rPr>
      </w:pPr>
      <w:bookmarkStart w:id="635" w:name="_Toc89870637"/>
      <w:r>
        <w:rPr>
          <w:rFonts w:ascii="Times New Roman" w:hAnsi="Times New Roman"/>
          <w:color w:val="auto"/>
        </w:rPr>
        <w:t>（一）投标函</w:t>
      </w:r>
      <w:bookmarkEnd w:id="630"/>
      <w:bookmarkEnd w:id="631"/>
      <w:bookmarkEnd w:id="632"/>
      <w:bookmarkEnd w:id="633"/>
      <w:bookmarkEnd w:id="634"/>
      <w:bookmarkEnd w:id="635"/>
    </w:p>
    <w:p>
      <w:pPr>
        <w:spacing w:line="360" w:lineRule="exact"/>
        <w:ind w:firstLine="420" w:firstLineChars="200"/>
        <w:rPr>
          <w:rFonts w:ascii="Times New Roman" w:hAnsi="Times New Roman"/>
          <w:color w:val="auto"/>
          <w:szCs w:val="21"/>
        </w:rPr>
      </w:pPr>
      <w:r>
        <w:rPr>
          <w:rFonts w:hint="eastAsia" w:ascii="Times New Roman" w:hAnsi="Times New Roman"/>
          <w:color w:val="auto"/>
          <w:szCs w:val="21"/>
          <w:u w:val="single"/>
        </w:rPr>
        <w:t>致:广州增城区东进供水有限公司</w:t>
      </w:r>
      <w:r>
        <w:rPr>
          <w:rFonts w:ascii="Times New Roman" w:hAnsi="Times New Roman"/>
          <w:color w:val="auto"/>
          <w:szCs w:val="21"/>
        </w:rPr>
        <w:t>（招标人名称）</w:t>
      </w:r>
    </w:p>
    <w:p>
      <w:pPr>
        <w:spacing w:line="360" w:lineRule="exact"/>
        <w:ind w:firstLine="420" w:firstLineChars="200"/>
        <w:rPr>
          <w:rFonts w:ascii="Times New Roman" w:hAnsi="Times New Roman"/>
          <w:color w:val="auto"/>
          <w:szCs w:val="21"/>
        </w:rPr>
      </w:pPr>
      <w:r>
        <w:rPr>
          <w:rFonts w:ascii="Times New Roman" w:hAnsi="Times New Roman"/>
          <w:color w:val="auto"/>
          <w:szCs w:val="21"/>
        </w:rPr>
        <w:t>1．我方已仔细研究</w:t>
      </w:r>
      <w:r>
        <w:rPr>
          <w:rFonts w:hint="eastAsia" w:ascii="Times New Roman" w:hAnsi="Times New Roman"/>
          <w:color w:val="auto"/>
          <w:szCs w:val="21"/>
        </w:rPr>
        <w:t>了</w:t>
      </w:r>
      <w:r>
        <w:rPr>
          <w:rFonts w:hint="eastAsia" w:ascii="Times New Roman" w:hAnsi="Times New Roman"/>
          <w:color w:val="auto"/>
          <w:szCs w:val="21"/>
          <w:u w:val="single"/>
        </w:rPr>
        <w:t xml:space="preserve">增城区农村供水改造工程（第二批）监理 </w:t>
      </w:r>
      <w:r>
        <w:rPr>
          <w:rFonts w:ascii="Times New Roman" w:hAnsi="Times New Roman"/>
          <w:color w:val="auto"/>
          <w:szCs w:val="21"/>
        </w:rPr>
        <w:t>招标项目招标文件的全部内容，</w:t>
      </w:r>
      <w:r>
        <w:rPr>
          <w:rFonts w:hint="eastAsia" w:ascii="Times New Roman" w:hAnsi="Times New Roman"/>
          <w:color w:val="auto"/>
          <w:szCs w:val="21"/>
          <w:highlight w:val="none"/>
        </w:rPr>
        <w:t>愿意以</w:t>
      </w:r>
      <w:r>
        <w:rPr>
          <w:rFonts w:ascii="Times New Roman" w:hAnsi="Times New Roman"/>
          <w:color w:val="auto"/>
          <w:szCs w:val="21"/>
          <w:highlight w:val="none"/>
        </w:rPr>
        <w:t>________%</w:t>
      </w:r>
      <w:r>
        <w:rPr>
          <w:rFonts w:hint="eastAsia" w:ascii="Times New Roman" w:hAnsi="Times New Roman"/>
          <w:color w:val="auto"/>
          <w:szCs w:val="21"/>
          <w:highlight w:val="none"/>
        </w:rPr>
        <w:t>的投标下浮率报价，即人民币（大写）</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lang w:val="en-US" w:eastAsia="zh-CN"/>
        </w:rPr>
        <w:t>万元</w:t>
      </w:r>
      <w:r>
        <w:rPr>
          <w:rFonts w:hint="eastAsia" w:ascii="Times New Roman" w:hAnsi="Times New Roman"/>
          <w:color w:val="auto"/>
          <w:szCs w:val="21"/>
          <w:highlight w:val="none"/>
        </w:rPr>
        <w:t>）的投标总报价，</w:t>
      </w:r>
      <w:r>
        <w:rPr>
          <w:rFonts w:ascii="Times New Roman" w:hAnsi="Times New Roman"/>
          <w:color w:val="auto"/>
          <w:szCs w:val="21"/>
          <w:highlight w:val="none"/>
        </w:rPr>
        <w:t>监理服务期限</w:t>
      </w:r>
      <w:r>
        <w:rPr>
          <w:rFonts w:ascii="Times New Roman" w:hAnsi="Times New Roman"/>
          <w:color w:val="auto"/>
          <w:szCs w:val="21"/>
        </w:rPr>
        <w:t>：</w:t>
      </w:r>
      <w:r>
        <w:rPr>
          <w:rFonts w:hint="eastAsia" w:ascii="Times New Roman" w:hAnsi="Times New Roman"/>
          <w:color w:val="auto"/>
          <w:szCs w:val="21"/>
          <w:u w:val="single"/>
        </w:rPr>
        <w:t>按招标文件要求</w:t>
      </w:r>
      <w:r>
        <w:rPr>
          <w:rFonts w:ascii="Times New Roman" w:hAnsi="Times New Roman"/>
          <w:color w:val="auto"/>
          <w:szCs w:val="21"/>
        </w:rPr>
        <w:t>日历天，按合同约定完成监理工作。</w:t>
      </w:r>
    </w:p>
    <w:p>
      <w:pPr>
        <w:spacing w:line="360" w:lineRule="exact"/>
        <w:ind w:firstLine="420" w:firstLineChars="200"/>
        <w:rPr>
          <w:rFonts w:ascii="Times New Roman" w:hAnsi="Times New Roman"/>
          <w:color w:val="auto"/>
          <w:szCs w:val="21"/>
        </w:rPr>
      </w:pPr>
      <w:r>
        <w:rPr>
          <w:rFonts w:ascii="Times New Roman" w:hAnsi="Times New Roman"/>
          <w:color w:val="auto"/>
          <w:szCs w:val="21"/>
        </w:rPr>
        <w:t>2. 我方的投标文件包括下列内容：</w:t>
      </w:r>
    </w:p>
    <w:p>
      <w:pPr>
        <w:spacing w:line="360" w:lineRule="exact"/>
        <w:ind w:firstLine="420" w:firstLineChars="200"/>
        <w:rPr>
          <w:rFonts w:ascii="Times New Roman" w:hAnsi="Times New Roman"/>
          <w:color w:val="auto"/>
          <w:szCs w:val="21"/>
        </w:rPr>
      </w:pPr>
      <w:r>
        <w:rPr>
          <w:rFonts w:ascii="Times New Roman" w:hAnsi="Times New Roman"/>
          <w:color w:val="auto"/>
          <w:szCs w:val="21"/>
        </w:rPr>
        <w:t>（1）投标函</w:t>
      </w:r>
      <w:r>
        <w:rPr>
          <w:rFonts w:ascii="Times New Roman" w:hAnsi="Times New Roman"/>
          <w:color w:val="auto"/>
        </w:rPr>
        <w:t>及投标函附录</w:t>
      </w:r>
      <w:r>
        <w:rPr>
          <w:rFonts w:ascii="Times New Roman" w:hAnsi="Times New Roman"/>
          <w:color w:val="auto"/>
          <w:szCs w:val="21"/>
        </w:rPr>
        <w:t>；</w:t>
      </w:r>
    </w:p>
    <w:p>
      <w:pPr>
        <w:spacing w:line="360" w:lineRule="exact"/>
        <w:ind w:firstLine="420" w:firstLineChars="200"/>
        <w:rPr>
          <w:rFonts w:ascii="Times New Roman" w:hAnsi="Times New Roman"/>
          <w:color w:val="auto"/>
          <w:szCs w:val="21"/>
        </w:rPr>
      </w:pPr>
      <w:r>
        <w:rPr>
          <w:rFonts w:ascii="Times New Roman" w:hAnsi="Times New Roman"/>
          <w:color w:val="auto"/>
          <w:szCs w:val="21"/>
        </w:rPr>
        <w:t>（2）法定代表人身份证明或授权委托书；</w:t>
      </w:r>
    </w:p>
    <w:p>
      <w:pPr>
        <w:spacing w:line="360" w:lineRule="exact"/>
        <w:ind w:firstLine="420" w:firstLineChars="200"/>
        <w:rPr>
          <w:rFonts w:ascii="Times New Roman" w:hAnsi="Times New Roman"/>
          <w:color w:val="auto"/>
          <w:szCs w:val="21"/>
        </w:rPr>
      </w:pPr>
      <w:r>
        <w:rPr>
          <w:rFonts w:ascii="Times New Roman" w:hAnsi="Times New Roman"/>
          <w:color w:val="auto"/>
          <w:szCs w:val="21"/>
        </w:rPr>
        <w:t>（3）投标保证金；</w:t>
      </w:r>
    </w:p>
    <w:p>
      <w:pPr>
        <w:spacing w:line="360" w:lineRule="exact"/>
        <w:ind w:firstLine="420" w:firstLineChars="200"/>
        <w:rPr>
          <w:rFonts w:ascii="Times New Roman" w:hAnsi="Times New Roman"/>
          <w:color w:val="auto"/>
          <w:szCs w:val="21"/>
        </w:rPr>
      </w:pPr>
      <w:r>
        <w:rPr>
          <w:rFonts w:ascii="Times New Roman" w:hAnsi="Times New Roman"/>
          <w:color w:val="auto"/>
          <w:szCs w:val="21"/>
        </w:rPr>
        <w:t>（</w:t>
      </w:r>
      <w:r>
        <w:rPr>
          <w:rFonts w:hint="eastAsia" w:ascii="Times New Roman" w:hAnsi="Times New Roman"/>
          <w:color w:val="auto"/>
          <w:szCs w:val="21"/>
        </w:rPr>
        <w:t>4</w:t>
      </w:r>
      <w:r>
        <w:rPr>
          <w:rFonts w:ascii="Times New Roman" w:hAnsi="Times New Roman"/>
          <w:color w:val="auto"/>
          <w:szCs w:val="21"/>
        </w:rPr>
        <w:t>）</w:t>
      </w:r>
      <w:r>
        <w:rPr>
          <w:rFonts w:hint="eastAsia" w:ascii="Times New Roman" w:hAnsi="Times New Roman"/>
          <w:color w:val="auto"/>
        </w:rPr>
        <w:t>广州建设工程监理投标书</w:t>
      </w:r>
      <w:r>
        <w:rPr>
          <w:rFonts w:ascii="Times New Roman" w:hAnsi="Times New Roman"/>
          <w:color w:val="auto"/>
          <w:szCs w:val="21"/>
        </w:rPr>
        <w:t>；</w:t>
      </w:r>
    </w:p>
    <w:p>
      <w:pPr>
        <w:spacing w:line="360" w:lineRule="exact"/>
        <w:ind w:firstLine="420" w:firstLineChars="200"/>
        <w:rPr>
          <w:rFonts w:ascii="Times New Roman" w:hAnsi="Times New Roman"/>
          <w:color w:val="auto"/>
          <w:szCs w:val="21"/>
        </w:rPr>
      </w:pPr>
      <w:r>
        <w:rPr>
          <w:rFonts w:ascii="Times New Roman" w:hAnsi="Times New Roman"/>
          <w:color w:val="auto"/>
          <w:szCs w:val="21"/>
        </w:rPr>
        <w:t>（</w:t>
      </w:r>
      <w:r>
        <w:rPr>
          <w:rFonts w:hint="eastAsia" w:ascii="Times New Roman" w:hAnsi="Times New Roman"/>
          <w:color w:val="auto"/>
          <w:szCs w:val="21"/>
        </w:rPr>
        <w:t>5</w:t>
      </w:r>
      <w:r>
        <w:rPr>
          <w:rFonts w:ascii="Times New Roman" w:hAnsi="Times New Roman"/>
          <w:color w:val="auto"/>
          <w:szCs w:val="21"/>
        </w:rPr>
        <w:t>）资格审查资料；</w:t>
      </w:r>
    </w:p>
    <w:p>
      <w:pPr>
        <w:spacing w:line="360" w:lineRule="exact"/>
        <w:ind w:firstLine="420" w:firstLineChars="200"/>
        <w:rPr>
          <w:rFonts w:ascii="Times New Roman" w:hAnsi="Times New Roman"/>
          <w:color w:val="auto"/>
          <w:szCs w:val="21"/>
        </w:rPr>
      </w:pPr>
      <w:r>
        <w:rPr>
          <w:rFonts w:ascii="Times New Roman" w:hAnsi="Times New Roman"/>
          <w:color w:val="auto"/>
          <w:szCs w:val="21"/>
        </w:rPr>
        <w:t>（</w:t>
      </w:r>
      <w:r>
        <w:rPr>
          <w:rFonts w:hint="eastAsia" w:ascii="Times New Roman" w:hAnsi="Times New Roman"/>
          <w:color w:val="auto"/>
          <w:szCs w:val="21"/>
        </w:rPr>
        <w:t>6</w:t>
      </w:r>
      <w:r>
        <w:rPr>
          <w:rFonts w:ascii="Times New Roman" w:hAnsi="Times New Roman"/>
          <w:color w:val="auto"/>
          <w:szCs w:val="21"/>
        </w:rPr>
        <w:t>）监理大纲；</w:t>
      </w:r>
    </w:p>
    <w:p>
      <w:pPr>
        <w:spacing w:line="360" w:lineRule="exact"/>
        <w:ind w:firstLine="420" w:firstLineChars="200"/>
        <w:rPr>
          <w:rFonts w:ascii="Times New Roman" w:hAnsi="Times New Roman"/>
          <w:color w:val="auto"/>
          <w:szCs w:val="21"/>
        </w:rPr>
      </w:pPr>
      <w:r>
        <w:rPr>
          <w:rFonts w:hint="eastAsia" w:ascii="Times New Roman" w:hAnsi="Times New Roman"/>
          <w:color w:val="auto"/>
          <w:szCs w:val="21"/>
        </w:rPr>
        <w:t>（7）其他资料。</w:t>
      </w:r>
      <w:r>
        <w:rPr>
          <w:rFonts w:ascii="Times New Roman" w:hAnsi="Times New Roman"/>
          <w:color w:val="auto"/>
          <w:szCs w:val="21"/>
        </w:rPr>
        <w:t>投标文件的上述组成部分如存在内容不一致的，以投标函为准。</w:t>
      </w:r>
    </w:p>
    <w:p>
      <w:pPr>
        <w:spacing w:line="360" w:lineRule="exact"/>
        <w:ind w:firstLine="420" w:firstLineChars="200"/>
        <w:rPr>
          <w:rFonts w:ascii="Times New Roman" w:hAnsi="Times New Roman"/>
          <w:color w:val="auto"/>
          <w:szCs w:val="21"/>
        </w:rPr>
      </w:pPr>
      <w:r>
        <w:rPr>
          <w:rFonts w:ascii="Times New Roman" w:hAnsi="Times New Roman"/>
          <w:color w:val="auto"/>
          <w:szCs w:val="21"/>
        </w:rPr>
        <w:t>3．我方承诺在招标文件规定的投标有效期内不撤销投标文件。</w:t>
      </w:r>
    </w:p>
    <w:p>
      <w:pPr>
        <w:spacing w:line="360" w:lineRule="exact"/>
        <w:ind w:firstLine="420" w:firstLineChars="200"/>
        <w:rPr>
          <w:rFonts w:ascii="Times New Roman" w:hAnsi="Times New Roman"/>
          <w:color w:val="auto"/>
          <w:szCs w:val="21"/>
        </w:rPr>
      </w:pPr>
      <w:r>
        <w:rPr>
          <w:rFonts w:ascii="Times New Roman" w:hAnsi="Times New Roman"/>
          <w:color w:val="auto"/>
          <w:szCs w:val="21"/>
        </w:rPr>
        <w:t>4．如我方中标，我方承诺：</w:t>
      </w:r>
    </w:p>
    <w:p>
      <w:pPr>
        <w:spacing w:line="360" w:lineRule="exact"/>
        <w:ind w:firstLine="420" w:firstLineChars="200"/>
        <w:rPr>
          <w:rFonts w:ascii="Times New Roman" w:hAnsi="Times New Roman"/>
          <w:color w:val="auto"/>
          <w:szCs w:val="21"/>
        </w:rPr>
      </w:pPr>
      <w:r>
        <w:rPr>
          <w:rFonts w:ascii="Times New Roman" w:hAnsi="Times New Roman"/>
          <w:color w:val="auto"/>
          <w:szCs w:val="21"/>
        </w:rPr>
        <w:t>（1）在收到中标通知书后，在中标通知书规定的期限内与你方签订合同；</w:t>
      </w:r>
    </w:p>
    <w:p>
      <w:pPr>
        <w:spacing w:line="360" w:lineRule="exact"/>
        <w:ind w:firstLine="420" w:firstLineChars="200"/>
        <w:rPr>
          <w:rFonts w:ascii="Times New Roman" w:hAnsi="Times New Roman"/>
          <w:color w:val="auto"/>
          <w:szCs w:val="21"/>
        </w:rPr>
      </w:pPr>
      <w:r>
        <w:rPr>
          <w:rFonts w:ascii="Times New Roman" w:hAnsi="Times New Roman"/>
          <w:color w:val="auto"/>
          <w:szCs w:val="21"/>
        </w:rPr>
        <w:t>（2）在签订合同时不向你方提出附加条件；</w:t>
      </w:r>
    </w:p>
    <w:p>
      <w:pPr>
        <w:spacing w:line="360" w:lineRule="exact"/>
        <w:ind w:firstLine="420" w:firstLineChars="200"/>
        <w:rPr>
          <w:rFonts w:ascii="Times New Roman" w:hAnsi="Times New Roman"/>
          <w:color w:val="auto"/>
          <w:szCs w:val="21"/>
        </w:rPr>
      </w:pPr>
      <w:r>
        <w:rPr>
          <w:rFonts w:ascii="Times New Roman" w:hAnsi="Times New Roman"/>
          <w:color w:val="auto"/>
          <w:szCs w:val="21"/>
        </w:rPr>
        <w:t>（3）按照招标文件要求提交履约保证金；</w:t>
      </w:r>
      <w:bookmarkStart w:id="636" w:name="_Toc369531694"/>
      <w:bookmarkStart w:id="637" w:name="_Toc1187"/>
      <w:bookmarkStart w:id="638" w:name="_Toc352691658"/>
    </w:p>
    <w:p>
      <w:pPr>
        <w:spacing w:line="360" w:lineRule="exact"/>
        <w:ind w:firstLine="420" w:firstLineChars="200"/>
        <w:rPr>
          <w:rFonts w:ascii="Times New Roman" w:hAnsi="Times New Roman"/>
          <w:color w:val="auto"/>
          <w:szCs w:val="21"/>
        </w:rPr>
      </w:pPr>
      <w:r>
        <w:rPr>
          <w:rFonts w:ascii="Times New Roman" w:hAnsi="Times New Roman"/>
          <w:color w:val="auto"/>
          <w:szCs w:val="21"/>
        </w:rPr>
        <w:t>（4）在合</w:t>
      </w:r>
      <w:bookmarkEnd w:id="636"/>
      <w:bookmarkEnd w:id="637"/>
      <w:bookmarkEnd w:id="638"/>
      <w:r>
        <w:rPr>
          <w:rFonts w:ascii="Times New Roman" w:hAnsi="Times New Roman"/>
          <w:color w:val="auto"/>
          <w:szCs w:val="21"/>
        </w:rPr>
        <w:t>同约定的期限内完成合同规定的全部义务。</w:t>
      </w:r>
    </w:p>
    <w:p>
      <w:pPr>
        <w:spacing w:line="360" w:lineRule="exact"/>
        <w:ind w:firstLine="420" w:firstLineChars="200"/>
        <w:rPr>
          <w:rFonts w:ascii="Times New Roman" w:hAnsi="Times New Roman"/>
          <w:color w:val="auto"/>
          <w:szCs w:val="21"/>
        </w:rPr>
      </w:pPr>
      <w:r>
        <w:rPr>
          <w:rFonts w:ascii="Times New Roman" w:hAnsi="Times New Roman"/>
          <w:color w:val="auto"/>
          <w:szCs w:val="21"/>
        </w:rPr>
        <w:t>5．我方在此声明，所递交的投标文件及有关资料内容完整、真实和准确，且不存在第二章</w:t>
      </w:r>
      <w:r>
        <w:rPr>
          <w:rFonts w:hint="eastAsia" w:ascii="Times New Roman" w:hAnsi="Times New Roman"/>
          <w:color w:val="auto"/>
          <w:szCs w:val="21"/>
          <w:lang w:eastAsia="zh-CN"/>
        </w:rPr>
        <w:t>“</w:t>
      </w:r>
      <w:r>
        <w:rPr>
          <w:rFonts w:ascii="Times New Roman" w:hAnsi="Times New Roman"/>
          <w:color w:val="auto"/>
          <w:szCs w:val="21"/>
        </w:rPr>
        <w:t>投标人须知</w:t>
      </w:r>
      <w:r>
        <w:rPr>
          <w:rFonts w:hint="eastAsia" w:ascii="Times New Roman" w:hAnsi="Times New Roman"/>
          <w:color w:val="auto"/>
          <w:szCs w:val="21"/>
          <w:lang w:eastAsia="zh-CN"/>
        </w:rPr>
        <w:t>”</w:t>
      </w:r>
      <w:r>
        <w:rPr>
          <w:rFonts w:ascii="Times New Roman" w:hAnsi="Times New Roman"/>
          <w:color w:val="auto"/>
          <w:szCs w:val="21"/>
        </w:rPr>
        <w:t>第1.4.3项规定的任何一种情形。</w:t>
      </w:r>
    </w:p>
    <w:p>
      <w:pPr>
        <w:spacing w:line="360" w:lineRule="exact"/>
        <w:ind w:firstLine="420" w:firstLineChars="200"/>
        <w:rPr>
          <w:rFonts w:ascii="Times New Roman" w:hAnsi="Times New Roman"/>
          <w:color w:val="auto"/>
          <w:szCs w:val="21"/>
        </w:rPr>
      </w:pPr>
      <w:r>
        <w:rPr>
          <w:rFonts w:ascii="Times New Roman" w:hAnsi="Times New Roman"/>
          <w:color w:val="auto"/>
          <w:szCs w:val="21"/>
        </w:rPr>
        <w:t>6．</w:t>
      </w:r>
      <w:r>
        <w:rPr>
          <w:rFonts w:ascii="Times New Roman" w:hAnsi="Times New Roman"/>
          <w:color w:val="auto"/>
          <w:szCs w:val="21"/>
          <w:u w:val="single"/>
        </w:rPr>
        <w:t xml:space="preserve">                            </w:t>
      </w:r>
      <w:r>
        <w:rPr>
          <w:rFonts w:ascii="Times New Roman" w:hAnsi="Times New Roman"/>
          <w:color w:val="auto"/>
          <w:szCs w:val="21"/>
          <w:u w:val="single"/>
        </w:rPr>
        <w:tab/>
      </w:r>
      <w:r>
        <w:rPr>
          <w:rFonts w:ascii="Times New Roman" w:hAnsi="Times New Roman"/>
          <w:color w:val="auto"/>
          <w:szCs w:val="21"/>
        </w:rPr>
        <w:t>（其他补充说明）。</w:t>
      </w:r>
    </w:p>
    <w:bookmarkEnd w:id="564"/>
    <w:bookmarkEnd w:id="565"/>
    <w:bookmarkEnd w:id="566"/>
    <w:bookmarkEnd w:id="567"/>
    <w:bookmarkEnd w:id="568"/>
    <w:bookmarkEnd w:id="569"/>
    <w:bookmarkEnd w:id="570"/>
    <w:bookmarkEnd w:id="571"/>
    <w:bookmarkEnd w:id="572"/>
    <w:p>
      <w:pPr>
        <w:spacing w:line="360" w:lineRule="exact"/>
        <w:ind w:firstLine="420" w:firstLineChars="200"/>
        <w:jc w:val="left"/>
        <w:rPr>
          <w:rFonts w:ascii="Times New Roman" w:hAnsi="Times New Roman"/>
          <w:color w:val="auto"/>
          <w:szCs w:val="21"/>
        </w:rPr>
      </w:pPr>
      <w:bookmarkStart w:id="639" w:name="_Toc16824"/>
      <w:bookmarkEnd w:id="639"/>
      <w:bookmarkStart w:id="640" w:name="_Toc352691660"/>
      <w:bookmarkEnd w:id="640"/>
      <w:bookmarkStart w:id="641" w:name="_Toc369531695"/>
      <w:bookmarkEnd w:id="641"/>
      <w:bookmarkStart w:id="642" w:name="_Toc352691659"/>
      <w:bookmarkEnd w:id="642"/>
      <w:bookmarkStart w:id="643" w:name="_Toc369531696"/>
      <w:bookmarkEnd w:id="643"/>
      <w:bookmarkStart w:id="644" w:name="_Toc16568"/>
      <w:bookmarkEnd w:id="644"/>
      <w:r>
        <w:rPr>
          <w:rFonts w:ascii="Times New Roman" w:hAnsi="Times New Roman"/>
          <w:color w:val="auto"/>
          <w:szCs w:val="21"/>
        </w:rPr>
        <w:t>投 标 人：</w:t>
      </w:r>
      <w:r>
        <w:rPr>
          <w:rFonts w:ascii="Times New Roman" w:hAnsi="Times New Roman"/>
          <w:color w:val="auto"/>
          <w:szCs w:val="21"/>
          <w:u w:val="single"/>
        </w:rPr>
        <w:t xml:space="preserve">                                </w:t>
      </w:r>
      <w:r>
        <w:rPr>
          <w:rFonts w:ascii="Times New Roman" w:hAnsi="Times New Roman"/>
          <w:color w:val="auto"/>
          <w:szCs w:val="21"/>
          <w:u w:val="single"/>
        </w:rPr>
        <w:tab/>
      </w:r>
      <w:r>
        <w:rPr>
          <w:rFonts w:ascii="Times New Roman" w:hAnsi="Times New Roman"/>
          <w:color w:val="auto"/>
          <w:szCs w:val="21"/>
        </w:rPr>
        <w:t>（盖单位章）</w:t>
      </w:r>
    </w:p>
    <w:p>
      <w:pPr>
        <w:spacing w:line="360" w:lineRule="exact"/>
        <w:ind w:firstLine="420" w:firstLineChars="200"/>
        <w:jc w:val="left"/>
        <w:rPr>
          <w:rFonts w:ascii="Times New Roman" w:hAnsi="Times New Roman"/>
          <w:color w:val="auto"/>
          <w:szCs w:val="21"/>
        </w:rPr>
      </w:pPr>
      <w:r>
        <w:rPr>
          <w:rFonts w:ascii="Times New Roman" w:hAnsi="Times New Roman"/>
          <w:color w:val="auto"/>
        </w:rPr>
        <w:t>法定代表人</w:t>
      </w:r>
      <w:r>
        <w:rPr>
          <w:rFonts w:ascii="Times New Roman" w:hAnsi="Times New Roman"/>
          <w:color w:val="auto"/>
          <w:szCs w:val="21"/>
        </w:rPr>
        <w:t>或其委托代理人：</w:t>
      </w:r>
      <w:r>
        <w:rPr>
          <w:rFonts w:ascii="Times New Roman" w:hAnsi="Times New Roman"/>
          <w:color w:val="auto"/>
          <w:szCs w:val="21"/>
          <w:u w:val="single"/>
        </w:rPr>
        <w:t xml:space="preserve">                   </w:t>
      </w:r>
      <w:r>
        <w:rPr>
          <w:rFonts w:ascii="Times New Roman" w:hAnsi="Times New Roman"/>
          <w:color w:val="auto"/>
          <w:szCs w:val="21"/>
          <w:u w:val="single"/>
        </w:rPr>
        <w:tab/>
      </w:r>
      <w:r>
        <w:rPr>
          <w:rFonts w:ascii="Times New Roman" w:hAnsi="Times New Roman"/>
          <w:color w:val="auto"/>
          <w:szCs w:val="21"/>
        </w:rPr>
        <w:t>（签字）</w:t>
      </w:r>
    </w:p>
    <w:p>
      <w:pPr>
        <w:spacing w:line="360" w:lineRule="exact"/>
        <w:ind w:firstLine="420" w:firstLineChars="200"/>
        <w:jc w:val="left"/>
        <w:rPr>
          <w:rFonts w:ascii="Times New Roman" w:hAnsi="Times New Roman"/>
          <w:color w:val="auto"/>
          <w:szCs w:val="21"/>
        </w:rPr>
      </w:pPr>
      <w:r>
        <w:rPr>
          <w:rFonts w:ascii="Times New Roman" w:hAnsi="Times New Roman"/>
          <w:color w:val="auto"/>
          <w:szCs w:val="21"/>
        </w:rPr>
        <w:t>地    址：</w:t>
      </w:r>
      <w:r>
        <w:rPr>
          <w:rFonts w:ascii="Times New Roman" w:hAnsi="Times New Roman"/>
          <w:color w:val="auto"/>
          <w:szCs w:val="21"/>
          <w:u w:val="single"/>
        </w:rPr>
        <w:t xml:space="preserve">          </w:t>
      </w:r>
      <w:r>
        <w:rPr>
          <w:rFonts w:ascii="Times New Roman" w:hAnsi="Times New Roman"/>
          <w:color w:val="auto"/>
          <w:szCs w:val="21"/>
          <w:u w:val="single"/>
        </w:rPr>
        <w:tab/>
      </w:r>
      <w:r>
        <w:rPr>
          <w:rFonts w:ascii="Times New Roman" w:hAnsi="Times New Roman"/>
          <w:color w:val="auto"/>
          <w:szCs w:val="21"/>
          <w:u w:val="single"/>
        </w:rPr>
        <w:t xml:space="preserve">                             </w:t>
      </w:r>
      <w:r>
        <w:rPr>
          <w:rFonts w:ascii="Times New Roman" w:hAnsi="Times New Roman"/>
          <w:color w:val="auto"/>
          <w:szCs w:val="21"/>
          <w:u w:val="single"/>
        </w:rPr>
        <w:tab/>
      </w:r>
    </w:p>
    <w:p>
      <w:pPr>
        <w:spacing w:line="360" w:lineRule="exact"/>
        <w:ind w:firstLine="420" w:firstLineChars="200"/>
        <w:jc w:val="left"/>
        <w:rPr>
          <w:rFonts w:ascii="Times New Roman" w:hAnsi="Times New Roman"/>
          <w:color w:val="auto"/>
          <w:szCs w:val="21"/>
        </w:rPr>
      </w:pPr>
      <w:r>
        <w:rPr>
          <w:rFonts w:ascii="Times New Roman" w:hAnsi="Times New Roman"/>
          <w:color w:val="auto"/>
          <w:szCs w:val="21"/>
        </w:rPr>
        <w:t>网    址：</w:t>
      </w:r>
      <w:r>
        <w:rPr>
          <w:rFonts w:ascii="Times New Roman" w:hAnsi="Times New Roman"/>
          <w:color w:val="auto"/>
          <w:szCs w:val="21"/>
          <w:u w:val="single"/>
        </w:rPr>
        <w:t xml:space="preserve">          </w:t>
      </w:r>
      <w:r>
        <w:rPr>
          <w:rFonts w:ascii="Times New Roman" w:hAnsi="Times New Roman"/>
          <w:color w:val="auto"/>
          <w:szCs w:val="21"/>
          <w:u w:val="single"/>
        </w:rPr>
        <w:tab/>
      </w:r>
      <w:r>
        <w:rPr>
          <w:rFonts w:ascii="Times New Roman" w:hAnsi="Times New Roman"/>
          <w:color w:val="auto"/>
          <w:szCs w:val="21"/>
          <w:u w:val="single"/>
        </w:rPr>
        <w:t xml:space="preserve">                             </w:t>
      </w:r>
      <w:r>
        <w:rPr>
          <w:rFonts w:ascii="Times New Roman" w:hAnsi="Times New Roman"/>
          <w:color w:val="auto"/>
          <w:szCs w:val="21"/>
          <w:u w:val="single"/>
        </w:rPr>
        <w:tab/>
      </w:r>
    </w:p>
    <w:p>
      <w:pPr>
        <w:spacing w:line="360" w:lineRule="exact"/>
        <w:ind w:firstLine="420" w:firstLineChars="200"/>
        <w:jc w:val="left"/>
        <w:rPr>
          <w:rFonts w:ascii="Times New Roman" w:hAnsi="Times New Roman"/>
          <w:color w:val="auto"/>
          <w:szCs w:val="21"/>
        </w:rPr>
      </w:pPr>
      <w:r>
        <w:rPr>
          <w:rFonts w:ascii="Times New Roman" w:hAnsi="Times New Roman"/>
          <w:color w:val="auto"/>
          <w:szCs w:val="21"/>
        </w:rPr>
        <w:t>电    话：</w:t>
      </w:r>
      <w:r>
        <w:rPr>
          <w:rFonts w:ascii="Times New Roman" w:hAnsi="Times New Roman"/>
          <w:color w:val="auto"/>
          <w:szCs w:val="21"/>
          <w:u w:val="single"/>
        </w:rPr>
        <w:t xml:space="preserve">          </w:t>
      </w:r>
      <w:r>
        <w:rPr>
          <w:rFonts w:ascii="Times New Roman" w:hAnsi="Times New Roman"/>
          <w:color w:val="auto"/>
          <w:szCs w:val="21"/>
          <w:u w:val="single"/>
        </w:rPr>
        <w:tab/>
      </w:r>
      <w:r>
        <w:rPr>
          <w:rFonts w:ascii="Times New Roman" w:hAnsi="Times New Roman"/>
          <w:color w:val="auto"/>
          <w:szCs w:val="21"/>
          <w:u w:val="single"/>
        </w:rPr>
        <w:t xml:space="preserve">                             </w:t>
      </w:r>
      <w:r>
        <w:rPr>
          <w:rFonts w:ascii="Times New Roman" w:hAnsi="Times New Roman"/>
          <w:color w:val="auto"/>
          <w:szCs w:val="21"/>
          <w:u w:val="single"/>
        </w:rPr>
        <w:tab/>
      </w:r>
    </w:p>
    <w:p>
      <w:pPr>
        <w:spacing w:line="360" w:lineRule="exact"/>
        <w:ind w:firstLine="420" w:firstLineChars="200"/>
        <w:jc w:val="left"/>
        <w:rPr>
          <w:rFonts w:ascii="Times New Roman" w:hAnsi="Times New Roman"/>
          <w:color w:val="auto"/>
          <w:szCs w:val="21"/>
          <w:u w:val="single"/>
        </w:rPr>
      </w:pPr>
      <w:r>
        <w:rPr>
          <w:rFonts w:ascii="Times New Roman" w:hAnsi="Times New Roman"/>
          <w:color w:val="auto"/>
          <w:szCs w:val="21"/>
        </w:rPr>
        <w:t>传    真：</w:t>
      </w:r>
      <w:r>
        <w:rPr>
          <w:rFonts w:ascii="Times New Roman" w:hAnsi="Times New Roman"/>
          <w:color w:val="auto"/>
          <w:szCs w:val="21"/>
          <w:u w:val="single"/>
        </w:rPr>
        <w:t xml:space="preserve">          </w:t>
      </w:r>
      <w:r>
        <w:rPr>
          <w:rFonts w:ascii="Times New Roman" w:hAnsi="Times New Roman"/>
          <w:color w:val="auto"/>
          <w:szCs w:val="21"/>
          <w:u w:val="single"/>
        </w:rPr>
        <w:tab/>
      </w:r>
      <w:r>
        <w:rPr>
          <w:rFonts w:ascii="Times New Roman" w:hAnsi="Times New Roman"/>
          <w:color w:val="auto"/>
          <w:szCs w:val="21"/>
          <w:u w:val="single"/>
        </w:rPr>
        <w:t xml:space="preserve">                             </w:t>
      </w:r>
      <w:r>
        <w:rPr>
          <w:rFonts w:ascii="Times New Roman" w:hAnsi="Times New Roman"/>
          <w:color w:val="auto"/>
          <w:szCs w:val="21"/>
          <w:u w:val="single"/>
        </w:rPr>
        <w:tab/>
      </w:r>
    </w:p>
    <w:p>
      <w:pPr>
        <w:spacing w:line="360" w:lineRule="exact"/>
        <w:ind w:firstLine="420" w:firstLineChars="200"/>
        <w:jc w:val="left"/>
        <w:rPr>
          <w:rFonts w:ascii="Times New Roman" w:hAnsi="Times New Roman"/>
          <w:color w:val="auto"/>
          <w:szCs w:val="21"/>
          <w:u w:val="single"/>
        </w:rPr>
      </w:pPr>
      <w:r>
        <w:rPr>
          <w:rFonts w:hint="eastAsia" w:ascii="Times New Roman" w:hAnsi="Times New Roman"/>
          <w:color w:val="auto"/>
          <w:szCs w:val="21"/>
        </w:rPr>
        <w:t>邮政编码</w:t>
      </w:r>
      <w:r>
        <w:rPr>
          <w:rFonts w:ascii="Times New Roman" w:hAnsi="Times New Roman"/>
          <w:color w:val="auto"/>
          <w:szCs w:val="21"/>
        </w:rPr>
        <w:t>：</w:t>
      </w:r>
      <w:r>
        <w:rPr>
          <w:rFonts w:ascii="Times New Roman" w:hAnsi="Times New Roman"/>
          <w:color w:val="auto"/>
          <w:szCs w:val="21"/>
          <w:u w:val="single"/>
        </w:rPr>
        <w:t xml:space="preserve">          </w:t>
      </w:r>
      <w:r>
        <w:rPr>
          <w:rFonts w:ascii="Times New Roman" w:hAnsi="Times New Roman"/>
          <w:color w:val="auto"/>
          <w:szCs w:val="21"/>
          <w:u w:val="single"/>
        </w:rPr>
        <w:tab/>
      </w:r>
      <w:r>
        <w:rPr>
          <w:rFonts w:ascii="Times New Roman" w:hAnsi="Times New Roman"/>
          <w:color w:val="auto"/>
          <w:szCs w:val="21"/>
          <w:u w:val="single"/>
        </w:rPr>
        <w:t xml:space="preserve">                             </w:t>
      </w:r>
      <w:r>
        <w:rPr>
          <w:rFonts w:ascii="Times New Roman" w:hAnsi="Times New Roman"/>
          <w:color w:val="auto"/>
          <w:szCs w:val="21"/>
          <w:u w:val="single"/>
        </w:rPr>
        <w:tab/>
      </w:r>
    </w:p>
    <w:p>
      <w:pPr>
        <w:pStyle w:val="14"/>
        <w:spacing w:line="360" w:lineRule="exact"/>
        <w:jc w:val="left"/>
        <w:rPr>
          <w:color w:val="auto"/>
        </w:rPr>
      </w:pPr>
      <w:r>
        <w:rPr>
          <w:rFonts w:hint="eastAsia"/>
          <w:color w:val="auto"/>
        </w:rPr>
        <w:t xml:space="preserve">  </w:t>
      </w:r>
      <w:r>
        <w:rPr>
          <w:rFonts w:hint="eastAsia"/>
          <w:color w:val="auto"/>
          <w:lang w:val="en-US" w:eastAsia="zh-CN"/>
        </w:rPr>
        <w:t xml:space="preserve"> </w:t>
      </w:r>
      <w:r>
        <w:rPr>
          <w:rFonts w:hint="eastAsia"/>
          <w:color w:val="auto"/>
        </w:rPr>
        <w:t xml:space="preserve"> 开户银行名称：</w:t>
      </w:r>
      <w:r>
        <w:rPr>
          <w:rFonts w:hint="eastAsia"/>
          <w:color w:val="auto"/>
          <w:u w:val="single"/>
          <w:lang w:val="en-US" w:eastAsia="zh-CN"/>
        </w:rPr>
        <w:t xml:space="preserve">                                          </w:t>
      </w:r>
    </w:p>
    <w:p>
      <w:pPr>
        <w:pStyle w:val="14"/>
        <w:spacing w:line="360" w:lineRule="exact"/>
        <w:jc w:val="left"/>
        <w:rPr>
          <w:color w:val="auto"/>
        </w:rPr>
      </w:pPr>
      <w:r>
        <w:rPr>
          <w:rFonts w:hint="eastAsia"/>
          <w:color w:val="auto"/>
        </w:rPr>
        <w:t xml:space="preserve">   </w:t>
      </w:r>
      <w:r>
        <w:rPr>
          <w:rFonts w:hint="eastAsia"/>
          <w:color w:val="auto"/>
          <w:lang w:val="en-US" w:eastAsia="zh-CN"/>
        </w:rPr>
        <w:t xml:space="preserve"> </w:t>
      </w:r>
      <w:r>
        <w:rPr>
          <w:rFonts w:hint="eastAsia"/>
          <w:color w:val="auto"/>
        </w:rPr>
        <w:t>银行账号：</w:t>
      </w:r>
      <w:r>
        <w:rPr>
          <w:rFonts w:hint="eastAsia"/>
          <w:color w:val="auto"/>
          <w:u w:val="single"/>
          <w:lang w:val="en-US" w:eastAsia="zh-CN"/>
        </w:rPr>
        <w:t xml:space="preserve">                                              </w:t>
      </w:r>
    </w:p>
    <w:p>
      <w:pPr>
        <w:spacing w:line="360" w:lineRule="exact"/>
        <w:ind w:firstLine="420" w:firstLineChars="200"/>
        <w:jc w:val="left"/>
        <w:rPr>
          <w:rFonts w:ascii="Times New Roman" w:hAnsi="Times New Roman"/>
          <w:color w:val="auto"/>
        </w:rPr>
      </w:pPr>
      <w:r>
        <w:rPr>
          <w:rFonts w:ascii="Times New Roman" w:hAnsi="Times New Roman"/>
          <w:color w:val="auto"/>
          <w:u w:val="single"/>
        </w:rPr>
        <w:t xml:space="preserve">      </w:t>
      </w:r>
      <w:r>
        <w:rPr>
          <w:rFonts w:ascii="Times New Roman" w:hAnsi="Times New Roman"/>
          <w:color w:val="auto"/>
          <w:szCs w:val="21"/>
        </w:rPr>
        <w:t>年</w:t>
      </w:r>
      <w:r>
        <w:rPr>
          <w:rFonts w:ascii="Times New Roman" w:hAnsi="Times New Roman"/>
          <w:color w:val="auto"/>
          <w:u w:val="single"/>
        </w:rPr>
        <w:t xml:space="preserve">      </w:t>
      </w:r>
      <w:r>
        <w:rPr>
          <w:rFonts w:ascii="Times New Roman" w:hAnsi="Times New Roman"/>
          <w:color w:val="auto"/>
          <w:szCs w:val="21"/>
        </w:rPr>
        <w:t>月</w:t>
      </w:r>
      <w:r>
        <w:rPr>
          <w:rFonts w:ascii="Times New Roman" w:hAnsi="Times New Roman"/>
          <w:color w:val="auto"/>
          <w:u w:val="single"/>
        </w:rPr>
        <w:t xml:space="preserve">      </w:t>
      </w:r>
      <w:r>
        <w:rPr>
          <w:rFonts w:ascii="Times New Roman" w:hAnsi="Times New Roman"/>
          <w:color w:val="auto"/>
          <w:szCs w:val="21"/>
        </w:rPr>
        <w:t>日</w:t>
      </w:r>
      <w:bookmarkStart w:id="645" w:name="_Toc391394112"/>
      <w:bookmarkStart w:id="646" w:name="_Toc89870638"/>
      <w:bookmarkStart w:id="647" w:name="_Toc370676427"/>
      <w:bookmarkStart w:id="648" w:name="_Toc359594236"/>
      <w:bookmarkStart w:id="649" w:name="_Toc482188652"/>
      <w:bookmarkStart w:id="650" w:name="_Toc385943066"/>
      <w:bookmarkStart w:id="651" w:name="_Toc300835209"/>
      <w:bookmarkStart w:id="652" w:name="_Toc152045787"/>
      <w:bookmarkStart w:id="653" w:name="_Toc247527827"/>
      <w:bookmarkStart w:id="654" w:name="_Toc17960"/>
      <w:bookmarkStart w:id="655" w:name="_Toc247514246"/>
      <w:bookmarkStart w:id="656" w:name="_Toc144974856"/>
      <w:bookmarkStart w:id="657" w:name="_Toc361508752"/>
      <w:bookmarkStart w:id="658" w:name="_Toc352691661"/>
      <w:bookmarkStart w:id="659" w:name="_Toc152042576"/>
      <w:bookmarkStart w:id="660" w:name="_Toc384308375"/>
      <w:bookmarkStart w:id="661" w:name="_Toc369531697"/>
    </w:p>
    <w:p>
      <w:pPr>
        <w:pStyle w:val="14"/>
        <w:rPr>
          <w:rFonts w:eastAsia="黑体"/>
          <w:color w:val="auto"/>
          <w:sz w:val="28"/>
          <w:szCs w:val="20"/>
        </w:rPr>
      </w:pPr>
    </w:p>
    <w:p>
      <w:pPr>
        <w:pStyle w:val="6"/>
        <w:keepNext w:val="0"/>
        <w:keepLines w:val="0"/>
        <w:spacing w:before="0" w:after="0"/>
        <w:ind w:firstLine="0" w:firstLineChars="0"/>
        <w:rPr>
          <w:rFonts w:ascii="Times New Roman" w:hAnsi="Times New Roman"/>
          <w:color w:val="auto"/>
        </w:rPr>
      </w:pPr>
      <w:r>
        <w:rPr>
          <w:rFonts w:hint="eastAsia" w:ascii="Times New Roman" w:hAnsi="Times New Roman"/>
          <w:color w:val="auto"/>
        </w:rPr>
        <w:t>（</w:t>
      </w:r>
      <w:r>
        <w:rPr>
          <w:rFonts w:ascii="Times New Roman" w:hAnsi="Times New Roman"/>
          <w:color w:val="auto"/>
        </w:rPr>
        <w:t>二）投标函附录</w:t>
      </w:r>
      <w:bookmarkEnd w:id="645"/>
      <w:bookmarkEnd w:id="646"/>
      <w:bookmarkEnd w:id="647"/>
      <w:bookmarkEnd w:id="648"/>
      <w:bookmarkEnd w:id="649"/>
      <w:bookmarkEnd w:id="650"/>
    </w:p>
    <w:tbl>
      <w:tblPr>
        <w:tblStyle w:val="23"/>
        <w:tblW w:w="9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592"/>
        <w:gridCol w:w="1317"/>
        <w:gridCol w:w="3967"/>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rPr>
            </w:pPr>
            <w:r>
              <w:rPr>
                <w:rFonts w:hint="eastAsia" w:ascii="Times New Roman" w:hAnsi="Times New Roman"/>
                <w:b/>
                <w:color w:val="auto"/>
              </w:rPr>
              <w:t>序号</w:t>
            </w:r>
          </w:p>
        </w:tc>
        <w:tc>
          <w:tcPr>
            <w:tcW w:w="25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rPr>
            </w:pPr>
            <w:r>
              <w:rPr>
                <w:rFonts w:hint="eastAsia" w:ascii="Times New Roman" w:hAnsi="Times New Roman"/>
                <w:b/>
                <w:color w:val="auto"/>
              </w:rPr>
              <w:t>条款名称</w:t>
            </w:r>
          </w:p>
        </w:tc>
        <w:tc>
          <w:tcPr>
            <w:tcW w:w="13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rPr>
            </w:pPr>
            <w:r>
              <w:rPr>
                <w:rFonts w:hint="eastAsia" w:ascii="Times New Roman" w:hAnsi="Times New Roman"/>
                <w:b/>
                <w:color w:val="auto"/>
              </w:rPr>
              <w:t>合同条款号</w:t>
            </w:r>
          </w:p>
        </w:tc>
        <w:tc>
          <w:tcPr>
            <w:tcW w:w="39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rPr>
            </w:pPr>
            <w:r>
              <w:rPr>
                <w:rFonts w:hint="eastAsia" w:ascii="Times New Roman" w:hAnsi="Times New Roman"/>
                <w:b/>
                <w:color w:val="auto"/>
              </w:rPr>
              <w:t>约定内容</w:t>
            </w: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rPr>
            </w:pPr>
            <w:r>
              <w:rPr>
                <w:rFonts w:hint="eastAsia" w:ascii="Times New Roman" w:hAnsi="Times New Roman"/>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rPr>
            </w:pPr>
            <w:r>
              <w:rPr>
                <w:rFonts w:hint="eastAsia" w:ascii="Times New Roman" w:hAnsi="Times New Roman"/>
                <w:color w:val="auto"/>
              </w:rPr>
              <w:t>1</w:t>
            </w:r>
          </w:p>
        </w:tc>
        <w:tc>
          <w:tcPr>
            <w:tcW w:w="25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rPr>
            </w:pPr>
            <w:r>
              <w:rPr>
                <w:rFonts w:hint="eastAsia" w:ascii="Times New Roman" w:hAnsi="Times New Roman"/>
                <w:color w:val="auto"/>
              </w:rPr>
              <w:t>总监理工程师</w:t>
            </w:r>
          </w:p>
        </w:tc>
        <w:tc>
          <w:tcPr>
            <w:tcW w:w="13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rPr>
            </w:pPr>
            <w:r>
              <w:rPr>
                <w:rFonts w:hint="eastAsia" w:ascii="Times New Roman" w:hAnsi="Times New Roman"/>
                <w:color w:val="auto"/>
              </w:rPr>
              <w:t>第二章第一条（</w:t>
            </w:r>
            <w:r>
              <w:rPr>
                <w:rFonts w:ascii="Times New Roman" w:hAnsi="Times New Roman"/>
                <w:color w:val="auto"/>
              </w:rPr>
              <w:t>5</w:t>
            </w:r>
            <w:r>
              <w:rPr>
                <w:rFonts w:hint="eastAsia" w:ascii="Times New Roman" w:hAnsi="Times New Roman"/>
                <w:color w:val="auto"/>
              </w:rPr>
              <w:t>）</w:t>
            </w:r>
          </w:p>
        </w:tc>
        <w:tc>
          <w:tcPr>
            <w:tcW w:w="396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auto"/>
              </w:rPr>
            </w:pPr>
            <w:r>
              <w:rPr>
                <w:rFonts w:hint="eastAsia" w:ascii="Times New Roman" w:hAnsi="Times New Roman"/>
                <w:color w:val="auto"/>
              </w:rPr>
              <w:t>姓名：</w:t>
            </w:r>
          </w:p>
          <w:p>
            <w:pPr>
              <w:rPr>
                <w:rFonts w:ascii="Times New Roman" w:hAnsi="Times New Roman"/>
                <w:color w:val="auto"/>
              </w:rPr>
            </w:pPr>
            <w:r>
              <w:rPr>
                <w:rFonts w:hint="eastAsia" w:ascii="Times New Roman" w:hAnsi="Times New Roman"/>
                <w:color w:val="auto"/>
              </w:rPr>
              <w:t>技术职称：</w:t>
            </w:r>
          </w:p>
          <w:p>
            <w:pPr>
              <w:rPr>
                <w:rFonts w:ascii="Times New Roman" w:hAnsi="Times New Roman"/>
                <w:color w:val="auto"/>
              </w:rPr>
            </w:pPr>
            <w:r>
              <w:rPr>
                <w:rFonts w:hint="eastAsia" w:ascii="Times New Roman" w:hAnsi="Times New Roman"/>
                <w:color w:val="auto"/>
              </w:rPr>
              <w:t>注册证号：</w:t>
            </w: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rPr>
            </w:pPr>
            <w:r>
              <w:rPr>
                <w:rFonts w:hint="eastAsia" w:ascii="Times New Roman" w:hAnsi="Times New Roman"/>
                <w:color w:val="auto"/>
              </w:rPr>
              <w:t>2</w:t>
            </w:r>
          </w:p>
        </w:tc>
        <w:tc>
          <w:tcPr>
            <w:tcW w:w="25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rPr>
            </w:pPr>
            <w:r>
              <w:rPr>
                <w:rFonts w:hint="eastAsia" w:ascii="Times New Roman" w:hAnsi="Times New Roman"/>
                <w:color w:val="auto"/>
              </w:rPr>
              <w:t>监理服务期限</w:t>
            </w:r>
          </w:p>
        </w:tc>
        <w:tc>
          <w:tcPr>
            <w:tcW w:w="13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rPr>
            </w:pPr>
            <w:r>
              <w:rPr>
                <w:rFonts w:hint="eastAsia" w:ascii="Times New Roman" w:hAnsi="Times New Roman"/>
                <w:color w:val="auto"/>
              </w:rPr>
              <w:t>第三章第四条（一）（</w:t>
            </w:r>
            <w:r>
              <w:rPr>
                <w:rFonts w:ascii="Times New Roman" w:hAnsi="Times New Roman"/>
                <w:color w:val="auto"/>
              </w:rPr>
              <w:t>3</w:t>
            </w:r>
            <w:r>
              <w:rPr>
                <w:rFonts w:hint="eastAsia" w:ascii="Times New Roman" w:hAnsi="Times New Roman"/>
                <w:color w:val="auto"/>
              </w:rPr>
              <w:t>）</w:t>
            </w:r>
          </w:p>
        </w:tc>
        <w:tc>
          <w:tcPr>
            <w:tcW w:w="396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auto"/>
              </w:rPr>
            </w:pPr>
            <w:r>
              <w:rPr>
                <w:rFonts w:hint="eastAsia" w:ascii="Times New Roman" w:hAnsi="Times New Roman"/>
                <w:color w:val="auto"/>
              </w:rPr>
              <w:t>按招标文件要求</w:t>
            </w: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rPr>
            </w:pPr>
            <w:r>
              <w:rPr>
                <w:rFonts w:ascii="Times New Roman" w:hAnsi="Times New Roman"/>
                <w:color w:val="auto"/>
              </w:rPr>
              <w:t>3</w:t>
            </w:r>
          </w:p>
        </w:tc>
        <w:tc>
          <w:tcPr>
            <w:tcW w:w="25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rPr>
            </w:pPr>
            <w:r>
              <w:rPr>
                <w:rFonts w:hint="eastAsia" w:ascii="Times New Roman" w:hAnsi="Times New Roman"/>
                <w:color w:val="auto"/>
              </w:rPr>
              <w:t>合同价款确定方式</w:t>
            </w:r>
          </w:p>
        </w:tc>
        <w:tc>
          <w:tcPr>
            <w:tcW w:w="13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rPr>
            </w:pPr>
            <w:r>
              <w:rPr>
                <w:rFonts w:hint="eastAsia" w:ascii="Times New Roman" w:hAnsi="Times New Roman"/>
                <w:color w:val="auto"/>
              </w:rPr>
              <w:t>第一章第二条</w:t>
            </w:r>
          </w:p>
        </w:tc>
        <w:tc>
          <w:tcPr>
            <w:tcW w:w="396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olor w:val="auto"/>
                <w:lang w:val="en-US" w:eastAsia="zh-CN"/>
              </w:rPr>
            </w:pPr>
            <w:r>
              <w:rPr>
                <w:rFonts w:hint="eastAsia" w:ascii="Times New Roman" w:hAnsi="Times New Roman"/>
                <w:color w:val="auto"/>
                <w:lang w:val="en-US" w:eastAsia="zh-CN"/>
              </w:rPr>
              <w:t>按合同要求</w:t>
            </w: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rPr>
            </w:pPr>
            <w:r>
              <w:rPr>
                <w:rFonts w:hint="eastAsia" w:ascii="Times New Roman" w:hAnsi="Times New Roman"/>
                <w:color w:val="auto"/>
              </w:rPr>
              <w:t>4</w:t>
            </w:r>
          </w:p>
        </w:tc>
        <w:tc>
          <w:tcPr>
            <w:tcW w:w="25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rPr>
            </w:pPr>
            <w:r>
              <w:rPr>
                <w:rFonts w:ascii="Times New Roman" w:hAnsi="Times New Roman"/>
                <w:color w:val="auto"/>
              </w:rPr>
              <w:t>质量</w:t>
            </w:r>
            <w:r>
              <w:rPr>
                <w:rFonts w:hint="eastAsia" w:ascii="Times New Roman" w:hAnsi="Times New Roman"/>
                <w:color w:val="auto"/>
              </w:rPr>
              <w:t>标准</w:t>
            </w:r>
          </w:p>
        </w:tc>
        <w:tc>
          <w:tcPr>
            <w:tcW w:w="13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rPr>
            </w:pPr>
            <w:r>
              <w:rPr>
                <w:rFonts w:hint="eastAsia" w:ascii="Times New Roman" w:hAnsi="Times New Roman"/>
                <w:color w:val="auto"/>
                <w:lang w:val="en-US" w:eastAsia="zh-CN"/>
              </w:rPr>
              <w:t>第一</w:t>
            </w:r>
            <w:r>
              <w:rPr>
                <w:rFonts w:hint="eastAsia" w:ascii="Times New Roman" w:hAnsi="Times New Roman"/>
                <w:color w:val="auto"/>
              </w:rPr>
              <w:t>章第</w:t>
            </w:r>
            <w:r>
              <w:rPr>
                <w:rFonts w:hint="eastAsia" w:ascii="Times New Roman" w:hAnsi="Times New Roman"/>
                <w:color w:val="auto"/>
                <w:lang w:val="en-US" w:eastAsia="zh-CN"/>
              </w:rPr>
              <w:t>一</w:t>
            </w:r>
            <w:r>
              <w:rPr>
                <w:rFonts w:hint="eastAsia" w:ascii="Times New Roman" w:hAnsi="Times New Roman"/>
                <w:color w:val="auto"/>
              </w:rPr>
              <w:t>条（</w:t>
            </w:r>
            <w:r>
              <w:rPr>
                <w:rFonts w:hint="eastAsia" w:ascii="Times New Roman" w:hAnsi="Times New Roman"/>
                <w:color w:val="auto"/>
                <w:lang w:val="en-US" w:eastAsia="zh-CN"/>
              </w:rPr>
              <w:t>5</w:t>
            </w:r>
            <w:r>
              <w:rPr>
                <w:rFonts w:hint="eastAsia" w:ascii="Times New Roman" w:hAnsi="Times New Roman"/>
                <w:color w:val="auto"/>
              </w:rPr>
              <w:t>）</w:t>
            </w:r>
          </w:p>
        </w:tc>
        <w:tc>
          <w:tcPr>
            <w:tcW w:w="396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auto"/>
              </w:rPr>
            </w:pPr>
            <w:r>
              <w:rPr>
                <w:rFonts w:hint="eastAsia" w:ascii="Times New Roman" w:hAnsi="Times New Roman"/>
                <w:color w:val="auto"/>
              </w:rPr>
              <w:t>按招标文件要求</w:t>
            </w: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rPr>
            </w:pPr>
            <w:r>
              <w:rPr>
                <w:rFonts w:hint="eastAsia" w:ascii="Times New Roman" w:hAnsi="Times New Roman"/>
                <w:color w:val="auto"/>
              </w:rPr>
              <w:t>5</w:t>
            </w:r>
          </w:p>
        </w:tc>
        <w:tc>
          <w:tcPr>
            <w:tcW w:w="25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rPr>
            </w:pPr>
            <w:r>
              <w:rPr>
                <w:rFonts w:hint="eastAsia" w:ascii="Times New Roman" w:hAnsi="Times New Roman"/>
                <w:color w:val="auto"/>
              </w:rPr>
              <w:t>投标总报价（监理报价）</w:t>
            </w:r>
          </w:p>
        </w:tc>
        <w:tc>
          <w:tcPr>
            <w:tcW w:w="13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rPr>
            </w:pPr>
            <w:r>
              <w:rPr>
                <w:rFonts w:hint="eastAsia" w:ascii="Times New Roman" w:hAnsi="Times New Roman"/>
                <w:color w:val="auto"/>
              </w:rPr>
              <w:t>第一章第二条</w:t>
            </w:r>
          </w:p>
        </w:tc>
        <w:tc>
          <w:tcPr>
            <w:tcW w:w="396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auto"/>
              </w:rPr>
            </w:pPr>
            <w:r>
              <w:rPr>
                <w:rFonts w:hint="eastAsia" w:ascii="Times New Roman" w:hAnsi="Times New Roman"/>
                <w:color w:val="auto"/>
              </w:rPr>
              <w:t>监理报价（万元）：</w:t>
            </w: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rPr>
            </w:pPr>
            <w:r>
              <w:rPr>
                <w:rFonts w:hint="eastAsia" w:ascii="Times New Roman" w:hAnsi="Times New Roman"/>
                <w:color w:val="auto"/>
              </w:rPr>
              <w:t>6</w:t>
            </w:r>
          </w:p>
        </w:tc>
        <w:tc>
          <w:tcPr>
            <w:tcW w:w="2592"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投标下浮率</w:t>
            </w:r>
          </w:p>
        </w:tc>
        <w:tc>
          <w:tcPr>
            <w:tcW w:w="13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rPr>
            </w:pPr>
            <w:r>
              <w:rPr>
                <w:rFonts w:hint="eastAsia" w:ascii="Times New Roman" w:hAnsi="Times New Roman"/>
                <w:color w:val="auto"/>
              </w:rPr>
              <w:t>第三章第三十九条（一）</w:t>
            </w:r>
          </w:p>
        </w:tc>
        <w:tc>
          <w:tcPr>
            <w:tcW w:w="3967" w:type="dxa"/>
            <w:tcBorders>
              <w:top w:val="single" w:color="auto" w:sz="4" w:space="0"/>
              <w:left w:val="single" w:color="auto" w:sz="4" w:space="0"/>
              <w:bottom w:val="single" w:color="auto" w:sz="4" w:space="0"/>
              <w:right w:val="single" w:color="auto" w:sz="4" w:space="0"/>
            </w:tcBorders>
            <w:vAlign w:val="center"/>
          </w:tcPr>
          <w:p>
            <w:pPr>
              <w:rPr>
                <w:color w:val="auto"/>
              </w:rPr>
            </w:pPr>
            <w:r>
              <w:rPr>
                <w:rFonts w:hint="eastAsia"/>
                <w:color w:val="auto"/>
              </w:rPr>
              <w:t>投标下浮率：</w:t>
            </w:r>
            <w:r>
              <w:rPr>
                <w:rFonts w:hint="eastAsia"/>
                <w:color w:val="auto"/>
                <w:u w:val="single"/>
              </w:rPr>
              <w:t xml:space="preserve">     </w:t>
            </w:r>
            <w:r>
              <w:rPr>
                <w:rFonts w:hint="eastAsia"/>
                <w:color w:val="auto"/>
              </w:rPr>
              <w:t>%</w:t>
            </w: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rPr>
            </w:pPr>
            <w:r>
              <w:rPr>
                <w:rFonts w:hint="eastAsia" w:ascii="Times New Roman" w:hAnsi="Times New Roman"/>
                <w:color w:val="auto"/>
              </w:rPr>
              <w:t>7</w:t>
            </w:r>
          </w:p>
        </w:tc>
        <w:tc>
          <w:tcPr>
            <w:tcW w:w="25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rPr>
            </w:pPr>
            <w:r>
              <w:rPr>
                <w:rFonts w:hint="eastAsia" w:ascii="Times New Roman" w:hAnsi="Times New Roman"/>
                <w:color w:val="auto"/>
              </w:rPr>
              <w:t>投标有效期</w:t>
            </w:r>
          </w:p>
        </w:tc>
        <w:tc>
          <w:tcPr>
            <w:tcW w:w="1317" w:type="dxa"/>
            <w:tcBorders>
              <w:top w:val="single" w:color="auto" w:sz="4" w:space="0"/>
              <w:left w:val="single" w:color="auto" w:sz="4" w:space="0"/>
              <w:bottom w:val="single" w:color="auto" w:sz="4" w:space="0"/>
              <w:right w:val="single" w:color="auto" w:sz="4" w:space="0"/>
            </w:tcBorders>
            <w:vAlign w:val="center"/>
          </w:tcPr>
          <w:p>
            <w:pPr>
              <w:ind w:firstLine="416" w:firstLineChars="200"/>
              <w:jc w:val="center"/>
              <w:rPr>
                <w:rFonts w:ascii="Times New Roman" w:hAnsi="Times New Roman"/>
                <w:color w:val="auto"/>
                <w:spacing w:val="-16"/>
                <w:sz w:val="24"/>
              </w:rPr>
            </w:pPr>
            <w:r>
              <w:rPr>
                <w:rFonts w:ascii="Times New Roman" w:hAnsi="Times New Roman"/>
                <w:color w:val="auto"/>
                <w:spacing w:val="-16"/>
                <w:sz w:val="24"/>
              </w:rPr>
              <w:t>/</w:t>
            </w:r>
          </w:p>
        </w:tc>
        <w:tc>
          <w:tcPr>
            <w:tcW w:w="396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auto"/>
              </w:rPr>
            </w:pPr>
            <w:r>
              <w:rPr>
                <w:rFonts w:hint="eastAsia" w:ascii="Times New Roman" w:hAnsi="Times New Roman"/>
                <w:color w:val="auto"/>
              </w:rPr>
              <w:t>90日历天（从投标截止之日算起）</w:t>
            </w: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rPr>
            </w:pPr>
          </w:p>
        </w:tc>
      </w:tr>
    </w:tbl>
    <w:p>
      <w:pPr>
        <w:spacing w:line="440" w:lineRule="exact"/>
        <w:ind w:firstLine="420" w:firstLineChars="200"/>
        <w:rPr>
          <w:rFonts w:ascii="Times New Roman" w:hAnsi="Times New Roman"/>
          <w:color w:val="auto"/>
          <w:szCs w:val="21"/>
        </w:rPr>
      </w:pPr>
    </w:p>
    <w:p>
      <w:pPr>
        <w:spacing w:line="440" w:lineRule="exact"/>
        <w:ind w:firstLine="420" w:firstLineChars="200"/>
        <w:jc w:val="right"/>
        <w:rPr>
          <w:rFonts w:ascii="Times New Roman" w:hAnsi="Times New Roman"/>
          <w:color w:val="auto"/>
          <w:szCs w:val="21"/>
        </w:rPr>
      </w:pPr>
      <w:r>
        <w:rPr>
          <w:rFonts w:ascii="Times New Roman" w:hAnsi="Times New Roman"/>
          <w:color w:val="auto"/>
          <w:szCs w:val="21"/>
        </w:rPr>
        <w:t>投 标 人：</w:t>
      </w:r>
      <w:r>
        <w:rPr>
          <w:rFonts w:ascii="Times New Roman" w:hAnsi="Times New Roman"/>
          <w:color w:val="auto"/>
          <w:szCs w:val="21"/>
          <w:u w:val="single"/>
        </w:rPr>
        <w:t xml:space="preserve">                                </w:t>
      </w:r>
      <w:r>
        <w:rPr>
          <w:rFonts w:ascii="Times New Roman" w:hAnsi="Times New Roman"/>
          <w:color w:val="auto"/>
          <w:szCs w:val="21"/>
          <w:u w:val="single"/>
        </w:rPr>
        <w:tab/>
      </w:r>
      <w:r>
        <w:rPr>
          <w:rFonts w:ascii="Times New Roman" w:hAnsi="Times New Roman"/>
          <w:color w:val="auto"/>
          <w:szCs w:val="21"/>
        </w:rPr>
        <w:t>（盖单位章）</w:t>
      </w:r>
    </w:p>
    <w:p>
      <w:pPr>
        <w:spacing w:line="440" w:lineRule="exact"/>
        <w:ind w:firstLine="420" w:firstLineChars="200"/>
        <w:jc w:val="right"/>
        <w:rPr>
          <w:rFonts w:ascii="Times New Roman" w:hAnsi="Times New Roman"/>
          <w:color w:val="auto"/>
          <w:szCs w:val="21"/>
        </w:rPr>
      </w:pPr>
      <w:r>
        <w:rPr>
          <w:rFonts w:ascii="Times New Roman" w:hAnsi="Times New Roman"/>
          <w:color w:val="auto"/>
        </w:rPr>
        <w:t>法定代表人</w:t>
      </w:r>
      <w:r>
        <w:rPr>
          <w:rFonts w:ascii="Times New Roman" w:hAnsi="Times New Roman"/>
          <w:color w:val="auto"/>
          <w:szCs w:val="21"/>
        </w:rPr>
        <w:t>或其委托代理人：</w:t>
      </w:r>
      <w:r>
        <w:rPr>
          <w:rFonts w:ascii="Times New Roman" w:hAnsi="Times New Roman"/>
          <w:color w:val="auto"/>
          <w:szCs w:val="21"/>
          <w:u w:val="single"/>
        </w:rPr>
        <w:t xml:space="preserve">                   </w:t>
      </w:r>
      <w:r>
        <w:rPr>
          <w:rFonts w:ascii="Times New Roman" w:hAnsi="Times New Roman"/>
          <w:color w:val="auto"/>
          <w:szCs w:val="21"/>
          <w:u w:val="single"/>
        </w:rPr>
        <w:tab/>
      </w:r>
      <w:r>
        <w:rPr>
          <w:rFonts w:ascii="Times New Roman" w:hAnsi="Times New Roman"/>
          <w:color w:val="auto"/>
          <w:szCs w:val="21"/>
        </w:rPr>
        <w:t>（签字）</w:t>
      </w:r>
    </w:p>
    <w:p>
      <w:pPr>
        <w:spacing w:line="440" w:lineRule="exact"/>
        <w:ind w:firstLine="420" w:firstLineChars="200"/>
        <w:jc w:val="right"/>
        <w:rPr>
          <w:rFonts w:ascii="Times New Roman" w:hAnsi="Times New Roman"/>
          <w:color w:val="auto"/>
          <w:szCs w:val="21"/>
        </w:rPr>
      </w:pPr>
      <w:r>
        <w:rPr>
          <w:rFonts w:ascii="Times New Roman" w:hAnsi="Times New Roman"/>
          <w:color w:val="auto"/>
          <w:u w:val="single"/>
        </w:rPr>
        <w:t xml:space="preserve">      </w:t>
      </w:r>
      <w:r>
        <w:rPr>
          <w:rFonts w:ascii="Times New Roman" w:hAnsi="Times New Roman"/>
          <w:color w:val="auto"/>
          <w:szCs w:val="21"/>
        </w:rPr>
        <w:t>年</w:t>
      </w:r>
      <w:r>
        <w:rPr>
          <w:rFonts w:ascii="Times New Roman" w:hAnsi="Times New Roman"/>
          <w:color w:val="auto"/>
          <w:u w:val="single"/>
        </w:rPr>
        <w:t xml:space="preserve">      </w:t>
      </w:r>
      <w:r>
        <w:rPr>
          <w:rFonts w:ascii="Times New Roman" w:hAnsi="Times New Roman"/>
          <w:color w:val="auto"/>
          <w:szCs w:val="21"/>
        </w:rPr>
        <w:t>月</w:t>
      </w:r>
      <w:r>
        <w:rPr>
          <w:rFonts w:ascii="Times New Roman" w:hAnsi="Times New Roman"/>
          <w:color w:val="auto"/>
          <w:u w:val="single"/>
        </w:rPr>
        <w:t xml:space="preserve">      </w:t>
      </w:r>
      <w:r>
        <w:rPr>
          <w:rFonts w:ascii="Times New Roman" w:hAnsi="Times New Roman"/>
          <w:color w:val="auto"/>
          <w:szCs w:val="21"/>
        </w:rPr>
        <w:t>日</w:t>
      </w:r>
    </w:p>
    <w:p>
      <w:pPr>
        <w:spacing w:line="440" w:lineRule="exact"/>
        <w:ind w:firstLine="420" w:firstLineChars="200"/>
        <w:rPr>
          <w:rFonts w:ascii="Times New Roman" w:hAnsi="Times New Roman"/>
          <w:color w:val="auto"/>
          <w:szCs w:val="21"/>
        </w:rPr>
      </w:pPr>
    </w:p>
    <w:p>
      <w:pPr>
        <w:spacing w:line="440" w:lineRule="exact"/>
        <w:ind w:firstLine="420" w:firstLineChars="200"/>
        <w:rPr>
          <w:rFonts w:ascii="Times New Roman" w:hAnsi="Times New Roman"/>
          <w:color w:val="auto"/>
          <w:szCs w:val="21"/>
        </w:rPr>
      </w:pPr>
    </w:p>
    <w:p>
      <w:pPr>
        <w:spacing w:line="440" w:lineRule="exact"/>
        <w:ind w:firstLine="420" w:firstLineChars="200"/>
        <w:rPr>
          <w:rFonts w:ascii="Times New Roman" w:hAnsi="Times New Roman"/>
          <w:color w:val="auto"/>
          <w:szCs w:val="21"/>
        </w:rPr>
      </w:pPr>
    </w:p>
    <w:p>
      <w:pPr>
        <w:spacing w:line="440" w:lineRule="exact"/>
        <w:ind w:firstLine="420" w:firstLineChars="200"/>
        <w:rPr>
          <w:rFonts w:ascii="Times New Roman" w:hAnsi="Times New Roman"/>
          <w:color w:val="auto"/>
          <w:szCs w:val="21"/>
        </w:rPr>
      </w:pPr>
    </w:p>
    <w:p>
      <w:pPr>
        <w:spacing w:line="440" w:lineRule="exact"/>
        <w:ind w:firstLine="420" w:firstLineChars="200"/>
        <w:rPr>
          <w:rFonts w:ascii="Times New Roman" w:hAnsi="Times New Roman"/>
          <w:color w:val="auto"/>
          <w:szCs w:val="21"/>
        </w:rPr>
      </w:pPr>
    </w:p>
    <w:p>
      <w:pPr>
        <w:spacing w:line="440" w:lineRule="exact"/>
        <w:ind w:firstLine="420" w:firstLineChars="200"/>
        <w:rPr>
          <w:rFonts w:ascii="Times New Roman" w:hAnsi="Times New Roman"/>
          <w:color w:val="auto"/>
          <w:szCs w:val="21"/>
        </w:rPr>
      </w:pPr>
    </w:p>
    <w:p>
      <w:pPr>
        <w:spacing w:line="440" w:lineRule="exact"/>
        <w:ind w:firstLine="420" w:firstLineChars="200"/>
        <w:rPr>
          <w:rFonts w:ascii="Times New Roman" w:hAnsi="Times New Roman"/>
          <w:color w:val="auto"/>
          <w:szCs w:val="21"/>
        </w:rPr>
      </w:pPr>
    </w:p>
    <w:p>
      <w:pPr>
        <w:spacing w:line="440" w:lineRule="exact"/>
        <w:rPr>
          <w:rFonts w:ascii="Times New Roman" w:hAnsi="Times New Roman"/>
          <w:color w:val="auto"/>
          <w:szCs w:val="21"/>
        </w:rPr>
      </w:pPr>
    </w:p>
    <w:p>
      <w:pPr>
        <w:widowControl/>
        <w:jc w:val="left"/>
        <w:rPr>
          <w:rFonts w:ascii="Times New Roman" w:hAnsi="Times New Roman"/>
          <w:color w:val="auto"/>
        </w:rPr>
      </w:pPr>
      <w:bookmarkStart w:id="662" w:name="_Toc89870639"/>
    </w:p>
    <w:p>
      <w:pPr>
        <w:widowControl/>
        <w:jc w:val="left"/>
        <w:rPr>
          <w:rFonts w:ascii="Times New Roman" w:hAnsi="Times New Roman"/>
          <w:color w:val="auto"/>
        </w:rPr>
      </w:pPr>
    </w:p>
    <w:p>
      <w:pPr>
        <w:widowControl/>
        <w:jc w:val="left"/>
        <w:rPr>
          <w:rFonts w:ascii="Times New Roman" w:hAnsi="Times New Roman"/>
          <w:color w:val="auto"/>
        </w:rPr>
      </w:pPr>
    </w:p>
    <w:p>
      <w:pPr>
        <w:widowControl/>
        <w:jc w:val="left"/>
        <w:rPr>
          <w:rFonts w:ascii="Times New Roman" w:hAnsi="Times New Roman"/>
          <w:color w:val="auto"/>
        </w:rPr>
      </w:pPr>
    </w:p>
    <w:p>
      <w:pPr>
        <w:widowControl/>
        <w:jc w:val="left"/>
        <w:rPr>
          <w:rFonts w:ascii="Times New Roman" w:hAnsi="Times New Roman"/>
          <w:color w:val="auto"/>
        </w:rPr>
      </w:pPr>
    </w:p>
    <w:p>
      <w:pPr>
        <w:pStyle w:val="14"/>
        <w:spacing w:before="240" w:after="240" w:line="360" w:lineRule="auto"/>
        <w:jc w:val="center"/>
        <w:rPr>
          <w:rFonts w:hAnsi="宋体"/>
          <w:bCs/>
          <w:color w:val="auto"/>
        </w:rPr>
      </w:pPr>
      <w:r>
        <w:rPr>
          <w:rFonts w:hint="eastAsia" w:hAnsi="宋体"/>
          <w:b/>
          <w:bCs/>
          <w:color w:val="auto"/>
          <w:sz w:val="36"/>
          <w:szCs w:val="44"/>
        </w:rPr>
        <w:t>(三)投标报价书</w:t>
      </w:r>
    </w:p>
    <w:p>
      <w:pPr>
        <w:pStyle w:val="14"/>
        <w:spacing w:before="240" w:after="240"/>
        <w:ind w:firstLine="420" w:firstLineChars="200"/>
        <w:rPr>
          <w:rFonts w:hAnsi="宋体"/>
          <w:color w:val="auto"/>
          <w:kern w:val="28"/>
          <w:szCs w:val="21"/>
        </w:rPr>
      </w:pPr>
      <w:r>
        <w:rPr>
          <w:rFonts w:hAnsi="宋体"/>
          <w:color w:val="auto"/>
          <w:kern w:val="28"/>
          <w:szCs w:val="21"/>
        </w:rPr>
        <w:t>1．我方已仔细研究了</w:t>
      </w:r>
      <w:r>
        <w:rPr>
          <w:rFonts w:hint="eastAsia" w:hAnsi="宋体" w:cs="宋体"/>
          <w:color w:val="auto"/>
          <w:szCs w:val="21"/>
        </w:rPr>
        <w:t>本项目</w:t>
      </w:r>
      <w:r>
        <w:rPr>
          <w:rFonts w:hint="eastAsia" w:hAnsi="宋体"/>
          <w:color w:val="auto"/>
          <w:kern w:val="28"/>
          <w:szCs w:val="21"/>
        </w:rPr>
        <w:t>招标文件的全部内容，愿意参与投标。</w:t>
      </w:r>
    </w:p>
    <w:p>
      <w:pPr>
        <w:pStyle w:val="14"/>
        <w:spacing w:before="240" w:after="240"/>
        <w:ind w:firstLine="420" w:firstLineChars="200"/>
        <w:rPr>
          <w:rFonts w:hAnsi="宋体"/>
          <w:color w:val="auto"/>
          <w:kern w:val="28"/>
          <w:szCs w:val="21"/>
        </w:rPr>
      </w:pPr>
      <w:r>
        <w:rPr>
          <w:rFonts w:hint="eastAsia" w:hAnsi="宋体"/>
          <w:color w:val="auto"/>
          <w:kern w:val="28"/>
          <w:szCs w:val="21"/>
        </w:rPr>
        <w:t>投标报价如下：</w:t>
      </w:r>
    </w:p>
    <w:tbl>
      <w:tblPr>
        <w:tblStyle w:val="23"/>
        <w:tblpPr w:leftFromText="180" w:rightFromText="180" w:vertAnchor="text" w:horzAnchor="margin" w:tblpY="336"/>
        <w:tblW w:w="8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6"/>
        <w:gridCol w:w="6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2216" w:type="dxa"/>
            <w:tcBorders>
              <w:top w:val="single" w:color="auto" w:sz="4" w:space="0"/>
              <w:left w:val="single" w:color="auto" w:sz="4" w:space="0"/>
              <w:bottom w:val="single" w:color="auto" w:sz="4" w:space="0"/>
              <w:right w:val="single" w:color="auto" w:sz="4" w:space="0"/>
            </w:tcBorders>
            <w:vAlign w:val="center"/>
          </w:tcPr>
          <w:p>
            <w:pPr>
              <w:pStyle w:val="14"/>
              <w:spacing w:line="360" w:lineRule="auto"/>
              <w:ind w:firstLine="422" w:firstLineChars="200"/>
              <w:rPr>
                <w:rFonts w:hAnsi="宋体" w:cs="宋体"/>
                <w:b/>
                <w:bCs/>
                <w:color w:val="auto"/>
                <w:szCs w:val="21"/>
                <w:lang w:val="zh-CN"/>
              </w:rPr>
            </w:pPr>
            <w:r>
              <w:rPr>
                <w:rFonts w:hint="eastAsia" w:hAnsi="宋体" w:cs="宋体"/>
                <w:b/>
                <w:bCs/>
                <w:color w:val="auto"/>
                <w:szCs w:val="21"/>
                <w:lang w:val="zh-CN"/>
              </w:rPr>
              <w:t>项</w:t>
            </w:r>
            <w:r>
              <w:rPr>
                <w:rFonts w:hAnsi="宋体" w:cs="宋体"/>
                <w:b/>
                <w:bCs/>
                <w:color w:val="auto"/>
                <w:szCs w:val="21"/>
                <w:lang w:val="zh-CN"/>
              </w:rPr>
              <w:t xml:space="preserve"> </w:t>
            </w:r>
            <w:r>
              <w:rPr>
                <w:rFonts w:hint="eastAsia" w:hAnsi="宋体" w:cs="宋体"/>
                <w:b/>
                <w:bCs/>
                <w:color w:val="auto"/>
                <w:szCs w:val="21"/>
                <w:lang w:val="zh-CN"/>
              </w:rPr>
              <w:t>目</w:t>
            </w:r>
            <w:r>
              <w:rPr>
                <w:rFonts w:hAnsi="宋体" w:cs="宋体"/>
                <w:b/>
                <w:bCs/>
                <w:color w:val="auto"/>
                <w:szCs w:val="21"/>
                <w:lang w:val="zh-CN"/>
              </w:rPr>
              <w:t xml:space="preserve"> </w:t>
            </w:r>
            <w:r>
              <w:rPr>
                <w:rFonts w:hint="eastAsia" w:hAnsi="宋体" w:cs="宋体"/>
                <w:b/>
                <w:bCs/>
                <w:color w:val="auto"/>
                <w:szCs w:val="21"/>
                <w:lang w:val="zh-CN"/>
              </w:rPr>
              <w:t>名</w:t>
            </w:r>
            <w:r>
              <w:rPr>
                <w:rFonts w:hAnsi="宋体" w:cs="宋体"/>
                <w:b/>
                <w:bCs/>
                <w:color w:val="auto"/>
                <w:szCs w:val="21"/>
                <w:lang w:val="zh-CN"/>
              </w:rPr>
              <w:t xml:space="preserve"> </w:t>
            </w:r>
            <w:r>
              <w:rPr>
                <w:rFonts w:hint="eastAsia" w:hAnsi="宋体" w:cs="宋体"/>
                <w:b/>
                <w:bCs/>
                <w:color w:val="auto"/>
                <w:szCs w:val="21"/>
                <w:lang w:val="zh-CN"/>
              </w:rPr>
              <w:t>称</w:t>
            </w:r>
          </w:p>
        </w:tc>
        <w:tc>
          <w:tcPr>
            <w:tcW w:w="6223" w:type="dxa"/>
            <w:tcBorders>
              <w:top w:val="single" w:color="auto" w:sz="4" w:space="0"/>
              <w:left w:val="single" w:color="auto" w:sz="4" w:space="0"/>
              <w:bottom w:val="single" w:color="auto" w:sz="4" w:space="0"/>
              <w:right w:val="single" w:color="auto" w:sz="4" w:space="0"/>
            </w:tcBorders>
            <w:vAlign w:val="center"/>
          </w:tcPr>
          <w:p>
            <w:pPr>
              <w:pStyle w:val="14"/>
              <w:spacing w:line="360" w:lineRule="auto"/>
              <w:ind w:firstLine="422" w:firstLineChars="200"/>
              <w:rPr>
                <w:rFonts w:hAnsi="宋体" w:cs="宋体"/>
                <w:b/>
                <w:bCs/>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2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bCs/>
                <w:color w:val="auto"/>
                <w:szCs w:val="21"/>
                <w:lang w:val="zh-CN"/>
              </w:rPr>
            </w:pPr>
            <w:r>
              <w:rPr>
                <w:rFonts w:hint="eastAsia" w:ascii="宋体" w:hAnsi="宋体" w:cs="宋体"/>
                <w:b/>
                <w:bCs/>
                <w:color w:val="auto"/>
                <w:szCs w:val="21"/>
                <w:lang w:val="zh-CN"/>
              </w:rPr>
              <w:t>投标下浮率</w:t>
            </w:r>
          </w:p>
          <w:p>
            <w:pPr>
              <w:adjustRightInd w:val="0"/>
              <w:snapToGrid w:val="0"/>
              <w:spacing w:line="360" w:lineRule="auto"/>
              <w:jc w:val="center"/>
              <w:rPr>
                <w:rFonts w:ascii="宋体" w:hAnsi="宋体" w:cs="宋体"/>
                <w:b/>
                <w:bCs/>
                <w:color w:val="auto"/>
                <w:szCs w:val="21"/>
                <w:lang w:val="zh-CN"/>
              </w:rPr>
            </w:pPr>
            <w:r>
              <w:rPr>
                <w:rFonts w:hint="eastAsia" w:ascii="宋体" w:hAnsi="宋体" w:cs="宋体"/>
                <w:b/>
                <w:bCs/>
                <w:color w:val="auto"/>
                <w:szCs w:val="21"/>
                <w:lang w:val="zh-CN"/>
              </w:rPr>
              <w:t>（填正数）</w:t>
            </w:r>
          </w:p>
        </w:tc>
        <w:tc>
          <w:tcPr>
            <w:tcW w:w="62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Courier New"/>
                <w:color w:val="auto"/>
                <w:szCs w:val="21"/>
                <w:u w:val="single"/>
              </w:rPr>
            </w:pPr>
            <w:r>
              <w:rPr>
                <w:rFonts w:ascii="宋体" w:hAnsi="宋体" w:cs="Courier New"/>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2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bCs/>
                <w:color w:val="auto"/>
                <w:szCs w:val="21"/>
                <w:lang w:val="zh-CN"/>
              </w:rPr>
            </w:pPr>
            <w:r>
              <w:rPr>
                <w:rFonts w:hint="eastAsia" w:ascii="宋体" w:hAnsi="宋体" w:cs="宋体"/>
                <w:b/>
                <w:bCs/>
                <w:color w:val="auto"/>
                <w:szCs w:val="21"/>
                <w:lang w:val="zh-CN"/>
              </w:rPr>
              <w:t>投标总报价</w:t>
            </w:r>
          </w:p>
          <w:p>
            <w:pPr>
              <w:adjustRightInd w:val="0"/>
              <w:snapToGrid w:val="0"/>
              <w:spacing w:line="360" w:lineRule="auto"/>
              <w:jc w:val="center"/>
              <w:rPr>
                <w:rFonts w:ascii="宋体" w:hAnsi="宋体" w:cs="宋体"/>
                <w:b/>
                <w:bCs/>
                <w:color w:val="auto"/>
                <w:szCs w:val="21"/>
                <w:lang w:val="zh-CN"/>
              </w:rPr>
            </w:pPr>
            <w:r>
              <w:rPr>
                <w:rFonts w:hint="eastAsia" w:ascii="宋体" w:hAnsi="宋体" w:cs="宋体"/>
                <w:b/>
                <w:bCs/>
                <w:color w:val="auto"/>
                <w:szCs w:val="21"/>
                <w:lang w:val="zh-CN"/>
              </w:rPr>
              <w:t>（保留</w:t>
            </w:r>
            <w:r>
              <w:rPr>
                <w:rFonts w:ascii="宋体" w:hAnsi="宋体" w:cs="宋体"/>
                <w:b/>
                <w:bCs/>
                <w:color w:val="auto"/>
                <w:szCs w:val="21"/>
                <w:lang w:val="zh-CN"/>
              </w:rPr>
              <w:t>2位小数）</w:t>
            </w:r>
          </w:p>
        </w:tc>
        <w:tc>
          <w:tcPr>
            <w:tcW w:w="6223" w:type="dxa"/>
            <w:tcBorders>
              <w:top w:val="single" w:color="auto" w:sz="4" w:space="0"/>
              <w:left w:val="single" w:color="auto" w:sz="4" w:space="0"/>
              <w:right w:val="single" w:color="auto" w:sz="4" w:space="0"/>
            </w:tcBorders>
            <w:vAlign w:val="center"/>
          </w:tcPr>
          <w:p>
            <w:pPr>
              <w:adjustRightInd w:val="0"/>
              <w:snapToGrid w:val="0"/>
              <w:spacing w:line="360" w:lineRule="auto"/>
              <w:rPr>
                <w:rFonts w:ascii="宋体" w:hAnsi="宋体" w:cs="宋体"/>
                <w:b/>
                <w:bCs/>
                <w:color w:val="auto"/>
                <w:szCs w:val="21"/>
                <w:lang w:val="zh-CN"/>
              </w:rPr>
            </w:pPr>
            <w:r>
              <w:rPr>
                <w:rFonts w:hint="eastAsia" w:ascii="宋体" w:hAnsi="宋体" w:cs="宋体"/>
                <w:b/>
                <w:bCs/>
                <w:color w:val="auto"/>
                <w:szCs w:val="21"/>
                <w:lang w:val="zh-CN"/>
              </w:rPr>
              <w:t>大写：</w:t>
            </w:r>
            <w:r>
              <w:rPr>
                <w:rFonts w:ascii="宋体" w:hAnsi="宋体" w:cs="宋体"/>
                <w:b/>
                <w:bCs/>
                <w:color w:val="auto"/>
                <w:szCs w:val="21"/>
                <w:lang w:val="zh-CN"/>
              </w:rPr>
              <w:t xml:space="preserve">            </w:t>
            </w:r>
            <w:r>
              <w:rPr>
                <w:rFonts w:hint="eastAsia" w:ascii="宋体" w:hAnsi="宋体" w:cs="宋体"/>
                <w:b/>
                <w:bCs/>
                <w:color w:val="auto"/>
                <w:szCs w:val="21"/>
                <w:lang w:val="zh-CN"/>
              </w:rPr>
              <w:t>，小写：</w:t>
            </w:r>
            <w:r>
              <w:rPr>
                <w:rFonts w:ascii="宋体" w:hAnsi="宋体" w:cs="宋体"/>
                <w:b/>
                <w:bCs/>
                <w:color w:val="auto"/>
                <w:szCs w:val="21"/>
                <w:lang w:val="zh-CN"/>
              </w:rPr>
              <w:t xml:space="preserve">            </w:t>
            </w:r>
            <w:r>
              <w:rPr>
                <w:rFonts w:hint="eastAsia" w:ascii="宋体" w:hAnsi="宋体" w:cs="宋体"/>
                <w:b/>
                <w:bCs/>
                <w:color w:val="auto"/>
                <w:szCs w:val="21"/>
                <w:lang w:val="en-US" w:eastAsia="zh-CN"/>
              </w:rPr>
              <w:t>万</w:t>
            </w:r>
            <w:r>
              <w:rPr>
                <w:rFonts w:hint="eastAsia" w:ascii="宋体" w:hAnsi="宋体" w:cs="宋体"/>
                <w:b/>
                <w:bCs/>
                <w:color w:val="auto"/>
                <w:szCs w:val="21"/>
                <w:lang w:val="zh-CN"/>
              </w:rPr>
              <w:t>元</w:t>
            </w:r>
          </w:p>
        </w:tc>
      </w:tr>
    </w:tbl>
    <w:p>
      <w:pPr>
        <w:pStyle w:val="22"/>
        <w:spacing w:after="0" w:line="360" w:lineRule="auto"/>
        <w:ind w:firstLine="210"/>
        <w:rPr>
          <w:rFonts w:ascii="宋体" w:hAnsi="宋体"/>
          <w:color w:val="auto"/>
          <w:szCs w:val="21"/>
        </w:rPr>
      </w:pPr>
    </w:p>
    <w:p>
      <w:pPr>
        <w:pStyle w:val="14"/>
        <w:adjustRightInd w:val="0"/>
        <w:snapToGrid w:val="0"/>
        <w:spacing w:before="240" w:after="240" w:line="360" w:lineRule="auto"/>
        <w:jc w:val="right"/>
        <w:rPr>
          <w:rFonts w:hAnsi="宋体"/>
          <w:b/>
          <w:bCs/>
          <w:color w:val="auto"/>
          <w:szCs w:val="21"/>
        </w:rPr>
      </w:pPr>
    </w:p>
    <w:p>
      <w:pPr>
        <w:rPr>
          <w:rFonts w:hAnsi="宋体"/>
          <w:b/>
          <w:bCs/>
          <w:color w:val="auto"/>
          <w:szCs w:val="21"/>
        </w:rPr>
      </w:pPr>
    </w:p>
    <w:p>
      <w:pPr>
        <w:pStyle w:val="14"/>
        <w:rPr>
          <w:color w:val="auto"/>
        </w:rPr>
      </w:pPr>
    </w:p>
    <w:p>
      <w:pPr>
        <w:pStyle w:val="14"/>
        <w:adjustRightInd w:val="0"/>
        <w:snapToGrid w:val="0"/>
        <w:spacing w:before="240" w:after="240" w:line="360" w:lineRule="auto"/>
        <w:jc w:val="right"/>
        <w:rPr>
          <w:rFonts w:hAnsi="宋体"/>
          <w:b/>
          <w:bCs/>
          <w:color w:val="auto"/>
          <w:szCs w:val="21"/>
        </w:rPr>
      </w:pPr>
      <w:r>
        <w:rPr>
          <w:rFonts w:hint="eastAsia" w:hAnsi="宋体"/>
          <w:b/>
          <w:bCs/>
          <w:color w:val="auto"/>
          <w:szCs w:val="21"/>
        </w:rPr>
        <w:t>投标人（全称）：</w:t>
      </w:r>
      <w:r>
        <w:rPr>
          <w:rFonts w:hAnsi="宋体"/>
          <w:b/>
          <w:bCs/>
          <w:color w:val="auto"/>
          <w:szCs w:val="21"/>
        </w:rPr>
        <w:t xml:space="preserve"> </w:t>
      </w:r>
      <w:r>
        <w:rPr>
          <w:rFonts w:hint="eastAsia" w:hAnsi="宋体"/>
          <w:b/>
          <w:bCs/>
          <w:color w:val="auto"/>
          <w:szCs w:val="21"/>
        </w:rPr>
        <w:t>（盖公章）</w:t>
      </w:r>
    </w:p>
    <w:p>
      <w:pPr>
        <w:pStyle w:val="14"/>
        <w:adjustRightInd w:val="0"/>
        <w:snapToGrid w:val="0"/>
        <w:spacing w:before="240" w:after="240" w:line="360" w:lineRule="auto"/>
        <w:jc w:val="right"/>
        <w:rPr>
          <w:rFonts w:hAnsi="宋体"/>
          <w:b/>
          <w:bCs/>
          <w:color w:val="auto"/>
          <w:szCs w:val="21"/>
        </w:rPr>
      </w:pPr>
      <w:r>
        <w:rPr>
          <w:rFonts w:hint="eastAsia" w:hAnsi="宋体"/>
          <w:b/>
          <w:bCs/>
          <w:color w:val="auto"/>
          <w:szCs w:val="21"/>
        </w:rPr>
        <w:t>法定代表人或授权委托代理人：（签字或盖章）</w:t>
      </w:r>
    </w:p>
    <w:p>
      <w:pPr>
        <w:spacing w:before="240" w:after="240" w:line="480" w:lineRule="auto"/>
        <w:jc w:val="right"/>
        <w:outlineLvl w:val="2"/>
        <w:rPr>
          <w:rFonts w:ascii="宋体" w:hAnsi="宋体"/>
          <w:b/>
          <w:color w:val="auto"/>
          <w:sz w:val="30"/>
          <w:szCs w:val="30"/>
        </w:rPr>
      </w:pPr>
      <w:r>
        <w:rPr>
          <w:rFonts w:hint="eastAsia" w:ascii="宋体" w:hAnsi="宋体"/>
          <w:b/>
          <w:bCs/>
          <w:color w:val="auto"/>
          <w:szCs w:val="21"/>
        </w:rPr>
        <w:t>日期：</w:t>
      </w:r>
      <w:r>
        <w:rPr>
          <w:rFonts w:ascii="宋体" w:hAnsi="宋体"/>
          <w:b/>
          <w:bCs/>
          <w:color w:val="auto"/>
          <w:szCs w:val="21"/>
        </w:rPr>
        <w:t xml:space="preserve">    年   月    日 </w:t>
      </w:r>
    </w:p>
    <w:p>
      <w:pPr>
        <w:widowControl/>
        <w:jc w:val="left"/>
        <w:rPr>
          <w:rFonts w:ascii="Times New Roman" w:hAnsi="Times New Roman" w:eastAsia="黑体"/>
          <w:b/>
          <w:color w:val="auto"/>
          <w:sz w:val="32"/>
          <w:szCs w:val="20"/>
        </w:rPr>
      </w:pPr>
      <w:r>
        <w:rPr>
          <w:rFonts w:ascii="Times New Roman" w:hAnsi="Times New Roman"/>
          <w:color w:val="auto"/>
        </w:rPr>
        <w:br w:type="page"/>
      </w:r>
    </w:p>
    <w:p>
      <w:pPr>
        <w:pStyle w:val="5"/>
        <w:keepNext w:val="0"/>
        <w:keepLines w:val="0"/>
        <w:spacing w:before="0" w:after="0"/>
        <w:ind w:firstLine="643" w:firstLineChars="200"/>
        <w:rPr>
          <w:rFonts w:ascii="Times New Roman" w:hAnsi="Times New Roman"/>
          <w:color w:val="auto"/>
          <w:sz w:val="20"/>
        </w:rPr>
      </w:pPr>
      <w:r>
        <w:rPr>
          <w:rFonts w:ascii="Times New Roman" w:hAnsi="Times New Roman"/>
          <w:color w:val="auto"/>
        </w:rPr>
        <w:t>二</w:t>
      </w:r>
      <w:bookmarkEnd w:id="651"/>
      <w:bookmarkEnd w:id="652"/>
      <w:bookmarkEnd w:id="653"/>
      <w:bookmarkEnd w:id="654"/>
      <w:bookmarkEnd w:id="655"/>
      <w:bookmarkEnd w:id="656"/>
      <w:bookmarkEnd w:id="657"/>
      <w:bookmarkEnd w:id="658"/>
      <w:bookmarkEnd w:id="659"/>
      <w:bookmarkEnd w:id="660"/>
      <w:bookmarkEnd w:id="661"/>
      <w:r>
        <w:rPr>
          <w:rFonts w:ascii="Times New Roman" w:hAnsi="Times New Roman"/>
          <w:color w:val="auto"/>
        </w:rPr>
        <w:t>、法定代表人身份证明</w:t>
      </w:r>
      <w:bookmarkEnd w:id="662"/>
    </w:p>
    <w:p>
      <w:pPr>
        <w:spacing w:line="440" w:lineRule="exact"/>
        <w:ind w:firstLine="420" w:firstLineChars="200"/>
        <w:rPr>
          <w:rFonts w:ascii="Times New Roman" w:hAnsi="Times New Roman"/>
          <w:color w:val="auto"/>
        </w:rPr>
      </w:pPr>
    </w:p>
    <w:p>
      <w:pPr>
        <w:spacing w:line="360" w:lineRule="auto"/>
        <w:ind w:firstLine="480" w:firstLineChars="200"/>
        <w:rPr>
          <w:rFonts w:ascii="Times New Roman" w:hAnsi="Times New Roman"/>
          <w:color w:val="auto"/>
          <w:sz w:val="24"/>
          <w:szCs w:val="24"/>
          <w:u w:val="single"/>
        </w:rPr>
      </w:pPr>
      <w:r>
        <w:rPr>
          <w:rFonts w:ascii="Times New Roman" w:hAnsi="Times New Roman"/>
          <w:color w:val="auto"/>
          <w:sz w:val="24"/>
          <w:szCs w:val="24"/>
        </w:rPr>
        <w:t>投标人名称：</w:t>
      </w:r>
      <w:r>
        <w:rPr>
          <w:rFonts w:ascii="Times New Roman" w:hAnsi="Times New Roman"/>
          <w:color w:val="auto"/>
          <w:sz w:val="24"/>
          <w:szCs w:val="24"/>
          <w:u w:val="single"/>
        </w:rPr>
        <w:t xml:space="preserve">                                                    </w:t>
      </w:r>
    </w:p>
    <w:p>
      <w:pPr>
        <w:pStyle w:val="14"/>
        <w:rPr>
          <w:rFonts w:ascii="Times New Roman" w:hAnsi="Times New Roman"/>
          <w:color w:val="auto"/>
          <w:sz w:val="24"/>
          <w:szCs w:val="24"/>
        </w:rPr>
      </w:pPr>
    </w:p>
    <w:p>
      <w:pPr>
        <w:spacing w:line="360" w:lineRule="auto"/>
        <w:ind w:firstLine="480" w:firstLineChars="200"/>
        <w:rPr>
          <w:rFonts w:ascii="Times New Roman" w:hAnsi="Times New Roman"/>
          <w:color w:val="auto"/>
          <w:sz w:val="24"/>
          <w:szCs w:val="24"/>
          <w:u w:val="single"/>
        </w:rPr>
      </w:pPr>
      <w:r>
        <w:rPr>
          <w:rFonts w:ascii="Times New Roman" w:hAnsi="Times New Roman"/>
          <w:color w:val="auto"/>
          <w:sz w:val="24"/>
          <w:szCs w:val="24"/>
        </w:rPr>
        <w:t>姓名：</w:t>
      </w:r>
      <w:r>
        <w:rPr>
          <w:rFonts w:ascii="Times New Roman" w:hAnsi="Times New Roman"/>
          <w:color w:val="auto"/>
          <w:sz w:val="24"/>
          <w:szCs w:val="24"/>
          <w:u w:val="single"/>
        </w:rPr>
        <w:t xml:space="preserve">                </w:t>
      </w:r>
      <w:r>
        <w:rPr>
          <w:rFonts w:ascii="Times New Roman" w:hAnsi="Times New Roman"/>
          <w:color w:val="auto"/>
          <w:sz w:val="24"/>
          <w:szCs w:val="24"/>
        </w:rPr>
        <w:t>性别：</w:t>
      </w:r>
      <w:bookmarkStart w:id="663" w:name="_Toc27897"/>
      <w:bookmarkStart w:id="664" w:name="_Toc369531698"/>
      <w:bookmarkStart w:id="665" w:name="_Toc352691662"/>
      <w:r>
        <w:rPr>
          <w:rFonts w:ascii="Times New Roman" w:hAnsi="Times New Roman"/>
          <w:color w:val="auto"/>
          <w:sz w:val="24"/>
          <w:szCs w:val="24"/>
          <w:u w:val="single"/>
        </w:rPr>
        <w:t xml:space="preserve">        </w:t>
      </w:r>
      <w:r>
        <w:rPr>
          <w:rFonts w:ascii="Times New Roman" w:hAnsi="Times New Roman"/>
          <w:color w:val="auto"/>
          <w:sz w:val="24"/>
          <w:szCs w:val="24"/>
        </w:rPr>
        <w:t>年</w:t>
      </w:r>
      <w:bookmarkEnd w:id="663"/>
      <w:bookmarkEnd w:id="664"/>
      <w:bookmarkEnd w:id="665"/>
      <w:r>
        <w:rPr>
          <w:rFonts w:ascii="Times New Roman" w:hAnsi="Times New Roman"/>
          <w:color w:val="auto"/>
          <w:sz w:val="24"/>
          <w:szCs w:val="24"/>
        </w:rPr>
        <w:t>龄</w:t>
      </w:r>
      <w:bookmarkStart w:id="666" w:name="_Toc247527829"/>
      <w:bookmarkStart w:id="667" w:name="_Toc144974858"/>
      <w:bookmarkStart w:id="668" w:name="_Toc247514248"/>
      <w:bookmarkStart w:id="669" w:name="_Toc152042578"/>
      <w:bookmarkStart w:id="670" w:name="_Toc152045789"/>
      <w:bookmarkStart w:id="671" w:name="_Toc300835211"/>
      <w:bookmarkStart w:id="672" w:name="_Toc352691663"/>
      <w:bookmarkStart w:id="673" w:name="_Toc369531699"/>
      <w:bookmarkStart w:id="674" w:name="_Toc384308377"/>
      <w:bookmarkStart w:id="675" w:name="_Toc361508754"/>
      <w:bookmarkStart w:id="676" w:name="_Toc15573"/>
      <w:r>
        <w:rPr>
          <w:rFonts w:ascii="Times New Roman" w:hAnsi="Times New Roman"/>
          <w:color w:val="auto"/>
          <w:sz w:val="24"/>
          <w:szCs w:val="24"/>
        </w:rPr>
        <w:t>：</w:t>
      </w:r>
      <w:bookmarkEnd w:id="666"/>
      <w:bookmarkEnd w:id="667"/>
      <w:bookmarkEnd w:id="668"/>
      <w:bookmarkEnd w:id="669"/>
      <w:bookmarkEnd w:id="670"/>
      <w:bookmarkEnd w:id="671"/>
      <w:bookmarkEnd w:id="672"/>
      <w:bookmarkEnd w:id="673"/>
      <w:bookmarkEnd w:id="674"/>
      <w:bookmarkEnd w:id="675"/>
      <w:bookmarkEnd w:id="676"/>
      <w:r>
        <w:rPr>
          <w:rFonts w:ascii="Times New Roman" w:hAnsi="Times New Roman"/>
          <w:color w:val="auto"/>
          <w:sz w:val="24"/>
          <w:szCs w:val="24"/>
          <w:u w:val="single"/>
        </w:rPr>
        <w:t xml:space="preserve">        </w:t>
      </w:r>
      <w:r>
        <w:rPr>
          <w:rFonts w:ascii="Times New Roman" w:hAnsi="Times New Roman"/>
          <w:color w:val="auto"/>
          <w:sz w:val="24"/>
          <w:szCs w:val="24"/>
        </w:rPr>
        <w:t>职务：</w:t>
      </w:r>
      <w:r>
        <w:rPr>
          <w:rFonts w:ascii="Times New Roman" w:hAnsi="Times New Roman"/>
          <w:color w:val="auto"/>
          <w:sz w:val="24"/>
          <w:szCs w:val="24"/>
          <w:u w:val="single"/>
        </w:rPr>
        <w:t xml:space="preserve">        </w:t>
      </w:r>
    </w:p>
    <w:p>
      <w:pPr>
        <w:pStyle w:val="14"/>
        <w:rPr>
          <w:rFonts w:ascii="Times New Roman" w:hAnsi="Times New Roman"/>
          <w:color w:val="auto"/>
          <w:sz w:val="24"/>
          <w:szCs w:val="24"/>
        </w:rPr>
      </w:pP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系</w:t>
      </w:r>
      <w:r>
        <w:rPr>
          <w:rFonts w:ascii="Times New Roman" w:hAnsi="Times New Roman"/>
          <w:color w:val="auto"/>
          <w:sz w:val="24"/>
          <w:szCs w:val="24"/>
          <w:u w:val="single"/>
        </w:rPr>
        <w:t xml:space="preserve">                                  </w:t>
      </w:r>
      <w:r>
        <w:rPr>
          <w:rFonts w:ascii="Times New Roman" w:hAnsi="Times New Roman"/>
          <w:color w:val="auto"/>
          <w:sz w:val="24"/>
          <w:szCs w:val="24"/>
        </w:rPr>
        <w:t>（投标人名称）的法定代表人。</w:t>
      </w:r>
    </w:p>
    <w:p>
      <w:pPr>
        <w:pStyle w:val="14"/>
        <w:rPr>
          <w:rFonts w:ascii="Times New Roman" w:hAnsi="Times New Roman"/>
          <w:color w:val="auto"/>
          <w:sz w:val="24"/>
          <w:szCs w:val="24"/>
        </w:rPr>
      </w:pP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特此证明。</w:t>
      </w:r>
    </w:p>
    <w:p>
      <w:pPr>
        <w:spacing w:line="360" w:lineRule="auto"/>
        <w:ind w:firstLine="480" w:firstLineChars="200"/>
        <w:rPr>
          <w:rFonts w:ascii="Times New Roman" w:hAnsi="Times New Roman"/>
          <w:color w:val="auto"/>
          <w:sz w:val="24"/>
          <w:szCs w:val="24"/>
        </w:rPr>
      </w:pP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附：法定代表人身份证复印件。</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注：本身份证明需由投标人加盖单位公章。</w:t>
      </w:r>
    </w:p>
    <w:p>
      <w:pPr>
        <w:spacing w:line="360" w:lineRule="auto"/>
        <w:ind w:firstLine="480" w:firstLineChars="200"/>
        <w:rPr>
          <w:rFonts w:ascii="Times New Roman" w:hAnsi="Times New Roman"/>
          <w:color w:val="auto"/>
          <w:sz w:val="24"/>
          <w:szCs w:val="24"/>
        </w:rPr>
      </w:pPr>
    </w:p>
    <w:p>
      <w:pPr>
        <w:spacing w:line="360" w:lineRule="auto"/>
        <w:ind w:firstLine="480" w:firstLineChars="200"/>
        <w:rPr>
          <w:rFonts w:ascii="Times New Roman" w:hAnsi="Times New Roman"/>
          <w:color w:val="auto"/>
          <w:sz w:val="24"/>
          <w:szCs w:val="24"/>
        </w:rPr>
      </w:pPr>
    </w:p>
    <w:p>
      <w:pPr>
        <w:spacing w:line="360" w:lineRule="auto"/>
        <w:ind w:firstLine="480" w:firstLineChars="200"/>
        <w:jc w:val="right"/>
        <w:rPr>
          <w:rFonts w:ascii="Times New Roman" w:hAnsi="Times New Roman"/>
          <w:color w:val="auto"/>
          <w:sz w:val="24"/>
          <w:szCs w:val="24"/>
        </w:rPr>
      </w:pPr>
      <w:r>
        <w:rPr>
          <w:rFonts w:ascii="Times New Roman" w:hAnsi="Times New Roman"/>
          <w:color w:val="auto"/>
          <w:sz w:val="24"/>
          <w:szCs w:val="24"/>
        </w:rPr>
        <w:t xml:space="preserve">                              投标人：</w:t>
      </w:r>
      <w:r>
        <w:rPr>
          <w:rFonts w:ascii="Times New Roman" w:hAnsi="Times New Roman"/>
          <w:color w:val="auto"/>
          <w:sz w:val="24"/>
          <w:szCs w:val="24"/>
          <w:u w:val="single"/>
        </w:rPr>
        <w:t xml:space="preserve">             </w:t>
      </w:r>
      <w:r>
        <w:rPr>
          <w:rFonts w:ascii="Times New Roman" w:hAnsi="Times New Roman"/>
          <w:color w:val="auto"/>
          <w:sz w:val="24"/>
          <w:szCs w:val="24"/>
          <w:u w:val="single"/>
        </w:rPr>
        <w:tab/>
      </w:r>
      <w:r>
        <w:rPr>
          <w:rFonts w:ascii="Times New Roman" w:hAnsi="Times New Roman"/>
          <w:color w:val="auto"/>
          <w:sz w:val="24"/>
          <w:szCs w:val="24"/>
        </w:rPr>
        <w:t>（</w:t>
      </w:r>
      <w:r>
        <w:rPr>
          <w:rFonts w:hint="eastAsia" w:ascii="Times New Roman" w:hAnsi="Times New Roman"/>
          <w:color w:val="auto"/>
          <w:sz w:val="24"/>
          <w:szCs w:val="24"/>
        </w:rPr>
        <w:t>盖</w:t>
      </w:r>
      <w:r>
        <w:rPr>
          <w:rFonts w:ascii="Times New Roman" w:hAnsi="Times New Roman"/>
          <w:color w:val="auto"/>
          <w:sz w:val="24"/>
          <w:szCs w:val="24"/>
        </w:rPr>
        <w:t>单位</w:t>
      </w:r>
      <w:r>
        <w:rPr>
          <w:rFonts w:hint="eastAsia" w:ascii="Times New Roman" w:hAnsi="Times New Roman"/>
          <w:color w:val="auto"/>
          <w:sz w:val="24"/>
          <w:szCs w:val="24"/>
        </w:rPr>
        <w:t>章</w:t>
      </w:r>
      <w:r>
        <w:rPr>
          <w:rFonts w:ascii="Times New Roman" w:hAnsi="Times New Roman"/>
          <w:color w:val="auto"/>
          <w:sz w:val="24"/>
          <w:szCs w:val="24"/>
        </w:rPr>
        <w:t>）</w:t>
      </w:r>
    </w:p>
    <w:p>
      <w:pPr>
        <w:spacing w:line="360" w:lineRule="auto"/>
        <w:ind w:firstLine="480" w:firstLineChars="200"/>
        <w:rPr>
          <w:rFonts w:ascii="Times New Roman" w:hAnsi="Times New Roman"/>
          <w:color w:val="auto"/>
          <w:sz w:val="24"/>
          <w:szCs w:val="24"/>
        </w:rPr>
      </w:pPr>
    </w:p>
    <w:p>
      <w:pPr>
        <w:spacing w:line="360" w:lineRule="auto"/>
        <w:ind w:firstLine="480" w:firstLineChars="200"/>
        <w:jc w:val="right"/>
        <w:rPr>
          <w:rFonts w:ascii="Times New Roman" w:hAnsi="Times New Roman"/>
          <w:color w:val="auto"/>
          <w:sz w:val="24"/>
          <w:szCs w:val="24"/>
        </w:rPr>
      </w:pPr>
      <w:r>
        <w:rPr>
          <w:rFonts w:ascii="Times New Roman" w:hAnsi="Times New Roman"/>
          <w:color w:val="auto"/>
          <w:sz w:val="24"/>
          <w:szCs w:val="24"/>
          <w:u w:val="single"/>
        </w:rPr>
        <w:t xml:space="preserve">      </w:t>
      </w:r>
      <w:r>
        <w:rPr>
          <w:rFonts w:ascii="Times New Roman" w:hAnsi="Times New Roman"/>
          <w:color w:val="auto"/>
          <w:sz w:val="24"/>
          <w:szCs w:val="24"/>
        </w:rPr>
        <w:t>年</w:t>
      </w:r>
      <w:r>
        <w:rPr>
          <w:rFonts w:ascii="Times New Roman" w:hAnsi="Times New Roman"/>
          <w:color w:val="auto"/>
          <w:sz w:val="24"/>
          <w:szCs w:val="24"/>
          <w:u w:val="single"/>
        </w:rPr>
        <w:t xml:space="preserve">      </w:t>
      </w:r>
      <w:r>
        <w:rPr>
          <w:rFonts w:ascii="Times New Roman" w:hAnsi="Times New Roman"/>
          <w:color w:val="auto"/>
          <w:sz w:val="24"/>
          <w:szCs w:val="24"/>
        </w:rPr>
        <w:t>月</w:t>
      </w:r>
      <w:r>
        <w:rPr>
          <w:rFonts w:ascii="Times New Roman" w:hAnsi="Times New Roman"/>
          <w:color w:val="auto"/>
          <w:sz w:val="24"/>
          <w:szCs w:val="24"/>
          <w:u w:val="single"/>
        </w:rPr>
        <w:t xml:space="preserve">      </w:t>
      </w:r>
      <w:r>
        <w:rPr>
          <w:rFonts w:ascii="Times New Roman" w:hAnsi="Times New Roman"/>
          <w:color w:val="auto"/>
          <w:sz w:val="24"/>
          <w:szCs w:val="24"/>
        </w:rPr>
        <w:t>日</w:t>
      </w:r>
    </w:p>
    <w:p>
      <w:pPr>
        <w:spacing w:line="360" w:lineRule="auto"/>
        <w:ind w:firstLine="480" w:firstLineChars="200"/>
        <w:rPr>
          <w:rFonts w:ascii="Times New Roman" w:hAnsi="Times New Roman" w:eastAsia="黑体"/>
          <w:color w:val="auto"/>
          <w:sz w:val="24"/>
          <w:szCs w:val="24"/>
        </w:rPr>
      </w:pPr>
    </w:p>
    <w:p>
      <w:pPr>
        <w:spacing w:line="360" w:lineRule="auto"/>
        <w:ind w:firstLine="400" w:firstLineChars="200"/>
        <w:rPr>
          <w:rFonts w:ascii="Times New Roman" w:hAnsi="Times New Roman" w:eastAsia="黑体"/>
          <w:color w:val="auto"/>
          <w:sz w:val="20"/>
        </w:rPr>
      </w:pPr>
    </w:p>
    <w:p>
      <w:pPr>
        <w:spacing w:line="440" w:lineRule="exact"/>
        <w:ind w:firstLine="400" w:firstLineChars="200"/>
        <w:rPr>
          <w:rFonts w:ascii="Times New Roman" w:hAnsi="Times New Roman" w:eastAsia="黑体"/>
          <w:color w:val="auto"/>
          <w:sz w:val="20"/>
        </w:rPr>
      </w:pPr>
    </w:p>
    <w:p>
      <w:pPr>
        <w:spacing w:line="440" w:lineRule="exact"/>
        <w:ind w:firstLine="400" w:firstLineChars="200"/>
        <w:rPr>
          <w:rFonts w:ascii="Times New Roman" w:hAnsi="Times New Roman" w:eastAsia="黑体"/>
          <w:color w:val="auto"/>
          <w:sz w:val="20"/>
        </w:rPr>
      </w:pPr>
    </w:p>
    <w:p>
      <w:pPr>
        <w:spacing w:line="440" w:lineRule="exact"/>
        <w:ind w:firstLine="400" w:firstLineChars="200"/>
        <w:rPr>
          <w:rFonts w:ascii="Times New Roman" w:hAnsi="Times New Roman" w:eastAsia="黑体"/>
          <w:color w:val="auto"/>
          <w:sz w:val="20"/>
        </w:rPr>
      </w:pPr>
    </w:p>
    <w:p>
      <w:pPr>
        <w:pStyle w:val="5"/>
        <w:keepNext w:val="0"/>
        <w:keepLines w:val="0"/>
        <w:spacing w:before="0" w:after="0"/>
        <w:jc w:val="center"/>
        <w:rPr>
          <w:rFonts w:ascii="Times New Roman" w:hAnsi="Times New Roman"/>
          <w:color w:val="auto"/>
        </w:rPr>
      </w:pPr>
      <w:r>
        <w:rPr>
          <w:rFonts w:ascii="Times New Roman" w:hAnsi="Times New Roman"/>
          <w:color w:val="auto"/>
        </w:rPr>
        <w:br w:type="page"/>
      </w:r>
      <w:bookmarkStart w:id="677" w:name="_Toc89870640"/>
      <w:r>
        <w:rPr>
          <w:rFonts w:ascii="Times New Roman" w:hAnsi="Times New Roman"/>
          <w:color w:val="auto"/>
        </w:rPr>
        <w:t>授权委托书</w:t>
      </w:r>
      <w:bookmarkEnd w:id="677"/>
    </w:p>
    <w:p>
      <w:pPr>
        <w:spacing w:line="440" w:lineRule="exact"/>
        <w:ind w:firstLine="420" w:firstLineChars="200"/>
        <w:rPr>
          <w:rFonts w:ascii="Times New Roman" w:hAnsi="Times New Roman" w:eastAsia="黑体"/>
          <w:color w:val="auto"/>
        </w:rPr>
      </w:pPr>
    </w:p>
    <w:p>
      <w:pPr>
        <w:topLinePunct/>
        <w:spacing w:line="360" w:lineRule="auto"/>
        <w:ind w:firstLine="420" w:firstLineChars="200"/>
        <w:rPr>
          <w:rFonts w:ascii="Times New Roman" w:hAnsi="Times New Roman"/>
          <w:color w:val="auto"/>
        </w:rPr>
      </w:pPr>
      <w:r>
        <w:rPr>
          <w:rFonts w:ascii="Times New Roman" w:hAnsi="Times New Roman"/>
          <w:color w:val="auto"/>
        </w:rPr>
        <w:t>本人</w:t>
      </w:r>
      <w:r>
        <w:rPr>
          <w:rFonts w:ascii="Times New Roman" w:hAnsi="Times New Roman"/>
          <w:color w:val="auto"/>
          <w:u w:val="single"/>
        </w:rPr>
        <w:t xml:space="preserve">              </w:t>
      </w:r>
      <w:r>
        <w:rPr>
          <w:rFonts w:ascii="Times New Roman" w:hAnsi="Times New Roman"/>
          <w:color w:val="auto"/>
        </w:rPr>
        <w:t>（姓名）系</w:t>
      </w:r>
      <w:r>
        <w:rPr>
          <w:rFonts w:ascii="Times New Roman" w:hAnsi="Times New Roman"/>
          <w:color w:val="auto"/>
          <w:u w:val="single"/>
        </w:rPr>
        <w:t xml:space="preserve">                    </w:t>
      </w:r>
      <w:r>
        <w:rPr>
          <w:rFonts w:ascii="Times New Roman" w:hAnsi="Times New Roman"/>
          <w:color w:val="auto"/>
        </w:rPr>
        <w:t>（投标人名称）的法定代表人，现委托</w:t>
      </w:r>
      <w:r>
        <w:rPr>
          <w:rFonts w:ascii="Times New Roman" w:hAnsi="Times New Roman"/>
          <w:color w:val="auto"/>
          <w:u w:val="single"/>
        </w:rPr>
        <w:t xml:space="preserve">            （姓名）</w:t>
      </w:r>
      <w:r>
        <w:rPr>
          <w:rFonts w:ascii="Times New Roman" w:hAnsi="Times New Roman"/>
          <w:color w:val="auto"/>
        </w:rPr>
        <w:t>为我方代理人。代理人根据授权，以我方名义签署、澄清确认、递交、撤回、修改监理招标项目投标文件、签订合同和处理有关事宜，其法律后果由我方承担。</w:t>
      </w:r>
    </w:p>
    <w:p>
      <w:pPr>
        <w:spacing w:line="360" w:lineRule="auto"/>
        <w:ind w:firstLine="420" w:firstLineChars="200"/>
        <w:rPr>
          <w:rFonts w:ascii="Times New Roman" w:hAnsi="Times New Roman"/>
          <w:color w:val="auto"/>
        </w:rPr>
      </w:pPr>
      <w:r>
        <w:rPr>
          <w:rFonts w:ascii="Times New Roman" w:hAnsi="Times New Roman"/>
          <w:color w:val="auto"/>
        </w:rPr>
        <w:t>委托期限：</w:t>
      </w:r>
      <w:r>
        <w:rPr>
          <w:rFonts w:ascii="Times New Roman" w:hAnsi="Times New Roman"/>
          <w:color w:val="auto"/>
          <w:u w:val="single"/>
        </w:rPr>
        <w:t xml:space="preserve">                       </w:t>
      </w:r>
      <w:r>
        <w:rPr>
          <w:rFonts w:ascii="Times New Roman" w:hAnsi="Times New Roman"/>
          <w:color w:val="auto"/>
        </w:rPr>
        <w:t>。</w:t>
      </w:r>
    </w:p>
    <w:p>
      <w:pPr>
        <w:spacing w:line="360" w:lineRule="auto"/>
        <w:ind w:firstLine="420" w:firstLineChars="200"/>
        <w:rPr>
          <w:rFonts w:ascii="Times New Roman" w:hAnsi="Times New Roman"/>
          <w:color w:val="auto"/>
        </w:rPr>
      </w:pPr>
      <w:r>
        <w:rPr>
          <w:rFonts w:ascii="Times New Roman" w:hAnsi="Times New Roman"/>
          <w:color w:val="auto"/>
        </w:rPr>
        <w:t>代理人无转委托权。</w:t>
      </w:r>
    </w:p>
    <w:p>
      <w:pPr>
        <w:spacing w:line="360" w:lineRule="auto"/>
        <w:ind w:firstLine="420" w:firstLineChars="200"/>
        <w:rPr>
          <w:rFonts w:ascii="Times New Roman" w:hAnsi="Times New Roman"/>
          <w:color w:val="auto"/>
        </w:rPr>
      </w:pPr>
    </w:p>
    <w:p>
      <w:pPr>
        <w:spacing w:line="360" w:lineRule="auto"/>
        <w:ind w:firstLine="420" w:firstLineChars="200"/>
        <w:rPr>
          <w:rFonts w:ascii="Times New Roman" w:hAnsi="Times New Roman"/>
          <w:color w:val="auto"/>
        </w:rPr>
      </w:pPr>
      <w:r>
        <w:rPr>
          <w:rFonts w:ascii="Times New Roman" w:hAnsi="Times New Roman"/>
          <w:color w:val="auto"/>
        </w:rPr>
        <w:t>附：法定代表人身份证复印件及委托代理人身份证复印件</w:t>
      </w:r>
    </w:p>
    <w:p>
      <w:pPr>
        <w:spacing w:line="360" w:lineRule="auto"/>
        <w:ind w:firstLine="420" w:firstLineChars="200"/>
        <w:rPr>
          <w:rFonts w:ascii="Times New Roman" w:hAnsi="Times New Roman"/>
          <w:color w:val="auto"/>
        </w:rPr>
      </w:pPr>
      <w:r>
        <w:rPr>
          <w:rFonts w:ascii="Times New Roman" w:hAnsi="Times New Roman"/>
          <w:color w:val="auto"/>
        </w:rPr>
        <w:t>注：本授权委托书需由投标人加盖单位公章并由其法定代表人和委托代理人签字。</w:t>
      </w:r>
    </w:p>
    <w:p>
      <w:pPr>
        <w:spacing w:line="360" w:lineRule="auto"/>
        <w:ind w:firstLine="420" w:firstLineChars="200"/>
        <w:rPr>
          <w:rFonts w:ascii="Times New Roman" w:hAnsi="Times New Roman"/>
          <w:color w:val="auto"/>
        </w:rPr>
      </w:pPr>
    </w:p>
    <w:p>
      <w:pPr>
        <w:spacing w:line="360" w:lineRule="auto"/>
        <w:ind w:firstLine="420" w:firstLineChars="200"/>
        <w:jc w:val="right"/>
        <w:rPr>
          <w:rFonts w:ascii="Times New Roman" w:hAnsi="Times New Roman"/>
          <w:color w:val="auto"/>
        </w:rPr>
      </w:pPr>
      <w:r>
        <w:rPr>
          <w:rFonts w:ascii="Times New Roman" w:hAnsi="Times New Roman"/>
          <w:color w:val="auto"/>
        </w:rPr>
        <w:t>投  标  人：</w:t>
      </w:r>
      <w:r>
        <w:rPr>
          <w:rFonts w:ascii="Times New Roman" w:hAnsi="Times New Roman"/>
          <w:color w:val="auto"/>
          <w:szCs w:val="21"/>
          <w:u w:val="single"/>
        </w:rPr>
        <w:tab/>
      </w:r>
      <w:r>
        <w:rPr>
          <w:rFonts w:ascii="Times New Roman" w:hAnsi="Times New Roman"/>
          <w:color w:val="auto"/>
          <w:szCs w:val="21"/>
          <w:u w:val="single"/>
        </w:rPr>
        <w:tab/>
      </w:r>
      <w:r>
        <w:rPr>
          <w:rFonts w:ascii="Times New Roman" w:hAnsi="Times New Roman"/>
          <w:color w:val="auto"/>
          <w:szCs w:val="21"/>
          <w:u w:val="single"/>
        </w:rPr>
        <w:tab/>
      </w:r>
      <w:r>
        <w:rPr>
          <w:rFonts w:ascii="Times New Roman" w:hAnsi="Times New Roman"/>
          <w:color w:val="auto"/>
          <w:szCs w:val="21"/>
          <w:u w:val="single"/>
        </w:rPr>
        <w:t xml:space="preserve">                   </w:t>
      </w:r>
      <w:r>
        <w:rPr>
          <w:rFonts w:ascii="Times New Roman" w:hAnsi="Times New Roman"/>
          <w:color w:val="auto"/>
          <w:szCs w:val="21"/>
          <w:u w:val="single"/>
        </w:rPr>
        <w:tab/>
      </w:r>
      <w:r>
        <w:rPr>
          <w:rFonts w:ascii="Times New Roman" w:hAnsi="Times New Roman"/>
          <w:color w:val="auto"/>
        </w:rPr>
        <w:t>（</w:t>
      </w:r>
      <w:r>
        <w:rPr>
          <w:rFonts w:hint="eastAsia" w:ascii="Times New Roman" w:hAnsi="Times New Roman"/>
          <w:color w:val="auto"/>
        </w:rPr>
        <w:t>盖</w:t>
      </w:r>
      <w:r>
        <w:rPr>
          <w:rFonts w:ascii="Times New Roman" w:hAnsi="Times New Roman"/>
          <w:color w:val="auto"/>
        </w:rPr>
        <w:t>单位</w:t>
      </w:r>
      <w:r>
        <w:rPr>
          <w:rFonts w:hint="eastAsia" w:ascii="Times New Roman" w:hAnsi="Times New Roman"/>
          <w:color w:val="auto"/>
        </w:rPr>
        <w:t>章</w:t>
      </w:r>
      <w:r>
        <w:rPr>
          <w:rFonts w:ascii="Times New Roman" w:hAnsi="Times New Roman"/>
          <w:color w:val="auto"/>
        </w:rPr>
        <w:t>）</w:t>
      </w:r>
    </w:p>
    <w:p>
      <w:pPr>
        <w:spacing w:line="360" w:lineRule="auto"/>
        <w:ind w:firstLine="420" w:firstLineChars="200"/>
        <w:jc w:val="right"/>
        <w:rPr>
          <w:rFonts w:ascii="Times New Roman" w:hAnsi="Times New Roman"/>
          <w:color w:val="auto"/>
        </w:rPr>
      </w:pPr>
    </w:p>
    <w:p>
      <w:pPr>
        <w:spacing w:line="360" w:lineRule="auto"/>
        <w:ind w:firstLine="420" w:firstLineChars="200"/>
        <w:jc w:val="right"/>
        <w:rPr>
          <w:rFonts w:ascii="Times New Roman" w:hAnsi="Times New Roman"/>
          <w:color w:val="auto"/>
        </w:rPr>
      </w:pPr>
      <w:r>
        <w:rPr>
          <w:rFonts w:ascii="Times New Roman" w:hAnsi="Times New Roman"/>
          <w:color w:val="auto"/>
        </w:rPr>
        <w:t>法定代表人：</w:t>
      </w:r>
      <w:r>
        <w:rPr>
          <w:rFonts w:ascii="Times New Roman" w:hAnsi="Times New Roman"/>
          <w:color w:val="auto"/>
          <w:szCs w:val="21"/>
          <w:u w:val="single"/>
        </w:rPr>
        <w:tab/>
      </w:r>
      <w:r>
        <w:rPr>
          <w:rFonts w:ascii="Times New Roman" w:hAnsi="Times New Roman"/>
          <w:color w:val="auto"/>
          <w:szCs w:val="21"/>
          <w:u w:val="single"/>
        </w:rPr>
        <w:tab/>
      </w:r>
      <w:r>
        <w:rPr>
          <w:rFonts w:ascii="Times New Roman" w:hAnsi="Times New Roman"/>
          <w:color w:val="auto"/>
          <w:szCs w:val="21"/>
          <w:u w:val="single"/>
        </w:rPr>
        <w:t xml:space="preserve">    </w:t>
      </w:r>
      <w:r>
        <w:rPr>
          <w:rFonts w:ascii="Times New Roman" w:hAnsi="Times New Roman"/>
          <w:color w:val="auto"/>
          <w:szCs w:val="21"/>
          <w:u w:val="single"/>
        </w:rPr>
        <w:tab/>
      </w:r>
      <w:r>
        <w:rPr>
          <w:rFonts w:hint="eastAsia" w:ascii="Times New Roman" w:hAnsi="Times New Roman"/>
          <w:color w:val="auto"/>
          <w:szCs w:val="21"/>
          <w:u w:val="single"/>
        </w:rPr>
        <w:t xml:space="preserve">           </w:t>
      </w:r>
      <w:r>
        <w:rPr>
          <w:rFonts w:ascii="Times New Roman" w:hAnsi="Times New Roman"/>
          <w:color w:val="auto"/>
          <w:szCs w:val="21"/>
          <w:u w:val="single"/>
        </w:rPr>
        <w:t xml:space="preserve">        </w:t>
      </w:r>
      <w:r>
        <w:rPr>
          <w:rFonts w:ascii="Times New Roman" w:hAnsi="Times New Roman"/>
          <w:color w:val="auto"/>
          <w:szCs w:val="21"/>
          <w:u w:val="single"/>
        </w:rPr>
        <w:tab/>
      </w:r>
      <w:r>
        <w:rPr>
          <w:rFonts w:ascii="Times New Roman" w:hAnsi="Times New Roman"/>
          <w:color w:val="auto"/>
        </w:rPr>
        <w:t>（签字）</w:t>
      </w:r>
    </w:p>
    <w:p>
      <w:pPr>
        <w:spacing w:line="360" w:lineRule="auto"/>
        <w:ind w:firstLine="420" w:firstLineChars="200"/>
        <w:jc w:val="right"/>
        <w:rPr>
          <w:rFonts w:ascii="Times New Roman" w:hAnsi="Times New Roman"/>
          <w:color w:val="auto"/>
        </w:rPr>
      </w:pPr>
    </w:p>
    <w:p>
      <w:pPr>
        <w:spacing w:line="360" w:lineRule="auto"/>
        <w:ind w:firstLine="420" w:firstLineChars="200"/>
        <w:jc w:val="right"/>
        <w:rPr>
          <w:rFonts w:ascii="Times New Roman" w:hAnsi="Times New Roman"/>
          <w:color w:val="auto"/>
        </w:rPr>
      </w:pPr>
      <w:r>
        <w:rPr>
          <w:rFonts w:ascii="Times New Roman" w:hAnsi="Times New Roman"/>
          <w:color w:val="auto"/>
        </w:rPr>
        <w:t>身份证号码：</w:t>
      </w:r>
      <w:r>
        <w:rPr>
          <w:rFonts w:ascii="Times New Roman" w:hAnsi="Times New Roman"/>
          <w:color w:val="auto"/>
          <w:szCs w:val="21"/>
          <w:u w:val="single"/>
        </w:rPr>
        <w:tab/>
      </w:r>
      <w:r>
        <w:rPr>
          <w:rFonts w:ascii="Times New Roman" w:hAnsi="Times New Roman"/>
          <w:color w:val="auto"/>
          <w:szCs w:val="21"/>
          <w:u w:val="single"/>
        </w:rPr>
        <w:tab/>
      </w:r>
      <w:r>
        <w:rPr>
          <w:rFonts w:ascii="Times New Roman" w:hAnsi="Times New Roman"/>
          <w:color w:val="auto"/>
          <w:szCs w:val="21"/>
          <w:u w:val="single"/>
        </w:rPr>
        <w:t xml:space="preserve">            </w:t>
      </w:r>
      <w:r>
        <w:rPr>
          <w:rFonts w:ascii="Times New Roman" w:hAnsi="Times New Roman"/>
          <w:color w:val="auto"/>
          <w:szCs w:val="21"/>
          <w:u w:val="single"/>
        </w:rPr>
        <w:tab/>
      </w:r>
      <w:r>
        <w:rPr>
          <w:rFonts w:ascii="Times New Roman" w:hAnsi="Times New Roman"/>
          <w:color w:val="auto"/>
          <w:szCs w:val="21"/>
          <w:u w:val="single"/>
        </w:rPr>
        <w:t xml:space="preserve">                   </w:t>
      </w:r>
      <w:r>
        <w:rPr>
          <w:rFonts w:ascii="Times New Roman" w:hAnsi="Times New Roman"/>
          <w:color w:val="auto"/>
          <w:szCs w:val="21"/>
          <w:u w:val="single"/>
        </w:rPr>
        <w:tab/>
      </w:r>
    </w:p>
    <w:p>
      <w:pPr>
        <w:spacing w:line="360" w:lineRule="auto"/>
        <w:ind w:firstLine="420" w:firstLineChars="200"/>
        <w:jc w:val="right"/>
        <w:rPr>
          <w:rFonts w:ascii="Times New Roman" w:hAnsi="Times New Roman"/>
          <w:color w:val="auto"/>
        </w:rPr>
      </w:pPr>
    </w:p>
    <w:p>
      <w:pPr>
        <w:spacing w:line="360" w:lineRule="auto"/>
        <w:ind w:firstLine="420" w:firstLineChars="200"/>
        <w:jc w:val="right"/>
        <w:rPr>
          <w:rFonts w:ascii="Times New Roman" w:hAnsi="Times New Roman"/>
          <w:color w:val="auto"/>
        </w:rPr>
      </w:pPr>
      <w:r>
        <w:rPr>
          <w:rFonts w:ascii="Times New Roman" w:hAnsi="Times New Roman"/>
          <w:color w:val="auto"/>
        </w:rPr>
        <w:t>委托代理人：</w:t>
      </w:r>
      <w:r>
        <w:rPr>
          <w:rFonts w:ascii="Times New Roman" w:hAnsi="Times New Roman"/>
          <w:color w:val="auto"/>
          <w:szCs w:val="21"/>
          <w:u w:val="single"/>
        </w:rPr>
        <w:tab/>
      </w:r>
      <w:r>
        <w:rPr>
          <w:rFonts w:ascii="Times New Roman" w:hAnsi="Times New Roman"/>
          <w:color w:val="auto"/>
          <w:szCs w:val="21"/>
          <w:u w:val="single"/>
        </w:rPr>
        <w:tab/>
      </w:r>
      <w:r>
        <w:rPr>
          <w:rFonts w:ascii="Times New Roman" w:hAnsi="Times New Roman"/>
          <w:color w:val="auto"/>
          <w:szCs w:val="21"/>
          <w:u w:val="single"/>
        </w:rPr>
        <w:tab/>
      </w:r>
      <w:r>
        <w:rPr>
          <w:rFonts w:ascii="Times New Roman" w:hAnsi="Times New Roman"/>
          <w:color w:val="auto"/>
          <w:szCs w:val="21"/>
          <w:u w:val="single"/>
        </w:rPr>
        <w:t xml:space="preserve">                     </w:t>
      </w:r>
      <w:r>
        <w:rPr>
          <w:rFonts w:ascii="Times New Roman" w:hAnsi="Times New Roman"/>
          <w:color w:val="auto"/>
          <w:szCs w:val="21"/>
          <w:u w:val="single"/>
        </w:rPr>
        <w:tab/>
      </w:r>
      <w:r>
        <w:rPr>
          <w:rFonts w:ascii="Times New Roman" w:hAnsi="Times New Roman"/>
          <w:color w:val="auto"/>
        </w:rPr>
        <w:t>（签字）</w:t>
      </w:r>
    </w:p>
    <w:p>
      <w:pPr>
        <w:spacing w:line="360" w:lineRule="auto"/>
        <w:ind w:firstLine="420" w:firstLineChars="200"/>
        <w:jc w:val="right"/>
        <w:rPr>
          <w:rFonts w:ascii="Times New Roman" w:hAnsi="Times New Roman"/>
          <w:color w:val="auto"/>
        </w:rPr>
      </w:pPr>
    </w:p>
    <w:p>
      <w:pPr>
        <w:spacing w:line="360" w:lineRule="auto"/>
        <w:ind w:firstLine="420" w:firstLineChars="200"/>
        <w:jc w:val="right"/>
        <w:rPr>
          <w:rFonts w:ascii="Times New Roman" w:hAnsi="Times New Roman"/>
          <w:color w:val="auto"/>
        </w:rPr>
      </w:pPr>
      <w:r>
        <w:rPr>
          <w:rFonts w:ascii="Times New Roman" w:hAnsi="Times New Roman"/>
          <w:color w:val="auto"/>
        </w:rPr>
        <w:t>身份证号码：</w:t>
      </w:r>
      <w:r>
        <w:rPr>
          <w:rFonts w:ascii="Times New Roman" w:hAnsi="Times New Roman"/>
          <w:color w:val="auto"/>
          <w:szCs w:val="21"/>
          <w:u w:val="single"/>
        </w:rPr>
        <w:tab/>
      </w:r>
      <w:r>
        <w:rPr>
          <w:rFonts w:ascii="Times New Roman" w:hAnsi="Times New Roman"/>
          <w:color w:val="auto"/>
          <w:szCs w:val="21"/>
          <w:u w:val="single"/>
        </w:rPr>
        <w:tab/>
      </w:r>
      <w:r>
        <w:rPr>
          <w:rFonts w:ascii="Times New Roman" w:hAnsi="Times New Roman"/>
          <w:color w:val="auto"/>
          <w:szCs w:val="21"/>
          <w:u w:val="single"/>
        </w:rPr>
        <w:tab/>
      </w:r>
      <w:r>
        <w:rPr>
          <w:rFonts w:ascii="Times New Roman" w:hAnsi="Times New Roman"/>
          <w:color w:val="auto"/>
          <w:szCs w:val="21"/>
          <w:u w:val="single"/>
        </w:rPr>
        <w:t xml:space="preserve">                            </w:t>
      </w:r>
      <w:r>
        <w:rPr>
          <w:rFonts w:ascii="Times New Roman" w:hAnsi="Times New Roman"/>
          <w:color w:val="auto"/>
          <w:szCs w:val="21"/>
          <w:u w:val="single"/>
        </w:rPr>
        <w:tab/>
      </w:r>
    </w:p>
    <w:p>
      <w:pPr>
        <w:spacing w:line="360" w:lineRule="auto"/>
        <w:ind w:firstLine="420" w:firstLineChars="200"/>
        <w:jc w:val="right"/>
        <w:rPr>
          <w:rFonts w:ascii="Times New Roman" w:hAnsi="Times New Roman"/>
          <w:color w:val="auto"/>
        </w:rPr>
      </w:pPr>
    </w:p>
    <w:p>
      <w:pPr>
        <w:spacing w:line="360" w:lineRule="auto"/>
        <w:ind w:firstLine="420" w:firstLineChars="200"/>
        <w:jc w:val="right"/>
        <w:rPr>
          <w:rFonts w:ascii="Times New Roman" w:hAnsi="Times New Roman"/>
          <w:color w:val="auto"/>
        </w:rPr>
      </w:pPr>
    </w:p>
    <w:p>
      <w:pPr>
        <w:spacing w:line="360" w:lineRule="auto"/>
        <w:ind w:firstLine="420" w:firstLineChars="200"/>
        <w:jc w:val="right"/>
        <w:rPr>
          <w:rFonts w:ascii="Times New Roman" w:hAnsi="Times New Roman"/>
          <w:color w:val="auto"/>
        </w:rPr>
      </w:pPr>
      <w:r>
        <w:rPr>
          <w:rFonts w:ascii="Times New Roman" w:hAnsi="Times New Roman"/>
          <w:color w:val="auto"/>
          <w:u w:val="single"/>
        </w:rPr>
        <w:t xml:space="preserve">       </w:t>
      </w:r>
      <w:r>
        <w:rPr>
          <w:rFonts w:ascii="Times New Roman" w:hAnsi="Times New Roman"/>
          <w:color w:val="auto"/>
        </w:rPr>
        <w:t>年</w:t>
      </w:r>
      <w:r>
        <w:rPr>
          <w:rFonts w:ascii="Times New Roman" w:hAnsi="Times New Roman"/>
          <w:color w:val="auto"/>
          <w:u w:val="single"/>
        </w:rPr>
        <w:t xml:space="preserve">       </w:t>
      </w:r>
      <w:r>
        <w:rPr>
          <w:rFonts w:ascii="Times New Roman" w:hAnsi="Times New Roman"/>
          <w:color w:val="auto"/>
        </w:rPr>
        <w:t>月</w:t>
      </w:r>
      <w:r>
        <w:rPr>
          <w:rFonts w:ascii="Times New Roman" w:hAnsi="Times New Roman"/>
          <w:color w:val="auto"/>
          <w:u w:val="single"/>
        </w:rPr>
        <w:t xml:space="preserve">       </w:t>
      </w:r>
      <w:r>
        <w:rPr>
          <w:rFonts w:ascii="Times New Roman" w:hAnsi="Times New Roman"/>
          <w:color w:val="auto"/>
        </w:rPr>
        <w:t>日</w:t>
      </w:r>
    </w:p>
    <w:p>
      <w:pPr>
        <w:spacing w:line="360" w:lineRule="auto"/>
        <w:ind w:firstLine="420" w:firstLineChars="200"/>
        <w:rPr>
          <w:rFonts w:ascii="Times New Roman" w:hAnsi="Times New Roman"/>
          <w:color w:val="auto"/>
        </w:rPr>
      </w:pPr>
    </w:p>
    <w:p>
      <w:pPr>
        <w:pStyle w:val="5"/>
        <w:keepNext w:val="0"/>
        <w:keepLines w:val="0"/>
        <w:spacing w:before="0" w:after="0"/>
        <w:ind w:firstLine="643" w:firstLineChars="200"/>
        <w:rPr>
          <w:color w:val="auto"/>
        </w:rPr>
      </w:pPr>
      <w:r>
        <w:rPr>
          <w:color w:val="auto"/>
        </w:rPr>
        <w:br w:type="page"/>
      </w:r>
      <w:bookmarkStart w:id="678" w:name="_Toc89870641"/>
      <w:r>
        <w:rPr>
          <w:rFonts w:hint="eastAsia" w:ascii="Times New Roman" w:hAnsi="Times New Roman"/>
          <w:color w:val="auto"/>
        </w:rPr>
        <w:t>三、</w:t>
      </w:r>
      <w:bookmarkStart w:id="679" w:name="_Toc247527832"/>
      <w:bookmarkStart w:id="680" w:name="_Toc144974861"/>
      <w:bookmarkStart w:id="681" w:name="_Toc13469"/>
      <w:bookmarkStart w:id="682" w:name="_Toc152042581"/>
      <w:bookmarkStart w:id="683" w:name="_Toc247514284"/>
      <w:bookmarkStart w:id="684" w:name="_Toc300835214"/>
      <w:bookmarkStart w:id="685" w:name="_Toc361508757"/>
      <w:bookmarkStart w:id="686" w:name="_Toc369531702"/>
      <w:bookmarkStart w:id="687" w:name="_Toc152045792"/>
      <w:bookmarkStart w:id="688" w:name="_Toc384308381"/>
      <w:bookmarkStart w:id="689" w:name="_Toc352691666"/>
      <w:r>
        <w:rPr>
          <w:rFonts w:hint="eastAsia" w:ascii="Times New Roman" w:hAnsi="Times New Roman"/>
          <w:color w:val="auto"/>
        </w:rPr>
        <w:t>投标保证金</w:t>
      </w:r>
      <w:bookmarkEnd w:id="678"/>
    </w:p>
    <w:p>
      <w:pPr>
        <w:spacing w:line="440" w:lineRule="exact"/>
        <w:ind w:firstLine="480" w:firstLineChars="200"/>
        <w:rPr>
          <w:rFonts w:ascii="Times New Roman" w:hAnsi="Times New Roman"/>
          <w:color w:val="auto"/>
          <w:szCs w:val="21"/>
        </w:rPr>
      </w:pPr>
      <w:r>
        <w:rPr>
          <w:rFonts w:hint="eastAsia" w:ascii="宋体" w:hAnsi="宋体" w:cs="宋体"/>
          <w:color w:val="auto"/>
          <w:sz w:val="24"/>
          <w:szCs w:val="24"/>
        </w:rPr>
        <w:t>（详见本招标文件第二章投标人须知前附表</w:t>
      </w:r>
      <w:r>
        <w:rPr>
          <w:rFonts w:ascii="宋体" w:hAnsi="宋体" w:cs="宋体"/>
          <w:color w:val="auto"/>
          <w:sz w:val="24"/>
          <w:szCs w:val="24"/>
        </w:rPr>
        <w:t>3.4.1）</w:t>
      </w:r>
    </w:p>
    <w:p>
      <w:pPr>
        <w:spacing w:line="440" w:lineRule="exact"/>
        <w:ind w:firstLine="420" w:firstLineChars="200"/>
        <w:rPr>
          <w:rFonts w:ascii="Times New Roman" w:hAnsi="Times New Roman"/>
          <w:color w:val="auto"/>
          <w:szCs w:val="21"/>
        </w:rPr>
        <w:sectPr>
          <w:pgSz w:w="12240" w:h="15840"/>
          <w:pgMar w:top="1440" w:right="1803" w:bottom="1440" w:left="1803" w:header="720" w:footer="720" w:gutter="0"/>
          <w:cols w:space="720" w:num="1"/>
          <w:docGrid w:linePitch="285" w:charSpace="0"/>
        </w:sectPr>
      </w:pPr>
    </w:p>
    <w:bookmarkEnd w:id="679"/>
    <w:bookmarkEnd w:id="680"/>
    <w:bookmarkEnd w:id="681"/>
    <w:bookmarkEnd w:id="682"/>
    <w:bookmarkEnd w:id="683"/>
    <w:bookmarkEnd w:id="684"/>
    <w:bookmarkEnd w:id="685"/>
    <w:bookmarkEnd w:id="686"/>
    <w:bookmarkEnd w:id="687"/>
    <w:bookmarkEnd w:id="688"/>
    <w:bookmarkEnd w:id="689"/>
    <w:p>
      <w:pPr>
        <w:pStyle w:val="14"/>
        <w:spacing w:line="480" w:lineRule="auto"/>
        <w:ind w:firstLine="640" w:firstLineChars="200"/>
        <w:jc w:val="center"/>
        <w:rPr>
          <w:rFonts w:ascii="黑体" w:hAnsi="黑体" w:eastAsia="黑体" w:cs="华文仿宋"/>
          <w:color w:val="auto"/>
          <w:sz w:val="32"/>
          <w:szCs w:val="32"/>
        </w:rPr>
      </w:pPr>
      <w:bookmarkStart w:id="690" w:name="_Toc89870642"/>
      <w:r>
        <w:rPr>
          <w:rFonts w:hint="eastAsia" w:ascii="黑体" w:hAnsi="黑体" w:eastAsia="黑体" w:cs="华文仿宋"/>
          <w:color w:val="auto"/>
          <w:sz w:val="32"/>
          <w:szCs w:val="32"/>
        </w:rPr>
        <w:t>（一）中小企业声明函</w:t>
      </w:r>
    </w:p>
    <w:p>
      <w:pPr>
        <w:pStyle w:val="14"/>
        <w:spacing w:line="560" w:lineRule="exact"/>
        <w:ind w:firstLine="420" w:firstLineChars="200"/>
        <w:rPr>
          <w:rFonts w:asciiTheme="majorEastAsia" w:hAnsiTheme="majorEastAsia" w:eastAsiaTheme="majorEastAsia"/>
          <w:color w:val="auto"/>
          <w:szCs w:val="21"/>
        </w:rPr>
      </w:pPr>
      <w:r>
        <w:rPr>
          <w:rFonts w:hint="eastAsia" w:asciiTheme="majorEastAsia" w:hAnsiTheme="majorEastAsia" w:eastAsiaTheme="majorEastAsia"/>
          <w:color w:val="auto"/>
          <w:szCs w:val="21"/>
        </w:rPr>
        <w:t>本企业郑重声明，根据《关于印发中小企业划型标准规定的通知》（工信部联企业〔2011〕300号）的规定，本企业具体情况如下：</w:t>
      </w:r>
    </w:p>
    <w:p>
      <w:pPr>
        <w:pStyle w:val="14"/>
        <w:spacing w:line="560" w:lineRule="exact"/>
        <w:ind w:firstLine="420" w:firstLineChars="200"/>
        <w:rPr>
          <w:rFonts w:asciiTheme="majorEastAsia" w:hAnsiTheme="majorEastAsia" w:eastAsiaTheme="majorEastAsia"/>
          <w:color w:val="auto"/>
          <w:szCs w:val="21"/>
        </w:rPr>
      </w:pPr>
      <w:r>
        <w:rPr>
          <w:rFonts w:hint="eastAsia" w:asciiTheme="majorEastAsia" w:hAnsiTheme="majorEastAsia" w:eastAsiaTheme="majorEastAsia"/>
          <w:color w:val="auto"/>
          <w:szCs w:val="21"/>
        </w:rPr>
        <w:t>本企业属于建筑业行业；营业收入为</w:t>
      </w:r>
      <w:r>
        <w:rPr>
          <w:rFonts w:asciiTheme="majorEastAsia" w:hAnsiTheme="majorEastAsia" w:eastAsiaTheme="majorEastAsia"/>
          <w:color w:val="auto"/>
          <w:szCs w:val="21"/>
          <w:u w:val="single"/>
        </w:rPr>
        <w:t xml:space="preserve">    </w:t>
      </w:r>
      <w:r>
        <w:rPr>
          <w:rFonts w:hint="eastAsia" w:asciiTheme="majorEastAsia" w:hAnsiTheme="majorEastAsia" w:eastAsiaTheme="majorEastAsia"/>
          <w:color w:val="auto"/>
          <w:szCs w:val="21"/>
        </w:rPr>
        <w:t>万元，资产总额为</w:t>
      </w:r>
      <w:r>
        <w:rPr>
          <w:rFonts w:asciiTheme="majorEastAsia" w:hAnsiTheme="majorEastAsia" w:eastAsiaTheme="majorEastAsia"/>
          <w:color w:val="auto"/>
          <w:szCs w:val="21"/>
          <w:u w:val="single"/>
        </w:rPr>
        <w:t xml:space="preserve">    </w:t>
      </w:r>
      <w:r>
        <w:rPr>
          <w:rFonts w:hint="eastAsia" w:asciiTheme="majorEastAsia" w:hAnsiTheme="majorEastAsia" w:eastAsiaTheme="majorEastAsia"/>
          <w:color w:val="auto"/>
          <w:szCs w:val="21"/>
        </w:rPr>
        <w:t>万元，属于</w:t>
      </w:r>
      <w:r>
        <w:rPr>
          <w:rFonts w:asciiTheme="majorEastAsia" w:hAnsiTheme="majorEastAsia" w:eastAsiaTheme="majorEastAsia"/>
          <w:color w:val="auto"/>
          <w:szCs w:val="21"/>
          <w:u w:val="single"/>
        </w:rPr>
        <w:t xml:space="preserve">    </w:t>
      </w:r>
      <w:r>
        <w:rPr>
          <w:rFonts w:hint="eastAsia" w:asciiTheme="majorEastAsia" w:hAnsiTheme="majorEastAsia" w:eastAsiaTheme="majorEastAsia"/>
          <w:color w:val="auto"/>
          <w:szCs w:val="21"/>
        </w:rPr>
        <w:t>（中型企业、小型企业、微型企业）；</w:t>
      </w:r>
    </w:p>
    <w:p>
      <w:pPr>
        <w:pStyle w:val="14"/>
        <w:spacing w:line="560" w:lineRule="exact"/>
        <w:ind w:firstLine="420" w:firstLineChars="200"/>
        <w:rPr>
          <w:rFonts w:asciiTheme="majorEastAsia" w:hAnsiTheme="majorEastAsia" w:eastAsiaTheme="majorEastAsia"/>
          <w:color w:val="auto"/>
          <w:szCs w:val="21"/>
        </w:rPr>
      </w:pPr>
      <w:r>
        <w:rPr>
          <w:rFonts w:hint="eastAsia" w:asciiTheme="majorEastAsia" w:hAnsiTheme="majorEastAsia" w:eastAsiaTheme="majorEastAsia"/>
          <w:color w:val="auto"/>
          <w:szCs w:val="21"/>
        </w:rPr>
        <w:t xml:space="preserve">依据《政府采购促进中小企业发展管理办法》的规定，本企业不属于大企业的分支机构，不存在控股股东为大企业的情形，也不存在与大企业的负责人为同一人的情形。 </w:t>
      </w:r>
    </w:p>
    <w:p>
      <w:pPr>
        <w:pStyle w:val="14"/>
        <w:spacing w:line="560" w:lineRule="exact"/>
        <w:ind w:firstLine="420" w:firstLineChars="200"/>
        <w:rPr>
          <w:rFonts w:asciiTheme="majorEastAsia" w:hAnsiTheme="majorEastAsia" w:eastAsiaTheme="majorEastAsia"/>
          <w:color w:val="auto"/>
          <w:szCs w:val="21"/>
        </w:rPr>
      </w:pPr>
      <w:r>
        <w:rPr>
          <w:rFonts w:hint="eastAsia" w:asciiTheme="majorEastAsia" w:hAnsiTheme="majorEastAsia" w:eastAsiaTheme="majorEastAsia"/>
          <w:color w:val="auto"/>
          <w:szCs w:val="21"/>
        </w:rPr>
        <w:t xml:space="preserve">本企业对上述声明内容的真实性负责。如有虚假，将依法承担相应责任。 </w:t>
      </w:r>
    </w:p>
    <w:p>
      <w:pPr>
        <w:pStyle w:val="14"/>
        <w:spacing w:line="560" w:lineRule="exact"/>
        <w:ind w:firstLine="420" w:firstLineChars="200"/>
        <w:rPr>
          <w:rFonts w:asciiTheme="majorEastAsia" w:hAnsiTheme="majorEastAsia" w:eastAsiaTheme="majorEastAsia"/>
          <w:color w:val="auto"/>
          <w:szCs w:val="21"/>
        </w:rPr>
      </w:pPr>
      <w:r>
        <w:rPr>
          <w:rFonts w:asciiTheme="majorEastAsia" w:hAnsiTheme="majorEastAsia" w:eastAsiaTheme="majorEastAsia"/>
          <w:color w:val="auto"/>
          <w:szCs w:val="21"/>
        </w:rPr>
        <w:t xml:space="preserve"> </w:t>
      </w:r>
    </w:p>
    <w:p>
      <w:pPr>
        <w:pStyle w:val="14"/>
        <w:spacing w:line="560" w:lineRule="exact"/>
        <w:ind w:firstLine="420" w:firstLineChars="200"/>
        <w:rPr>
          <w:rFonts w:asciiTheme="majorEastAsia" w:hAnsiTheme="majorEastAsia" w:eastAsiaTheme="majorEastAsia"/>
          <w:color w:val="auto"/>
          <w:szCs w:val="21"/>
        </w:rPr>
      </w:pPr>
      <w:r>
        <w:rPr>
          <w:rFonts w:hint="eastAsia" w:asciiTheme="majorEastAsia" w:hAnsiTheme="majorEastAsia" w:eastAsiaTheme="majorEastAsia"/>
          <w:color w:val="auto"/>
          <w:szCs w:val="21"/>
        </w:rPr>
        <w:t>企业名称（盖章）：</w:t>
      </w:r>
    </w:p>
    <w:p>
      <w:pPr>
        <w:pStyle w:val="14"/>
        <w:spacing w:line="560" w:lineRule="exact"/>
        <w:ind w:firstLine="420" w:firstLineChars="200"/>
        <w:rPr>
          <w:rFonts w:asciiTheme="majorEastAsia" w:hAnsiTheme="majorEastAsia" w:eastAsiaTheme="majorEastAsia"/>
          <w:color w:val="auto"/>
          <w:szCs w:val="21"/>
        </w:rPr>
      </w:pPr>
      <w:r>
        <w:rPr>
          <w:rFonts w:hint="eastAsia" w:asciiTheme="majorEastAsia" w:hAnsiTheme="majorEastAsia" w:eastAsiaTheme="majorEastAsia"/>
          <w:color w:val="auto"/>
          <w:szCs w:val="21"/>
        </w:rPr>
        <w:t>日</w:t>
      </w:r>
      <w:r>
        <w:rPr>
          <w:rFonts w:asciiTheme="majorEastAsia" w:hAnsiTheme="majorEastAsia" w:eastAsiaTheme="majorEastAsia"/>
          <w:color w:val="auto"/>
          <w:szCs w:val="21"/>
        </w:rPr>
        <w:t xml:space="preserve"> </w:t>
      </w:r>
      <w:r>
        <w:rPr>
          <w:rFonts w:hint="eastAsia" w:asciiTheme="majorEastAsia" w:hAnsiTheme="majorEastAsia" w:eastAsiaTheme="majorEastAsia"/>
          <w:color w:val="auto"/>
          <w:szCs w:val="21"/>
        </w:rPr>
        <w:t>期：</w:t>
      </w:r>
    </w:p>
    <w:p>
      <w:pPr>
        <w:pStyle w:val="14"/>
        <w:spacing w:line="560" w:lineRule="exact"/>
        <w:ind w:firstLine="420" w:firstLineChars="200"/>
        <w:rPr>
          <w:rFonts w:asciiTheme="majorEastAsia" w:hAnsiTheme="majorEastAsia" w:eastAsiaTheme="majorEastAsia"/>
          <w:color w:val="auto"/>
          <w:szCs w:val="21"/>
        </w:rPr>
      </w:pPr>
      <w:r>
        <w:rPr>
          <w:rFonts w:hint="eastAsia" w:asciiTheme="majorEastAsia" w:hAnsiTheme="majorEastAsia" w:eastAsiaTheme="majorEastAsia"/>
          <w:color w:val="auto"/>
          <w:szCs w:val="21"/>
        </w:rPr>
        <w:t>注：</w:t>
      </w:r>
    </w:p>
    <w:p>
      <w:pPr>
        <w:pStyle w:val="14"/>
        <w:spacing w:line="560" w:lineRule="exact"/>
        <w:ind w:firstLine="420" w:firstLineChars="200"/>
        <w:rPr>
          <w:rFonts w:asciiTheme="majorEastAsia" w:hAnsiTheme="majorEastAsia" w:eastAsiaTheme="majorEastAsia"/>
          <w:color w:val="auto"/>
          <w:szCs w:val="21"/>
        </w:rPr>
      </w:pPr>
      <w:r>
        <w:rPr>
          <w:rFonts w:hint="eastAsia" w:asciiTheme="majorEastAsia" w:hAnsiTheme="majorEastAsia" w:eastAsiaTheme="majorEastAsia"/>
          <w:color w:val="auto"/>
          <w:szCs w:val="21"/>
        </w:rPr>
        <w:t>1、营业收入、资产总额填报上一年度数据，无上一年度数据的新成立企业可不填报。</w:t>
      </w:r>
    </w:p>
    <w:p>
      <w:pPr>
        <w:pStyle w:val="14"/>
        <w:spacing w:line="560" w:lineRule="exact"/>
        <w:ind w:firstLine="420" w:firstLineChars="200"/>
        <w:rPr>
          <w:rFonts w:asciiTheme="majorEastAsia" w:hAnsiTheme="majorEastAsia" w:eastAsiaTheme="majorEastAsia"/>
          <w:color w:val="auto"/>
          <w:szCs w:val="21"/>
        </w:rPr>
      </w:pPr>
      <w:r>
        <w:rPr>
          <w:rFonts w:hint="eastAsia" w:asciiTheme="majorEastAsia" w:hAnsiTheme="majorEastAsia" w:eastAsiaTheme="majorEastAsia"/>
          <w:color w:val="auto"/>
          <w:szCs w:val="21"/>
        </w:rPr>
        <w:t>2、《中小企业声明函》须按照本函格式填写，否则评标委员会有权视其为非中小企业，不享受免于提交投标保证金的优惠政策。</w:t>
      </w:r>
    </w:p>
    <w:p>
      <w:pPr>
        <w:pStyle w:val="14"/>
        <w:spacing w:line="560" w:lineRule="exact"/>
        <w:ind w:firstLine="420" w:firstLineChars="200"/>
        <w:rPr>
          <w:rFonts w:asciiTheme="majorEastAsia" w:hAnsiTheme="majorEastAsia" w:eastAsiaTheme="majorEastAsia"/>
          <w:color w:val="auto"/>
          <w:szCs w:val="21"/>
        </w:rPr>
      </w:pPr>
      <w:r>
        <w:rPr>
          <w:rFonts w:hint="eastAsia" w:asciiTheme="majorEastAsia" w:hAnsiTheme="majorEastAsia" w:eastAsiaTheme="majorEastAsia"/>
          <w:color w:val="auto"/>
          <w:szCs w:val="21"/>
        </w:rPr>
        <w:t>3、招标人、招标代理机构将按有关规定公开《中小企业声明函》。</w:t>
      </w:r>
    </w:p>
    <w:p>
      <w:pPr>
        <w:widowControl/>
        <w:ind w:firstLine="420" w:firstLineChars="200"/>
        <w:rPr>
          <w:rFonts w:asciiTheme="majorEastAsia" w:hAnsiTheme="majorEastAsia" w:eastAsiaTheme="majorEastAsia"/>
          <w:color w:val="auto"/>
          <w:szCs w:val="21"/>
        </w:rPr>
      </w:pPr>
      <w:r>
        <w:rPr>
          <w:rFonts w:asciiTheme="majorEastAsia" w:hAnsiTheme="majorEastAsia" w:eastAsiaTheme="majorEastAsia"/>
          <w:color w:val="auto"/>
          <w:szCs w:val="21"/>
        </w:rPr>
        <w:br w:type="page"/>
      </w:r>
    </w:p>
    <w:p>
      <w:pPr>
        <w:pStyle w:val="14"/>
        <w:ind w:firstLine="640" w:firstLineChars="200"/>
        <w:jc w:val="center"/>
        <w:rPr>
          <w:rFonts w:ascii="黑体" w:hAnsi="黑体" w:eastAsia="黑体" w:cs="华文仿宋"/>
          <w:color w:val="auto"/>
          <w:sz w:val="32"/>
          <w:szCs w:val="32"/>
        </w:rPr>
      </w:pPr>
      <w:r>
        <w:rPr>
          <w:rFonts w:hint="eastAsia" w:ascii="黑体" w:hAnsi="黑体" w:eastAsia="黑体" w:cs="华文仿宋"/>
          <w:color w:val="auto"/>
          <w:sz w:val="32"/>
          <w:szCs w:val="32"/>
        </w:rPr>
        <w:t>（二）关于投标保证金的承诺</w:t>
      </w:r>
    </w:p>
    <w:p>
      <w:pPr>
        <w:pStyle w:val="14"/>
        <w:spacing w:line="480" w:lineRule="auto"/>
        <w:ind w:firstLine="420" w:firstLineChars="200"/>
        <w:rPr>
          <w:rFonts w:asciiTheme="majorEastAsia" w:hAnsiTheme="majorEastAsia" w:eastAsiaTheme="majorEastAsia"/>
          <w:color w:val="auto"/>
          <w:szCs w:val="21"/>
        </w:rPr>
      </w:pPr>
      <w:r>
        <w:rPr>
          <w:rFonts w:asciiTheme="majorEastAsia" w:hAnsiTheme="majorEastAsia" w:eastAsiaTheme="majorEastAsia"/>
          <w:color w:val="auto"/>
          <w:szCs w:val="21"/>
        </w:rPr>
        <w:t xml:space="preserve"> </w:t>
      </w:r>
    </w:p>
    <w:p>
      <w:pPr>
        <w:autoSpaceDE w:val="0"/>
        <w:spacing w:line="480" w:lineRule="auto"/>
        <w:ind w:firstLine="420" w:firstLineChars="200"/>
        <w:rPr>
          <w:rFonts w:asciiTheme="majorEastAsia" w:hAnsiTheme="majorEastAsia" w:eastAsiaTheme="majorEastAsia"/>
          <w:color w:val="auto"/>
          <w:szCs w:val="21"/>
        </w:rPr>
      </w:pPr>
      <w:r>
        <w:rPr>
          <w:rFonts w:hint="eastAsia" w:asciiTheme="majorEastAsia" w:hAnsiTheme="majorEastAsia" w:eastAsiaTheme="majorEastAsia"/>
          <w:color w:val="auto"/>
          <w:szCs w:val="21"/>
        </w:rPr>
        <w:t>本招标项目招标人及招标监管机构：</w:t>
      </w:r>
    </w:p>
    <w:p>
      <w:pPr>
        <w:autoSpaceDE w:val="0"/>
        <w:spacing w:line="480" w:lineRule="auto"/>
        <w:ind w:firstLine="420" w:firstLineChars="200"/>
        <w:rPr>
          <w:rFonts w:asciiTheme="majorEastAsia" w:hAnsiTheme="majorEastAsia" w:eastAsiaTheme="majorEastAsia"/>
          <w:color w:val="auto"/>
          <w:szCs w:val="21"/>
        </w:rPr>
      </w:pPr>
      <w:r>
        <w:rPr>
          <w:rFonts w:hint="eastAsia" w:asciiTheme="majorEastAsia" w:hAnsiTheme="majorEastAsia" w:eastAsiaTheme="majorEastAsia"/>
          <w:color w:val="auto"/>
          <w:szCs w:val="21"/>
        </w:rPr>
        <w:t>本公司就参加</w:t>
      </w:r>
      <w:r>
        <w:rPr>
          <w:rFonts w:hint="eastAsia" w:asciiTheme="majorEastAsia" w:hAnsiTheme="majorEastAsia" w:eastAsiaTheme="majorEastAsia"/>
          <w:color w:val="auto"/>
          <w:szCs w:val="21"/>
          <w:u w:val="single"/>
        </w:rPr>
        <w:t xml:space="preserve">      （招标项目名称）     </w:t>
      </w:r>
      <w:r>
        <w:rPr>
          <w:rFonts w:hint="eastAsia" w:asciiTheme="majorEastAsia" w:hAnsiTheme="majorEastAsia" w:eastAsiaTheme="majorEastAsia"/>
          <w:color w:val="auto"/>
          <w:szCs w:val="21"/>
        </w:rPr>
        <w:t>项目的投标工作，作出郑重声明：</w:t>
      </w:r>
    </w:p>
    <w:p>
      <w:pPr>
        <w:autoSpaceDE w:val="0"/>
        <w:spacing w:line="480" w:lineRule="auto"/>
        <w:ind w:firstLine="420" w:firstLineChars="200"/>
        <w:rPr>
          <w:rFonts w:asciiTheme="majorEastAsia" w:hAnsiTheme="majorEastAsia" w:eastAsiaTheme="majorEastAsia"/>
          <w:color w:val="auto"/>
          <w:szCs w:val="21"/>
        </w:rPr>
      </w:pPr>
      <w:r>
        <w:rPr>
          <w:rFonts w:hint="eastAsia" w:asciiTheme="majorEastAsia" w:hAnsiTheme="majorEastAsia" w:eastAsiaTheme="majorEastAsia"/>
          <w:color w:val="auto"/>
          <w:szCs w:val="21"/>
        </w:rPr>
        <w:t>本公司满足招标文件中免交投标保证金的相关要求，在投标时未提交投标保证金。我司理解在投标时免交投标保证金是为企业减负的举措，并未免除我司的投标义务，本公司</w:t>
      </w:r>
      <w:r>
        <w:rPr>
          <w:rFonts w:hint="eastAsia" w:cs="华文仿宋" w:asciiTheme="majorEastAsia" w:hAnsiTheme="majorEastAsia" w:eastAsiaTheme="majorEastAsia"/>
          <w:color w:val="auto"/>
          <w:kern w:val="0"/>
          <w:szCs w:val="21"/>
        </w:rPr>
        <w:t>一旦发生符合招标文件规定的不予退还投标保证金情形的，将</w:t>
      </w:r>
      <w:r>
        <w:rPr>
          <w:rFonts w:hint="eastAsia" w:asciiTheme="majorEastAsia" w:hAnsiTheme="majorEastAsia" w:eastAsiaTheme="majorEastAsia"/>
          <w:color w:val="auto"/>
          <w:szCs w:val="21"/>
        </w:rPr>
        <w:t>按照招标人的要求，在规定的时间内向招标人足额补交投标保证金。</w:t>
      </w:r>
    </w:p>
    <w:p>
      <w:pPr>
        <w:autoSpaceDE w:val="0"/>
        <w:spacing w:line="480" w:lineRule="auto"/>
        <w:ind w:firstLine="420" w:firstLineChars="200"/>
        <w:rPr>
          <w:rFonts w:asciiTheme="majorEastAsia" w:hAnsiTheme="majorEastAsia" w:eastAsiaTheme="majorEastAsia"/>
          <w:color w:val="auto"/>
          <w:szCs w:val="21"/>
        </w:rPr>
      </w:pPr>
      <w:r>
        <w:rPr>
          <w:rFonts w:hint="eastAsia" w:asciiTheme="majorEastAsia" w:hAnsiTheme="majorEastAsia" w:eastAsiaTheme="majorEastAsia"/>
          <w:color w:val="auto"/>
          <w:szCs w:val="21"/>
        </w:rPr>
        <w:t>本公司违反上述保证的，将被视为虚假承诺，按相关规定进行信用记录。本公司对失信行为产生的一切后果已知悉，并承担由此产生的相应责任。</w:t>
      </w:r>
    </w:p>
    <w:p>
      <w:pPr>
        <w:autoSpaceDE w:val="0"/>
        <w:spacing w:line="480" w:lineRule="auto"/>
        <w:ind w:firstLine="420" w:firstLineChars="200"/>
        <w:rPr>
          <w:rFonts w:asciiTheme="majorEastAsia" w:hAnsiTheme="majorEastAsia" w:eastAsiaTheme="majorEastAsia"/>
          <w:color w:val="auto"/>
          <w:szCs w:val="21"/>
        </w:rPr>
      </w:pPr>
      <w:r>
        <w:rPr>
          <w:rFonts w:hint="eastAsia" w:asciiTheme="majorEastAsia" w:hAnsiTheme="majorEastAsia" w:eastAsiaTheme="majorEastAsia"/>
          <w:color w:val="auto"/>
          <w:szCs w:val="21"/>
        </w:rPr>
        <w:t>特此承诺。</w:t>
      </w:r>
    </w:p>
    <w:p>
      <w:pPr>
        <w:autoSpaceDE w:val="0"/>
        <w:spacing w:line="480" w:lineRule="auto"/>
        <w:ind w:firstLine="420" w:firstLineChars="200"/>
        <w:rPr>
          <w:rFonts w:asciiTheme="majorEastAsia" w:hAnsiTheme="majorEastAsia" w:eastAsiaTheme="majorEastAsia"/>
          <w:color w:val="auto"/>
          <w:szCs w:val="21"/>
        </w:rPr>
      </w:pPr>
      <w:r>
        <w:rPr>
          <w:rFonts w:asciiTheme="majorEastAsia" w:hAnsiTheme="majorEastAsia" w:eastAsiaTheme="majorEastAsia"/>
          <w:color w:val="auto"/>
          <w:szCs w:val="21"/>
        </w:rPr>
        <w:t xml:space="preserve"> </w:t>
      </w:r>
    </w:p>
    <w:p>
      <w:pPr>
        <w:autoSpaceDE w:val="0"/>
        <w:spacing w:line="480" w:lineRule="auto"/>
        <w:ind w:firstLine="420" w:firstLineChars="200"/>
        <w:rPr>
          <w:rFonts w:asciiTheme="majorEastAsia" w:hAnsiTheme="majorEastAsia" w:eastAsiaTheme="majorEastAsia"/>
          <w:color w:val="auto"/>
          <w:szCs w:val="21"/>
        </w:rPr>
      </w:pPr>
      <w:r>
        <w:rPr>
          <w:rFonts w:asciiTheme="majorEastAsia" w:hAnsiTheme="majorEastAsia" w:eastAsiaTheme="majorEastAsia"/>
          <w:color w:val="auto"/>
          <w:szCs w:val="21"/>
        </w:rPr>
        <w:t xml:space="preserve"> </w:t>
      </w:r>
    </w:p>
    <w:p>
      <w:pPr>
        <w:autoSpaceDE w:val="0"/>
        <w:spacing w:line="480" w:lineRule="auto"/>
        <w:ind w:firstLine="420" w:firstLineChars="200"/>
        <w:rPr>
          <w:rFonts w:asciiTheme="majorEastAsia" w:hAnsiTheme="majorEastAsia" w:eastAsiaTheme="majorEastAsia"/>
          <w:color w:val="auto"/>
          <w:szCs w:val="21"/>
        </w:rPr>
      </w:pPr>
      <w:r>
        <w:rPr>
          <w:rFonts w:asciiTheme="majorEastAsia" w:hAnsiTheme="majorEastAsia" w:eastAsiaTheme="majorEastAsia"/>
          <w:color w:val="auto"/>
          <w:szCs w:val="21"/>
        </w:rPr>
        <w:t xml:space="preserve"> </w:t>
      </w:r>
    </w:p>
    <w:p>
      <w:pPr>
        <w:autoSpaceDE w:val="0"/>
        <w:spacing w:line="480" w:lineRule="auto"/>
        <w:ind w:firstLine="420" w:firstLineChars="200"/>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 xml:space="preserve">                                               投标人：</w:t>
      </w:r>
      <w:r>
        <w:rPr>
          <w:rFonts w:asciiTheme="majorEastAsia" w:hAnsiTheme="majorEastAsia" w:eastAsiaTheme="majorEastAsia"/>
          <w:color w:val="auto"/>
          <w:szCs w:val="21"/>
        </w:rPr>
        <w:t xml:space="preserve">  </w:t>
      </w:r>
      <w:r>
        <w:rPr>
          <w:rFonts w:hint="eastAsia" w:asciiTheme="majorEastAsia" w:hAnsiTheme="majorEastAsia" w:eastAsiaTheme="majorEastAsia"/>
          <w:color w:val="auto"/>
          <w:szCs w:val="21"/>
        </w:rPr>
        <w:t>（盖章）</w:t>
      </w:r>
    </w:p>
    <w:p>
      <w:pPr>
        <w:spacing w:line="480" w:lineRule="auto"/>
        <w:ind w:firstLine="420" w:firstLineChars="200"/>
        <w:rPr>
          <w:rFonts w:asciiTheme="majorEastAsia" w:hAnsiTheme="majorEastAsia" w:eastAsiaTheme="majorEastAsia"/>
          <w:color w:val="auto"/>
          <w:szCs w:val="21"/>
        </w:rPr>
      </w:pPr>
      <w:r>
        <w:rPr>
          <w:rFonts w:asciiTheme="majorEastAsia" w:hAnsiTheme="majorEastAsia" w:eastAsiaTheme="majorEastAsia"/>
          <w:color w:val="auto"/>
          <w:szCs w:val="21"/>
        </w:rPr>
        <w:t xml:space="preserve">         </w:t>
      </w:r>
      <w:r>
        <w:rPr>
          <w:rFonts w:hint="eastAsia" w:asciiTheme="majorEastAsia" w:hAnsiTheme="majorEastAsia" w:eastAsiaTheme="majorEastAsia"/>
          <w:color w:val="auto"/>
          <w:szCs w:val="21"/>
        </w:rPr>
        <w:t xml:space="preserve">                                                  日</w:t>
      </w:r>
      <w:r>
        <w:rPr>
          <w:rFonts w:asciiTheme="majorEastAsia" w:hAnsiTheme="majorEastAsia" w:eastAsiaTheme="majorEastAsia"/>
          <w:color w:val="auto"/>
          <w:szCs w:val="21"/>
        </w:rPr>
        <w:t xml:space="preserve">  </w:t>
      </w:r>
      <w:r>
        <w:rPr>
          <w:rFonts w:hint="eastAsia" w:asciiTheme="majorEastAsia" w:hAnsiTheme="majorEastAsia" w:eastAsiaTheme="majorEastAsia"/>
          <w:color w:val="auto"/>
          <w:szCs w:val="21"/>
        </w:rPr>
        <w:t>期：</w:t>
      </w:r>
    </w:p>
    <w:p>
      <w:pPr>
        <w:ind w:firstLine="420" w:firstLineChars="200"/>
        <w:rPr>
          <w:rFonts w:ascii="Times New Roman" w:hAnsi="Times New Roman"/>
          <w:color w:val="auto"/>
        </w:rPr>
      </w:pPr>
    </w:p>
    <w:p>
      <w:pPr>
        <w:widowControl/>
        <w:jc w:val="left"/>
        <w:rPr>
          <w:rFonts w:ascii="Times New Roman" w:hAnsi="Times New Roman" w:eastAsia="黑体"/>
          <w:b/>
          <w:color w:val="auto"/>
          <w:sz w:val="32"/>
          <w:szCs w:val="20"/>
        </w:rPr>
      </w:pPr>
      <w:r>
        <w:rPr>
          <w:rFonts w:ascii="Times New Roman" w:hAnsi="Times New Roman"/>
          <w:color w:val="auto"/>
        </w:rPr>
        <w:br w:type="page"/>
      </w:r>
    </w:p>
    <w:p>
      <w:pPr>
        <w:pStyle w:val="5"/>
        <w:keepNext w:val="0"/>
        <w:keepLines w:val="0"/>
        <w:spacing w:before="0" w:after="0"/>
        <w:ind w:firstLine="643" w:firstLineChars="200"/>
        <w:rPr>
          <w:rFonts w:ascii="Times New Roman" w:hAnsi="Times New Roman"/>
          <w:color w:val="auto"/>
        </w:rPr>
      </w:pPr>
      <w:r>
        <w:rPr>
          <w:rFonts w:hint="eastAsia" w:ascii="Times New Roman" w:hAnsi="Times New Roman"/>
          <w:color w:val="auto"/>
        </w:rPr>
        <w:t>四</w:t>
      </w:r>
      <w:r>
        <w:rPr>
          <w:rFonts w:ascii="Times New Roman" w:hAnsi="Times New Roman"/>
          <w:color w:val="auto"/>
        </w:rPr>
        <w:t>、</w:t>
      </w:r>
      <w:bookmarkStart w:id="691" w:name="_Toc361508760"/>
      <w:r>
        <w:rPr>
          <w:rFonts w:hint="eastAsia" w:ascii="Times New Roman" w:hAnsi="Times New Roman"/>
          <w:color w:val="auto"/>
        </w:rPr>
        <w:t>广州建设工程监理投标书</w:t>
      </w:r>
      <w:bookmarkEnd w:id="690"/>
    </w:p>
    <w:tbl>
      <w:tblPr>
        <w:tblStyle w:val="23"/>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8"/>
        <w:gridCol w:w="1893"/>
        <w:gridCol w:w="2002"/>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328" w:type="dxa"/>
            <w:vAlign w:val="center"/>
          </w:tcPr>
          <w:p>
            <w:pPr>
              <w:spacing w:line="320" w:lineRule="exact"/>
              <w:ind w:firstLine="420" w:firstLineChars="200"/>
              <w:outlineLvl w:val="0"/>
              <w:rPr>
                <w:rFonts w:hint="eastAsia" w:ascii="宋体" w:hAnsi="宋体" w:eastAsia="宋体" w:cs="宋体"/>
                <w:color w:val="auto"/>
              </w:rPr>
            </w:pPr>
            <w:bookmarkStart w:id="692" w:name="_Toc527028890"/>
            <w:bookmarkStart w:id="693" w:name="_Toc527028718"/>
            <w:bookmarkStart w:id="694" w:name="_Toc89870643"/>
            <w:r>
              <w:rPr>
                <w:rFonts w:hint="eastAsia" w:ascii="宋体" w:hAnsi="宋体" w:eastAsia="宋体" w:cs="宋体"/>
                <w:color w:val="auto"/>
              </w:rPr>
              <w:t>项 目 名 称</w:t>
            </w:r>
            <w:bookmarkEnd w:id="692"/>
            <w:bookmarkEnd w:id="693"/>
            <w:bookmarkEnd w:id="694"/>
          </w:p>
        </w:tc>
        <w:tc>
          <w:tcPr>
            <w:tcW w:w="6915" w:type="dxa"/>
            <w:gridSpan w:val="3"/>
            <w:vAlign w:val="center"/>
          </w:tcPr>
          <w:p>
            <w:pPr>
              <w:spacing w:line="320" w:lineRule="exact"/>
              <w:ind w:firstLine="420" w:firstLineChars="200"/>
              <w:outlineLvl w:val="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2328" w:type="dxa"/>
            <w:vAlign w:val="center"/>
          </w:tcPr>
          <w:p>
            <w:pPr>
              <w:spacing w:before="240" w:after="60"/>
              <w:jc w:val="center"/>
              <w:outlineLvl w:val="0"/>
              <w:rPr>
                <w:rFonts w:hint="eastAsia" w:ascii="宋体" w:hAnsi="宋体" w:eastAsia="宋体" w:cs="宋体"/>
                <w:color w:val="auto"/>
              </w:rPr>
            </w:pPr>
            <w:bookmarkStart w:id="695" w:name="_Toc527028891"/>
            <w:bookmarkStart w:id="696" w:name="_Toc527028719"/>
            <w:bookmarkStart w:id="697" w:name="_Toc89870644"/>
            <w:r>
              <w:rPr>
                <w:rFonts w:hint="eastAsia" w:ascii="宋体" w:hAnsi="宋体" w:eastAsia="宋体" w:cs="宋体"/>
                <w:color w:val="auto"/>
              </w:rPr>
              <w:t>投 标 单 位</w:t>
            </w:r>
            <w:bookmarkEnd w:id="695"/>
            <w:bookmarkEnd w:id="696"/>
            <w:bookmarkEnd w:id="697"/>
          </w:p>
          <w:p>
            <w:pPr>
              <w:spacing w:before="240" w:after="60"/>
              <w:jc w:val="center"/>
              <w:outlineLvl w:val="0"/>
              <w:rPr>
                <w:rFonts w:hint="eastAsia" w:ascii="宋体" w:hAnsi="宋体" w:eastAsia="宋体" w:cs="宋体"/>
                <w:color w:val="auto"/>
              </w:rPr>
            </w:pPr>
            <w:bookmarkStart w:id="698" w:name="_Toc89870645"/>
            <w:bookmarkStart w:id="699" w:name="_Toc527028720"/>
            <w:bookmarkStart w:id="700" w:name="_Toc527028892"/>
            <w:r>
              <w:rPr>
                <w:rFonts w:hint="eastAsia" w:ascii="宋体" w:hAnsi="宋体" w:eastAsia="宋体" w:cs="宋体"/>
                <w:color w:val="auto"/>
              </w:rPr>
              <w:t>（盖章）</w:t>
            </w:r>
            <w:bookmarkEnd w:id="698"/>
            <w:bookmarkEnd w:id="699"/>
            <w:bookmarkEnd w:id="700"/>
          </w:p>
        </w:tc>
        <w:tc>
          <w:tcPr>
            <w:tcW w:w="1893" w:type="dxa"/>
          </w:tcPr>
          <w:p>
            <w:pPr>
              <w:spacing w:before="240" w:after="60"/>
              <w:jc w:val="center"/>
              <w:outlineLvl w:val="0"/>
              <w:rPr>
                <w:rFonts w:hint="eastAsia" w:ascii="宋体" w:hAnsi="宋体" w:eastAsia="宋体" w:cs="宋体"/>
                <w:color w:val="auto"/>
              </w:rPr>
            </w:pPr>
          </w:p>
        </w:tc>
        <w:tc>
          <w:tcPr>
            <w:tcW w:w="2002" w:type="dxa"/>
          </w:tcPr>
          <w:p>
            <w:pPr>
              <w:spacing w:before="240" w:after="60"/>
              <w:jc w:val="center"/>
              <w:outlineLvl w:val="0"/>
              <w:rPr>
                <w:rFonts w:hint="eastAsia" w:ascii="宋体" w:hAnsi="宋体" w:eastAsia="宋体" w:cs="宋体"/>
                <w:color w:val="auto"/>
              </w:rPr>
            </w:pPr>
            <w:bookmarkStart w:id="701" w:name="_Toc527028721"/>
            <w:bookmarkStart w:id="702" w:name="_Toc89870646"/>
            <w:bookmarkStart w:id="703" w:name="_Toc527028893"/>
            <w:r>
              <w:rPr>
                <w:rFonts w:hint="eastAsia" w:ascii="宋体" w:hAnsi="宋体" w:eastAsia="宋体" w:cs="宋体"/>
                <w:color w:val="auto"/>
              </w:rPr>
              <w:t>法 人 营 业</w:t>
            </w:r>
            <w:bookmarkEnd w:id="701"/>
            <w:bookmarkEnd w:id="702"/>
            <w:bookmarkEnd w:id="703"/>
          </w:p>
          <w:p>
            <w:pPr>
              <w:spacing w:before="240" w:after="60"/>
              <w:jc w:val="center"/>
              <w:outlineLvl w:val="0"/>
              <w:rPr>
                <w:rFonts w:hint="eastAsia" w:ascii="宋体" w:hAnsi="宋体" w:eastAsia="宋体" w:cs="宋体"/>
                <w:color w:val="auto"/>
              </w:rPr>
            </w:pPr>
            <w:bookmarkStart w:id="704" w:name="_Toc527028722"/>
            <w:bookmarkStart w:id="705" w:name="_Toc527028894"/>
            <w:bookmarkStart w:id="706" w:name="_Toc89870647"/>
            <w:r>
              <w:rPr>
                <w:rFonts w:hint="eastAsia" w:ascii="宋体" w:hAnsi="宋体" w:eastAsia="宋体" w:cs="宋体"/>
                <w:color w:val="auto"/>
              </w:rPr>
              <w:t>执 照 证 号</w:t>
            </w:r>
            <w:bookmarkEnd w:id="704"/>
            <w:bookmarkEnd w:id="705"/>
            <w:bookmarkEnd w:id="706"/>
          </w:p>
        </w:tc>
        <w:tc>
          <w:tcPr>
            <w:tcW w:w="3020" w:type="dxa"/>
          </w:tcPr>
          <w:p>
            <w:pPr>
              <w:spacing w:before="240" w:after="60" w:line="320" w:lineRule="exact"/>
              <w:jc w:val="center"/>
              <w:outlineLvl w:val="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2328" w:type="dxa"/>
          </w:tcPr>
          <w:p>
            <w:pPr>
              <w:spacing w:before="240" w:after="60"/>
              <w:jc w:val="center"/>
              <w:outlineLvl w:val="0"/>
              <w:rPr>
                <w:rFonts w:hint="eastAsia" w:ascii="宋体" w:hAnsi="宋体" w:eastAsia="宋体" w:cs="宋体"/>
                <w:color w:val="auto"/>
              </w:rPr>
            </w:pPr>
            <w:bookmarkStart w:id="707" w:name="_Toc527028895"/>
            <w:bookmarkStart w:id="708" w:name="_Toc89870648"/>
            <w:bookmarkStart w:id="709" w:name="_Toc527028723"/>
            <w:r>
              <w:rPr>
                <w:rFonts w:hint="eastAsia" w:ascii="宋体" w:hAnsi="宋体" w:eastAsia="宋体" w:cs="宋体"/>
                <w:color w:val="auto"/>
              </w:rPr>
              <w:t>广州市建设监理</w:t>
            </w:r>
            <w:bookmarkEnd w:id="707"/>
            <w:bookmarkEnd w:id="708"/>
            <w:bookmarkEnd w:id="709"/>
          </w:p>
          <w:p>
            <w:pPr>
              <w:spacing w:before="240" w:after="60"/>
              <w:jc w:val="center"/>
              <w:outlineLvl w:val="0"/>
              <w:rPr>
                <w:rFonts w:hint="eastAsia" w:ascii="宋体" w:hAnsi="宋体" w:eastAsia="宋体" w:cs="宋体"/>
                <w:color w:val="auto"/>
              </w:rPr>
            </w:pPr>
            <w:bookmarkStart w:id="710" w:name="_Toc527028896"/>
            <w:bookmarkStart w:id="711" w:name="_Toc527028724"/>
            <w:bookmarkStart w:id="712" w:name="_Toc89870649"/>
            <w:r>
              <w:rPr>
                <w:rFonts w:hint="eastAsia" w:ascii="宋体" w:hAnsi="宋体" w:eastAsia="宋体" w:cs="宋体"/>
                <w:color w:val="auto"/>
              </w:rPr>
              <w:t>单位注册证书号</w:t>
            </w:r>
            <w:bookmarkEnd w:id="710"/>
            <w:bookmarkEnd w:id="711"/>
            <w:bookmarkEnd w:id="712"/>
          </w:p>
        </w:tc>
        <w:tc>
          <w:tcPr>
            <w:tcW w:w="1893" w:type="dxa"/>
          </w:tcPr>
          <w:p>
            <w:pPr>
              <w:spacing w:before="240" w:after="60"/>
              <w:jc w:val="center"/>
              <w:outlineLvl w:val="0"/>
              <w:rPr>
                <w:rFonts w:hint="eastAsia" w:ascii="宋体" w:hAnsi="宋体" w:eastAsia="宋体" w:cs="宋体"/>
                <w:color w:val="auto"/>
              </w:rPr>
            </w:pPr>
          </w:p>
        </w:tc>
        <w:tc>
          <w:tcPr>
            <w:tcW w:w="2002" w:type="dxa"/>
          </w:tcPr>
          <w:p>
            <w:pPr>
              <w:spacing w:before="240" w:after="60"/>
              <w:jc w:val="center"/>
              <w:outlineLvl w:val="0"/>
              <w:rPr>
                <w:rFonts w:hint="eastAsia" w:ascii="宋体" w:hAnsi="宋体" w:eastAsia="宋体" w:cs="宋体"/>
                <w:color w:val="auto"/>
              </w:rPr>
            </w:pPr>
            <w:bookmarkStart w:id="713" w:name="_Toc89870650"/>
            <w:bookmarkStart w:id="714" w:name="_Toc527028897"/>
            <w:bookmarkStart w:id="715" w:name="_Toc527028725"/>
            <w:r>
              <w:rPr>
                <w:rFonts w:hint="eastAsia" w:ascii="宋体" w:hAnsi="宋体" w:eastAsia="宋体" w:cs="宋体"/>
                <w:color w:val="auto"/>
              </w:rPr>
              <w:t>资 质 等 级</w:t>
            </w:r>
            <w:bookmarkEnd w:id="713"/>
            <w:bookmarkEnd w:id="714"/>
            <w:bookmarkEnd w:id="715"/>
          </w:p>
          <w:p>
            <w:pPr>
              <w:spacing w:before="240" w:after="60"/>
              <w:jc w:val="center"/>
              <w:outlineLvl w:val="0"/>
              <w:rPr>
                <w:rFonts w:hint="eastAsia" w:ascii="宋体" w:hAnsi="宋体" w:eastAsia="宋体" w:cs="宋体"/>
                <w:color w:val="auto"/>
              </w:rPr>
            </w:pPr>
            <w:bookmarkStart w:id="716" w:name="_Toc527028726"/>
            <w:bookmarkStart w:id="717" w:name="_Toc527028898"/>
            <w:bookmarkStart w:id="718" w:name="_Toc89870651"/>
            <w:r>
              <w:rPr>
                <w:rFonts w:hint="eastAsia" w:ascii="宋体" w:hAnsi="宋体" w:eastAsia="宋体" w:cs="宋体"/>
                <w:color w:val="auto"/>
              </w:rPr>
              <w:t>及 证 书 号</w:t>
            </w:r>
            <w:bookmarkEnd w:id="716"/>
            <w:bookmarkEnd w:id="717"/>
            <w:bookmarkEnd w:id="718"/>
          </w:p>
        </w:tc>
        <w:tc>
          <w:tcPr>
            <w:tcW w:w="3020" w:type="dxa"/>
          </w:tcPr>
          <w:p>
            <w:pPr>
              <w:spacing w:before="240" w:after="60" w:line="320" w:lineRule="exact"/>
              <w:jc w:val="center"/>
              <w:outlineLvl w:val="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328" w:type="dxa"/>
          </w:tcPr>
          <w:p>
            <w:pPr>
              <w:spacing w:before="240" w:after="60" w:line="320" w:lineRule="exact"/>
              <w:jc w:val="center"/>
              <w:outlineLvl w:val="0"/>
              <w:rPr>
                <w:rFonts w:hint="eastAsia" w:ascii="宋体" w:hAnsi="宋体" w:eastAsia="宋体" w:cs="宋体"/>
                <w:color w:val="auto"/>
              </w:rPr>
            </w:pPr>
            <w:bookmarkStart w:id="719" w:name="_Toc89870652"/>
            <w:bookmarkStart w:id="720" w:name="_Toc527028727"/>
            <w:bookmarkStart w:id="721" w:name="_Toc527028899"/>
            <w:r>
              <w:rPr>
                <w:rFonts w:hint="eastAsia" w:ascii="宋体" w:hAnsi="宋体" w:eastAsia="宋体" w:cs="宋体"/>
                <w:color w:val="auto"/>
              </w:rPr>
              <w:t>监理总报价（万元）</w:t>
            </w:r>
            <w:bookmarkEnd w:id="719"/>
            <w:bookmarkEnd w:id="720"/>
            <w:bookmarkEnd w:id="721"/>
          </w:p>
        </w:tc>
        <w:tc>
          <w:tcPr>
            <w:tcW w:w="1893" w:type="dxa"/>
          </w:tcPr>
          <w:p>
            <w:pPr>
              <w:spacing w:before="240" w:after="60" w:line="320" w:lineRule="exact"/>
              <w:jc w:val="center"/>
              <w:outlineLvl w:val="0"/>
              <w:rPr>
                <w:rFonts w:hint="eastAsia" w:ascii="宋体" w:hAnsi="宋体" w:eastAsia="宋体" w:cs="宋体"/>
                <w:color w:val="auto"/>
              </w:rPr>
            </w:pPr>
          </w:p>
        </w:tc>
        <w:tc>
          <w:tcPr>
            <w:tcW w:w="2002" w:type="dxa"/>
            <w:vAlign w:val="center"/>
          </w:tcPr>
          <w:p>
            <w:pPr>
              <w:jc w:val="center"/>
              <w:outlineLvl w:val="0"/>
              <w:rPr>
                <w:rFonts w:hint="eastAsia" w:ascii="宋体" w:hAnsi="宋体" w:eastAsia="宋体" w:cs="宋体"/>
                <w:color w:val="auto"/>
              </w:rPr>
            </w:pPr>
            <w:bookmarkStart w:id="722" w:name="_Toc89870654"/>
            <w:bookmarkStart w:id="723" w:name="_Toc527028901"/>
            <w:bookmarkStart w:id="724" w:name="_Toc527028729"/>
            <w:r>
              <w:rPr>
                <w:rFonts w:hint="eastAsia" w:ascii="宋体" w:hAnsi="宋体" w:eastAsia="宋体" w:cs="宋体"/>
                <w:color w:val="auto"/>
              </w:rPr>
              <w:t>下浮率</w:t>
            </w:r>
            <w:r>
              <w:rPr>
                <w:rFonts w:hint="eastAsia" w:ascii="宋体" w:hAnsi="宋体" w:cs="宋体"/>
                <w:color w:val="auto"/>
                <w:lang w:eastAsia="zh-CN"/>
              </w:rPr>
              <w:t>（</w:t>
            </w:r>
            <w:r>
              <w:rPr>
                <w:rFonts w:hint="eastAsia" w:ascii="宋体" w:hAnsi="宋体" w:cs="宋体"/>
                <w:color w:val="auto"/>
                <w:lang w:val="en-US" w:eastAsia="zh-CN"/>
              </w:rPr>
              <w:t>%</w:t>
            </w:r>
            <w:r>
              <w:rPr>
                <w:rFonts w:hint="eastAsia" w:ascii="宋体" w:hAnsi="宋体" w:cs="宋体"/>
                <w:color w:val="auto"/>
                <w:lang w:eastAsia="zh-CN"/>
              </w:rPr>
              <w:t>）</w:t>
            </w:r>
            <w:bookmarkEnd w:id="722"/>
            <w:bookmarkEnd w:id="723"/>
            <w:bookmarkEnd w:id="724"/>
          </w:p>
        </w:tc>
        <w:tc>
          <w:tcPr>
            <w:tcW w:w="3020" w:type="dxa"/>
            <w:vAlign w:val="center"/>
          </w:tcPr>
          <w:p>
            <w:pPr>
              <w:ind w:firstLine="1050" w:firstLineChars="500"/>
              <w:outlineLvl w:val="0"/>
              <w:rPr>
                <w:rFonts w:hint="eastAsia" w:ascii="宋体" w:hAnsi="宋体" w:eastAsia="宋体" w:cs="宋体"/>
                <w:color w:val="auto"/>
                <w:u w:val="single"/>
              </w:rPr>
            </w:pPr>
            <w:bookmarkStart w:id="725" w:name="_Toc527028902"/>
            <w:bookmarkStart w:id="726" w:name="_Toc527028730"/>
            <w:bookmarkStart w:id="727" w:name="_Toc89870655"/>
            <w:r>
              <w:rPr>
                <w:rFonts w:hint="eastAsia" w:ascii="宋体" w:hAnsi="宋体" w:cs="宋体"/>
                <w:color w:val="auto"/>
                <w:u w:val="single"/>
                <w:lang w:val="en-US" w:eastAsia="zh-CN"/>
              </w:rPr>
              <w:t xml:space="preserve">  </w:t>
            </w:r>
            <w:r>
              <w:rPr>
                <w:rFonts w:hint="eastAsia" w:ascii="宋体" w:hAnsi="宋体" w:cs="宋体"/>
                <w:color w:val="auto"/>
                <w:lang w:val="en-US" w:eastAsia="zh-CN"/>
              </w:rPr>
              <w:t>%（填正数）</w:t>
            </w:r>
            <w:bookmarkEnd w:id="725"/>
            <w:bookmarkEnd w:id="726"/>
            <w:bookmarkEnd w:id="7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2328" w:type="dxa"/>
            <w:vAlign w:val="center"/>
          </w:tcPr>
          <w:p>
            <w:pPr>
              <w:spacing w:before="240" w:after="60" w:line="320" w:lineRule="exact"/>
              <w:jc w:val="center"/>
              <w:outlineLvl w:val="0"/>
              <w:rPr>
                <w:rFonts w:hint="eastAsia" w:ascii="宋体" w:hAnsi="宋体" w:eastAsia="宋体" w:cs="宋体"/>
                <w:color w:val="auto"/>
              </w:rPr>
            </w:pPr>
            <w:bookmarkStart w:id="728" w:name="_Toc89870656"/>
            <w:bookmarkStart w:id="729" w:name="_Toc527028731"/>
            <w:bookmarkStart w:id="730" w:name="_Toc527028903"/>
            <w:r>
              <w:rPr>
                <w:rFonts w:hint="eastAsia" w:ascii="宋体" w:hAnsi="宋体" w:eastAsia="宋体" w:cs="宋体"/>
                <w:color w:val="auto"/>
              </w:rPr>
              <w:t>监理服务期</w:t>
            </w:r>
            <w:bookmarkEnd w:id="728"/>
            <w:bookmarkEnd w:id="729"/>
            <w:bookmarkEnd w:id="730"/>
          </w:p>
        </w:tc>
        <w:tc>
          <w:tcPr>
            <w:tcW w:w="1893" w:type="dxa"/>
          </w:tcPr>
          <w:p>
            <w:pPr>
              <w:spacing w:before="240" w:after="60" w:line="320" w:lineRule="exact"/>
              <w:jc w:val="center"/>
              <w:outlineLvl w:val="0"/>
              <w:rPr>
                <w:rFonts w:hint="eastAsia" w:ascii="宋体" w:hAnsi="宋体" w:eastAsia="宋体" w:cs="宋体"/>
                <w:color w:val="auto"/>
              </w:rPr>
            </w:pPr>
          </w:p>
        </w:tc>
        <w:tc>
          <w:tcPr>
            <w:tcW w:w="2002" w:type="dxa"/>
          </w:tcPr>
          <w:p>
            <w:pPr>
              <w:spacing w:before="240" w:after="60" w:line="320" w:lineRule="exact"/>
              <w:jc w:val="center"/>
              <w:outlineLvl w:val="0"/>
              <w:rPr>
                <w:rFonts w:hint="eastAsia" w:ascii="宋体" w:hAnsi="宋体" w:eastAsia="宋体" w:cs="宋体"/>
                <w:color w:val="auto"/>
              </w:rPr>
            </w:pPr>
            <w:bookmarkStart w:id="731" w:name="_Toc527028904"/>
            <w:bookmarkStart w:id="732" w:name="_Toc527028732"/>
            <w:bookmarkStart w:id="733" w:name="_Toc89870657"/>
            <w:r>
              <w:rPr>
                <w:rFonts w:hint="eastAsia" w:ascii="宋体" w:hAnsi="宋体" w:eastAsia="宋体" w:cs="宋体"/>
                <w:color w:val="auto"/>
              </w:rPr>
              <w:t>监 理 质 量</w:t>
            </w:r>
            <w:bookmarkEnd w:id="731"/>
            <w:bookmarkEnd w:id="732"/>
            <w:bookmarkEnd w:id="733"/>
          </w:p>
          <w:p>
            <w:pPr>
              <w:spacing w:before="240" w:after="60" w:line="320" w:lineRule="exact"/>
              <w:jc w:val="center"/>
              <w:outlineLvl w:val="0"/>
              <w:rPr>
                <w:rFonts w:hint="eastAsia" w:ascii="宋体" w:hAnsi="宋体" w:eastAsia="宋体" w:cs="宋体"/>
                <w:color w:val="auto"/>
              </w:rPr>
            </w:pPr>
            <w:bookmarkStart w:id="734" w:name="_Toc89870658"/>
            <w:bookmarkStart w:id="735" w:name="_Toc527028733"/>
            <w:bookmarkStart w:id="736" w:name="_Toc527028905"/>
            <w:r>
              <w:rPr>
                <w:rFonts w:hint="eastAsia" w:ascii="宋体" w:hAnsi="宋体" w:eastAsia="宋体" w:cs="宋体"/>
                <w:color w:val="auto"/>
              </w:rPr>
              <w:t>目   标</w:t>
            </w:r>
            <w:bookmarkEnd w:id="734"/>
            <w:bookmarkEnd w:id="735"/>
            <w:bookmarkEnd w:id="736"/>
          </w:p>
        </w:tc>
        <w:tc>
          <w:tcPr>
            <w:tcW w:w="3020" w:type="dxa"/>
          </w:tcPr>
          <w:p>
            <w:pPr>
              <w:spacing w:before="240" w:after="60" w:line="320" w:lineRule="exact"/>
              <w:jc w:val="center"/>
              <w:outlineLvl w:val="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2328" w:type="dxa"/>
          </w:tcPr>
          <w:p>
            <w:pPr>
              <w:spacing w:before="240" w:after="60" w:line="320" w:lineRule="exact"/>
              <w:jc w:val="center"/>
              <w:outlineLvl w:val="0"/>
              <w:rPr>
                <w:rFonts w:hint="eastAsia" w:ascii="宋体" w:hAnsi="宋体" w:eastAsia="宋体" w:cs="宋体"/>
                <w:color w:val="auto"/>
              </w:rPr>
            </w:pPr>
            <w:bookmarkStart w:id="737" w:name="_Toc89870659"/>
            <w:bookmarkStart w:id="738" w:name="_Toc527028906"/>
            <w:bookmarkStart w:id="739" w:name="_Toc527028734"/>
            <w:r>
              <w:rPr>
                <w:rFonts w:hint="eastAsia" w:ascii="宋体" w:hAnsi="宋体" w:eastAsia="宋体" w:cs="宋体"/>
                <w:color w:val="auto"/>
              </w:rPr>
              <w:t>驻 场 机 构</w:t>
            </w:r>
            <w:bookmarkEnd w:id="737"/>
            <w:bookmarkEnd w:id="738"/>
            <w:bookmarkEnd w:id="739"/>
          </w:p>
          <w:p>
            <w:pPr>
              <w:spacing w:before="240" w:after="60" w:line="320" w:lineRule="exact"/>
              <w:jc w:val="center"/>
              <w:outlineLvl w:val="0"/>
              <w:rPr>
                <w:rFonts w:hint="eastAsia" w:ascii="宋体" w:hAnsi="宋体" w:eastAsia="宋体" w:cs="宋体"/>
                <w:color w:val="auto"/>
              </w:rPr>
            </w:pPr>
            <w:bookmarkStart w:id="740" w:name="_Toc89870660"/>
            <w:bookmarkStart w:id="741" w:name="_Toc527028735"/>
            <w:bookmarkStart w:id="742" w:name="_Toc527028907"/>
            <w:r>
              <w:rPr>
                <w:rFonts w:hint="eastAsia" w:ascii="宋体" w:hAnsi="宋体" w:eastAsia="宋体" w:cs="宋体"/>
                <w:color w:val="auto"/>
              </w:rPr>
              <w:t>人 数（人）</w:t>
            </w:r>
            <w:bookmarkEnd w:id="740"/>
            <w:bookmarkEnd w:id="741"/>
            <w:bookmarkEnd w:id="742"/>
          </w:p>
        </w:tc>
        <w:tc>
          <w:tcPr>
            <w:tcW w:w="1893" w:type="dxa"/>
          </w:tcPr>
          <w:p>
            <w:pPr>
              <w:spacing w:before="240" w:after="60" w:line="320" w:lineRule="exact"/>
              <w:jc w:val="center"/>
              <w:outlineLvl w:val="0"/>
              <w:rPr>
                <w:rFonts w:hint="eastAsia" w:ascii="宋体" w:hAnsi="宋体" w:eastAsia="宋体" w:cs="宋体"/>
                <w:color w:val="auto"/>
              </w:rPr>
            </w:pPr>
          </w:p>
        </w:tc>
        <w:tc>
          <w:tcPr>
            <w:tcW w:w="2002" w:type="dxa"/>
          </w:tcPr>
          <w:p>
            <w:pPr>
              <w:spacing w:before="240" w:after="60" w:line="320" w:lineRule="exact"/>
              <w:jc w:val="center"/>
              <w:outlineLvl w:val="0"/>
              <w:rPr>
                <w:rFonts w:hint="eastAsia" w:ascii="宋体" w:hAnsi="宋体" w:eastAsia="宋体" w:cs="宋体"/>
                <w:color w:val="auto"/>
              </w:rPr>
            </w:pPr>
            <w:bookmarkStart w:id="743" w:name="_Toc527028908"/>
            <w:bookmarkStart w:id="744" w:name="_Toc527028736"/>
            <w:bookmarkStart w:id="745" w:name="_Toc89870661"/>
            <w:r>
              <w:rPr>
                <w:rFonts w:hint="eastAsia" w:ascii="宋体" w:hAnsi="宋体" w:eastAsia="宋体" w:cs="宋体"/>
                <w:color w:val="auto"/>
              </w:rPr>
              <w:t>监理工程师</w:t>
            </w:r>
            <w:bookmarkEnd w:id="743"/>
            <w:bookmarkEnd w:id="744"/>
            <w:bookmarkEnd w:id="745"/>
          </w:p>
          <w:p>
            <w:pPr>
              <w:spacing w:before="240" w:after="60" w:line="320" w:lineRule="exact"/>
              <w:jc w:val="center"/>
              <w:outlineLvl w:val="0"/>
              <w:rPr>
                <w:rFonts w:hint="eastAsia" w:ascii="宋体" w:hAnsi="宋体" w:eastAsia="宋体" w:cs="宋体"/>
                <w:color w:val="auto"/>
              </w:rPr>
            </w:pPr>
            <w:bookmarkStart w:id="746" w:name="_Toc527028737"/>
            <w:bookmarkStart w:id="747" w:name="_Toc89870662"/>
            <w:bookmarkStart w:id="748" w:name="_Toc527028909"/>
            <w:r>
              <w:rPr>
                <w:rFonts w:hint="eastAsia" w:ascii="宋体" w:hAnsi="宋体" w:eastAsia="宋体" w:cs="宋体"/>
                <w:color w:val="auto"/>
              </w:rPr>
              <w:t>人 数（人）</w:t>
            </w:r>
            <w:bookmarkEnd w:id="746"/>
            <w:bookmarkEnd w:id="747"/>
            <w:bookmarkEnd w:id="748"/>
          </w:p>
        </w:tc>
        <w:tc>
          <w:tcPr>
            <w:tcW w:w="3020" w:type="dxa"/>
          </w:tcPr>
          <w:p>
            <w:pPr>
              <w:spacing w:before="240" w:after="60" w:line="320" w:lineRule="exact"/>
              <w:jc w:val="center"/>
              <w:outlineLvl w:val="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328" w:type="dxa"/>
            <w:vMerge w:val="restart"/>
            <w:vAlign w:val="center"/>
          </w:tcPr>
          <w:p>
            <w:pPr>
              <w:spacing w:before="240" w:after="60" w:line="320" w:lineRule="exact"/>
              <w:jc w:val="center"/>
              <w:outlineLvl w:val="0"/>
              <w:rPr>
                <w:rFonts w:hint="eastAsia" w:ascii="宋体" w:hAnsi="宋体" w:eastAsia="宋体" w:cs="宋体"/>
                <w:color w:val="auto"/>
              </w:rPr>
            </w:pPr>
            <w:bookmarkStart w:id="749" w:name="_Toc527028738"/>
            <w:bookmarkStart w:id="750" w:name="_Toc527028910"/>
            <w:bookmarkStart w:id="751" w:name="_Toc89870663"/>
            <w:r>
              <w:rPr>
                <w:rFonts w:hint="eastAsia" w:ascii="宋体" w:hAnsi="宋体" w:eastAsia="宋体" w:cs="宋体"/>
                <w:color w:val="auto"/>
              </w:rPr>
              <w:t>拟委派的项目</w:t>
            </w:r>
            <w:bookmarkEnd w:id="749"/>
            <w:bookmarkEnd w:id="750"/>
            <w:bookmarkEnd w:id="751"/>
          </w:p>
          <w:p>
            <w:pPr>
              <w:spacing w:before="240" w:after="60" w:line="320" w:lineRule="exact"/>
              <w:jc w:val="center"/>
              <w:outlineLvl w:val="0"/>
              <w:rPr>
                <w:rFonts w:hint="eastAsia" w:ascii="宋体" w:hAnsi="宋体" w:eastAsia="宋体" w:cs="宋体"/>
                <w:color w:val="auto"/>
              </w:rPr>
            </w:pPr>
            <w:bookmarkStart w:id="752" w:name="_Toc527028911"/>
            <w:bookmarkStart w:id="753" w:name="_Toc527028739"/>
            <w:bookmarkStart w:id="754" w:name="_Toc89870664"/>
            <w:r>
              <w:rPr>
                <w:rFonts w:hint="eastAsia" w:ascii="宋体" w:hAnsi="宋体" w:eastAsia="宋体" w:cs="宋体"/>
                <w:color w:val="auto"/>
              </w:rPr>
              <w:t>总监理工程师</w:t>
            </w:r>
            <w:bookmarkEnd w:id="752"/>
            <w:bookmarkEnd w:id="753"/>
            <w:bookmarkEnd w:id="754"/>
          </w:p>
        </w:tc>
        <w:tc>
          <w:tcPr>
            <w:tcW w:w="1893" w:type="dxa"/>
            <w:vAlign w:val="center"/>
          </w:tcPr>
          <w:p>
            <w:pPr>
              <w:spacing w:before="240" w:after="60" w:line="320" w:lineRule="exact"/>
              <w:jc w:val="center"/>
              <w:outlineLvl w:val="0"/>
              <w:rPr>
                <w:rFonts w:hint="eastAsia" w:ascii="宋体" w:hAnsi="宋体" w:eastAsia="宋体" w:cs="宋体"/>
                <w:color w:val="auto"/>
              </w:rPr>
            </w:pPr>
            <w:bookmarkStart w:id="755" w:name="_Toc527028740"/>
            <w:bookmarkStart w:id="756" w:name="_Toc527028912"/>
            <w:bookmarkStart w:id="757" w:name="_Toc89870665"/>
            <w:r>
              <w:rPr>
                <w:rFonts w:hint="eastAsia" w:ascii="宋体" w:hAnsi="宋体" w:eastAsia="宋体" w:cs="宋体"/>
                <w:color w:val="auto"/>
              </w:rPr>
              <w:t>姓    名</w:t>
            </w:r>
            <w:bookmarkEnd w:id="755"/>
            <w:bookmarkEnd w:id="756"/>
            <w:bookmarkEnd w:id="757"/>
          </w:p>
        </w:tc>
        <w:tc>
          <w:tcPr>
            <w:tcW w:w="5022" w:type="dxa"/>
            <w:gridSpan w:val="2"/>
          </w:tcPr>
          <w:p>
            <w:pPr>
              <w:spacing w:before="240" w:after="60" w:line="320" w:lineRule="exact"/>
              <w:jc w:val="center"/>
              <w:outlineLvl w:val="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328" w:type="dxa"/>
            <w:vMerge w:val="continue"/>
          </w:tcPr>
          <w:p>
            <w:pPr>
              <w:spacing w:line="320" w:lineRule="exact"/>
              <w:ind w:firstLine="420" w:firstLineChars="200"/>
              <w:outlineLvl w:val="0"/>
              <w:rPr>
                <w:rFonts w:hint="eastAsia" w:ascii="宋体" w:hAnsi="宋体" w:eastAsia="宋体" w:cs="宋体"/>
                <w:color w:val="auto"/>
              </w:rPr>
            </w:pPr>
          </w:p>
        </w:tc>
        <w:tc>
          <w:tcPr>
            <w:tcW w:w="1893" w:type="dxa"/>
            <w:vAlign w:val="center"/>
          </w:tcPr>
          <w:p>
            <w:pPr>
              <w:spacing w:line="320" w:lineRule="exact"/>
              <w:ind w:firstLine="0" w:firstLineChars="0"/>
              <w:jc w:val="center"/>
              <w:outlineLvl w:val="0"/>
              <w:rPr>
                <w:rFonts w:hint="eastAsia" w:ascii="宋体" w:hAnsi="宋体" w:eastAsia="宋体" w:cs="宋体"/>
                <w:color w:val="auto"/>
              </w:rPr>
            </w:pPr>
            <w:bookmarkStart w:id="758" w:name="_Toc527028741"/>
            <w:bookmarkStart w:id="759" w:name="_Toc527028913"/>
            <w:bookmarkStart w:id="760" w:name="_Toc89870666"/>
            <w:r>
              <w:rPr>
                <w:rFonts w:hint="eastAsia" w:ascii="宋体" w:hAnsi="宋体" w:eastAsia="宋体" w:cs="宋体"/>
                <w:color w:val="auto"/>
              </w:rPr>
              <w:t>技术职称</w:t>
            </w:r>
            <w:bookmarkEnd w:id="758"/>
            <w:bookmarkEnd w:id="759"/>
            <w:bookmarkEnd w:id="760"/>
          </w:p>
        </w:tc>
        <w:tc>
          <w:tcPr>
            <w:tcW w:w="5022" w:type="dxa"/>
            <w:gridSpan w:val="2"/>
          </w:tcPr>
          <w:p>
            <w:pPr>
              <w:spacing w:line="320" w:lineRule="exact"/>
              <w:ind w:firstLine="420" w:firstLineChars="200"/>
              <w:outlineLvl w:val="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328" w:type="dxa"/>
            <w:vMerge w:val="continue"/>
          </w:tcPr>
          <w:p>
            <w:pPr>
              <w:spacing w:line="320" w:lineRule="exact"/>
              <w:ind w:firstLine="420" w:firstLineChars="200"/>
              <w:outlineLvl w:val="0"/>
              <w:rPr>
                <w:rFonts w:hint="eastAsia" w:ascii="宋体" w:hAnsi="宋体" w:eastAsia="宋体" w:cs="宋体"/>
                <w:color w:val="auto"/>
              </w:rPr>
            </w:pPr>
          </w:p>
        </w:tc>
        <w:tc>
          <w:tcPr>
            <w:tcW w:w="1893" w:type="dxa"/>
            <w:vAlign w:val="center"/>
          </w:tcPr>
          <w:p>
            <w:pPr>
              <w:spacing w:line="320" w:lineRule="exact"/>
              <w:ind w:firstLine="0" w:firstLineChars="0"/>
              <w:jc w:val="center"/>
              <w:outlineLvl w:val="0"/>
              <w:rPr>
                <w:rFonts w:hint="eastAsia" w:ascii="宋体" w:hAnsi="宋体" w:eastAsia="宋体" w:cs="宋体"/>
                <w:color w:val="auto"/>
              </w:rPr>
            </w:pPr>
            <w:bookmarkStart w:id="761" w:name="_Toc89870667"/>
            <w:bookmarkStart w:id="762" w:name="_Toc527028742"/>
            <w:bookmarkStart w:id="763" w:name="_Toc527028914"/>
            <w:r>
              <w:rPr>
                <w:rFonts w:hint="eastAsia" w:ascii="宋体" w:hAnsi="宋体" w:eastAsia="宋体" w:cs="宋体"/>
                <w:color w:val="auto"/>
              </w:rPr>
              <w:t>注册证号</w:t>
            </w:r>
            <w:bookmarkEnd w:id="761"/>
            <w:bookmarkEnd w:id="762"/>
            <w:bookmarkEnd w:id="763"/>
          </w:p>
        </w:tc>
        <w:tc>
          <w:tcPr>
            <w:tcW w:w="5022" w:type="dxa"/>
            <w:gridSpan w:val="2"/>
          </w:tcPr>
          <w:p>
            <w:pPr>
              <w:spacing w:line="320" w:lineRule="exact"/>
              <w:ind w:firstLine="420" w:firstLineChars="200"/>
              <w:outlineLvl w:val="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2328" w:type="dxa"/>
            <w:vAlign w:val="center"/>
          </w:tcPr>
          <w:p>
            <w:pPr>
              <w:spacing w:before="240" w:after="60" w:line="320" w:lineRule="exact"/>
              <w:jc w:val="center"/>
              <w:outlineLvl w:val="0"/>
              <w:rPr>
                <w:rFonts w:hint="eastAsia" w:ascii="宋体" w:hAnsi="宋体" w:eastAsia="宋体" w:cs="宋体"/>
                <w:color w:val="auto"/>
              </w:rPr>
            </w:pPr>
            <w:bookmarkStart w:id="764" w:name="_Toc89870668"/>
            <w:bookmarkStart w:id="765" w:name="_Toc527028915"/>
            <w:bookmarkStart w:id="766" w:name="_Toc527028743"/>
            <w:r>
              <w:rPr>
                <w:rFonts w:hint="eastAsia" w:ascii="宋体" w:hAnsi="宋体" w:eastAsia="宋体" w:cs="宋体"/>
                <w:color w:val="auto"/>
              </w:rPr>
              <w:t>需要建设单位提</w:t>
            </w:r>
            <w:bookmarkEnd w:id="764"/>
            <w:bookmarkEnd w:id="765"/>
            <w:bookmarkEnd w:id="766"/>
          </w:p>
          <w:p>
            <w:pPr>
              <w:spacing w:before="240" w:after="60" w:line="320" w:lineRule="exact"/>
              <w:jc w:val="center"/>
              <w:outlineLvl w:val="0"/>
              <w:rPr>
                <w:rFonts w:hint="eastAsia" w:ascii="宋体" w:hAnsi="宋体" w:eastAsia="宋体" w:cs="宋体"/>
                <w:color w:val="auto"/>
              </w:rPr>
            </w:pPr>
            <w:r>
              <w:rPr>
                <w:rFonts w:hint="eastAsia" w:ascii="宋体" w:hAnsi="宋体" w:eastAsia="宋体" w:cs="宋体"/>
                <w:color w:val="auto"/>
              </w:rPr>
              <w:t xml:space="preserve"> </w:t>
            </w:r>
            <w:bookmarkStart w:id="767" w:name="_Toc89870669"/>
            <w:bookmarkStart w:id="768" w:name="_Toc527028916"/>
            <w:bookmarkStart w:id="769" w:name="_Toc527028744"/>
            <w:r>
              <w:rPr>
                <w:rFonts w:hint="eastAsia" w:ascii="宋体" w:hAnsi="宋体" w:eastAsia="宋体" w:cs="宋体"/>
                <w:color w:val="auto"/>
              </w:rPr>
              <w:t>供的配合条件</w:t>
            </w:r>
            <w:bookmarkEnd w:id="767"/>
            <w:bookmarkEnd w:id="768"/>
            <w:bookmarkEnd w:id="769"/>
          </w:p>
        </w:tc>
        <w:tc>
          <w:tcPr>
            <w:tcW w:w="6915" w:type="dxa"/>
            <w:gridSpan w:val="3"/>
          </w:tcPr>
          <w:p>
            <w:pPr>
              <w:spacing w:before="240" w:after="60" w:line="320" w:lineRule="exact"/>
              <w:jc w:val="center"/>
              <w:outlineLvl w:val="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2328" w:type="dxa"/>
          </w:tcPr>
          <w:p>
            <w:pPr>
              <w:spacing w:before="240" w:after="60" w:line="320" w:lineRule="exact"/>
              <w:jc w:val="center"/>
              <w:outlineLvl w:val="0"/>
              <w:rPr>
                <w:rFonts w:hint="eastAsia" w:ascii="宋体" w:hAnsi="宋体" w:eastAsia="宋体" w:cs="宋体"/>
                <w:color w:val="auto"/>
              </w:rPr>
            </w:pPr>
            <w:bookmarkStart w:id="770" w:name="_Toc89870670"/>
            <w:bookmarkStart w:id="771" w:name="_Toc527028917"/>
            <w:bookmarkStart w:id="772" w:name="_Toc527028745"/>
            <w:r>
              <w:rPr>
                <w:rFonts w:hint="eastAsia" w:ascii="宋体" w:hAnsi="宋体" w:eastAsia="宋体" w:cs="宋体"/>
                <w:color w:val="auto"/>
              </w:rPr>
              <w:t>投标单位法定代表人（签名或盖章）</w:t>
            </w:r>
            <w:bookmarkEnd w:id="770"/>
            <w:bookmarkEnd w:id="771"/>
            <w:bookmarkEnd w:id="772"/>
          </w:p>
        </w:tc>
        <w:tc>
          <w:tcPr>
            <w:tcW w:w="1893" w:type="dxa"/>
          </w:tcPr>
          <w:p>
            <w:pPr>
              <w:spacing w:before="240" w:after="60" w:line="320" w:lineRule="exact"/>
              <w:jc w:val="center"/>
              <w:outlineLvl w:val="0"/>
              <w:rPr>
                <w:rFonts w:hint="eastAsia" w:ascii="宋体" w:hAnsi="宋体" w:eastAsia="宋体" w:cs="宋体"/>
                <w:color w:val="auto"/>
              </w:rPr>
            </w:pPr>
          </w:p>
        </w:tc>
        <w:tc>
          <w:tcPr>
            <w:tcW w:w="2002" w:type="dxa"/>
          </w:tcPr>
          <w:p>
            <w:pPr>
              <w:spacing w:before="240" w:after="60" w:line="320" w:lineRule="exact"/>
              <w:jc w:val="center"/>
              <w:outlineLvl w:val="0"/>
              <w:rPr>
                <w:rFonts w:hint="eastAsia" w:ascii="宋体" w:hAnsi="宋体" w:eastAsia="宋体" w:cs="宋体"/>
                <w:color w:val="auto"/>
              </w:rPr>
            </w:pPr>
            <w:bookmarkStart w:id="773" w:name="_Toc89870671"/>
            <w:bookmarkStart w:id="774" w:name="_Toc527028746"/>
            <w:bookmarkStart w:id="775" w:name="_Toc527028918"/>
            <w:r>
              <w:rPr>
                <w:rFonts w:hint="eastAsia" w:ascii="宋体" w:hAnsi="宋体" w:eastAsia="宋体" w:cs="宋体"/>
                <w:color w:val="auto"/>
              </w:rPr>
              <w:t>授权委托人</w:t>
            </w:r>
            <w:bookmarkEnd w:id="773"/>
            <w:bookmarkEnd w:id="774"/>
            <w:bookmarkEnd w:id="775"/>
          </w:p>
          <w:p>
            <w:pPr>
              <w:spacing w:before="240" w:after="60" w:line="320" w:lineRule="exact"/>
              <w:jc w:val="center"/>
              <w:outlineLvl w:val="0"/>
              <w:rPr>
                <w:rFonts w:hint="eastAsia" w:ascii="宋体" w:hAnsi="宋体" w:eastAsia="宋体" w:cs="宋体"/>
                <w:color w:val="auto"/>
              </w:rPr>
            </w:pPr>
            <w:bookmarkStart w:id="776" w:name="_Toc89870672"/>
            <w:bookmarkStart w:id="777" w:name="_Toc527028747"/>
            <w:bookmarkStart w:id="778" w:name="_Toc527028919"/>
            <w:r>
              <w:rPr>
                <w:rFonts w:hint="eastAsia" w:ascii="宋体" w:hAnsi="宋体" w:eastAsia="宋体" w:cs="宋体"/>
                <w:color w:val="auto"/>
              </w:rPr>
              <w:t>（签名或盖章）</w:t>
            </w:r>
            <w:bookmarkEnd w:id="776"/>
            <w:bookmarkEnd w:id="777"/>
            <w:bookmarkEnd w:id="778"/>
          </w:p>
        </w:tc>
        <w:tc>
          <w:tcPr>
            <w:tcW w:w="3020" w:type="dxa"/>
          </w:tcPr>
          <w:p>
            <w:pPr>
              <w:spacing w:before="240" w:after="60" w:line="320" w:lineRule="exact"/>
              <w:jc w:val="center"/>
              <w:outlineLvl w:val="0"/>
              <w:rPr>
                <w:rFonts w:hint="eastAsia" w:ascii="宋体" w:hAnsi="宋体" w:eastAsia="宋体" w:cs="宋体"/>
                <w:color w:val="auto"/>
              </w:rPr>
            </w:pPr>
          </w:p>
        </w:tc>
      </w:tr>
    </w:tbl>
    <w:p>
      <w:pPr>
        <w:jc w:val="center"/>
        <w:rPr>
          <w:rFonts w:ascii="Times New Roman" w:hAnsi="Times New Roman"/>
          <w:color w:val="auto"/>
        </w:rPr>
      </w:pPr>
      <w:r>
        <w:rPr>
          <w:rFonts w:hint="eastAsia" w:ascii="Times New Roman" w:hAnsi="Times New Roman"/>
          <w:color w:val="auto"/>
        </w:rPr>
        <w:t xml:space="preserve">                                                         投标日期：    年    月   日</w:t>
      </w:r>
      <w:bookmarkStart w:id="779" w:name="_Toc527028748"/>
      <w:bookmarkStart w:id="780" w:name="_Toc527028920"/>
    </w:p>
    <w:p>
      <w:pPr>
        <w:rPr>
          <w:color w:val="auto"/>
        </w:rPr>
      </w:pPr>
    </w:p>
    <w:p>
      <w:pPr>
        <w:pStyle w:val="5"/>
        <w:keepNext w:val="0"/>
        <w:keepLines w:val="0"/>
        <w:rPr>
          <w:rFonts w:ascii="Times New Roman" w:hAnsi="Times New Roman" w:eastAsia="宋体"/>
          <w:b w:val="0"/>
          <w:color w:val="auto"/>
          <w:sz w:val="21"/>
          <w:szCs w:val="22"/>
        </w:rPr>
      </w:pPr>
      <w:bookmarkStart w:id="781" w:name="_Toc89870673"/>
      <w:r>
        <w:rPr>
          <w:rFonts w:hint="eastAsia" w:ascii="Times New Roman" w:hAnsi="Times New Roman" w:eastAsia="宋体"/>
          <w:b w:val="0"/>
          <w:color w:val="auto"/>
          <w:sz w:val="21"/>
          <w:szCs w:val="22"/>
        </w:rPr>
        <w:t>说明：保留小数点后二位，第三位四舍五入。</w:t>
      </w:r>
      <w:bookmarkEnd w:id="781"/>
    </w:p>
    <w:p>
      <w:pPr>
        <w:tabs>
          <w:tab w:val="left" w:pos="4842"/>
        </w:tabs>
        <w:ind w:firstLine="420" w:firstLineChars="200"/>
        <w:rPr>
          <w:color w:val="auto"/>
        </w:rPr>
        <w:sectPr>
          <w:pgSz w:w="12240" w:h="15840"/>
          <w:pgMar w:top="1440" w:right="1423" w:bottom="1162" w:left="1423" w:header="720" w:footer="720" w:gutter="0"/>
          <w:cols w:space="720" w:num="1"/>
          <w:docGrid w:linePitch="285" w:charSpace="0"/>
        </w:sectPr>
      </w:pPr>
    </w:p>
    <w:bookmarkEnd w:id="779"/>
    <w:bookmarkEnd w:id="780"/>
    <w:p>
      <w:pPr>
        <w:pStyle w:val="5"/>
        <w:keepNext w:val="0"/>
        <w:keepLines w:val="0"/>
        <w:spacing w:before="0" w:after="0"/>
        <w:ind w:firstLine="643" w:firstLineChars="200"/>
        <w:rPr>
          <w:rFonts w:ascii="Times New Roman" w:hAnsi="Times New Roman"/>
          <w:color w:val="auto"/>
        </w:rPr>
      </w:pPr>
      <w:bookmarkStart w:id="782" w:name="_Toc89870674"/>
      <w:r>
        <w:rPr>
          <w:rFonts w:hint="eastAsia" w:ascii="Times New Roman" w:hAnsi="Times New Roman"/>
          <w:color w:val="auto"/>
        </w:rPr>
        <w:t>五</w:t>
      </w:r>
      <w:r>
        <w:rPr>
          <w:rFonts w:ascii="Times New Roman" w:hAnsi="Times New Roman"/>
          <w:color w:val="auto"/>
        </w:rPr>
        <w:t>、资格审查资料</w:t>
      </w:r>
      <w:bookmarkEnd w:id="782"/>
    </w:p>
    <w:p>
      <w:pPr>
        <w:pStyle w:val="6"/>
        <w:keepNext w:val="0"/>
        <w:keepLines w:val="0"/>
        <w:spacing w:before="0" w:after="0"/>
        <w:ind w:firstLine="560" w:firstLineChars="200"/>
        <w:jc w:val="center"/>
        <w:rPr>
          <w:rFonts w:ascii="Times New Roman" w:hAnsi="Times New Roman"/>
          <w:color w:val="auto"/>
        </w:rPr>
      </w:pPr>
      <w:bookmarkStart w:id="783" w:name="_Toc89870675"/>
      <w:r>
        <w:rPr>
          <w:rFonts w:ascii="Times New Roman" w:hAnsi="Times New Roman"/>
          <w:color w:val="auto"/>
        </w:rPr>
        <w:t>（一）基本情况表</w:t>
      </w:r>
      <w:bookmarkEnd w:id="783"/>
    </w:p>
    <w:tbl>
      <w:tblPr>
        <w:tblStyle w:val="23"/>
        <w:tblW w:w="88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420" w:firstLineChars="200"/>
              <w:rPr>
                <w:rFonts w:ascii="Times New Roman" w:hAnsi="Times New Roman"/>
                <w:color w:val="auto"/>
              </w:rPr>
            </w:pPr>
            <w:r>
              <w:rPr>
                <w:rFonts w:ascii="Times New Roman" w:hAnsi="Times New Roman"/>
                <w:color w:val="auto"/>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420" w:firstLineChars="200"/>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r>
              <w:rPr>
                <w:rFonts w:ascii="Times New Roman" w:hAnsi="Times New Roman"/>
                <w:color w:val="auto"/>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ascii="Times New Roman" w:hAnsi="Times New Roman"/>
                <w:color w:val="auto"/>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r>
              <w:rPr>
                <w:rFonts w:ascii="Times New Roman" w:hAnsi="Times New Roman"/>
                <w:color w:val="auto"/>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ascii="Times New Roman" w:hAnsi="Times New Roman"/>
                <w:color w:val="auto"/>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ascii="Times New Roman" w:hAnsi="Times New Roman"/>
                <w:color w:val="auto"/>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pPr>
              <w:ind w:firstLine="420" w:firstLineChars="200"/>
              <w:rPr>
                <w:rFonts w:ascii="Times New Roman" w:hAnsi="Times New Roman"/>
                <w:color w:val="auto"/>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0" w:firstLineChars="0"/>
              <w:rPr>
                <w:rFonts w:ascii="Times New Roman" w:hAnsi="Times New Roman"/>
                <w:color w:val="auto"/>
              </w:rPr>
            </w:pPr>
            <w:r>
              <w:rPr>
                <w:rFonts w:ascii="Times New Roman" w:hAnsi="Times New Roman"/>
                <w:color w:val="auto"/>
              </w:rPr>
              <w:t>传  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420" w:firstLineChars="200"/>
              <w:rPr>
                <w:rFonts w:ascii="Times New Roman" w:hAnsi="Times New Roman"/>
                <w:color w:val="auto"/>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420" w:firstLineChars="200"/>
              <w:rPr>
                <w:rFonts w:ascii="Times New Roman" w:hAnsi="Times New Roman"/>
                <w:color w:val="auto"/>
              </w:rPr>
            </w:pPr>
            <w:r>
              <w:rPr>
                <w:rFonts w:ascii="Times New Roman" w:hAnsi="Times New Roman"/>
                <w:color w:val="auto"/>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420" w:firstLineChars="200"/>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ascii="Times New Roman" w:hAnsi="Times New Roman"/>
                <w:color w:val="auto"/>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ascii="Times New Roman" w:hAnsi="Times New Roman"/>
                <w:color w:val="auto"/>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p>
        </w:tc>
        <w:tc>
          <w:tcPr>
            <w:tcW w:w="128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ascii="Times New Roman" w:hAnsi="Times New Roman"/>
                <w:color w:val="auto"/>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ascii="Times New Roman" w:hAnsi="Times New Roman"/>
                <w:color w:val="auto"/>
              </w:rPr>
              <w:t>电话</w:t>
            </w:r>
          </w:p>
        </w:tc>
        <w:tc>
          <w:tcPr>
            <w:tcW w:w="123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r>
              <w:rPr>
                <w:rFonts w:ascii="Times New Roman" w:hAnsi="Times New Roman"/>
                <w:color w:val="auto"/>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ascii="Times New Roman" w:hAnsi="Times New Roman"/>
                <w:color w:val="auto"/>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p>
        </w:tc>
        <w:tc>
          <w:tcPr>
            <w:tcW w:w="128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ascii="Times New Roman" w:hAnsi="Times New Roman"/>
                <w:color w:val="auto"/>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ascii="Times New Roman" w:hAnsi="Times New Roman"/>
                <w:color w:val="auto"/>
              </w:rPr>
              <w:t>电话</w:t>
            </w:r>
          </w:p>
        </w:tc>
        <w:tc>
          <w:tcPr>
            <w:tcW w:w="123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ascii="Times New Roman" w:hAnsi="Times New Roman"/>
                <w:color w:val="auto"/>
              </w:rPr>
              <w:t>企业</w:t>
            </w:r>
            <w:r>
              <w:rPr>
                <w:rFonts w:ascii="Times New Roman" w:hAnsi="Times New Roman"/>
                <w:color w:val="auto"/>
                <w:szCs w:val="21"/>
              </w:rPr>
              <w:t>监理</w:t>
            </w:r>
            <w:r>
              <w:rPr>
                <w:rFonts w:ascii="Times New Roman" w:hAnsi="Times New Roman"/>
                <w:color w:val="auto"/>
              </w:rPr>
              <w:t>资质证书</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ind w:firstLine="105" w:firstLineChars="50"/>
              <w:jc w:val="center"/>
              <w:rPr>
                <w:rFonts w:ascii="Times New Roman" w:hAnsi="Times New Roman"/>
                <w:color w:val="auto"/>
              </w:rPr>
            </w:pPr>
            <w:r>
              <w:rPr>
                <w:rFonts w:ascii="Times New Roman" w:hAnsi="Times New Roman"/>
                <w:color w:val="auto"/>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ascii="Times New Roman" w:hAnsi="Times New Roman"/>
                <w:color w:val="auto"/>
              </w:rPr>
              <w:t>质量管理体系证书（如有）</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ind w:firstLine="105" w:firstLineChars="50"/>
              <w:jc w:val="center"/>
              <w:rPr>
                <w:rFonts w:ascii="Times New Roman" w:hAnsi="Times New Roman"/>
                <w:color w:val="auto"/>
              </w:rPr>
            </w:pPr>
            <w:r>
              <w:rPr>
                <w:rFonts w:ascii="Times New Roman" w:hAnsi="Times New Roman"/>
                <w:color w:val="auto"/>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ascii="Times New Roman" w:hAnsi="Times New Roman"/>
                <w:color w:val="auto"/>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p>
        </w:tc>
        <w:tc>
          <w:tcPr>
            <w:tcW w:w="3629" w:type="dxa"/>
            <w:gridSpan w:val="5"/>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ascii="Times New Roman" w:hAnsi="Times New Roman"/>
                <w:color w:val="auto"/>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ascii="Times New Roman" w:hAnsi="Times New Roman"/>
                <w:color w:val="auto"/>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p>
        </w:tc>
        <w:tc>
          <w:tcPr>
            <w:tcW w:w="414" w:type="dxa"/>
            <w:vMerge w:val="restart"/>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ascii="Times New Roman" w:hAnsi="Times New Roman"/>
                <w:color w:val="auto"/>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ascii="Times New Roman" w:hAnsi="Times New Roman"/>
                <w:color w:val="auto"/>
              </w:rPr>
              <w:t>高级职称人员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ascii="Times New Roman" w:hAnsi="Times New Roman"/>
                <w:color w:val="auto"/>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p>
        </w:tc>
        <w:tc>
          <w:tcPr>
            <w:tcW w:w="414" w:type="dxa"/>
            <w:vMerge w:val="continue"/>
            <w:tcBorders>
              <w:left w:val="single" w:color="auto" w:sz="4" w:space="0"/>
              <w:right w:val="single" w:color="auto" w:sz="4" w:space="0"/>
            </w:tcBorders>
            <w:vAlign w:val="center"/>
          </w:tcPr>
          <w:p>
            <w:pPr>
              <w:jc w:val="center"/>
              <w:rPr>
                <w:rFonts w:ascii="Times New Roman" w:hAnsi="Times New Roman"/>
                <w:color w:val="auto"/>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ascii="Times New Roman" w:hAnsi="Times New Roman"/>
                <w:color w:val="auto"/>
              </w:rPr>
              <w:t>中级职称人员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ascii="Times New Roman" w:hAnsi="Times New Roman"/>
                <w:color w:val="auto"/>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p>
        </w:tc>
        <w:tc>
          <w:tcPr>
            <w:tcW w:w="414" w:type="dxa"/>
            <w:vMerge w:val="continue"/>
            <w:tcBorders>
              <w:left w:val="single" w:color="auto" w:sz="4" w:space="0"/>
              <w:right w:val="single" w:color="auto" w:sz="4" w:space="0"/>
            </w:tcBorders>
            <w:vAlign w:val="center"/>
          </w:tcPr>
          <w:p>
            <w:pPr>
              <w:jc w:val="center"/>
              <w:rPr>
                <w:rFonts w:ascii="Times New Roman" w:hAnsi="Times New Roman"/>
                <w:color w:val="auto"/>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ascii="Times New Roman" w:hAnsi="Times New Roman"/>
                <w:color w:val="auto"/>
              </w:rPr>
              <w:t>技术人员数量</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ascii="Times New Roman" w:hAnsi="Times New Roman"/>
                <w:color w:val="auto"/>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p>
        </w:tc>
        <w:tc>
          <w:tcPr>
            <w:tcW w:w="414" w:type="dxa"/>
            <w:vMerge w:val="continue"/>
            <w:tcBorders>
              <w:left w:val="single" w:color="auto" w:sz="4" w:space="0"/>
              <w:right w:val="single" w:color="auto" w:sz="4" w:space="0"/>
            </w:tcBorders>
            <w:vAlign w:val="center"/>
          </w:tcPr>
          <w:p>
            <w:pPr>
              <w:jc w:val="center"/>
              <w:rPr>
                <w:rFonts w:ascii="Times New Roman" w:hAnsi="Times New Roman"/>
                <w:color w:val="auto"/>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ascii="Times New Roman" w:hAnsi="Times New Roman"/>
                <w:color w:val="auto"/>
                <w:szCs w:val="21"/>
              </w:rPr>
              <w:t>各类注册人员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ind w:firstLine="210" w:firstLineChars="100"/>
              <w:jc w:val="center"/>
              <w:rPr>
                <w:rFonts w:ascii="Times New Roman" w:hAnsi="Times New Roman"/>
                <w:color w:val="auto"/>
              </w:rPr>
            </w:pPr>
            <w:r>
              <w:rPr>
                <w:rFonts w:ascii="Times New Roman" w:hAnsi="Times New Roman"/>
                <w:color w:val="auto"/>
              </w:rPr>
              <w:t>经营范围</w:t>
            </w:r>
          </w:p>
        </w:tc>
        <w:tc>
          <w:tcPr>
            <w:tcW w:w="6840" w:type="dxa"/>
            <w:gridSpan w:val="8"/>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top"/>
          </w:tcPr>
          <w:p>
            <w:pPr>
              <w:topLinePunct/>
              <w:spacing w:before="100" w:beforeAutospacing="1" w:after="100" w:afterAutospacing="1" w:line="440" w:lineRule="exact"/>
              <w:jc w:val="both"/>
              <w:rPr>
                <w:rFonts w:ascii="Times New Roman" w:hAnsi="Times New Roman"/>
                <w:color w:val="auto"/>
              </w:rPr>
            </w:pPr>
            <w:r>
              <w:rPr>
                <w:rFonts w:ascii="Times New Roman" w:hAnsi="Times New Roman"/>
                <w:color w:val="auto"/>
                <w:szCs w:val="21"/>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ascii="Times New Roman" w:hAnsi="Times New Roman"/>
                <w:color w:val="auto"/>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p>
        </w:tc>
      </w:tr>
    </w:tbl>
    <w:p>
      <w:pPr>
        <w:spacing w:line="400" w:lineRule="exact"/>
        <w:rPr>
          <w:rFonts w:ascii="Times New Roman" w:hAnsi="Times New Roman"/>
          <w:color w:val="auto"/>
        </w:rPr>
      </w:pPr>
      <w:r>
        <w:rPr>
          <w:rFonts w:ascii="Times New Roman" w:hAnsi="Times New Roman"/>
          <w:color w:val="auto"/>
        </w:rPr>
        <w:t>注：投标人应根据投标人须知第3.5.</w:t>
      </w:r>
      <w:r>
        <w:rPr>
          <w:rFonts w:hint="eastAsia" w:ascii="Times New Roman" w:hAnsi="Times New Roman"/>
          <w:color w:val="auto"/>
        </w:rPr>
        <w:t>2及3.5.3</w:t>
      </w:r>
      <w:r>
        <w:rPr>
          <w:rFonts w:ascii="Times New Roman" w:hAnsi="Times New Roman"/>
          <w:color w:val="auto"/>
        </w:rPr>
        <w:t>项的要求在本表后附相关证明材料。境内投标人以现金或者支票形式提交投标保证金的，还应附基本账户开户</w:t>
      </w:r>
      <w:r>
        <w:rPr>
          <w:rFonts w:hint="eastAsia" w:ascii="Times New Roman" w:hAnsi="Times New Roman"/>
          <w:color w:val="auto"/>
        </w:rPr>
        <w:t>证明</w:t>
      </w:r>
      <w:r>
        <w:rPr>
          <w:rFonts w:ascii="Times New Roman" w:hAnsi="Times New Roman"/>
          <w:color w:val="auto"/>
        </w:rPr>
        <w:t>复印件。</w:t>
      </w:r>
    </w:p>
    <w:p>
      <w:pPr>
        <w:rPr>
          <w:color w:val="auto"/>
        </w:rPr>
      </w:pPr>
    </w:p>
    <w:bookmarkEnd w:id="691"/>
    <w:p>
      <w:pPr>
        <w:widowControl/>
        <w:jc w:val="left"/>
        <w:rPr>
          <w:rFonts w:ascii="Times New Roman" w:hAnsi="Times New Roman" w:eastAsia="黑体"/>
          <w:color w:val="auto"/>
          <w:sz w:val="28"/>
          <w:szCs w:val="20"/>
        </w:rPr>
      </w:pPr>
      <w:bookmarkStart w:id="784" w:name="_Toc300835232"/>
      <w:bookmarkStart w:id="785" w:name="_Toc359594249"/>
      <w:bookmarkStart w:id="786" w:name="_Toc152045805"/>
      <w:bookmarkStart w:id="787" w:name="_Toc144974873"/>
      <w:bookmarkStart w:id="788" w:name="_Toc482188668"/>
      <w:bookmarkStart w:id="789" w:name="_Toc385943079"/>
      <w:bookmarkStart w:id="790" w:name="_Toc179632825"/>
      <w:bookmarkStart w:id="791" w:name="_Toc370676440"/>
      <w:bookmarkStart w:id="792" w:name="_Toc391394125"/>
      <w:bookmarkStart w:id="793" w:name="_Toc384308390"/>
      <w:bookmarkStart w:id="794" w:name="_Toc152042594"/>
      <w:bookmarkStart w:id="795" w:name="_Toc89870676"/>
      <w:bookmarkStart w:id="796" w:name="_Toc9737"/>
      <w:r>
        <w:rPr>
          <w:rFonts w:ascii="Times New Roman" w:hAnsi="Times New Roman"/>
          <w:color w:val="auto"/>
        </w:rPr>
        <w:br w:type="page"/>
      </w:r>
    </w:p>
    <w:p>
      <w:pPr>
        <w:pStyle w:val="6"/>
        <w:keepNext w:val="0"/>
        <w:keepLines w:val="0"/>
        <w:spacing w:before="20" w:after="0"/>
        <w:ind w:firstLine="137"/>
        <w:jc w:val="center"/>
        <w:rPr>
          <w:rFonts w:ascii="Times New Roman" w:hAnsi="Times New Roman"/>
          <w:color w:val="auto"/>
        </w:rPr>
      </w:pPr>
      <w:r>
        <w:rPr>
          <w:rFonts w:ascii="Times New Roman" w:hAnsi="Times New Roman"/>
          <w:color w:val="auto"/>
        </w:rPr>
        <w:t>（</w:t>
      </w:r>
      <w:r>
        <w:rPr>
          <w:rFonts w:hint="eastAsia" w:ascii="Times New Roman" w:hAnsi="Times New Roman"/>
          <w:color w:val="auto"/>
        </w:rPr>
        <w:t>二</w:t>
      </w:r>
      <w:r>
        <w:rPr>
          <w:rFonts w:ascii="Times New Roman" w:hAnsi="Times New Roman"/>
          <w:color w:val="auto"/>
        </w:rPr>
        <w:t>）</w:t>
      </w:r>
      <w:r>
        <w:rPr>
          <w:rFonts w:hint="eastAsia" w:ascii="Times New Roman" w:hAnsi="Times New Roman"/>
          <w:color w:val="auto"/>
        </w:rPr>
        <w:t>总监理工程师</w:t>
      </w:r>
      <w:r>
        <w:rPr>
          <w:rFonts w:ascii="Times New Roman" w:hAnsi="Times New Roman"/>
          <w:color w:val="auto"/>
        </w:rPr>
        <w:t>简历表</w:t>
      </w:r>
      <w:bookmarkEnd w:id="784"/>
      <w:bookmarkEnd w:id="785"/>
      <w:bookmarkEnd w:id="786"/>
      <w:bookmarkEnd w:id="787"/>
      <w:bookmarkEnd w:id="788"/>
      <w:bookmarkEnd w:id="789"/>
      <w:bookmarkEnd w:id="790"/>
      <w:bookmarkEnd w:id="791"/>
      <w:bookmarkEnd w:id="792"/>
      <w:bookmarkEnd w:id="793"/>
      <w:bookmarkEnd w:id="794"/>
      <w:bookmarkEnd w:id="795"/>
      <w:bookmarkEnd w:id="796"/>
    </w:p>
    <w:p>
      <w:pPr>
        <w:topLinePunct/>
        <w:spacing w:line="440" w:lineRule="exact"/>
        <w:jc w:val="center"/>
        <w:rPr>
          <w:rFonts w:ascii="Times New Roman" w:hAnsi="Times New Roman"/>
          <w:color w:val="auto"/>
          <w:sz w:val="23"/>
        </w:rPr>
      </w:pPr>
    </w:p>
    <w:tbl>
      <w:tblPr>
        <w:tblStyle w:val="23"/>
        <w:tblW w:w="8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374"/>
        <w:gridCol w:w="724"/>
        <w:gridCol w:w="1004"/>
        <w:gridCol w:w="1116"/>
        <w:gridCol w:w="739"/>
        <w:gridCol w:w="1321"/>
        <w:gridCol w:w="421"/>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244" w:type="dxa"/>
            <w:vAlign w:val="center"/>
          </w:tcPr>
          <w:p>
            <w:pPr>
              <w:spacing w:line="440" w:lineRule="exact"/>
              <w:jc w:val="center"/>
              <w:rPr>
                <w:rFonts w:ascii="Times New Roman" w:hAnsi="Times New Roman"/>
                <w:color w:val="auto"/>
              </w:rPr>
            </w:pPr>
            <w:r>
              <w:rPr>
                <w:rFonts w:ascii="Times New Roman" w:hAnsi="Times New Roman"/>
                <w:color w:val="auto"/>
              </w:rPr>
              <w:t>姓  名</w:t>
            </w:r>
          </w:p>
        </w:tc>
        <w:tc>
          <w:tcPr>
            <w:tcW w:w="1098" w:type="dxa"/>
            <w:gridSpan w:val="2"/>
            <w:vAlign w:val="center"/>
          </w:tcPr>
          <w:p>
            <w:pPr>
              <w:spacing w:line="440" w:lineRule="exact"/>
              <w:jc w:val="center"/>
              <w:rPr>
                <w:rFonts w:ascii="Times New Roman" w:hAnsi="Times New Roman"/>
                <w:color w:val="auto"/>
              </w:rPr>
            </w:pPr>
          </w:p>
        </w:tc>
        <w:tc>
          <w:tcPr>
            <w:tcW w:w="1004" w:type="dxa"/>
            <w:vAlign w:val="center"/>
          </w:tcPr>
          <w:p>
            <w:pPr>
              <w:spacing w:line="440" w:lineRule="exact"/>
              <w:jc w:val="center"/>
              <w:rPr>
                <w:rFonts w:ascii="Times New Roman" w:hAnsi="Times New Roman"/>
                <w:color w:val="auto"/>
              </w:rPr>
            </w:pPr>
            <w:r>
              <w:rPr>
                <w:rFonts w:ascii="Times New Roman" w:hAnsi="Times New Roman"/>
                <w:color w:val="auto"/>
              </w:rPr>
              <w:t>年龄</w:t>
            </w:r>
          </w:p>
        </w:tc>
        <w:tc>
          <w:tcPr>
            <w:tcW w:w="1116" w:type="dxa"/>
            <w:vAlign w:val="center"/>
          </w:tcPr>
          <w:p>
            <w:pPr>
              <w:spacing w:line="440" w:lineRule="exact"/>
              <w:jc w:val="center"/>
              <w:rPr>
                <w:rFonts w:ascii="Times New Roman" w:hAnsi="Times New Roman"/>
                <w:color w:val="auto"/>
              </w:rPr>
            </w:pPr>
          </w:p>
        </w:tc>
        <w:tc>
          <w:tcPr>
            <w:tcW w:w="2481" w:type="dxa"/>
            <w:gridSpan w:val="3"/>
            <w:vAlign w:val="center"/>
          </w:tcPr>
          <w:p>
            <w:pPr>
              <w:spacing w:line="440" w:lineRule="exact"/>
              <w:jc w:val="center"/>
              <w:rPr>
                <w:rFonts w:ascii="Times New Roman" w:hAnsi="Times New Roman"/>
                <w:color w:val="auto"/>
              </w:rPr>
            </w:pPr>
            <w:r>
              <w:rPr>
                <w:rFonts w:ascii="Times New Roman" w:hAnsi="Times New Roman"/>
                <w:color w:val="auto"/>
              </w:rPr>
              <w:t>执业资格证书（或上岗证书）名称</w:t>
            </w:r>
          </w:p>
        </w:tc>
        <w:tc>
          <w:tcPr>
            <w:tcW w:w="1986" w:type="dxa"/>
            <w:vAlign w:val="center"/>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44" w:type="dxa"/>
            <w:vAlign w:val="center"/>
          </w:tcPr>
          <w:p>
            <w:pPr>
              <w:spacing w:line="440" w:lineRule="exact"/>
              <w:jc w:val="center"/>
              <w:rPr>
                <w:rFonts w:ascii="Times New Roman" w:hAnsi="Times New Roman"/>
                <w:color w:val="auto"/>
              </w:rPr>
            </w:pPr>
            <w:r>
              <w:rPr>
                <w:rFonts w:ascii="Times New Roman" w:hAnsi="Times New Roman"/>
                <w:color w:val="auto"/>
              </w:rPr>
              <w:t>职  称</w:t>
            </w:r>
          </w:p>
        </w:tc>
        <w:tc>
          <w:tcPr>
            <w:tcW w:w="1098" w:type="dxa"/>
            <w:gridSpan w:val="2"/>
            <w:vAlign w:val="center"/>
          </w:tcPr>
          <w:p>
            <w:pPr>
              <w:spacing w:line="440" w:lineRule="exact"/>
              <w:jc w:val="center"/>
              <w:rPr>
                <w:rFonts w:ascii="Times New Roman" w:hAnsi="Times New Roman"/>
                <w:color w:val="auto"/>
              </w:rPr>
            </w:pPr>
          </w:p>
        </w:tc>
        <w:tc>
          <w:tcPr>
            <w:tcW w:w="1004" w:type="dxa"/>
            <w:vAlign w:val="center"/>
          </w:tcPr>
          <w:p>
            <w:pPr>
              <w:spacing w:before="100" w:beforeAutospacing="1" w:after="100" w:afterAutospacing="1" w:line="440" w:lineRule="exact"/>
              <w:jc w:val="center"/>
              <w:rPr>
                <w:rFonts w:ascii="Times New Roman" w:hAnsi="Times New Roman"/>
                <w:color w:val="auto"/>
              </w:rPr>
            </w:pPr>
            <w:r>
              <w:rPr>
                <w:rFonts w:ascii="Times New Roman" w:hAnsi="Times New Roman"/>
                <w:color w:val="auto"/>
              </w:rPr>
              <w:t>学历</w:t>
            </w:r>
          </w:p>
        </w:tc>
        <w:tc>
          <w:tcPr>
            <w:tcW w:w="1116" w:type="dxa"/>
            <w:vAlign w:val="center"/>
          </w:tcPr>
          <w:p>
            <w:pPr>
              <w:spacing w:line="440" w:lineRule="exact"/>
              <w:jc w:val="center"/>
              <w:rPr>
                <w:rFonts w:ascii="Times New Roman" w:hAnsi="Times New Roman"/>
                <w:color w:val="auto"/>
              </w:rPr>
            </w:pPr>
          </w:p>
        </w:tc>
        <w:tc>
          <w:tcPr>
            <w:tcW w:w="2481" w:type="dxa"/>
            <w:gridSpan w:val="3"/>
            <w:vAlign w:val="center"/>
          </w:tcPr>
          <w:p>
            <w:pPr>
              <w:spacing w:before="100" w:beforeAutospacing="1" w:after="100" w:afterAutospacing="1" w:line="440" w:lineRule="exact"/>
              <w:jc w:val="center"/>
              <w:rPr>
                <w:rFonts w:ascii="Times New Roman" w:hAnsi="Times New Roman"/>
                <w:color w:val="auto"/>
              </w:rPr>
            </w:pPr>
            <w:r>
              <w:rPr>
                <w:rFonts w:ascii="Times New Roman" w:hAnsi="Times New Roman"/>
                <w:color w:val="auto"/>
              </w:rPr>
              <w:t>拟在本项目任职</w:t>
            </w:r>
          </w:p>
        </w:tc>
        <w:tc>
          <w:tcPr>
            <w:tcW w:w="1986" w:type="dxa"/>
            <w:vAlign w:val="center"/>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44" w:type="dxa"/>
            <w:vAlign w:val="center"/>
          </w:tcPr>
          <w:p>
            <w:pPr>
              <w:spacing w:before="100" w:beforeAutospacing="1" w:after="100" w:afterAutospacing="1" w:line="440" w:lineRule="exact"/>
              <w:jc w:val="center"/>
              <w:rPr>
                <w:rFonts w:ascii="Times New Roman" w:hAnsi="Times New Roman"/>
                <w:color w:val="auto"/>
              </w:rPr>
            </w:pPr>
            <w:r>
              <w:rPr>
                <w:rFonts w:ascii="Times New Roman" w:hAnsi="Times New Roman"/>
                <w:color w:val="auto"/>
              </w:rPr>
              <w:t>工作年限</w:t>
            </w:r>
          </w:p>
        </w:tc>
        <w:tc>
          <w:tcPr>
            <w:tcW w:w="3218" w:type="dxa"/>
            <w:gridSpan w:val="4"/>
            <w:vAlign w:val="center"/>
          </w:tcPr>
          <w:p>
            <w:pPr>
              <w:spacing w:line="440" w:lineRule="exact"/>
              <w:jc w:val="center"/>
              <w:rPr>
                <w:rFonts w:ascii="Times New Roman" w:hAnsi="Times New Roman"/>
                <w:color w:val="auto"/>
              </w:rPr>
            </w:pPr>
          </w:p>
        </w:tc>
        <w:tc>
          <w:tcPr>
            <w:tcW w:w="2481" w:type="dxa"/>
            <w:gridSpan w:val="3"/>
            <w:vAlign w:val="center"/>
          </w:tcPr>
          <w:p>
            <w:pPr>
              <w:spacing w:before="100" w:beforeAutospacing="1" w:after="100" w:afterAutospacing="1" w:line="440" w:lineRule="exact"/>
              <w:jc w:val="center"/>
              <w:rPr>
                <w:rFonts w:ascii="Times New Roman" w:hAnsi="Times New Roman"/>
                <w:color w:val="auto"/>
              </w:rPr>
            </w:pPr>
            <w:r>
              <w:rPr>
                <w:rFonts w:ascii="Times New Roman" w:hAnsi="Times New Roman"/>
                <w:color w:val="auto"/>
              </w:rPr>
              <w:t>从事监理工作年限</w:t>
            </w:r>
          </w:p>
        </w:tc>
        <w:tc>
          <w:tcPr>
            <w:tcW w:w="1986" w:type="dxa"/>
            <w:vAlign w:val="center"/>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244" w:type="dxa"/>
            <w:vAlign w:val="center"/>
          </w:tcPr>
          <w:p>
            <w:pPr>
              <w:spacing w:before="100" w:beforeAutospacing="1" w:after="100" w:afterAutospacing="1" w:line="440" w:lineRule="exact"/>
              <w:jc w:val="center"/>
              <w:rPr>
                <w:rFonts w:ascii="Times New Roman" w:hAnsi="Times New Roman"/>
                <w:color w:val="auto"/>
              </w:rPr>
            </w:pPr>
            <w:r>
              <w:rPr>
                <w:rFonts w:ascii="Times New Roman" w:hAnsi="Times New Roman"/>
                <w:color w:val="auto"/>
              </w:rPr>
              <w:t>毕业学校</w:t>
            </w:r>
          </w:p>
        </w:tc>
        <w:tc>
          <w:tcPr>
            <w:tcW w:w="7685" w:type="dxa"/>
            <w:gridSpan w:val="8"/>
            <w:vAlign w:val="center"/>
          </w:tcPr>
          <w:p>
            <w:pPr>
              <w:spacing w:before="100" w:beforeAutospacing="1" w:after="100" w:afterAutospacing="1" w:line="440" w:lineRule="exact"/>
              <w:ind w:firstLine="1155" w:firstLineChars="550"/>
              <w:rPr>
                <w:rFonts w:ascii="Times New Roman" w:hAnsi="Times New Roman"/>
                <w:color w:val="auto"/>
              </w:rPr>
            </w:pPr>
            <w:r>
              <w:rPr>
                <w:rFonts w:ascii="Times New Roman" w:hAnsi="Times New Roman"/>
                <w:color w:val="auto"/>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929" w:type="dxa"/>
            <w:gridSpan w:val="9"/>
            <w:vAlign w:val="center"/>
          </w:tcPr>
          <w:p>
            <w:pPr>
              <w:spacing w:before="100" w:beforeAutospacing="1" w:after="100" w:afterAutospacing="1" w:line="440" w:lineRule="exact"/>
              <w:jc w:val="left"/>
              <w:rPr>
                <w:rFonts w:ascii="Times New Roman" w:hAnsi="Times New Roman"/>
                <w:color w:val="auto"/>
              </w:rPr>
            </w:pPr>
            <w:r>
              <w:rPr>
                <w:rFonts w:ascii="Times New Roman" w:hAnsi="Times New Roman"/>
                <w:color w:val="auto"/>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618" w:type="dxa"/>
            <w:gridSpan w:val="2"/>
            <w:vAlign w:val="center"/>
          </w:tcPr>
          <w:p>
            <w:pPr>
              <w:spacing w:before="100" w:beforeAutospacing="1" w:after="100" w:afterAutospacing="1" w:line="440" w:lineRule="exact"/>
              <w:jc w:val="center"/>
              <w:rPr>
                <w:rFonts w:ascii="Times New Roman" w:hAnsi="Times New Roman"/>
                <w:color w:val="auto"/>
              </w:rPr>
            </w:pPr>
            <w:r>
              <w:rPr>
                <w:rFonts w:ascii="Times New Roman" w:hAnsi="Times New Roman"/>
                <w:color w:val="auto"/>
              </w:rPr>
              <w:t>时  间</w:t>
            </w:r>
          </w:p>
        </w:tc>
        <w:tc>
          <w:tcPr>
            <w:tcW w:w="3583" w:type="dxa"/>
            <w:gridSpan w:val="4"/>
            <w:vAlign w:val="center"/>
          </w:tcPr>
          <w:p>
            <w:pPr>
              <w:spacing w:before="100" w:beforeAutospacing="1" w:after="100" w:afterAutospacing="1" w:line="440" w:lineRule="exact"/>
              <w:jc w:val="center"/>
              <w:rPr>
                <w:rFonts w:ascii="Times New Roman" w:hAnsi="Times New Roman"/>
                <w:color w:val="auto"/>
              </w:rPr>
            </w:pPr>
            <w:r>
              <w:rPr>
                <w:rFonts w:ascii="Times New Roman" w:hAnsi="Times New Roman"/>
                <w:color w:val="auto"/>
              </w:rPr>
              <w:t>参加过的类似项目</w:t>
            </w:r>
          </w:p>
        </w:tc>
        <w:tc>
          <w:tcPr>
            <w:tcW w:w="1321" w:type="dxa"/>
            <w:vAlign w:val="center"/>
          </w:tcPr>
          <w:p>
            <w:pPr>
              <w:spacing w:before="100" w:beforeAutospacing="1" w:after="100" w:afterAutospacing="1" w:line="440" w:lineRule="exact"/>
              <w:jc w:val="center"/>
              <w:rPr>
                <w:rFonts w:ascii="Times New Roman" w:hAnsi="Times New Roman"/>
                <w:color w:val="auto"/>
              </w:rPr>
            </w:pPr>
            <w:r>
              <w:rPr>
                <w:rFonts w:ascii="Times New Roman" w:hAnsi="Times New Roman"/>
                <w:color w:val="auto"/>
              </w:rPr>
              <w:t>担任职务</w:t>
            </w:r>
          </w:p>
        </w:tc>
        <w:tc>
          <w:tcPr>
            <w:tcW w:w="2407" w:type="dxa"/>
            <w:gridSpan w:val="2"/>
            <w:vAlign w:val="center"/>
          </w:tcPr>
          <w:p>
            <w:pPr>
              <w:spacing w:before="100" w:beforeAutospacing="1" w:after="100" w:afterAutospacing="1" w:line="440" w:lineRule="exact"/>
              <w:jc w:val="center"/>
              <w:rPr>
                <w:rFonts w:ascii="Times New Roman" w:hAnsi="Times New Roman"/>
                <w:color w:val="auto"/>
              </w:rPr>
            </w:pPr>
            <w:r>
              <w:rPr>
                <w:rFonts w:ascii="Times New Roman" w:hAnsi="Times New Roman"/>
                <w:color w:val="auto"/>
              </w:rPr>
              <w:t>委托人及联系电话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618" w:type="dxa"/>
            <w:gridSpan w:val="2"/>
          </w:tcPr>
          <w:p>
            <w:pPr>
              <w:spacing w:line="440" w:lineRule="exact"/>
              <w:rPr>
                <w:rFonts w:ascii="Times New Roman" w:hAnsi="Times New Roman"/>
                <w:color w:val="auto"/>
              </w:rPr>
            </w:pPr>
          </w:p>
        </w:tc>
        <w:tc>
          <w:tcPr>
            <w:tcW w:w="3583" w:type="dxa"/>
            <w:gridSpan w:val="4"/>
          </w:tcPr>
          <w:p>
            <w:pPr>
              <w:spacing w:line="440" w:lineRule="exact"/>
              <w:rPr>
                <w:rFonts w:ascii="Times New Roman" w:hAnsi="Times New Roman"/>
                <w:color w:val="auto"/>
              </w:rPr>
            </w:pPr>
          </w:p>
        </w:tc>
        <w:tc>
          <w:tcPr>
            <w:tcW w:w="1321" w:type="dxa"/>
          </w:tcPr>
          <w:p>
            <w:pPr>
              <w:spacing w:line="440" w:lineRule="exact"/>
              <w:rPr>
                <w:rFonts w:ascii="Times New Roman" w:hAnsi="Times New Roman"/>
                <w:color w:val="auto"/>
              </w:rPr>
            </w:pPr>
          </w:p>
        </w:tc>
        <w:tc>
          <w:tcPr>
            <w:tcW w:w="2407" w:type="dxa"/>
            <w:gridSpan w:val="2"/>
          </w:tcPr>
          <w:p>
            <w:pPr>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618" w:type="dxa"/>
            <w:gridSpan w:val="2"/>
          </w:tcPr>
          <w:p>
            <w:pPr>
              <w:spacing w:line="440" w:lineRule="exact"/>
              <w:rPr>
                <w:rFonts w:ascii="Times New Roman" w:hAnsi="Times New Roman"/>
                <w:color w:val="auto"/>
              </w:rPr>
            </w:pPr>
          </w:p>
        </w:tc>
        <w:tc>
          <w:tcPr>
            <w:tcW w:w="3583" w:type="dxa"/>
            <w:gridSpan w:val="4"/>
          </w:tcPr>
          <w:p>
            <w:pPr>
              <w:spacing w:line="440" w:lineRule="exact"/>
              <w:rPr>
                <w:rFonts w:ascii="Times New Roman" w:hAnsi="Times New Roman"/>
                <w:color w:val="auto"/>
              </w:rPr>
            </w:pPr>
          </w:p>
        </w:tc>
        <w:tc>
          <w:tcPr>
            <w:tcW w:w="1321" w:type="dxa"/>
          </w:tcPr>
          <w:p>
            <w:pPr>
              <w:spacing w:line="440" w:lineRule="exact"/>
              <w:rPr>
                <w:rFonts w:ascii="Times New Roman" w:hAnsi="Times New Roman"/>
                <w:color w:val="auto"/>
              </w:rPr>
            </w:pPr>
          </w:p>
        </w:tc>
        <w:tc>
          <w:tcPr>
            <w:tcW w:w="2407" w:type="dxa"/>
            <w:gridSpan w:val="2"/>
          </w:tcPr>
          <w:p>
            <w:pPr>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618" w:type="dxa"/>
            <w:gridSpan w:val="2"/>
          </w:tcPr>
          <w:p>
            <w:pPr>
              <w:spacing w:line="440" w:lineRule="exact"/>
              <w:rPr>
                <w:rFonts w:ascii="Times New Roman" w:hAnsi="Times New Roman"/>
                <w:color w:val="auto"/>
              </w:rPr>
            </w:pPr>
          </w:p>
        </w:tc>
        <w:tc>
          <w:tcPr>
            <w:tcW w:w="3583" w:type="dxa"/>
            <w:gridSpan w:val="4"/>
          </w:tcPr>
          <w:p>
            <w:pPr>
              <w:spacing w:line="440" w:lineRule="exact"/>
              <w:rPr>
                <w:rFonts w:ascii="Times New Roman" w:hAnsi="Times New Roman"/>
                <w:color w:val="auto"/>
              </w:rPr>
            </w:pPr>
          </w:p>
        </w:tc>
        <w:tc>
          <w:tcPr>
            <w:tcW w:w="1321" w:type="dxa"/>
          </w:tcPr>
          <w:p>
            <w:pPr>
              <w:spacing w:line="440" w:lineRule="exact"/>
              <w:rPr>
                <w:rFonts w:ascii="Times New Roman" w:hAnsi="Times New Roman"/>
                <w:color w:val="auto"/>
              </w:rPr>
            </w:pPr>
          </w:p>
        </w:tc>
        <w:tc>
          <w:tcPr>
            <w:tcW w:w="2407" w:type="dxa"/>
            <w:gridSpan w:val="2"/>
          </w:tcPr>
          <w:p>
            <w:pPr>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618" w:type="dxa"/>
            <w:gridSpan w:val="2"/>
            <w:vAlign w:val="center"/>
          </w:tcPr>
          <w:p>
            <w:pPr>
              <w:spacing w:line="440" w:lineRule="exact"/>
              <w:rPr>
                <w:rFonts w:ascii="Times New Roman" w:hAnsi="Times New Roman"/>
                <w:color w:val="auto"/>
              </w:rPr>
            </w:pPr>
          </w:p>
        </w:tc>
        <w:tc>
          <w:tcPr>
            <w:tcW w:w="3583" w:type="dxa"/>
            <w:gridSpan w:val="4"/>
            <w:vAlign w:val="center"/>
          </w:tcPr>
          <w:p>
            <w:pPr>
              <w:spacing w:line="440" w:lineRule="exact"/>
              <w:rPr>
                <w:rFonts w:ascii="Times New Roman" w:hAnsi="Times New Roman"/>
                <w:color w:val="auto"/>
              </w:rPr>
            </w:pPr>
          </w:p>
        </w:tc>
        <w:tc>
          <w:tcPr>
            <w:tcW w:w="1321" w:type="dxa"/>
            <w:vAlign w:val="center"/>
          </w:tcPr>
          <w:p>
            <w:pPr>
              <w:spacing w:line="440" w:lineRule="exact"/>
              <w:rPr>
                <w:rFonts w:ascii="Times New Roman" w:hAnsi="Times New Roman"/>
                <w:color w:val="auto"/>
              </w:rPr>
            </w:pPr>
          </w:p>
        </w:tc>
        <w:tc>
          <w:tcPr>
            <w:tcW w:w="2407" w:type="dxa"/>
            <w:gridSpan w:val="2"/>
            <w:vAlign w:val="center"/>
          </w:tcPr>
          <w:p>
            <w:pPr>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618" w:type="dxa"/>
            <w:gridSpan w:val="2"/>
            <w:vAlign w:val="center"/>
          </w:tcPr>
          <w:p>
            <w:pPr>
              <w:spacing w:line="440" w:lineRule="exact"/>
              <w:rPr>
                <w:rFonts w:ascii="Times New Roman" w:hAnsi="Times New Roman"/>
                <w:color w:val="auto"/>
              </w:rPr>
            </w:pPr>
          </w:p>
        </w:tc>
        <w:tc>
          <w:tcPr>
            <w:tcW w:w="3583" w:type="dxa"/>
            <w:gridSpan w:val="4"/>
            <w:vAlign w:val="center"/>
          </w:tcPr>
          <w:p>
            <w:pPr>
              <w:spacing w:line="440" w:lineRule="exact"/>
              <w:rPr>
                <w:rFonts w:ascii="Times New Roman" w:hAnsi="Times New Roman"/>
                <w:color w:val="auto"/>
              </w:rPr>
            </w:pPr>
          </w:p>
        </w:tc>
        <w:tc>
          <w:tcPr>
            <w:tcW w:w="1321" w:type="dxa"/>
            <w:vAlign w:val="center"/>
          </w:tcPr>
          <w:p>
            <w:pPr>
              <w:spacing w:line="440" w:lineRule="exact"/>
              <w:rPr>
                <w:rFonts w:ascii="Times New Roman" w:hAnsi="Times New Roman"/>
                <w:color w:val="auto"/>
              </w:rPr>
            </w:pPr>
          </w:p>
        </w:tc>
        <w:tc>
          <w:tcPr>
            <w:tcW w:w="2407" w:type="dxa"/>
            <w:gridSpan w:val="2"/>
            <w:vAlign w:val="center"/>
          </w:tcPr>
          <w:p>
            <w:pPr>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618" w:type="dxa"/>
            <w:gridSpan w:val="2"/>
            <w:vAlign w:val="center"/>
          </w:tcPr>
          <w:p>
            <w:pPr>
              <w:spacing w:line="440" w:lineRule="exact"/>
              <w:rPr>
                <w:rFonts w:ascii="Times New Roman" w:hAnsi="Times New Roman"/>
                <w:color w:val="auto"/>
              </w:rPr>
            </w:pPr>
          </w:p>
        </w:tc>
        <w:tc>
          <w:tcPr>
            <w:tcW w:w="3583" w:type="dxa"/>
            <w:gridSpan w:val="4"/>
            <w:vAlign w:val="center"/>
          </w:tcPr>
          <w:p>
            <w:pPr>
              <w:spacing w:line="440" w:lineRule="exact"/>
              <w:rPr>
                <w:rFonts w:ascii="Times New Roman" w:hAnsi="Times New Roman"/>
                <w:color w:val="auto"/>
              </w:rPr>
            </w:pPr>
          </w:p>
        </w:tc>
        <w:tc>
          <w:tcPr>
            <w:tcW w:w="1321" w:type="dxa"/>
            <w:vAlign w:val="center"/>
          </w:tcPr>
          <w:p>
            <w:pPr>
              <w:spacing w:line="440" w:lineRule="exact"/>
              <w:rPr>
                <w:rFonts w:ascii="Times New Roman" w:hAnsi="Times New Roman"/>
                <w:color w:val="auto"/>
              </w:rPr>
            </w:pPr>
          </w:p>
        </w:tc>
        <w:tc>
          <w:tcPr>
            <w:tcW w:w="2407" w:type="dxa"/>
            <w:gridSpan w:val="2"/>
            <w:vAlign w:val="center"/>
          </w:tcPr>
          <w:p>
            <w:pPr>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618" w:type="dxa"/>
            <w:gridSpan w:val="2"/>
            <w:vAlign w:val="center"/>
          </w:tcPr>
          <w:p>
            <w:pPr>
              <w:spacing w:line="440" w:lineRule="exact"/>
              <w:rPr>
                <w:rFonts w:ascii="Times New Roman" w:hAnsi="Times New Roman"/>
                <w:color w:val="auto"/>
              </w:rPr>
            </w:pPr>
          </w:p>
        </w:tc>
        <w:tc>
          <w:tcPr>
            <w:tcW w:w="3583" w:type="dxa"/>
            <w:gridSpan w:val="4"/>
            <w:vAlign w:val="center"/>
          </w:tcPr>
          <w:p>
            <w:pPr>
              <w:spacing w:line="440" w:lineRule="exact"/>
              <w:rPr>
                <w:rFonts w:ascii="Times New Roman" w:hAnsi="Times New Roman"/>
                <w:color w:val="auto"/>
              </w:rPr>
            </w:pPr>
          </w:p>
        </w:tc>
        <w:tc>
          <w:tcPr>
            <w:tcW w:w="1321" w:type="dxa"/>
            <w:vAlign w:val="center"/>
          </w:tcPr>
          <w:p>
            <w:pPr>
              <w:spacing w:line="440" w:lineRule="exact"/>
              <w:rPr>
                <w:rFonts w:ascii="Times New Roman" w:hAnsi="Times New Roman"/>
                <w:color w:val="auto"/>
              </w:rPr>
            </w:pPr>
          </w:p>
        </w:tc>
        <w:tc>
          <w:tcPr>
            <w:tcW w:w="2407" w:type="dxa"/>
            <w:gridSpan w:val="2"/>
            <w:vAlign w:val="center"/>
          </w:tcPr>
          <w:p>
            <w:pPr>
              <w:spacing w:line="440" w:lineRule="exact"/>
              <w:rPr>
                <w:rFonts w:ascii="Times New Roman" w:hAnsi="Times New Roman"/>
                <w:color w:val="auto"/>
              </w:rPr>
            </w:pPr>
          </w:p>
        </w:tc>
      </w:tr>
    </w:tbl>
    <w:p>
      <w:pPr>
        <w:spacing w:line="440" w:lineRule="exact"/>
        <w:rPr>
          <w:rFonts w:ascii="Times New Roman" w:hAnsi="Times New Roman"/>
          <w:color w:val="auto"/>
        </w:rPr>
      </w:pPr>
      <w:r>
        <w:rPr>
          <w:rFonts w:ascii="Times New Roman" w:hAnsi="Times New Roman"/>
          <w:color w:val="auto"/>
        </w:rPr>
        <w:t>注：投标人应根据投标人须知第3.5.</w:t>
      </w:r>
      <w:r>
        <w:rPr>
          <w:rFonts w:hint="eastAsia" w:ascii="Times New Roman" w:hAnsi="Times New Roman"/>
          <w:color w:val="auto"/>
        </w:rPr>
        <w:t>4</w:t>
      </w:r>
      <w:r>
        <w:rPr>
          <w:rFonts w:ascii="Times New Roman" w:hAnsi="Times New Roman"/>
          <w:color w:val="auto"/>
        </w:rPr>
        <w:t>项的要求在本表后附相关证明材料。</w:t>
      </w:r>
      <w:r>
        <w:rPr>
          <w:rFonts w:hint="eastAsia" w:ascii="Times New Roman" w:hAnsi="Times New Roman"/>
          <w:color w:val="auto"/>
        </w:rPr>
        <w:t>本项目社保缴纳期限包含疫情期，若当地政府部门允许企业在疫情期间缓缴社会保险费且投标人未缴纳的，投标人可提供当地政府部门允许缓缴社保的相关文件作为缴纳社保的证明。</w:t>
      </w:r>
    </w:p>
    <w:p>
      <w:pPr>
        <w:spacing w:line="440" w:lineRule="exact"/>
        <w:rPr>
          <w:rFonts w:ascii="Times New Roman" w:hAnsi="Times New Roman"/>
          <w:color w:val="auto"/>
        </w:rPr>
      </w:pPr>
    </w:p>
    <w:p>
      <w:pPr>
        <w:spacing w:line="440" w:lineRule="exact"/>
        <w:rPr>
          <w:rFonts w:ascii="Times New Roman" w:hAnsi="Times New Roman"/>
          <w:color w:val="auto"/>
        </w:rPr>
      </w:pPr>
      <w:bookmarkStart w:id="797" w:name="_Toc300835229"/>
      <w:bookmarkStart w:id="798" w:name="_Toc352703741"/>
    </w:p>
    <w:p>
      <w:pPr>
        <w:spacing w:line="440" w:lineRule="exact"/>
        <w:jc w:val="center"/>
        <w:rPr>
          <w:rFonts w:ascii="Times New Roman" w:hAnsi="Times New Roman" w:eastAsia="黑体"/>
          <w:color w:val="auto"/>
          <w:sz w:val="28"/>
          <w:szCs w:val="20"/>
        </w:rPr>
      </w:pPr>
    </w:p>
    <w:bookmarkEnd w:id="797"/>
    <w:bookmarkEnd w:id="798"/>
    <w:p>
      <w:pPr>
        <w:pStyle w:val="6"/>
        <w:keepNext w:val="0"/>
        <w:keepLines w:val="0"/>
        <w:spacing w:before="20" w:after="0"/>
        <w:ind w:firstLine="137"/>
        <w:jc w:val="center"/>
        <w:rPr>
          <w:rFonts w:ascii="Times New Roman" w:hAnsi="Times New Roman"/>
          <w:color w:val="auto"/>
        </w:rPr>
      </w:pPr>
      <w:bookmarkStart w:id="799" w:name="_Toc482188666"/>
      <w:r>
        <w:rPr>
          <w:rFonts w:ascii="Times New Roman" w:hAnsi="Times New Roman"/>
          <w:color w:val="auto"/>
        </w:rPr>
        <w:br w:type="page"/>
      </w:r>
      <w:bookmarkEnd w:id="799"/>
      <w:bookmarkStart w:id="800" w:name="_Toc89870678"/>
      <w:r>
        <w:rPr>
          <w:rFonts w:ascii="Times New Roman" w:hAnsi="Times New Roman"/>
          <w:color w:val="auto"/>
        </w:rPr>
        <w:t>（</w:t>
      </w:r>
      <w:r>
        <w:rPr>
          <w:rFonts w:hint="eastAsia" w:ascii="Times New Roman" w:hAnsi="Times New Roman"/>
          <w:color w:val="auto"/>
        </w:rPr>
        <w:t>三</w:t>
      </w:r>
      <w:r>
        <w:rPr>
          <w:rFonts w:ascii="Times New Roman" w:hAnsi="Times New Roman"/>
          <w:color w:val="auto"/>
        </w:rPr>
        <w:t>）</w:t>
      </w:r>
      <w:r>
        <w:rPr>
          <w:rFonts w:hint="eastAsia" w:ascii="Times New Roman" w:hAnsi="Times New Roman"/>
          <w:color w:val="auto"/>
        </w:rPr>
        <w:t>投标人声明</w:t>
      </w:r>
      <w:bookmarkEnd w:id="800"/>
    </w:p>
    <w:p>
      <w:pPr>
        <w:pStyle w:val="5"/>
        <w:keepNext w:val="0"/>
        <w:keepLines w:val="0"/>
        <w:jc w:val="center"/>
        <w:rPr>
          <w:rFonts w:ascii="Times New Roman" w:hAnsi="Times New Roman" w:eastAsia="宋体"/>
          <w:b w:val="0"/>
          <w:color w:val="auto"/>
          <w:sz w:val="21"/>
          <w:szCs w:val="22"/>
        </w:rPr>
      </w:pPr>
      <w:bookmarkStart w:id="801" w:name="_Toc89870679"/>
      <w:r>
        <w:rPr>
          <w:rFonts w:hint="eastAsia" w:ascii="Times New Roman" w:hAnsi="Times New Roman" w:eastAsia="宋体"/>
          <w:b w:val="0"/>
          <w:color w:val="auto"/>
          <w:sz w:val="21"/>
          <w:szCs w:val="22"/>
        </w:rPr>
        <w:t xml:space="preserve">    格式详见招标公告附件一</w:t>
      </w:r>
      <w:bookmarkEnd w:id="801"/>
    </w:p>
    <w:p>
      <w:pPr>
        <w:spacing w:line="360" w:lineRule="auto"/>
        <w:ind w:firstLine="480" w:firstLineChars="200"/>
        <w:rPr>
          <w:rFonts w:ascii="宋体" w:hAnsi="宋体" w:cs="宋体"/>
          <w:color w:val="auto"/>
          <w:kern w:val="0"/>
          <w:sz w:val="24"/>
          <w:szCs w:val="24"/>
        </w:rPr>
      </w:pPr>
    </w:p>
    <w:p>
      <w:pPr>
        <w:pStyle w:val="12"/>
        <w:spacing w:after="0"/>
        <w:ind w:firstLine="480" w:firstLineChars="200"/>
        <w:rPr>
          <w:rFonts w:ascii="宋体" w:hAnsi="宋体" w:cs="宋体"/>
          <w:color w:val="auto"/>
          <w:kern w:val="0"/>
          <w:sz w:val="24"/>
          <w:szCs w:val="24"/>
        </w:rPr>
      </w:pPr>
    </w:p>
    <w:p>
      <w:pPr>
        <w:pStyle w:val="12"/>
        <w:spacing w:after="0"/>
        <w:ind w:firstLine="480" w:firstLineChars="200"/>
        <w:rPr>
          <w:rFonts w:ascii="宋体" w:hAnsi="宋体" w:cs="宋体"/>
          <w:color w:val="auto"/>
          <w:kern w:val="0"/>
          <w:sz w:val="24"/>
          <w:szCs w:val="24"/>
        </w:rPr>
      </w:pPr>
    </w:p>
    <w:p>
      <w:pPr>
        <w:pStyle w:val="12"/>
        <w:spacing w:after="0"/>
        <w:ind w:firstLine="480" w:firstLineChars="200"/>
        <w:rPr>
          <w:rFonts w:ascii="宋体" w:hAnsi="宋体" w:cs="宋体"/>
          <w:color w:val="auto"/>
          <w:kern w:val="0"/>
          <w:sz w:val="24"/>
          <w:szCs w:val="24"/>
        </w:rPr>
      </w:pPr>
    </w:p>
    <w:p>
      <w:pPr>
        <w:pStyle w:val="12"/>
        <w:spacing w:after="0"/>
        <w:ind w:firstLine="480" w:firstLineChars="200"/>
        <w:rPr>
          <w:rFonts w:ascii="宋体" w:hAnsi="宋体" w:cs="宋体"/>
          <w:color w:val="auto"/>
          <w:kern w:val="0"/>
          <w:sz w:val="24"/>
          <w:szCs w:val="24"/>
        </w:rPr>
      </w:pPr>
    </w:p>
    <w:p>
      <w:pPr>
        <w:pStyle w:val="12"/>
        <w:spacing w:after="0"/>
        <w:ind w:firstLine="480" w:firstLineChars="200"/>
        <w:rPr>
          <w:rFonts w:ascii="宋体" w:hAnsi="宋体" w:cs="宋体"/>
          <w:color w:val="auto"/>
          <w:kern w:val="0"/>
          <w:sz w:val="24"/>
          <w:szCs w:val="24"/>
        </w:rPr>
      </w:pPr>
    </w:p>
    <w:p>
      <w:pPr>
        <w:pStyle w:val="12"/>
        <w:spacing w:after="0"/>
        <w:ind w:firstLine="480" w:firstLineChars="200"/>
        <w:rPr>
          <w:rFonts w:ascii="宋体" w:hAnsi="宋体" w:cs="宋体"/>
          <w:color w:val="auto"/>
          <w:kern w:val="0"/>
          <w:sz w:val="24"/>
          <w:szCs w:val="24"/>
        </w:rPr>
      </w:pPr>
    </w:p>
    <w:p>
      <w:pPr>
        <w:pStyle w:val="12"/>
        <w:spacing w:after="0"/>
        <w:ind w:firstLine="480" w:firstLineChars="200"/>
        <w:rPr>
          <w:rFonts w:ascii="宋体" w:hAnsi="宋体" w:cs="宋体"/>
          <w:color w:val="auto"/>
          <w:kern w:val="0"/>
          <w:sz w:val="24"/>
          <w:szCs w:val="24"/>
        </w:rPr>
      </w:pPr>
    </w:p>
    <w:p>
      <w:pPr>
        <w:pStyle w:val="12"/>
        <w:spacing w:after="0"/>
        <w:ind w:firstLine="480" w:firstLineChars="200"/>
        <w:rPr>
          <w:rFonts w:ascii="宋体" w:hAnsi="宋体" w:cs="宋体"/>
          <w:color w:val="auto"/>
          <w:kern w:val="0"/>
          <w:sz w:val="24"/>
          <w:szCs w:val="24"/>
        </w:rPr>
      </w:pPr>
    </w:p>
    <w:p>
      <w:pPr>
        <w:pStyle w:val="12"/>
        <w:spacing w:after="0"/>
        <w:ind w:firstLine="480" w:firstLineChars="200"/>
        <w:rPr>
          <w:rFonts w:ascii="宋体" w:hAnsi="宋体" w:cs="宋体"/>
          <w:color w:val="auto"/>
          <w:kern w:val="0"/>
          <w:sz w:val="24"/>
          <w:szCs w:val="24"/>
        </w:rPr>
      </w:pPr>
    </w:p>
    <w:p>
      <w:pPr>
        <w:pStyle w:val="12"/>
        <w:spacing w:after="0"/>
        <w:ind w:firstLine="480" w:firstLineChars="200"/>
        <w:rPr>
          <w:rFonts w:ascii="宋体" w:hAnsi="宋体" w:cs="宋体"/>
          <w:color w:val="auto"/>
          <w:kern w:val="0"/>
          <w:sz w:val="24"/>
          <w:szCs w:val="24"/>
        </w:rPr>
      </w:pPr>
    </w:p>
    <w:p>
      <w:pPr>
        <w:pStyle w:val="12"/>
        <w:spacing w:after="0"/>
        <w:ind w:firstLine="480" w:firstLineChars="200"/>
        <w:rPr>
          <w:rFonts w:ascii="宋体" w:hAnsi="宋体" w:cs="宋体"/>
          <w:color w:val="auto"/>
          <w:kern w:val="0"/>
          <w:sz w:val="24"/>
          <w:szCs w:val="24"/>
        </w:rPr>
      </w:pPr>
    </w:p>
    <w:p>
      <w:pPr>
        <w:pStyle w:val="12"/>
        <w:spacing w:after="0"/>
        <w:ind w:firstLine="480" w:firstLineChars="200"/>
        <w:rPr>
          <w:rFonts w:ascii="宋体" w:hAnsi="宋体" w:cs="宋体"/>
          <w:color w:val="auto"/>
          <w:kern w:val="0"/>
          <w:sz w:val="24"/>
          <w:szCs w:val="24"/>
        </w:rPr>
      </w:pPr>
    </w:p>
    <w:p>
      <w:pPr>
        <w:pStyle w:val="12"/>
        <w:spacing w:after="0"/>
        <w:ind w:firstLine="480" w:firstLineChars="200"/>
        <w:rPr>
          <w:rFonts w:ascii="宋体" w:hAnsi="宋体" w:cs="宋体"/>
          <w:color w:val="auto"/>
          <w:kern w:val="0"/>
          <w:sz w:val="24"/>
          <w:szCs w:val="24"/>
        </w:rPr>
      </w:pPr>
    </w:p>
    <w:p>
      <w:pPr>
        <w:pStyle w:val="12"/>
        <w:spacing w:after="0"/>
        <w:ind w:firstLine="480" w:firstLineChars="200"/>
        <w:rPr>
          <w:rFonts w:ascii="宋体" w:hAnsi="宋体" w:cs="宋体"/>
          <w:color w:val="auto"/>
          <w:kern w:val="0"/>
          <w:sz w:val="24"/>
          <w:szCs w:val="24"/>
        </w:rPr>
      </w:pPr>
    </w:p>
    <w:p>
      <w:pPr>
        <w:pStyle w:val="12"/>
        <w:spacing w:after="0"/>
        <w:ind w:firstLine="480" w:firstLineChars="200"/>
        <w:rPr>
          <w:rFonts w:ascii="宋体" w:hAnsi="宋体" w:cs="宋体"/>
          <w:color w:val="auto"/>
          <w:kern w:val="0"/>
          <w:sz w:val="24"/>
          <w:szCs w:val="24"/>
        </w:rPr>
      </w:pPr>
    </w:p>
    <w:p>
      <w:pPr>
        <w:pStyle w:val="12"/>
        <w:spacing w:after="0"/>
        <w:ind w:firstLine="480" w:firstLineChars="200"/>
        <w:rPr>
          <w:rFonts w:ascii="宋体" w:hAnsi="宋体" w:cs="宋体"/>
          <w:color w:val="auto"/>
          <w:kern w:val="0"/>
          <w:sz w:val="24"/>
          <w:szCs w:val="24"/>
        </w:rPr>
      </w:pPr>
    </w:p>
    <w:p>
      <w:pPr>
        <w:pStyle w:val="12"/>
        <w:spacing w:after="0"/>
        <w:ind w:firstLine="480" w:firstLineChars="200"/>
        <w:rPr>
          <w:rFonts w:ascii="宋体" w:hAnsi="宋体" w:cs="宋体"/>
          <w:color w:val="auto"/>
          <w:kern w:val="0"/>
          <w:sz w:val="24"/>
          <w:szCs w:val="24"/>
        </w:rPr>
      </w:pPr>
    </w:p>
    <w:p>
      <w:pPr>
        <w:ind w:firstLine="480" w:firstLineChars="200"/>
        <w:rPr>
          <w:rFonts w:ascii="宋体" w:hAnsi="宋体" w:cs="宋体"/>
          <w:color w:val="auto"/>
          <w:kern w:val="0"/>
          <w:sz w:val="24"/>
        </w:rPr>
      </w:pPr>
    </w:p>
    <w:p>
      <w:pPr>
        <w:ind w:firstLine="560" w:firstLineChars="200"/>
        <w:rPr>
          <w:rFonts w:ascii="Times New Roman" w:hAnsi="Times New Roman" w:eastAsia="黑体"/>
          <w:color w:val="auto"/>
          <w:sz w:val="28"/>
          <w:szCs w:val="20"/>
        </w:rPr>
      </w:pPr>
    </w:p>
    <w:p>
      <w:pPr>
        <w:ind w:firstLine="560" w:firstLineChars="200"/>
        <w:rPr>
          <w:rFonts w:ascii="Times New Roman" w:hAnsi="Times New Roman" w:eastAsia="黑体"/>
          <w:color w:val="auto"/>
          <w:sz w:val="28"/>
          <w:szCs w:val="20"/>
        </w:rPr>
      </w:pPr>
    </w:p>
    <w:p>
      <w:pPr>
        <w:ind w:firstLine="560" w:firstLineChars="200"/>
        <w:rPr>
          <w:rFonts w:ascii="Times New Roman" w:hAnsi="Times New Roman" w:eastAsia="黑体"/>
          <w:color w:val="auto"/>
          <w:sz w:val="28"/>
          <w:szCs w:val="20"/>
        </w:rPr>
      </w:pPr>
    </w:p>
    <w:p>
      <w:pPr>
        <w:pStyle w:val="33"/>
        <w:ind w:firstLine="422" w:firstLineChars="200"/>
        <w:jc w:val="both"/>
        <w:rPr>
          <w:color w:val="auto"/>
        </w:rPr>
      </w:pPr>
    </w:p>
    <w:p>
      <w:pPr>
        <w:pStyle w:val="5"/>
        <w:keepNext w:val="0"/>
        <w:keepLines w:val="0"/>
        <w:spacing w:before="0" w:after="0"/>
        <w:ind w:firstLine="562" w:firstLineChars="200"/>
        <w:rPr>
          <w:rFonts w:ascii="Times New Roman" w:hAnsi="Times New Roman"/>
          <w:color w:val="auto"/>
        </w:rPr>
      </w:pPr>
      <w:r>
        <w:rPr>
          <w:rFonts w:hint="eastAsia" w:ascii="Times New Roman" w:hAnsi="Times New Roman"/>
          <w:color w:val="auto"/>
          <w:sz w:val="28"/>
        </w:rPr>
        <w:br w:type="page"/>
      </w:r>
      <w:bookmarkStart w:id="802" w:name="_Toc89870680"/>
      <w:r>
        <w:rPr>
          <w:rFonts w:hint="eastAsia" w:ascii="Times New Roman" w:hAnsi="Times New Roman"/>
          <w:color w:val="auto"/>
        </w:rPr>
        <w:t>六</w:t>
      </w:r>
      <w:r>
        <w:rPr>
          <w:rFonts w:ascii="Times New Roman" w:hAnsi="Times New Roman"/>
          <w:color w:val="auto"/>
        </w:rPr>
        <w:t>、</w:t>
      </w:r>
      <w:r>
        <w:rPr>
          <w:rFonts w:ascii="Times New Roman" w:hAnsi="Times New Roman"/>
          <w:b w:val="0"/>
          <w:color w:val="auto"/>
        </w:rPr>
        <w:t>监理大纲</w:t>
      </w:r>
      <w:bookmarkEnd w:id="802"/>
    </w:p>
    <w:p>
      <w:pPr>
        <w:spacing w:line="360" w:lineRule="auto"/>
        <w:ind w:firstLine="420" w:firstLineChars="200"/>
        <w:rPr>
          <w:rFonts w:ascii="Times New Roman" w:hAnsi="Times New Roman"/>
          <w:color w:val="auto"/>
          <w:szCs w:val="21"/>
        </w:rPr>
      </w:pPr>
      <w:r>
        <w:rPr>
          <w:rFonts w:ascii="Times New Roman" w:hAnsi="Times New Roman"/>
          <w:color w:val="auto"/>
          <w:szCs w:val="21"/>
        </w:rPr>
        <w:t>监理大纲应包括（但不限于）下列内容：</w:t>
      </w:r>
    </w:p>
    <w:p>
      <w:pPr>
        <w:spacing w:line="360" w:lineRule="auto"/>
        <w:ind w:firstLine="420" w:firstLineChars="200"/>
        <w:rPr>
          <w:rFonts w:ascii="Times New Roman" w:hAnsi="Times New Roman"/>
          <w:color w:val="auto"/>
          <w:szCs w:val="21"/>
        </w:rPr>
      </w:pPr>
      <w:r>
        <w:rPr>
          <w:rFonts w:ascii="Times New Roman" w:hAnsi="Times New Roman"/>
          <w:color w:val="auto"/>
          <w:szCs w:val="21"/>
        </w:rPr>
        <w:t>一、监理工程概况；</w:t>
      </w:r>
    </w:p>
    <w:p>
      <w:pPr>
        <w:spacing w:line="360" w:lineRule="auto"/>
        <w:ind w:firstLine="420" w:firstLineChars="200"/>
        <w:rPr>
          <w:rFonts w:ascii="Times New Roman" w:hAnsi="Times New Roman"/>
          <w:color w:val="auto"/>
          <w:szCs w:val="21"/>
        </w:rPr>
      </w:pPr>
      <w:r>
        <w:rPr>
          <w:rFonts w:ascii="Times New Roman" w:hAnsi="Times New Roman"/>
          <w:color w:val="auto"/>
          <w:szCs w:val="21"/>
        </w:rPr>
        <w:t>二、监理范围、监理内容；</w:t>
      </w:r>
    </w:p>
    <w:p>
      <w:pPr>
        <w:spacing w:line="360" w:lineRule="auto"/>
        <w:ind w:firstLine="420" w:firstLineChars="200"/>
        <w:rPr>
          <w:rFonts w:ascii="Times New Roman" w:hAnsi="Times New Roman"/>
          <w:color w:val="auto"/>
          <w:szCs w:val="21"/>
        </w:rPr>
      </w:pPr>
      <w:r>
        <w:rPr>
          <w:rFonts w:ascii="Times New Roman" w:hAnsi="Times New Roman"/>
          <w:color w:val="auto"/>
          <w:szCs w:val="21"/>
        </w:rPr>
        <w:t>三、监理依据、</w:t>
      </w:r>
      <w:r>
        <w:rPr>
          <w:rFonts w:ascii="Times New Roman" w:hAnsi="Times New Roman"/>
          <w:color w:val="auto"/>
        </w:rPr>
        <w:t>监理工作目标</w:t>
      </w:r>
      <w:r>
        <w:rPr>
          <w:rFonts w:ascii="Times New Roman" w:hAnsi="Times New Roman"/>
          <w:color w:val="auto"/>
          <w:szCs w:val="21"/>
        </w:rPr>
        <w:t>；</w:t>
      </w:r>
    </w:p>
    <w:p>
      <w:pPr>
        <w:spacing w:line="360" w:lineRule="auto"/>
        <w:ind w:firstLine="420" w:firstLineChars="200"/>
        <w:rPr>
          <w:rFonts w:ascii="Times New Roman" w:hAnsi="Times New Roman"/>
          <w:color w:val="auto"/>
          <w:szCs w:val="21"/>
        </w:rPr>
      </w:pPr>
      <w:r>
        <w:rPr>
          <w:rFonts w:ascii="Times New Roman" w:hAnsi="Times New Roman"/>
          <w:color w:val="auto"/>
          <w:szCs w:val="21"/>
        </w:rPr>
        <w:t>四、监理机构设置（框图）、岗位职责；</w:t>
      </w:r>
    </w:p>
    <w:p>
      <w:pPr>
        <w:spacing w:line="360" w:lineRule="auto"/>
        <w:ind w:firstLine="420" w:firstLineChars="200"/>
        <w:rPr>
          <w:rFonts w:ascii="Times New Roman" w:hAnsi="Times New Roman"/>
          <w:color w:val="auto"/>
          <w:szCs w:val="21"/>
        </w:rPr>
      </w:pPr>
      <w:r>
        <w:rPr>
          <w:rFonts w:ascii="Times New Roman" w:hAnsi="Times New Roman"/>
          <w:color w:val="auto"/>
          <w:szCs w:val="21"/>
        </w:rPr>
        <w:t>五、监理工作程序、方法和制度；</w:t>
      </w:r>
    </w:p>
    <w:p>
      <w:pPr>
        <w:spacing w:line="360" w:lineRule="auto"/>
        <w:ind w:firstLine="420" w:firstLineChars="200"/>
        <w:rPr>
          <w:rFonts w:ascii="Times New Roman" w:hAnsi="Times New Roman"/>
          <w:color w:val="auto"/>
          <w:szCs w:val="21"/>
        </w:rPr>
      </w:pPr>
      <w:r>
        <w:rPr>
          <w:rFonts w:ascii="Times New Roman" w:hAnsi="Times New Roman"/>
          <w:color w:val="auto"/>
          <w:szCs w:val="21"/>
        </w:rPr>
        <w:t>六、拟投入的监理人员、试验检测仪器设备；</w:t>
      </w:r>
    </w:p>
    <w:p>
      <w:pPr>
        <w:spacing w:line="360" w:lineRule="auto"/>
        <w:ind w:firstLine="420" w:firstLineChars="200"/>
        <w:rPr>
          <w:rFonts w:ascii="Times New Roman" w:hAnsi="Times New Roman"/>
          <w:color w:val="auto"/>
          <w:szCs w:val="21"/>
        </w:rPr>
      </w:pPr>
      <w:r>
        <w:rPr>
          <w:rFonts w:ascii="Times New Roman" w:hAnsi="Times New Roman"/>
          <w:color w:val="auto"/>
          <w:szCs w:val="21"/>
        </w:rPr>
        <w:t xml:space="preserve">七、质量、进度、造价、安全、环保监理措施； </w:t>
      </w:r>
    </w:p>
    <w:p>
      <w:pPr>
        <w:spacing w:line="360" w:lineRule="auto"/>
        <w:ind w:firstLine="420" w:firstLineChars="200"/>
        <w:rPr>
          <w:rFonts w:ascii="Times New Roman" w:hAnsi="Times New Roman"/>
          <w:color w:val="auto"/>
          <w:szCs w:val="21"/>
        </w:rPr>
      </w:pPr>
      <w:r>
        <w:rPr>
          <w:rFonts w:ascii="Times New Roman" w:hAnsi="Times New Roman"/>
          <w:color w:val="auto"/>
          <w:szCs w:val="21"/>
        </w:rPr>
        <w:t>八、合同、信息管理方案；</w:t>
      </w:r>
    </w:p>
    <w:p>
      <w:pPr>
        <w:spacing w:line="360" w:lineRule="auto"/>
        <w:ind w:firstLine="420" w:firstLineChars="200"/>
        <w:rPr>
          <w:rFonts w:ascii="Times New Roman" w:hAnsi="Times New Roman"/>
          <w:color w:val="auto"/>
          <w:szCs w:val="21"/>
        </w:rPr>
      </w:pPr>
      <w:r>
        <w:rPr>
          <w:rFonts w:hint="eastAsia" w:ascii="Times New Roman" w:hAnsi="Times New Roman"/>
          <w:color w:val="auto"/>
          <w:szCs w:val="21"/>
        </w:rPr>
        <w:t>九</w:t>
      </w:r>
      <w:r>
        <w:rPr>
          <w:rFonts w:ascii="Times New Roman" w:hAnsi="Times New Roman"/>
          <w:color w:val="auto"/>
          <w:szCs w:val="21"/>
        </w:rPr>
        <w:t>、组织协调内容及措施；</w:t>
      </w:r>
    </w:p>
    <w:p>
      <w:pPr>
        <w:spacing w:line="360" w:lineRule="auto"/>
        <w:ind w:firstLine="420" w:firstLineChars="200"/>
        <w:rPr>
          <w:rFonts w:ascii="Times New Roman" w:hAnsi="Times New Roman"/>
          <w:color w:val="auto"/>
          <w:szCs w:val="21"/>
        </w:rPr>
      </w:pPr>
      <w:r>
        <w:rPr>
          <w:rFonts w:ascii="Times New Roman" w:hAnsi="Times New Roman"/>
          <w:color w:val="auto"/>
          <w:szCs w:val="21"/>
        </w:rPr>
        <w:t>十、监理工作重点、难点分析；</w:t>
      </w:r>
    </w:p>
    <w:p>
      <w:pPr>
        <w:spacing w:line="360" w:lineRule="auto"/>
        <w:ind w:firstLine="420" w:firstLineChars="200"/>
        <w:rPr>
          <w:rFonts w:ascii="Times New Roman" w:hAnsi="Times New Roman"/>
          <w:color w:val="auto"/>
        </w:rPr>
      </w:pPr>
      <w:r>
        <w:rPr>
          <w:rFonts w:ascii="Times New Roman" w:hAnsi="Times New Roman"/>
          <w:color w:val="auto"/>
          <w:szCs w:val="21"/>
        </w:rPr>
        <w:t>十</w:t>
      </w:r>
      <w:r>
        <w:rPr>
          <w:rFonts w:hint="eastAsia" w:ascii="Times New Roman" w:hAnsi="Times New Roman"/>
          <w:color w:val="auto"/>
          <w:szCs w:val="21"/>
        </w:rPr>
        <w:t>一</w:t>
      </w:r>
      <w:r>
        <w:rPr>
          <w:rFonts w:ascii="Times New Roman" w:hAnsi="Times New Roman"/>
          <w:color w:val="auto"/>
          <w:szCs w:val="21"/>
        </w:rPr>
        <w:t>、对本工程监理的合理化建议。</w:t>
      </w:r>
    </w:p>
    <w:p>
      <w:pPr>
        <w:ind w:firstLine="420" w:firstLineChars="200"/>
        <w:rPr>
          <w:rFonts w:ascii="Times New Roman" w:hAnsi="Times New Roman"/>
          <w:color w:val="auto"/>
        </w:rPr>
      </w:pPr>
    </w:p>
    <w:p>
      <w:pPr>
        <w:pStyle w:val="5"/>
        <w:keepNext w:val="0"/>
        <w:keepLines w:val="0"/>
        <w:spacing w:before="0" w:after="0"/>
        <w:ind w:firstLine="643" w:firstLineChars="200"/>
        <w:rPr>
          <w:color w:val="auto"/>
        </w:rPr>
      </w:pPr>
      <w:r>
        <w:rPr>
          <w:rFonts w:hint="eastAsia"/>
          <w:color w:val="auto"/>
        </w:rPr>
        <w:br w:type="page"/>
      </w:r>
      <w:bookmarkStart w:id="803" w:name="_Toc89870681"/>
      <w:r>
        <w:rPr>
          <w:rFonts w:hint="eastAsia"/>
          <w:color w:val="auto"/>
        </w:rPr>
        <w:t>七、其他资料</w:t>
      </w:r>
      <w:bookmarkEnd w:id="803"/>
    </w:p>
    <w:p>
      <w:pPr>
        <w:pStyle w:val="6"/>
        <w:keepNext w:val="0"/>
        <w:keepLines w:val="0"/>
        <w:spacing w:before="0" w:after="0"/>
        <w:ind w:firstLine="0" w:firstLineChars="0"/>
        <w:jc w:val="center"/>
        <w:rPr>
          <w:rFonts w:ascii="Times New Roman" w:hAnsi="Times New Roman"/>
          <w:color w:val="auto"/>
        </w:rPr>
      </w:pPr>
      <w:bookmarkStart w:id="804" w:name="_Toc89870682"/>
      <w:r>
        <w:rPr>
          <w:rFonts w:hint="eastAsia" w:ascii="Times New Roman" w:hAnsi="Times New Roman"/>
          <w:color w:val="auto"/>
        </w:rPr>
        <w:t>（一）</w:t>
      </w:r>
      <w:r>
        <w:rPr>
          <w:rFonts w:ascii="Times New Roman" w:hAnsi="Times New Roman"/>
          <w:color w:val="auto"/>
        </w:rPr>
        <w:t>近年完成的类似项目情况表</w:t>
      </w:r>
      <w:bookmarkEnd w:id="804"/>
    </w:p>
    <w:tbl>
      <w:tblPr>
        <w:tblStyle w:val="23"/>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4"/>
        <w:gridCol w:w="6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36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420" w:firstLineChars="200"/>
              <w:rPr>
                <w:rFonts w:ascii="Times New Roman" w:hAnsi="Times New Roman"/>
                <w:color w:val="auto"/>
              </w:rPr>
            </w:pPr>
            <w:r>
              <w:rPr>
                <w:rFonts w:hint="eastAsia" w:ascii="宋体" w:hAnsi="宋体" w:cs="宋体"/>
                <w:color w:val="auto"/>
              </w:rPr>
              <w:t>项目名称</w:t>
            </w:r>
          </w:p>
        </w:tc>
        <w:tc>
          <w:tcPr>
            <w:tcW w:w="6514"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36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420" w:firstLineChars="200"/>
              <w:rPr>
                <w:rFonts w:ascii="Times New Roman" w:hAnsi="Times New Roman"/>
                <w:color w:val="auto"/>
              </w:rPr>
            </w:pPr>
            <w:r>
              <w:rPr>
                <w:rFonts w:hint="eastAsia" w:ascii="宋体" w:hAnsi="宋体" w:cs="宋体"/>
                <w:color w:val="auto"/>
              </w:rPr>
              <w:t>项目所在地</w:t>
            </w:r>
          </w:p>
        </w:tc>
        <w:tc>
          <w:tcPr>
            <w:tcW w:w="6514"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36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r>
              <w:rPr>
                <w:rFonts w:hint="eastAsia" w:ascii="宋体" w:hAnsi="宋体" w:cs="宋体"/>
                <w:color w:val="auto"/>
              </w:rPr>
              <w:t>委托人名称</w:t>
            </w:r>
          </w:p>
        </w:tc>
        <w:tc>
          <w:tcPr>
            <w:tcW w:w="6514"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36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r>
              <w:rPr>
                <w:rFonts w:hint="eastAsia" w:ascii="宋体" w:hAnsi="宋体" w:cs="宋体"/>
                <w:color w:val="auto"/>
              </w:rPr>
              <w:t>委托人地址</w:t>
            </w:r>
          </w:p>
        </w:tc>
        <w:tc>
          <w:tcPr>
            <w:tcW w:w="6514"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36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r>
              <w:rPr>
                <w:rFonts w:hint="eastAsia" w:ascii="宋体" w:hAnsi="宋体" w:cs="宋体"/>
                <w:color w:val="auto"/>
              </w:rPr>
              <w:t>委托人电话</w:t>
            </w:r>
          </w:p>
        </w:tc>
        <w:tc>
          <w:tcPr>
            <w:tcW w:w="6514"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36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r>
              <w:rPr>
                <w:rFonts w:hint="eastAsia" w:ascii="宋体" w:hAnsi="宋体" w:cs="宋体"/>
                <w:color w:val="auto"/>
              </w:rPr>
              <w:t>合同价格</w:t>
            </w:r>
          </w:p>
        </w:tc>
        <w:tc>
          <w:tcPr>
            <w:tcW w:w="6514"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36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r>
              <w:rPr>
                <w:rFonts w:hint="eastAsia" w:ascii="宋体" w:hAnsi="宋体" w:cs="宋体"/>
                <w:color w:val="auto"/>
              </w:rPr>
              <w:t>监理服务期限</w:t>
            </w:r>
          </w:p>
        </w:tc>
        <w:tc>
          <w:tcPr>
            <w:tcW w:w="6514"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36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r>
              <w:rPr>
                <w:rFonts w:hint="eastAsia" w:ascii="宋体" w:hAnsi="宋体" w:cs="宋体"/>
                <w:color w:val="auto"/>
              </w:rPr>
              <w:t>监理内容</w:t>
            </w:r>
          </w:p>
        </w:tc>
        <w:tc>
          <w:tcPr>
            <w:tcW w:w="6514"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36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r>
              <w:rPr>
                <w:rFonts w:hint="eastAsia" w:ascii="宋体" w:hAnsi="宋体" w:cs="宋体"/>
                <w:color w:val="auto"/>
              </w:rPr>
              <w:t>总监理工程师</w:t>
            </w:r>
          </w:p>
        </w:tc>
        <w:tc>
          <w:tcPr>
            <w:tcW w:w="6514"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36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r>
              <w:rPr>
                <w:rFonts w:hint="eastAsia" w:ascii="宋体" w:hAnsi="宋体" w:cs="宋体"/>
                <w:color w:val="auto"/>
              </w:rPr>
              <w:t>项目描述</w:t>
            </w:r>
          </w:p>
        </w:tc>
        <w:tc>
          <w:tcPr>
            <w:tcW w:w="6514"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rPr>
            </w:pPr>
          </w:p>
          <w:p>
            <w:pPr>
              <w:topLinePunct/>
              <w:spacing w:line="440" w:lineRule="exact"/>
              <w:rPr>
                <w:rFonts w:ascii="Times New Roman" w:hAnsi="Times New Roman"/>
                <w:color w:val="auto"/>
              </w:rPr>
            </w:pPr>
          </w:p>
          <w:p>
            <w:pPr>
              <w:topLinePunct/>
              <w:spacing w:line="440" w:lineRule="exact"/>
              <w:rPr>
                <w:rFonts w:ascii="Times New Roman" w:hAnsi="Times New Roman"/>
                <w:color w:val="auto"/>
              </w:rPr>
            </w:pPr>
          </w:p>
          <w:p>
            <w:pPr>
              <w:topLinePunct/>
              <w:spacing w:line="440" w:lineRule="exact"/>
              <w:rPr>
                <w:rFonts w:ascii="Times New Roman" w:hAnsi="Times New Roman"/>
                <w:color w:val="auto"/>
              </w:rPr>
            </w:pPr>
          </w:p>
          <w:p>
            <w:pPr>
              <w:topLinePunct/>
              <w:spacing w:line="440" w:lineRule="exact"/>
              <w:rPr>
                <w:rFonts w:ascii="Times New Roman" w:hAnsi="Times New Roman"/>
                <w:color w:val="auto"/>
              </w:rPr>
            </w:pPr>
          </w:p>
          <w:p>
            <w:pPr>
              <w:topLinePunct/>
              <w:spacing w:line="440" w:lineRule="exact"/>
              <w:rPr>
                <w:rFonts w:ascii="Times New Roman" w:hAnsi="Times New Roman"/>
                <w:color w:val="auto"/>
              </w:rPr>
            </w:pPr>
          </w:p>
          <w:p>
            <w:pPr>
              <w:topLinePunct/>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36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r>
              <w:rPr>
                <w:rFonts w:hint="eastAsia" w:ascii="宋体" w:hAnsi="宋体" w:cs="宋体"/>
                <w:color w:val="auto"/>
              </w:rPr>
              <w:t>备注</w:t>
            </w:r>
          </w:p>
        </w:tc>
        <w:tc>
          <w:tcPr>
            <w:tcW w:w="6514"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rPr>
            </w:pPr>
          </w:p>
        </w:tc>
      </w:tr>
    </w:tbl>
    <w:p>
      <w:pPr>
        <w:spacing w:line="440" w:lineRule="exact"/>
        <w:rPr>
          <w:rFonts w:ascii="Times New Roman" w:hAnsi="Times New Roman"/>
          <w:color w:val="auto"/>
        </w:rPr>
      </w:pPr>
      <w:r>
        <w:rPr>
          <w:rFonts w:ascii="Times New Roman" w:hAnsi="Times New Roman"/>
          <w:color w:val="auto"/>
        </w:rPr>
        <w:t>注：投标人应根据</w:t>
      </w:r>
      <w:r>
        <w:rPr>
          <w:rFonts w:hint="eastAsia" w:ascii="Times New Roman" w:hAnsi="Times New Roman"/>
          <w:color w:val="auto"/>
        </w:rPr>
        <w:t>评标办法前附表</w:t>
      </w:r>
      <w:r>
        <w:rPr>
          <w:rFonts w:ascii="Times New Roman" w:hAnsi="Times New Roman"/>
          <w:color w:val="auto"/>
        </w:rPr>
        <w:t>第</w:t>
      </w:r>
      <w:r>
        <w:rPr>
          <w:rFonts w:hint="eastAsia" w:ascii="Times New Roman" w:hAnsi="Times New Roman"/>
          <w:color w:val="auto"/>
        </w:rPr>
        <w:t>2.2.4</w:t>
      </w:r>
      <w:r>
        <w:rPr>
          <w:rFonts w:ascii="Times New Roman" w:hAnsi="Times New Roman"/>
          <w:color w:val="auto"/>
        </w:rPr>
        <w:t>项</w:t>
      </w:r>
      <w:r>
        <w:rPr>
          <w:rFonts w:hint="eastAsia" w:ascii="Times New Roman" w:hAnsi="Times New Roman"/>
          <w:color w:val="auto"/>
        </w:rPr>
        <w:t>说明</w:t>
      </w:r>
      <w:r>
        <w:rPr>
          <w:rFonts w:ascii="Times New Roman" w:hAnsi="Times New Roman"/>
          <w:color w:val="auto"/>
        </w:rPr>
        <w:t>的要求在本表后附相关证明材料。</w:t>
      </w:r>
    </w:p>
    <w:p>
      <w:pPr>
        <w:spacing w:line="440" w:lineRule="exact"/>
        <w:rPr>
          <w:rFonts w:ascii="Times New Roman" w:hAnsi="Times New Roman"/>
          <w:color w:val="auto"/>
        </w:rPr>
      </w:pPr>
    </w:p>
    <w:p>
      <w:pPr>
        <w:spacing w:line="440" w:lineRule="exact"/>
        <w:rPr>
          <w:rFonts w:ascii="Times New Roman" w:hAnsi="Times New Roman"/>
          <w:color w:val="auto"/>
        </w:rPr>
      </w:pPr>
    </w:p>
    <w:p>
      <w:pPr>
        <w:rPr>
          <w:rFonts w:ascii="Times New Roman" w:hAnsi="Times New Roman"/>
          <w:color w:val="auto"/>
        </w:rPr>
      </w:pPr>
      <w:bookmarkStart w:id="805" w:name="_Toc89870683"/>
      <w:r>
        <w:rPr>
          <w:rFonts w:hint="eastAsia" w:ascii="Times New Roman" w:hAnsi="Times New Roman"/>
          <w:color w:val="auto"/>
        </w:rPr>
        <w:br w:type="page"/>
      </w:r>
    </w:p>
    <w:p>
      <w:pPr>
        <w:pStyle w:val="6"/>
        <w:spacing w:before="0" w:after="0"/>
        <w:ind w:firstLine="560" w:firstLineChars="200"/>
        <w:jc w:val="center"/>
        <w:rPr>
          <w:rFonts w:ascii="Times New Roman" w:hAnsi="Times New Roman"/>
          <w:color w:val="auto"/>
        </w:rPr>
      </w:pPr>
      <w:r>
        <w:rPr>
          <w:rFonts w:hint="eastAsia" w:ascii="Times New Roman" w:hAnsi="Times New Roman"/>
          <w:color w:val="auto"/>
        </w:rPr>
        <w:t>（二）</w:t>
      </w:r>
      <w:r>
        <w:rPr>
          <w:rFonts w:ascii="Times New Roman" w:hAnsi="Times New Roman"/>
          <w:color w:val="auto"/>
        </w:rPr>
        <w:t>项目管理团队人员信息表</w:t>
      </w:r>
      <w:bookmarkEnd w:id="805"/>
    </w:p>
    <w:tbl>
      <w:tblPr>
        <w:tblStyle w:val="23"/>
        <w:tblW w:w="9051" w:type="dxa"/>
        <w:jc w:val="center"/>
        <w:tblLayout w:type="fixed"/>
        <w:tblCellMar>
          <w:top w:w="0" w:type="dxa"/>
          <w:left w:w="0" w:type="dxa"/>
          <w:bottom w:w="0" w:type="dxa"/>
          <w:right w:w="0" w:type="dxa"/>
        </w:tblCellMar>
      </w:tblPr>
      <w:tblGrid>
        <w:gridCol w:w="871"/>
        <w:gridCol w:w="1271"/>
        <w:gridCol w:w="1799"/>
        <w:gridCol w:w="1799"/>
        <w:gridCol w:w="3311"/>
      </w:tblGrid>
      <w:tr>
        <w:tblPrEx>
          <w:tblCellMar>
            <w:top w:w="0" w:type="dxa"/>
            <w:left w:w="0" w:type="dxa"/>
            <w:bottom w:w="0" w:type="dxa"/>
            <w:right w:w="0" w:type="dxa"/>
          </w:tblCellMar>
        </w:tblPrEx>
        <w:trPr>
          <w:trHeight w:val="790" w:hRule="atLeast"/>
          <w:jc w:val="center"/>
        </w:trPr>
        <w:tc>
          <w:tcPr>
            <w:tcW w:w="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2" w:firstLineChars="200"/>
              <w:textAlignment w:val="center"/>
              <w:rPr>
                <w:rFonts w:cs="仿宋" w:asciiTheme="majorEastAsia" w:hAnsiTheme="majorEastAsia" w:eastAsiaTheme="majorEastAsia"/>
                <w:b/>
                <w:color w:val="auto"/>
                <w:kern w:val="0"/>
                <w:szCs w:val="21"/>
                <w:lang w:bidi="ar"/>
              </w:rPr>
            </w:pPr>
            <w:r>
              <w:rPr>
                <w:rFonts w:hint="eastAsia" w:cs="仿宋" w:asciiTheme="majorEastAsia" w:hAnsiTheme="majorEastAsia" w:eastAsiaTheme="majorEastAsia"/>
                <w:b/>
                <w:color w:val="auto"/>
                <w:kern w:val="0"/>
                <w:szCs w:val="21"/>
                <w:lang w:bidi="ar"/>
              </w:rPr>
              <w:t>序号</w:t>
            </w: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2" w:firstLineChars="200"/>
              <w:textAlignment w:val="center"/>
              <w:rPr>
                <w:rFonts w:cs="仿宋" w:asciiTheme="majorEastAsia" w:hAnsiTheme="majorEastAsia" w:eastAsiaTheme="majorEastAsia"/>
                <w:b/>
                <w:color w:val="auto"/>
                <w:kern w:val="0"/>
                <w:szCs w:val="21"/>
                <w:lang w:bidi="ar"/>
              </w:rPr>
            </w:pPr>
            <w:r>
              <w:rPr>
                <w:rFonts w:hint="eastAsia" w:cs="仿宋" w:asciiTheme="majorEastAsia" w:hAnsiTheme="majorEastAsia" w:eastAsiaTheme="majorEastAsia"/>
                <w:b/>
                <w:color w:val="auto"/>
                <w:kern w:val="0"/>
                <w:szCs w:val="21"/>
                <w:lang w:bidi="ar"/>
              </w:rPr>
              <w:t>姓名</w:t>
            </w:r>
          </w:p>
        </w:tc>
        <w:tc>
          <w:tcPr>
            <w:tcW w:w="17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2" w:firstLineChars="200"/>
              <w:textAlignment w:val="center"/>
              <w:rPr>
                <w:rFonts w:cs="仿宋" w:asciiTheme="majorEastAsia" w:hAnsiTheme="majorEastAsia" w:eastAsiaTheme="majorEastAsia"/>
                <w:b/>
                <w:color w:val="auto"/>
                <w:szCs w:val="21"/>
              </w:rPr>
            </w:pPr>
            <w:r>
              <w:rPr>
                <w:rFonts w:hint="eastAsia" w:cs="仿宋" w:asciiTheme="majorEastAsia" w:hAnsiTheme="majorEastAsia" w:eastAsiaTheme="majorEastAsia"/>
                <w:b/>
                <w:color w:val="auto"/>
                <w:kern w:val="0"/>
                <w:szCs w:val="21"/>
                <w:lang w:bidi="ar"/>
              </w:rPr>
              <w:t>岗位</w:t>
            </w:r>
          </w:p>
        </w:tc>
        <w:tc>
          <w:tcPr>
            <w:tcW w:w="17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2" w:firstLineChars="200"/>
              <w:textAlignment w:val="center"/>
              <w:rPr>
                <w:rFonts w:cs="仿宋" w:asciiTheme="majorEastAsia" w:hAnsiTheme="majorEastAsia" w:eastAsiaTheme="majorEastAsia"/>
                <w:b/>
                <w:color w:val="auto"/>
                <w:szCs w:val="21"/>
              </w:rPr>
            </w:pPr>
            <w:r>
              <w:rPr>
                <w:rFonts w:hint="eastAsia" w:cs="仿宋" w:asciiTheme="majorEastAsia" w:hAnsiTheme="majorEastAsia" w:eastAsiaTheme="majorEastAsia"/>
                <w:b/>
                <w:color w:val="auto"/>
                <w:kern w:val="0"/>
                <w:szCs w:val="21"/>
                <w:lang w:bidi="ar"/>
              </w:rPr>
              <w:t>职称</w:t>
            </w:r>
          </w:p>
        </w:tc>
        <w:tc>
          <w:tcPr>
            <w:tcW w:w="3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2" w:firstLineChars="200"/>
              <w:textAlignment w:val="center"/>
              <w:rPr>
                <w:rFonts w:cs="仿宋" w:asciiTheme="majorEastAsia" w:hAnsiTheme="majorEastAsia" w:eastAsiaTheme="majorEastAsia"/>
                <w:b/>
                <w:color w:val="auto"/>
                <w:szCs w:val="21"/>
              </w:rPr>
            </w:pPr>
            <w:r>
              <w:rPr>
                <w:rFonts w:hint="eastAsia" w:cs="仿宋" w:asciiTheme="majorEastAsia" w:hAnsiTheme="majorEastAsia" w:eastAsiaTheme="majorEastAsia"/>
                <w:b/>
                <w:color w:val="auto"/>
                <w:kern w:val="0"/>
                <w:szCs w:val="21"/>
                <w:lang w:bidi="ar"/>
              </w:rPr>
              <w:t>职称证书或资格证书编号</w:t>
            </w:r>
          </w:p>
        </w:tc>
      </w:tr>
      <w:tr>
        <w:tblPrEx>
          <w:tblCellMar>
            <w:top w:w="0" w:type="dxa"/>
            <w:left w:w="0" w:type="dxa"/>
            <w:bottom w:w="0" w:type="dxa"/>
            <w:right w:w="0" w:type="dxa"/>
          </w:tblCellMar>
        </w:tblPrEx>
        <w:trPr>
          <w:trHeight w:val="656" w:hRule="atLeast"/>
          <w:jc w:val="center"/>
        </w:trPr>
        <w:tc>
          <w:tcPr>
            <w:tcW w:w="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 w:asciiTheme="majorEastAsia" w:hAnsiTheme="majorEastAsia" w:eastAsiaTheme="majorEastAsia"/>
                <w:color w:val="auto"/>
                <w:szCs w:val="21"/>
              </w:rPr>
            </w:pPr>
            <w:r>
              <w:rPr>
                <w:rFonts w:cs="仿宋" w:asciiTheme="majorEastAsia" w:hAnsiTheme="majorEastAsia" w:eastAsiaTheme="majorEastAsia"/>
                <w:color w:val="auto"/>
                <w:kern w:val="0"/>
                <w:szCs w:val="21"/>
                <w:lang w:bidi="ar"/>
              </w:rPr>
              <w:t>1</w:t>
            </w: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 w:asciiTheme="majorEastAsia" w:hAnsiTheme="majorEastAsia" w:eastAsiaTheme="majorEastAsia"/>
                <w:color w:val="auto"/>
                <w:szCs w:val="21"/>
              </w:rPr>
            </w:pPr>
          </w:p>
        </w:tc>
        <w:tc>
          <w:tcPr>
            <w:tcW w:w="17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 w:asciiTheme="majorEastAsia" w:hAnsiTheme="majorEastAsia" w:eastAsiaTheme="majorEastAsia"/>
                <w:color w:val="auto"/>
                <w:szCs w:val="21"/>
              </w:rPr>
            </w:pPr>
          </w:p>
        </w:tc>
        <w:tc>
          <w:tcPr>
            <w:tcW w:w="17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 w:asciiTheme="majorEastAsia" w:hAnsiTheme="majorEastAsia" w:eastAsiaTheme="majorEastAsia"/>
                <w:color w:val="auto"/>
                <w:szCs w:val="21"/>
              </w:rPr>
            </w:pPr>
          </w:p>
        </w:tc>
        <w:tc>
          <w:tcPr>
            <w:tcW w:w="3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 w:asciiTheme="majorEastAsia" w:hAnsiTheme="majorEastAsia" w:eastAsiaTheme="majorEastAsia"/>
                <w:color w:val="auto"/>
                <w:szCs w:val="21"/>
              </w:rPr>
            </w:pPr>
          </w:p>
        </w:tc>
      </w:tr>
      <w:tr>
        <w:tblPrEx>
          <w:tblCellMar>
            <w:top w:w="0" w:type="dxa"/>
            <w:left w:w="0" w:type="dxa"/>
            <w:bottom w:w="0" w:type="dxa"/>
            <w:right w:w="0" w:type="dxa"/>
          </w:tblCellMar>
        </w:tblPrEx>
        <w:trPr>
          <w:trHeight w:val="656" w:hRule="atLeast"/>
          <w:jc w:val="center"/>
        </w:trPr>
        <w:tc>
          <w:tcPr>
            <w:tcW w:w="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 w:asciiTheme="majorEastAsia" w:hAnsiTheme="majorEastAsia" w:eastAsiaTheme="majorEastAsia"/>
                <w:color w:val="auto"/>
                <w:szCs w:val="21"/>
              </w:rPr>
            </w:pPr>
            <w:r>
              <w:rPr>
                <w:rFonts w:cs="仿宋" w:asciiTheme="majorEastAsia" w:hAnsiTheme="majorEastAsia" w:eastAsiaTheme="majorEastAsia"/>
                <w:color w:val="auto"/>
                <w:kern w:val="0"/>
                <w:szCs w:val="21"/>
                <w:lang w:bidi="ar"/>
              </w:rPr>
              <w:t>2</w:t>
            </w: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 w:asciiTheme="majorEastAsia" w:hAnsiTheme="majorEastAsia" w:eastAsiaTheme="majorEastAsia"/>
                <w:color w:val="auto"/>
                <w:szCs w:val="21"/>
              </w:rPr>
            </w:pPr>
          </w:p>
        </w:tc>
        <w:tc>
          <w:tcPr>
            <w:tcW w:w="17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 w:asciiTheme="majorEastAsia" w:hAnsiTheme="majorEastAsia" w:eastAsiaTheme="majorEastAsia"/>
                <w:color w:val="auto"/>
                <w:szCs w:val="21"/>
              </w:rPr>
            </w:pPr>
          </w:p>
        </w:tc>
        <w:tc>
          <w:tcPr>
            <w:tcW w:w="17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 w:asciiTheme="majorEastAsia" w:hAnsiTheme="majorEastAsia" w:eastAsiaTheme="majorEastAsia"/>
                <w:color w:val="auto"/>
                <w:szCs w:val="21"/>
              </w:rPr>
            </w:pPr>
          </w:p>
        </w:tc>
        <w:tc>
          <w:tcPr>
            <w:tcW w:w="3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 w:asciiTheme="majorEastAsia" w:hAnsiTheme="majorEastAsia" w:eastAsiaTheme="majorEastAsia"/>
                <w:color w:val="auto"/>
                <w:szCs w:val="21"/>
              </w:rPr>
            </w:pPr>
          </w:p>
        </w:tc>
      </w:tr>
      <w:tr>
        <w:tblPrEx>
          <w:tblCellMar>
            <w:top w:w="0" w:type="dxa"/>
            <w:left w:w="0" w:type="dxa"/>
            <w:bottom w:w="0" w:type="dxa"/>
            <w:right w:w="0" w:type="dxa"/>
          </w:tblCellMar>
        </w:tblPrEx>
        <w:trPr>
          <w:trHeight w:val="656" w:hRule="atLeast"/>
          <w:jc w:val="center"/>
        </w:trPr>
        <w:tc>
          <w:tcPr>
            <w:tcW w:w="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 w:asciiTheme="majorEastAsia" w:hAnsiTheme="majorEastAsia" w:eastAsiaTheme="majorEastAsia"/>
                <w:color w:val="auto"/>
                <w:szCs w:val="21"/>
              </w:rPr>
            </w:pPr>
            <w:r>
              <w:rPr>
                <w:rFonts w:cs="仿宋" w:asciiTheme="majorEastAsia" w:hAnsiTheme="majorEastAsia" w:eastAsiaTheme="majorEastAsia"/>
                <w:color w:val="auto"/>
                <w:kern w:val="0"/>
                <w:szCs w:val="21"/>
                <w:lang w:bidi="ar"/>
              </w:rPr>
              <w:t>3</w:t>
            </w: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 w:asciiTheme="majorEastAsia" w:hAnsiTheme="majorEastAsia" w:eastAsiaTheme="majorEastAsia"/>
                <w:color w:val="auto"/>
                <w:szCs w:val="21"/>
              </w:rPr>
            </w:pPr>
          </w:p>
        </w:tc>
        <w:tc>
          <w:tcPr>
            <w:tcW w:w="17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 w:asciiTheme="majorEastAsia" w:hAnsiTheme="majorEastAsia" w:eastAsiaTheme="majorEastAsia"/>
                <w:color w:val="auto"/>
                <w:szCs w:val="21"/>
              </w:rPr>
            </w:pPr>
          </w:p>
        </w:tc>
        <w:tc>
          <w:tcPr>
            <w:tcW w:w="17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 w:asciiTheme="majorEastAsia" w:hAnsiTheme="majorEastAsia" w:eastAsiaTheme="majorEastAsia"/>
                <w:color w:val="auto"/>
                <w:szCs w:val="21"/>
              </w:rPr>
            </w:pPr>
          </w:p>
        </w:tc>
        <w:tc>
          <w:tcPr>
            <w:tcW w:w="3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 w:asciiTheme="majorEastAsia" w:hAnsiTheme="majorEastAsia" w:eastAsiaTheme="majorEastAsia"/>
                <w:color w:val="auto"/>
                <w:szCs w:val="21"/>
              </w:rPr>
            </w:pPr>
          </w:p>
        </w:tc>
      </w:tr>
      <w:tr>
        <w:tblPrEx>
          <w:tblCellMar>
            <w:top w:w="0" w:type="dxa"/>
            <w:left w:w="0" w:type="dxa"/>
            <w:bottom w:w="0" w:type="dxa"/>
            <w:right w:w="0" w:type="dxa"/>
          </w:tblCellMar>
        </w:tblPrEx>
        <w:trPr>
          <w:trHeight w:val="656" w:hRule="atLeast"/>
          <w:jc w:val="center"/>
        </w:trPr>
        <w:tc>
          <w:tcPr>
            <w:tcW w:w="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 w:asciiTheme="majorEastAsia" w:hAnsiTheme="majorEastAsia" w:eastAsiaTheme="majorEastAsia"/>
                <w:color w:val="auto"/>
                <w:szCs w:val="21"/>
              </w:rPr>
            </w:pPr>
            <w:r>
              <w:rPr>
                <w:rFonts w:cs="仿宋" w:asciiTheme="majorEastAsia" w:hAnsiTheme="majorEastAsia" w:eastAsiaTheme="majorEastAsia"/>
                <w:color w:val="auto"/>
                <w:kern w:val="0"/>
                <w:szCs w:val="21"/>
                <w:lang w:bidi="ar"/>
              </w:rPr>
              <w:t>4</w:t>
            </w: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 w:asciiTheme="majorEastAsia" w:hAnsiTheme="majorEastAsia" w:eastAsiaTheme="majorEastAsia"/>
                <w:color w:val="auto"/>
                <w:szCs w:val="21"/>
              </w:rPr>
            </w:pPr>
          </w:p>
        </w:tc>
        <w:tc>
          <w:tcPr>
            <w:tcW w:w="17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 w:asciiTheme="majorEastAsia" w:hAnsiTheme="majorEastAsia" w:eastAsiaTheme="majorEastAsia"/>
                <w:color w:val="auto"/>
                <w:szCs w:val="21"/>
              </w:rPr>
            </w:pPr>
          </w:p>
        </w:tc>
        <w:tc>
          <w:tcPr>
            <w:tcW w:w="17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 w:asciiTheme="majorEastAsia" w:hAnsiTheme="majorEastAsia" w:eastAsiaTheme="majorEastAsia"/>
                <w:color w:val="auto"/>
                <w:szCs w:val="21"/>
              </w:rPr>
            </w:pPr>
          </w:p>
        </w:tc>
        <w:tc>
          <w:tcPr>
            <w:tcW w:w="3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 w:asciiTheme="majorEastAsia" w:hAnsiTheme="majorEastAsia" w:eastAsiaTheme="majorEastAsia"/>
                <w:color w:val="auto"/>
                <w:szCs w:val="21"/>
              </w:rPr>
            </w:pPr>
          </w:p>
        </w:tc>
      </w:tr>
      <w:tr>
        <w:tblPrEx>
          <w:tblCellMar>
            <w:top w:w="0" w:type="dxa"/>
            <w:left w:w="0" w:type="dxa"/>
            <w:bottom w:w="0" w:type="dxa"/>
            <w:right w:w="0" w:type="dxa"/>
          </w:tblCellMar>
        </w:tblPrEx>
        <w:trPr>
          <w:trHeight w:val="656" w:hRule="atLeast"/>
          <w:jc w:val="center"/>
        </w:trPr>
        <w:tc>
          <w:tcPr>
            <w:tcW w:w="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 w:asciiTheme="majorEastAsia" w:hAnsiTheme="majorEastAsia" w:eastAsiaTheme="majorEastAsia"/>
                <w:color w:val="auto"/>
                <w:szCs w:val="21"/>
              </w:rPr>
            </w:pPr>
            <w:r>
              <w:rPr>
                <w:rFonts w:hint="eastAsia" w:cs="仿宋" w:asciiTheme="majorEastAsia" w:hAnsiTheme="majorEastAsia" w:eastAsiaTheme="majorEastAsia"/>
                <w:color w:val="auto"/>
                <w:kern w:val="0"/>
                <w:szCs w:val="21"/>
                <w:lang w:bidi="ar"/>
              </w:rPr>
              <w:t>……</w:t>
            </w: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 w:asciiTheme="majorEastAsia" w:hAnsiTheme="majorEastAsia" w:eastAsiaTheme="majorEastAsia"/>
                <w:color w:val="auto"/>
                <w:szCs w:val="21"/>
              </w:rPr>
            </w:pPr>
          </w:p>
        </w:tc>
        <w:tc>
          <w:tcPr>
            <w:tcW w:w="17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 w:asciiTheme="majorEastAsia" w:hAnsiTheme="majorEastAsia" w:eastAsiaTheme="majorEastAsia"/>
                <w:color w:val="auto"/>
                <w:szCs w:val="21"/>
              </w:rPr>
            </w:pPr>
          </w:p>
        </w:tc>
        <w:tc>
          <w:tcPr>
            <w:tcW w:w="17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 w:asciiTheme="majorEastAsia" w:hAnsiTheme="majorEastAsia" w:eastAsiaTheme="majorEastAsia"/>
                <w:color w:val="auto"/>
                <w:szCs w:val="21"/>
              </w:rPr>
            </w:pPr>
          </w:p>
        </w:tc>
        <w:tc>
          <w:tcPr>
            <w:tcW w:w="3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 w:asciiTheme="majorEastAsia" w:hAnsiTheme="majorEastAsia" w:eastAsiaTheme="majorEastAsia"/>
                <w:color w:val="auto"/>
                <w:szCs w:val="21"/>
              </w:rPr>
            </w:pPr>
          </w:p>
        </w:tc>
      </w:tr>
      <w:tr>
        <w:tblPrEx>
          <w:tblCellMar>
            <w:top w:w="0" w:type="dxa"/>
            <w:left w:w="0" w:type="dxa"/>
            <w:bottom w:w="0" w:type="dxa"/>
            <w:right w:w="0" w:type="dxa"/>
          </w:tblCellMar>
        </w:tblPrEx>
        <w:trPr>
          <w:trHeight w:val="3648" w:hRule="atLeast"/>
          <w:jc w:val="center"/>
        </w:trPr>
        <w:tc>
          <w:tcPr>
            <w:tcW w:w="905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heme="majorEastAsia" w:hAnsiTheme="majorEastAsia" w:eastAsiaTheme="majorEastAsia"/>
                <w:color w:val="auto"/>
              </w:rPr>
            </w:pPr>
            <w:r>
              <w:rPr>
                <w:rStyle w:val="34"/>
                <w:rFonts w:hint="default" w:asciiTheme="majorEastAsia" w:hAnsiTheme="majorEastAsia" w:eastAsiaTheme="majorEastAsia"/>
                <w:color w:val="auto"/>
                <w:sz w:val="21"/>
                <w:szCs w:val="21"/>
                <w:lang w:bidi="ar"/>
              </w:rPr>
              <w:t>备注：</w:t>
            </w:r>
          </w:p>
          <w:p>
            <w:pPr>
              <w:widowControl/>
              <w:jc w:val="left"/>
              <w:textAlignment w:val="center"/>
              <w:rPr>
                <w:rFonts w:asciiTheme="majorEastAsia" w:hAnsiTheme="majorEastAsia" w:eastAsiaTheme="majorEastAsia"/>
                <w:color w:val="auto"/>
              </w:rPr>
            </w:pPr>
            <w:r>
              <w:rPr>
                <w:rStyle w:val="34"/>
                <w:rFonts w:hint="default" w:asciiTheme="majorEastAsia" w:hAnsiTheme="majorEastAsia" w:eastAsiaTheme="majorEastAsia"/>
                <w:color w:val="auto"/>
                <w:sz w:val="21"/>
                <w:szCs w:val="21"/>
                <w:lang w:bidi="ar"/>
              </w:rPr>
              <w:t>1、“岗位”要求</w:t>
            </w:r>
            <w:r>
              <w:rPr>
                <w:rStyle w:val="35"/>
                <w:rFonts w:hint="default" w:asciiTheme="majorEastAsia" w:hAnsiTheme="majorEastAsia" w:eastAsiaTheme="majorEastAsia"/>
                <w:color w:val="auto"/>
                <w:sz w:val="21"/>
                <w:szCs w:val="21"/>
                <w:lang w:bidi="ar"/>
              </w:rPr>
              <w:t>（总监理工程师除外）</w:t>
            </w:r>
            <w:r>
              <w:rPr>
                <w:rStyle w:val="34"/>
                <w:rFonts w:hint="default" w:asciiTheme="majorEastAsia" w:hAnsiTheme="majorEastAsia" w:eastAsiaTheme="majorEastAsia"/>
                <w:color w:val="auto"/>
                <w:sz w:val="21"/>
                <w:szCs w:val="21"/>
                <w:lang w:bidi="ar"/>
              </w:rPr>
              <w:t>由招标人根据项目管理需要在本表备注中明确提出，如：拟派驻施工现场的总监理工程师代表、专业监理工程师、监理员等。以上项目管理团队人员信息将由交易系统提取后供各相关单位在履约时比对、查核。</w:t>
            </w:r>
          </w:p>
          <w:p>
            <w:pPr>
              <w:widowControl/>
              <w:jc w:val="left"/>
              <w:textAlignment w:val="center"/>
              <w:rPr>
                <w:rFonts w:asciiTheme="majorEastAsia" w:hAnsiTheme="majorEastAsia" w:eastAsiaTheme="majorEastAsia"/>
                <w:color w:val="auto"/>
              </w:rPr>
            </w:pPr>
            <w:r>
              <w:rPr>
                <w:rStyle w:val="34"/>
                <w:rFonts w:hint="default" w:asciiTheme="majorEastAsia" w:hAnsiTheme="majorEastAsia" w:eastAsiaTheme="majorEastAsia"/>
                <w:color w:val="auto"/>
                <w:sz w:val="21"/>
                <w:szCs w:val="21"/>
                <w:lang w:bidi="ar"/>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pPr>
              <w:widowControl/>
              <w:jc w:val="left"/>
              <w:textAlignment w:val="center"/>
              <w:rPr>
                <w:rFonts w:cs="仿宋" w:asciiTheme="majorEastAsia" w:hAnsiTheme="majorEastAsia" w:eastAsiaTheme="majorEastAsia"/>
                <w:color w:val="auto"/>
                <w:szCs w:val="21"/>
              </w:rPr>
            </w:pPr>
            <w:r>
              <w:rPr>
                <w:rStyle w:val="34"/>
                <w:rFonts w:hint="default" w:asciiTheme="majorEastAsia" w:hAnsiTheme="majorEastAsia" w:eastAsiaTheme="majorEastAsia"/>
                <w:color w:val="auto"/>
                <w:sz w:val="21"/>
                <w:szCs w:val="21"/>
                <w:lang w:bidi="ar"/>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pPr>
        <w:rPr>
          <w:color w:val="auto"/>
        </w:rPr>
      </w:pPr>
    </w:p>
    <w:p>
      <w:pPr>
        <w:rPr>
          <w:rFonts w:ascii="Times New Roman" w:hAnsi="Times New Roman"/>
          <w:color w:val="auto"/>
        </w:rPr>
      </w:pPr>
    </w:p>
    <w:p>
      <w:pPr>
        <w:pStyle w:val="14"/>
        <w:rPr>
          <w:rFonts w:ascii="Times New Roman" w:hAnsi="Times New Roman"/>
          <w:color w:val="auto"/>
        </w:rPr>
      </w:pPr>
    </w:p>
    <w:p>
      <w:pPr>
        <w:rPr>
          <w:rFonts w:ascii="Times New Roman" w:hAnsi="Times New Roman"/>
          <w:color w:val="auto"/>
        </w:rPr>
      </w:pPr>
    </w:p>
    <w:p>
      <w:pPr>
        <w:pStyle w:val="14"/>
        <w:rPr>
          <w:color w:val="auto"/>
        </w:rPr>
      </w:pPr>
    </w:p>
    <w:p>
      <w:pPr>
        <w:rPr>
          <w:color w:val="auto"/>
        </w:rPr>
      </w:pPr>
    </w:p>
    <w:p>
      <w:pPr>
        <w:pStyle w:val="14"/>
        <w:rPr>
          <w:color w:val="auto"/>
        </w:rPr>
      </w:pPr>
    </w:p>
    <w:p>
      <w:pPr>
        <w:rPr>
          <w:color w:val="auto"/>
        </w:rPr>
      </w:pPr>
    </w:p>
    <w:p>
      <w:pPr>
        <w:pStyle w:val="14"/>
        <w:rPr>
          <w:color w:val="auto"/>
        </w:rPr>
      </w:pPr>
    </w:p>
    <w:p>
      <w:pPr>
        <w:rPr>
          <w:color w:val="auto"/>
        </w:rPr>
      </w:pPr>
    </w:p>
    <w:p>
      <w:pPr>
        <w:pStyle w:val="14"/>
        <w:rPr>
          <w:color w:val="auto"/>
        </w:rPr>
      </w:pPr>
    </w:p>
    <w:p>
      <w:pPr>
        <w:rPr>
          <w:color w:val="auto"/>
        </w:rPr>
      </w:pPr>
    </w:p>
    <w:p>
      <w:pPr>
        <w:pStyle w:val="14"/>
        <w:rPr>
          <w:color w:val="auto"/>
        </w:rPr>
      </w:pPr>
    </w:p>
    <w:p>
      <w:pPr>
        <w:widowControl/>
        <w:jc w:val="left"/>
        <w:rPr>
          <w:rFonts w:ascii="Times New Roman" w:hAnsi="Times New Roman" w:eastAsia="黑体"/>
          <w:color w:val="auto"/>
          <w:sz w:val="28"/>
          <w:szCs w:val="20"/>
        </w:rPr>
      </w:pPr>
      <w:bookmarkStart w:id="806" w:name="_Toc89870684"/>
      <w:r>
        <w:rPr>
          <w:rFonts w:ascii="Times New Roman" w:hAnsi="Times New Roman"/>
          <w:color w:val="auto"/>
        </w:rPr>
        <w:br w:type="page"/>
      </w:r>
    </w:p>
    <w:p>
      <w:pPr>
        <w:pStyle w:val="6"/>
        <w:keepNext w:val="0"/>
        <w:keepLines w:val="0"/>
        <w:ind w:firstLine="137"/>
        <w:jc w:val="center"/>
        <w:rPr>
          <w:rFonts w:ascii="Times New Roman" w:hAnsi="Times New Roman"/>
          <w:color w:val="auto"/>
        </w:rPr>
      </w:pPr>
      <w:r>
        <w:rPr>
          <w:rFonts w:hint="eastAsia" w:ascii="Times New Roman" w:hAnsi="Times New Roman"/>
          <w:color w:val="auto"/>
        </w:rPr>
        <w:t>（三）</w:t>
      </w:r>
      <w:r>
        <w:rPr>
          <w:rFonts w:ascii="Times New Roman" w:hAnsi="Times New Roman"/>
          <w:color w:val="auto"/>
        </w:rPr>
        <w:t>主要人员简历表</w:t>
      </w:r>
      <w:bookmarkEnd w:id="806"/>
    </w:p>
    <w:tbl>
      <w:tblPr>
        <w:tblStyle w:val="2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378"/>
        <w:gridCol w:w="729"/>
        <w:gridCol w:w="1011"/>
        <w:gridCol w:w="1125"/>
        <w:gridCol w:w="747"/>
        <w:gridCol w:w="1331"/>
        <w:gridCol w:w="423"/>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253" w:type="dxa"/>
            <w:vAlign w:val="center"/>
          </w:tcPr>
          <w:p>
            <w:pPr>
              <w:spacing w:line="440" w:lineRule="exact"/>
              <w:jc w:val="center"/>
              <w:rPr>
                <w:rFonts w:ascii="Times New Roman" w:hAnsi="Times New Roman"/>
                <w:color w:val="auto"/>
              </w:rPr>
            </w:pPr>
            <w:r>
              <w:rPr>
                <w:rFonts w:ascii="Times New Roman" w:hAnsi="Times New Roman"/>
                <w:color w:val="auto"/>
              </w:rPr>
              <w:t>姓  名</w:t>
            </w:r>
          </w:p>
        </w:tc>
        <w:tc>
          <w:tcPr>
            <w:tcW w:w="1107" w:type="dxa"/>
            <w:gridSpan w:val="2"/>
            <w:vAlign w:val="center"/>
          </w:tcPr>
          <w:p>
            <w:pPr>
              <w:spacing w:line="440" w:lineRule="exact"/>
              <w:jc w:val="center"/>
              <w:rPr>
                <w:rFonts w:ascii="Times New Roman" w:hAnsi="Times New Roman"/>
                <w:color w:val="auto"/>
              </w:rPr>
            </w:pPr>
          </w:p>
        </w:tc>
        <w:tc>
          <w:tcPr>
            <w:tcW w:w="1011" w:type="dxa"/>
            <w:vAlign w:val="center"/>
          </w:tcPr>
          <w:p>
            <w:pPr>
              <w:spacing w:line="440" w:lineRule="exact"/>
              <w:jc w:val="center"/>
              <w:rPr>
                <w:rFonts w:ascii="Times New Roman" w:hAnsi="Times New Roman"/>
                <w:color w:val="auto"/>
              </w:rPr>
            </w:pPr>
            <w:r>
              <w:rPr>
                <w:rFonts w:ascii="Times New Roman" w:hAnsi="Times New Roman"/>
                <w:color w:val="auto"/>
              </w:rPr>
              <w:t>年龄</w:t>
            </w:r>
          </w:p>
        </w:tc>
        <w:tc>
          <w:tcPr>
            <w:tcW w:w="1125" w:type="dxa"/>
            <w:vAlign w:val="center"/>
          </w:tcPr>
          <w:p>
            <w:pPr>
              <w:spacing w:line="440" w:lineRule="exact"/>
              <w:jc w:val="center"/>
              <w:rPr>
                <w:rFonts w:ascii="Times New Roman" w:hAnsi="Times New Roman"/>
                <w:color w:val="auto"/>
              </w:rPr>
            </w:pPr>
          </w:p>
        </w:tc>
        <w:tc>
          <w:tcPr>
            <w:tcW w:w="2501" w:type="dxa"/>
            <w:gridSpan w:val="3"/>
            <w:vAlign w:val="center"/>
          </w:tcPr>
          <w:p>
            <w:pPr>
              <w:spacing w:line="440" w:lineRule="exact"/>
              <w:jc w:val="center"/>
              <w:rPr>
                <w:rFonts w:ascii="Times New Roman" w:hAnsi="Times New Roman"/>
                <w:color w:val="auto"/>
              </w:rPr>
            </w:pPr>
            <w:r>
              <w:rPr>
                <w:rFonts w:ascii="Times New Roman" w:hAnsi="Times New Roman"/>
                <w:color w:val="auto"/>
              </w:rPr>
              <w:t>执业资格证书（或上岗证书）名称</w:t>
            </w:r>
          </w:p>
        </w:tc>
        <w:tc>
          <w:tcPr>
            <w:tcW w:w="2003" w:type="dxa"/>
            <w:vAlign w:val="center"/>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253" w:type="dxa"/>
            <w:vAlign w:val="center"/>
          </w:tcPr>
          <w:p>
            <w:pPr>
              <w:spacing w:line="440" w:lineRule="exact"/>
              <w:jc w:val="center"/>
              <w:rPr>
                <w:rFonts w:ascii="Times New Roman" w:hAnsi="Times New Roman"/>
                <w:color w:val="auto"/>
              </w:rPr>
            </w:pPr>
            <w:r>
              <w:rPr>
                <w:rFonts w:ascii="Times New Roman" w:hAnsi="Times New Roman"/>
                <w:color w:val="auto"/>
              </w:rPr>
              <w:t>职  称</w:t>
            </w:r>
          </w:p>
        </w:tc>
        <w:tc>
          <w:tcPr>
            <w:tcW w:w="1107" w:type="dxa"/>
            <w:gridSpan w:val="2"/>
            <w:vAlign w:val="center"/>
          </w:tcPr>
          <w:p>
            <w:pPr>
              <w:spacing w:line="440" w:lineRule="exact"/>
              <w:jc w:val="center"/>
              <w:rPr>
                <w:rFonts w:ascii="Times New Roman" w:hAnsi="Times New Roman"/>
                <w:color w:val="auto"/>
              </w:rPr>
            </w:pPr>
          </w:p>
        </w:tc>
        <w:tc>
          <w:tcPr>
            <w:tcW w:w="1011" w:type="dxa"/>
            <w:vAlign w:val="center"/>
          </w:tcPr>
          <w:p>
            <w:pPr>
              <w:spacing w:before="100" w:beforeAutospacing="1" w:after="100" w:afterAutospacing="1" w:line="440" w:lineRule="exact"/>
              <w:jc w:val="center"/>
              <w:rPr>
                <w:rFonts w:ascii="Times New Roman" w:hAnsi="Times New Roman"/>
                <w:color w:val="auto"/>
              </w:rPr>
            </w:pPr>
            <w:r>
              <w:rPr>
                <w:rFonts w:ascii="Times New Roman" w:hAnsi="Times New Roman"/>
                <w:color w:val="auto"/>
              </w:rPr>
              <w:t>学历</w:t>
            </w:r>
          </w:p>
        </w:tc>
        <w:tc>
          <w:tcPr>
            <w:tcW w:w="1125" w:type="dxa"/>
            <w:vAlign w:val="center"/>
          </w:tcPr>
          <w:p>
            <w:pPr>
              <w:spacing w:line="440" w:lineRule="exact"/>
              <w:jc w:val="center"/>
              <w:rPr>
                <w:rFonts w:ascii="Times New Roman" w:hAnsi="Times New Roman"/>
                <w:color w:val="auto"/>
              </w:rPr>
            </w:pPr>
          </w:p>
        </w:tc>
        <w:tc>
          <w:tcPr>
            <w:tcW w:w="2501" w:type="dxa"/>
            <w:gridSpan w:val="3"/>
            <w:vAlign w:val="center"/>
          </w:tcPr>
          <w:p>
            <w:pPr>
              <w:spacing w:before="100" w:beforeAutospacing="1" w:after="100" w:afterAutospacing="1" w:line="440" w:lineRule="exact"/>
              <w:jc w:val="center"/>
              <w:rPr>
                <w:rFonts w:ascii="Times New Roman" w:hAnsi="Times New Roman"/>
                <w:color w:val="auto"/>
              </w:rPr>
            </w:pPr>
            <w:r>
              <w:rPr>
                <w:rFonts w:ascii="Times New Roman" w:hAnsi="Times New Roman"/>
                <w:color w:val="auto"/>
              </w:rPr>
              <w:t>拟在本项目任职</w:t>
            </w:r>
          </w:p>
        </w:tc>
        <w:tc>
          <w:tcPr>
            <w:tcW w:w="2003" w:type="dxa"/>
            <w:vAlign w:val="center"/>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253" w:type="dxa"/>
            <w:vAlign w:val="center"/>
          </w:tcPr>
          <w:p>
            <w:pPr>
              <w:spacing w:before="100" w:beforeAutospacing="1" w:after="100" w:afterAutospacing="1" w:line="440" w:lineRule="exact"/>
              <w:jc w:val="center"/>
              <w:rPr>
                <w:rFonts w:ascii="Times New Roman" w:hAnsi="Times New Roman"/>
                <w:color w:val="auto"/>
              </w:rPr>
            </w:pPr>
            <w:r>
              <w:rPr>
                <w:rFonts w:ascii="Times New Roman" w:hAnsi="Times New Roman"/>
                <w:color w:val="auto"/>
              </w:rPr>
              <w:t>工作年限</w:t>
            </w:r>
          </w:p>
        </w:tc>
        <w:tc>
          <w:tcPr>
            <w:tcW w:w="3243" w:type="dxa"/>
            <w:gridSpan w:val="4"/>
            <w:vAlign w:val="center"/>
          </w:tcPr>
          <w:p>
            <w:pPr>
              <w:spacing w:line="440" w:lineRule="exact"/>
              <w:jc w:val="center"/>
              <w:rPr>
                <w:rFonts w:ascii="Times New Roman" w:hAnsi="Times New Roman"/>
                <w:color w:val="auto"/>
              </w:rPr>
            </w:pPr>
          </w:p>
        </w:tc>
        <w:tc>
          <w:tcPr>
            <w:tcW w:w="2501" w:type="dxa"/>
            <w:gridSpan w:val="3"/>
            <w:vAlign w:val="center"/>
          </w:tcPr>
          <w:p>
            <w:pPr>
              <w:spacing w:before="100" w:beforeAutospacing="1" w:after="100" w:afterAutospacing="1" w:line="440" w:lineRule="exact"/>
              <w:jc w:val="center"/>
              <w:rPr>
                <w:rFonts w:ascii="Times New Roman" w:hAnsi="Times New Roman"/>
                <w:color w:val="auto"/>
              </w:rPr>
            </w:pPr>
            <w:r>
              <w:rPr>
                <w:rFonts w:ascii="Times New Roman" w:hAnsi="Times New Roman"/>
                <w:color w:val="auto"/>
              </w:rPr>
              <w:t>从事监理工作年限</w:t>
            </w:r>
          </w:p>
        </w:tc>
        <w:tc>
          <w:tcPr>
            <w:tcW w:w="2003" w:type="dxa"/>
            <w:vAlign w:val="center"/>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253" w:type="dxa"/>
            <w:vAlign w:val="center"/>
          </w:tcPr>
          <w:p>
            <w:pPr>
              <w:spacing w:before="100" w:beforeAutospacing="1" w:after="100" w:afterAutospacing="1" w:line="440" w:lineRule="exact"/>
              <w:jc w:val="center"/>
              <w:rPr>
                <w:rFonts w:ascii="Times New Roman" w:hAnsi="Times New Roman"/>
                <w:color w:val="auto"/>
              </w:rPr>
            </w:pPr>
            <w:r>
              <w:rPr>
                <w:rFonts w:ascii="Times New Roman" w:hAnsi="Times New Roman"/>
                <w:color w:val="auto"/>
              </w:rPr>
              <w:t>毕业学校</w:t>
            </w:r>
          </w:p>
        </w:tc>
        <w:tc>
          <w:tcPr>
            <w:tcW w:w="7747" w:type="dxa"/>
            <w:gridSpan w:val="8"/>
            <w:vAlign w:val="center"/>
          </w:tcPr>
          <w:p>
            <w:pPr>
              <w:spacing w:before="100" w:beforeAutospacing="1" w:after="100" w:afterAutospacing="1" w:line="440" w:lineRule="exact"/>
              <w:ind w:firstLine="1155" w:firstLineChars="550"/>
              <w:rPr>
                <w:rFonts w:ascii="Times New Roman" w:hAnsi="Times New Roman"/>
                <w:color w:val="auto"/>
              </w:rPr>
            </w:pPr>
            <w:r>
              <w:rPr>
                <w:rFonts w:ascii="Times New Roman" w:hAnsi="Times New Roman"/>
                <w:color w:val="auto"/>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000" w:type="dxa"/>
            <w:gridSpan w:val="9"/>
            <w:vAlign w:val="center"/>
          </w:tcPr>
          <w:p>
            <w:pPr>
              <w:spacing w:before="100" w:beforeAutospacing="1" w:after="100" w:afterAutospacing="1" w:line="440" w:lineRule="exact"/>
              <w:jc w:val="left"/>
              <w:rPr>
                <w:rFonts w:ascii="Times New Roman" w:hAnsi="Times New Roman"/>
                <w:color w:val="auto"/>
              </w:rPr>
            </w:pPr>
            <w:r>
              <w:rPr>
                <w:rFonts w:ascii="Times New Roman" w:hAnsi="Times New Roman"/>
                <w:color w:val="auto"/>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631" w:type="dxa"/>
            <w:gridSpan w:val="2"/>
            <w:vAlign w:val="center"/>
          </w:tcPr>
          <w:p>
            <w:pPr>
              <w:spacing w:before="100" w:beforeAutospacing="1" w:after="100" w:afterAutospacing="1" w:line="440" w:lineRule="exact"/>
              <w:jc w:val="center"/>
              <w:rPr>
                <w:rFonts w:ascii="Times New Roman" w:hAnsi="Times New Roman"/>
                <w:color w:val="auto"/>
              </w:rPr>
            </w:pPr>
            <w:r>
              <w:rPr>
                <w:rFonts w:ascii="Times New Roman" w:hAnsi="Times New Roman"/>
                <w:color w:val="auto"/>
              </w:rPr>
              <w:t>时  间</w:t>
            </w:r>
          </w:p>
        </w:tc>
        <w:tc>
          <w:tcPr>
            <w:tcW w:w="3612" w:type="dxa"/>
            <w:gridSpan w:val="4"/>
            <w:vAlign w:val="center"/>
          </w:tcPr>
          <w:p>
            <w:pPr>
              <w:spacing w:before="100" w:beforeAutospacing="1" w:after="100" w:afterAutospacing="1" w:line="440" w:lineRule="exact"/>
              <w:jc w:val="center"/>
              <w:rPr>
                <w:rFonts w:ascii="Times New Roman" w:hAnsi="Times New Roman"/>
                <w:color w:val="auto"/>
              </w:rPr>
            </w:pPr>
            <w:r>
              <w:rPr>
                <w:rFonts w:ascii="Times New Roman" w:hAnsi="Times New Roman"/>
                <w:color w:val="auto"/>
              </w:rPr>
              <w:t>参加过的类似项目</w:t>
            </w:r>
          </w:p>
        </w:tc>
        <w:tc>
          <w:tcPr>
            <w:tcW w:w="1331" w:type="dxa"/>
            <w:vAlign w:val="center"/>
          </w:tcPr>
          <w:p>
            <w:pPr>
              <w:spacing w:before="100" w:beforeAutospacing="1" w:after="100" w:afterAutospacing="1" w:line="440" w:lineRule="exact"/>
              <w:jc w:val="center"/>
              <w:rPr>
                <w:rFonts w:ascii="Times New Roman" w:hAnsi="Times New Roman"/>
                <w:color w:val="auto"/>
              </w:rPr>
            </w:pPr>
            <w:r>
              <w:rPr>
                <w:rFonts w:ascii="Times New Roman" w:hAnsi="Times New Roman"/>
                <w:color w:val="auto"/>
              </w:rPr>
              <w:t>担任职务</w:t>
            </w:r>
          </w:p>
        </w:tc>
        <w:tc>
          <w:tcPr>
            <w:tcW w:w="2426" w:type="dxa"/>
            <w:gridSpan w:val="2"/>
            <w:vAlign w:val="center"/>
          </w:tcPr>
          <w:p>
            <w:pPr>
              <w:spacing w:before="100" w:beforeAutospacing="1" w:after="100" w:afterAutospacing="1" w:line="440" w:lineRule="exact"/>
              <w:jc w:val="center"/>
              <w:rPr>
                <w:rFonts w:ascii="Times New Roman" w:hAnsi="Times New Roman"/>
                <w:color w:val="auto"/>
              </w:rPr>
            </w:pPr>
            <w:r>
              <w:rPr>
                <w:rFonts w:ascii="Times New Roman" w:hAnsi="Times New Roman"/>
                <w:color w:val="auto"/>
              </w:rPr>
              <w:t>委托人及联系电话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631" w:type="dxa"/>
            <w:gridSpan w:val="2"/>
          </w:tcPr>
          <w:p>
            <w:pPr>
              <w:spacing w:line="440" w:lineRule="exact"/>
              <w:rPr>
                <w:rFonts w:ascii="Times New Roman" w:hAnsi="Times New Roman"/>
                <w:color w:val="auto"/>
              </w:rPr>
            </w:pPr>
          </w:p>
        </w:tc>
        <w:tc>
          <w:tcPr>
            <w:tcW w:w="3612" w:type="dxa"/>
            <w:gridSpan w:val="4"/>
          </w:tcPr>
          <w:p>
            <w:pPr>
              <w:spacing w:line="440" w:lineRule="exact"/>
              <w:rPr>
                <w:rFonts w:ascii="Times New Roman" w:hAnsi="Times New Roman"/>
                <w:color w:val="auto"/>
              </w:rPr>
            </w:pPr>
          </w:p>
        </w:tc>
        <w:tc>
          <w:tcPr>
            <w:tcW w:w="1331" w:type="dxa"/>
          </w:tcPr>
          <w:p>
            <w:pPr>
              <w:spacing w:line="440" w:lineRule="exact"/>
              <w:rPr>
                <w:rFonts w:ascii="Times New Roman" w:hAnsi="Times New Roman"/>
                <w:color w:val="auto"/>
              </w:rPr>
            </w:pPr>
          </w:p>
        </w:tc>
        <w:tc>
          <w:tcPr>
            <w:tcW w:w="2426" w:type="dxa"/>
            <w:gridSpan w:val="2"/>
          </w:tcPr>
          <w:p>
            <w:pPr>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631" w:type="dxa"/>
            <w:gridSpan w:val="2"/>
          </w:tcPr>
          <w:p>
            <w:pPr>
              <w:spacing w:line="440" w:lineRule="exact"/>
              <w:rPr>
                <w:rFonts w:ascii="Times New Roman" w:hAnsi="Times New Roman"/>
                <w:color w:val="auto"/>
              </w:rPr>
            </w:pPr>
          </w:p>
        </w:tc>
        <w:tc>
          <w:tcPr>
            <w:tcW w:w="3612" w:type="dxa"/>
            <w:gridSpan w:val="4"/>
          </w:tcPr>
          <w:p>
            <w:pPr>
              <w:spacing w:line="440" w:lineRule="exact"/>
              <w:rPr>
                <w:rFonts w:ascii="Times New Roman" w:hAnsi="Times New Roman"/>
                <w:color w:val="auto"/>
              </w:rPr>
            </w:pPr>
          </w:p>
        </w:tc>
        <w:tc>
          <w:tcPr>
            <w:tcW w:w="1331" w:type="dxa"/>
          </w:tcPr>
          <w:p>
            <w:pPr>
              <w:spacing w:line="440" w:lineRule="exact"/>
              <w:rPr>
                <w:rFonts w:ascii="Times New Roman" w:hAnsi="Times New Roman"/>
                <w:color w:val="auto"/>
              </w:rPr>
            </w:pPr>
          </w:p>
        </w:tc>
        <w:tc>
          <w:tcPr>
            <w:tcW w:w="2426" w:type="dxa"/>
            <w:gridSpan w:val="2"/>
          </w:tcPr>
          <w:p>
            <w:pPr>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631" w:type="dxa"/>
            <w:gridSpan w:val="2"/>
          </w:tcPr>
          <w:p>
            <w:pPr>
              <w:spacing w:line="440" w:lineRule="exact"/>
              <w:rPr>
                <w:rFonts w:ascii="Times New Roman" w:hAnsi="Times New Roman"/>
                <w:color w:val="auto"/>
              </w:rPr>
            </w:pPr>
          </w:p>
        </w:tc>
        <w:tc>
          <w:tcPr>
            <w:tcW w:w="3612" w:type="dxa"/>
            <w:gridSpan w:val="4"/>
          </w:tcPr>
          <w:p>
            <w:pPr>
              <w:spacing w:line="440" w:lineRule="exact"/>
              <w:rPr>
                <w:rFonts w:ascii="Times New Roman" w:hAnsi="Times New Roman"/>
                <w:color w:val="auto"/>
              </w:rPr>
            </w:pPr>
          </w:p>
        </w:tc>
        <w:tc>
          <w:tcPr>
            <w:tcW w:w="1331" w:type="dxa"/>
          </w:tcPr>
          <w:p>
            <w:pPr>
              <w:spacing w:line="440" w:lineRule="exact"/>
              <w:rPr>
                <w:rFonts w:ascii="Times New Roman" w:hAnsi="Times New Roman"/>
                <w:color w:val="auto"/>
              </w:rPr>
            </w:pPr>
          </w:p>
        </w:tc>
        <w:tc>
          <w:tcPr>
            <w:tcW w:w="2426" w:type="dxa"/>
            <w:gridSpan w:val="2"/>
          </w:tcPr>
          <w:p>
            <w:pPr>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631" w:type="dxa"/>
            <w:gridSpan w:val="2"/>
            <w:vAlign w:val="center"/>
          </w:tcPr>
          <w:p>
            <w:pPr>
              <w:spacing w:line="440" w:lineRule="exact"/>
              <w:rPr>
                <w:rFonts w:ascii="Times New Roman" w:hAnsi="Times New Roman"/>
                <w:color w:val="auto"/>
              </w:rPr>
            </w:pPr>
          </w:p>
        </w:tc>
        <w:tc>
          <w:tcPr>
            <w:tcW w:w="3612" w:type="dxa"/>
            <w:gridSpan w:val="4"/>
            <w:vAlign w:val="center"/>
          </w:tcPr>
          <w:p>
            <w:pPr>
              <w:spacing w:line="440" w:lineRule="exact"/>
              <w:rPr>
                <w:rFonts w:ascii="Times New Roman" w:hAnsi="Times New Roman"/>
                <w:color w:val="auto"/>
              </w:rPr>
            </w:pPr>
          </w:p>
        </w:tc>
        <w:tc>
          <w:tcPr>
            <w:tcW w:w="1331" w:type="dxa"/>
            <w:vAlign w:val="center"/>
          </w:tcPr>
          <w:p>
            <w:pPr>
              <w:spacing w:line="440" w:lineRule="exact"/>
              <w:rPr>
                <w:rFonts w:ascii="Times New Roman" w:hAnsi="Times New Roman"/>
                <w:color w:val="auto"/>
              </w:rPr>
            </w:pPr>
          </w:p>
        </w:tc>
        <w:tc>
          <w:tcPr>
            <w:tcW w:w="2426" w:type="dxa"/>
            <w:gridSpan w:val="2"/>
            <w:vAlign w:val="center"/>
          </w:tcPr>
          <w:p>
            <w:pPr>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631" w:type="dxa"/>
            <w:gridSpan w:val="2"/>
            <w:vAlign w:val="center"/>
          </w:tcPr>
          <w:p>
            <w:pPr>
              <w:spacing w:line="440" w:lineRule="exact"/>
              <w:rPr>
                <w:rFonts w:ascii="Times New Roman" w:hAnsi="Times New Roman"/>
                <w:color w:val="auto"/>
              </w:rPr>
            </w:pPr>
          </w:p>
        </w:tc>
        <w:tc>
          <w:tcPr>
            <w:tcW w:w="3612" w:type="dxa"/>
            <w:gridSpan w:val="4"/>
            <w:vAlign w:val="center"/>
          </w:tcPr>
          <w:p>
            <w:pPr>
              <w:spacing w:line="440" w:lineRule="exact"/>
              <w:rPr>
                <w:rFonts w:ascii="Times New Roman" w:hAnsi="Times New Roman"/>
                <w:color w:val="auto"/>
              </w:rPr>
            </w:pPr>
          </w:p>
        </w:tc>
        <w:tc>
          <w:tcPr>
            <w:tcW w:w="1331" w:type="dxa"/>
            <w:vAlign w:val="center"/>
          </w:tcPr>
          <w:p>
            <w:pPr>
              <w:spacing w:line="440" w:lineRule="exact"/>
              <w:rPr>
                <w:rFonts w:ascii="Times New Roman" w:hAnsi="Times New Roman"/>
                <w:color w:val="auto"/>
              </w:rPr>
            </w:pPr>
          </w:p>
        </w:tc>
        <w:tc>
          <w:tcPr>
            <w:tcW w:w="2426" w:type="dxa"/>
            <w:gridSpan w:val="2"/>
            <w:vAlign w:val="center"/>
          </w:tcPr>
          <w:p>
            <w:pPr>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631" w:type="dxa"/>
            <w:gridSpan w:val="2"/>
            <w:vAlign w:val="center"/>
          </w:tcPr>
          <w:p>
            <w:pPr>
              <w:spacing w:line="440" w:lineRule="exact"/>
              <w:rPr>
                <w:rFonts w:ascii="Times New Roman" w:hAnsi="Times New Roman"/>
                <w:color w:val="auto"/>
              </w:rPr>
            </w:pPr>
          </w:p>
        </w:tc>
        <w:tc>
          <w:tcPr>
            <w:tcW w:w="3612" w:type="dxa"/>
            <w:gridSpan w:val="4"/>
            <w:vAlign w:val="center"/>
          </w:tcPr>
          <w:p>
            <w:pPr>
              <w:spacing w:line="440" w:lineRule="exact"/>
              <w:rPr>
                <w:rFonts w:ascii="Times New Roman" w:hAnsi="Times New Roman"/>
                <w:color w:val="auto"/>
              </w:rPr>
            </w:pPr>
          </w:p>
        </w:tc>
        <w:tc>
          <w:tcPr>
            <w:tcW w:w="1331" w:type="dxa"/>
            <w:vAlign w:val="center"/>
          </w:tcPr>
          <w:p>
            <w:pPr>
              <w:spacing w:line="440" w:lineRule="exact"/>
              <w:rPr>
                <w:rFonts w:ascii="Times New Roman" w:hAnsi="Times New Roman"/>
                <w:color w:val="auto"/>
              </w:rPr>
            </w:pPr>
          </w:p>
        </w:tc>
        <w:tc>
          <w:tcPr>
            <w:tcW w:w="2426" w:type="dxa"/>
            <w:gridSpan w:val="2"/>
            <w:vAlign w:val="center"/>
          </w:tcPr>
          <w:p>
            <w:pPr>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631" w:type="dxa"/>
            <w:gridSpan w:val="2"/>
            <w:vAlign w:val="center"/>
          </w:tcPr>
          <w:p>
            <w:pPr>
              <w:spacing w:line="440" w:lineRule="exact"/>
              <w:rPr>
                <w:rFonts w:ascii="Times New Roman" w:hAnsi="Times New Roman"/>
                <w:color w:val="auto"/>
              </w:rPr>
            </w:pPr>
          </w:p>
        </w:tc>
        <w:tc>
          <w:tcPr>
            <w:tcW w:w="3612" w:type="dxa"/>
            <w:gridSpan w:val="4"/>
            <w:vAlign w:val="center"/>
          </w:tcPr>
          <w:p>
            <w:pPr>
              <w:spacing w:line="440" w:lineRule="exact"/>
              <w:rPr>
                <w:rFonts w:ascii="Times New Roman" w:hAnsi="Times New Roman"/>
                <w:color w:val="auto"/>
              </w:rPr>
            </w:pPr>
          </w:p>
        </w:tc>
        <w:tc>
          <w:tcPr>
            <w:tcW w:w="1331" w:type="dxa"/>
            <w:vAlign w:val="center"/>
          </w:tcPr>
          <w:p>
            <w:pPr>
              <w:spacing w:line="440" w:lineRule="exact"/>
              <w:rPr>
                <w:rFonts w:ascii="Times New Roman" w:hAnsi="Times New Roman"/>
                <w:color w:val="auto"/>
              </w:rPr>
            </w:pPr>
          </w:p>
        </w:tc>
        <w:tc>
          <w:tcPr>
            <w:tcW w:w="2426" w:type="dxa"/>
            <w:gridSpan w:val="2"/>
            <w:vAlign w:val="center"/>
          </w:tcPr>
          <w:p>
            <w:pPr>
              <w:spacing w:line="440" w:lineRule="exact"/>
              <w:rPr>
                <w:rFonts w:ascii="Times New Roman" w:hAnsi="Times New Roman"/>
                <w:color w:val="auto"/>
              </w:rPr>
            </w:pPr>
          </w:p>
        </w:tc>
      </w:tr>
    </w:tbl>
    <w:p>
      <w:pPr>
        <w:spacing w:line="440" w:lineRule="exact"/>
        <w:rPr>
          <w:rFonts w:ascii="Times New Roman" w:hAnsi="Times New Roman"/>
          <w:color w:val="auto"/>
        </w:rPr>
      </w:pPr>
      <w:r>
        <w:rPr>
          <w:rFonts w:ascii="Times New Roman" w:hAnsi="Times New Roman"/>
          <w:color w:val="auto"/>
        </w:rPr>
        <w:t>注：投标人应根据</w:t>
      </w:r>
      <w:r>
        <w:rPr>
          <w:rFonts w:hint="eastAsia" w:ascii="Times New Roman" w:hAnsi="Times New Roman"/>
          <w:color w:val="auto"/>
        </w:rPr>
        <w:t>评标办法前附表</w:t>
      </w:r>
      <w:r>
        <w:rPr>
          <w:rFonts w:ascii="Times New Roman" w:hAnsi="Times New Roman"/>
          <w:color w:val="auto"/>
        </w:rPr>
        <w:t>第</w:t>
      </w:r>
      <w:r>
        <w:rPr>
          <w:rFonts w:hint="eastAsia" w:ascii="Times New Roman" w:hAnsi="Times New Roman"/>
          <w:color w:val="auto"/>
        </w:rPr>
        <w:t>2.2.4</w:t>
      </w:r>
      <w:r>
        <w:rPr>
          <w:rFonts w:ascii="Times New Roman" w:hAnsi="Times New Roman"/>
          <w:color w:val="auto"/>
        </w:rPr>
        <w:t>项</w:t>
      </w:r>
      <w:r>
        <w:rPr>
          <w:rFonts w:hint="eastAsia" w:ascii="Times New Roman" w:hAnsi="Times New Roman"/>
          <w:color w:val="auto"/>
        </w:rPr>
        <w:t>说明</w:t>
      </w:r>
      <w:r>
        <w:rPr>
          <w:rFonts w:ascii="Times New Roman" w:hAnsi="Times New Roman"/>
          <w:color w:val="auto"/>
        </w:rPr>
        <w:t>的要求在本表后附相关证明材料。</w:t>
      </w:r>
      <w:r>
        <w:rPr>
          <w:rFonts w:hint="eastAsia" w:ascii="Times New Roman" w:hAnsi="Times New Roman"/>
          <w:color w:val="auto"/>
        </w:rPr>
        <w:t>本项目社保缴纳期限包含疫情期，若当地政府部门允许企业在疫情期间缓缴社会保险费且投标人未缴纳的，投标人可提供当地政府部门允许缓缴社保的相关文件作为缴纳社保的证明。</w:t>
      </w:r>
    </w:p>
    <w:p>
      <w:pPr>
        <w:pStyle w:val="33"/>
        <w:rPr>
          <w:color w:val="auto"/>
        </w:rPr>
      </w:pPr>
    </w:p>
    <w:p>
      <w:pPr>
        <w:spacing w:line="440" w:lineRule="exact"/>
        <w:rPr>
          <w:rFonts w:ascii="Times New Roman" w:hAnsi="Times New Roman"/>
          <w:color w:val="auto"/>
        </w:rPr>
      </w:pPr>
    </w:p>
    <w:p>
      <w:pPr>
        <w:spacing w:line="440" w:lineRule="exact"/>
        <w:rPr>
          <w:rFonts w:ascii="Times New Roman" w:hAnsi="Times New Roman"/>
          <w:color w:val="auto"/>
        </w:rPr>
      </w:pPr>
    </w:p>
    <w:p>
      <w:pPr>
        <w:widowControl/>
        <w:jc w:val="left"/>
        <w:rPr>
          <w:rFonts w:ascii="Times New Roman" w:hAnsi="Times New Roman" w:eastAsia="黑体"/>
          <w:color w:val="auto"/>
          <w:sz w:val="28"/>
          <w:szCs w:val="20"/>
        </w:rPr>
      </w:pPr>
      <w:bookmarkStart w:id="807" w:name="_Toc89870685"/>
      <w:r>
        <w:rPr>
          <w:rFonts w:ascii="Times New Roman" w:hAnsi="Times New Roman"/>
          <w:color w:val="auto"/>
        </w:rPr>
        <w:br w:type="page"/>
      </w:r>
    </w:p>
    <w:p>
      <w:pPr>
        <w:pStyle w:val="6"/>
        <w:keepNext w:val="0"/>
        <w:keepLines w:val="0"/>
        <w:ind w:firstLine="137"/>
        <w:jc w:val="center"/>
        <w:rPr>
          <w:rFonts w:ascii="Times New Roman" w:hAnsi="Times New Roman"/>
          <w:color w:val="auto"/>
        </w:rPr>
      </w:pPr>
      <w:r>
        <w:rPr>
          <w:rFonts w:hint="eastAsia" w:ascii="Times New Roman" w:hAnsi="Times New Roman"/>
          <w:color w:val="auto"/>
        </w:rPr>
        <w:t>（四）</w:t>
      </w:r>
      <w:r>
        <w:rPr>
          <w:rFonts w:ascii="Times New Roman" w:hAnsi="Times New Roman"/>
          <w:color w:val="auto"/>
        </w:rPr>
        <w:t>拟投入本项目的主要试验检测仪器设备表</w:t>
      </w:r>
      <w:bookmarkEnd w:id="807"/>
    </w:p>
    <w:tbl>
      <w:tblPr>
        <w:tblStyle w:val="23"/>
        <w:tblW w:w="8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410"/>
        <w:gridCol w:w="1036"/>
        <w:gridCol w:w="827"/>
        <w:gridCol w:w="941"/>
        <w:gridCol w:w="1099"/>
        <w:gridCol w:w="1570"/>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806" w:type="dxa"/>
            <w:vAlign w:val="center"/>
          </w:tcPr>
          <w:p>
            <w:pPr>
              <w:spacing w:line="440" w:lineRule="exact"/>
              <w:rPr>
                <w:rFonts w:ascii="Times New Roman" w:hAnsi="Times New Roman"/>
                <w:color w:val="auto"/>
                <w:szCs w:val="21"/>
              </w:rPr>
            </w:pPr>
            <w:r>
              <w:rPr>
                <w:rFonts w:ascii="Times New Roman" w:hAnsi="Times New Roman"/>
                <w:color w:val="auto"/>
                <w:szCs w:val="21"/>
              </w:rPr>
              <w:t>序号</w:t>
            </w:r>
          </w:p>
        </w:tc>
        <w:tc>
          <w:tcPr>
            <w:tcW w:w="1410" w:type="dxa"/>
            <w:vAlign w:val="center"/>
          </w:tcPr>
          <w:p>
            <w:pPr>
              <w:spacing w:line="440" w:lineRule="exact"/>
              <w:jc w:val="center"/>
              <w:rPr>
                <w:rFonts w:ascii="Times New Roman" w:hAnsi="Times New Roman"/>
                <w:color w:val="auto"/>
                <w:szCs w:val="21"/>
              </w:rPr>
            </w:pPr>
            <w:r>
              <w:rPr>
                <w:rFonts w:ascii="Times New Roman" w:hAnsi="Times New Roman"/>
                <w:color w:val="auto"/>
                <w:szCs w:val="21"/>
              </w:rPr>
              <w:t>仪器设备</w:t>
            </w:r>
          </w:p>
          <w:p>
            <w:pPr>
              <w:spacing w:line="440" w:lineRule="exact"/>
              <w:jc w:val="center"/>
              <w:rPr>
                <w:rFonts w:ascii="Times New Roman" w:hAnsi="Times New Roman"/>
                <w:color w:val="auto"/>
                <w:szCs w:val="21"/>
              </w:rPr>
            </w:pPr>
            <w:r>
              <w:rPr>
                <w:rFonts w:ascii="Times New Roman" w:hAnsi="Times New Roman"/>
                <w:color w:val="auto"/>
                <w:szCs w:val="21"/>
              </w:rPr>
              <w:t>名称</w:t>
            </w:r>
          </w:p>
        </w:tc>
        <w:tc>
          <w:tcPr>
            <w:tcW w:w="1036" w:type="dxa"/>
            <w:vAlign w:val="center"/>
          </w:tcPr>
          <w:p>
            <w:pPr>
              <w:spacing w:line="440" w:lineRule="exact"/>
              <w:jc w:val="center"/>
              <w:rPr>
                <w:rFonts w:ascii="Times New Roman" w:hAnsi="Times New Roman"/>
                <w:color w:val="auto"/>
                <w:szCs w:val="21"/>
              </w:rPr>
            </w:pPr>
            <w:r>
              <w:rPr>
                <w:rFonts w:ascii="Times New Roman" w:hAnsi="Times New Roman"/>
                <w:color w:val="auto"/>
                <w:szCs w:val="21"/>
              </w:rPr>
              <w:t>型号</w:t>
            </w:r>
          </w:p>
          <w:p>
            <w:pPr>
              <w:spacing w:line="440" w:lineRule="exact"/>
              <w:jc w:val="center"/>
              <w:rPr>
                <w:rFonts w:ascii="Times New Roman" w:hAnsi="Times New Roman"/>
                <w:color w:val="auto"/>
                <w:szCs w:val="21"/>
              </w:rPr>
            </w:pPr>
            <w:r>
              <w:rPr>
                <w:rFonts w:ascii="Times New Roman" w:hAnsi="Times New Roman"/>
                <w:color w:val="auto"/>
                <w:szCs w:val="21"/>
              </w:rPr>
              <w:t>规格</w:t>
            </w:r>
          </w:p>
        </w:tc>
        <w:tc>
          <w:tcPr>
            <w:tcW w:w="827" w:type="dxa"/>
            <w:vAlign w:val="center"/>
          </w:tcPr>
          <w:p>
            <w:pPr>
              <w:spacing w:line="440" w:lineRule="exact"/>
              <w:jc w:val="center"/>
              <w:rPr>
                <w:rFonts w:ascii="Times New Roman" w:hAnsi="Times New Roman"/>
                <w:color w:val="auto"/>
                <w:szCs w:val="21"/>
              </w:rPr>
            </w:pPr>
            <w:r>
              <w:rPr>
                <w:rFonts w:ascii="Times New Roman" w:hAnsi="Times New Roman"/>
                <w:color w:val="auto"/>
                <w:szCs w:val="21"/>
              </w:rPr>
              <w:t>数量</w:t>
            </w:r>
          </w:p>
        </w:tc>
        <w:tc>
          <w:tcPr>
            <w:tcW w:w="941" w:type="dxa"/>
            <w:vAlign w:val="center"/>
          </w:tcPr>
          <w:p>
            <w:pPr>
              <w:spacing w:line="440" w:lineRule="exact"/>
              <w:jc w:val="center"/>
              <w:rPr>
                <w:rFonts w:ascii="Times New Roman" w:hAnsi="Times New Roman"/>
                <w:color w:val="auto"/>
                <w:szCs w:val="21"/>
              </w:rPr>
            </w:pPr>
            <w:r>
              <w:rPr>
                <w:rFonts w:ascii="Times New Roman" w:hAnsi="Times New Roman"/>
                <w:color w:val="auto"/>
                <w:szCs w:val="21"/>
              </w:rPr>
              <w:t>国别</w:t>
            </w:r>
          </w:p>
          <w:p>
            <w:pPr>
              <w:spacing w:line="440" w:lineRule="exact"/>
              <w:jc w:val="center"/>
              <w:rPr>
                <w:rFonts w:ascii="Times New Roman" w:hAnsi="Times New Roman"/>
                <w:color w:val="auto"/>
                <w:szCs w:val="21"/>
              </w:rPr>
            </w:pPr>
            <w:r>
              <w:rPr>
                <w:rFonts w:ascii="Times New Roman" w:hAnsi="Times New Roman"/>
                <w:color w:val="auto"/>
                <w:szCs w:val="21"/>
              </w:rPr>
              <w:t>产地</w:t>
            </w:r>
          </w:p>
        </w:tc>
        <w:tc>
          <w:tcPr>
            <w:tcW w:w="1099" w:type="dxa"/>
            <w:vAlign w:val="center"/>
          </w:tcPr>
          <w:p>
            <w:pPr>
              <w:spacing w:line="440" w:lineRule="exact"/>
              <w:jc w:val="center"/>
              <w:rPr>
                <w:rFonts w:ascii="Times New Roman" w:hAnsi="Times New Roman"/>
                <w:color w:val="auto"/>
                <w:szCs w:val="21"/>
              </w:rPr>
            </w:pPr>
            <w:r>
              <w:rPr>
                <w:rFonts w:ascii="Times New Roman" w:hAnsi="Times New Roman"/>
                <w:color w:val="auto"/>
                <w:szCs w:val="21"/>
              </w:rPr>
              <w:t>制造</w:t>
            </w:r>
          </w:p>
          <w:p>
            <w:pPr>
              <w:spacing w:line="440" w:lineRule="exact"/>
              <w:jc w:val="center"/>
              <w:rPr>
                <w:rFonts w:ascii="Times New Roman" w:hAnsi="Times New Roman"/>
                <w:color w:val="auto"/>
                <w:szCs w:val="21"/>
              </w:rPr>
            </w:pPr>
            <w:r>
              <w:rPr>
                <w:rFonts w:ascii="Times New Roman" w:hAnsi="Times New Roman"/>
                <w:color w:val="auto"/>
                <w:szCs w:val="21"/>
              </w:rPr>
              <w:t>年份</w:t>
            </w:r>
          </w:p>
        </w:tc>
        <w:tc>
          <w:tcPr>
            <w:tcW w:w="1570" w:type="dxa"/>
            <w:vAlign w:val="center"/>
          </w:tcPr>
          <w:p>
            <w:pPr>
              <w:spacing w:line="440" w:lineRule="exact"/>
              <w:jc w:val="center"/>
              <w:rPr>
                <w:rFonts w:ascii="Times New Roman" w:hAnsi="Times New Roman"/>
                <w:color w:val="auto"/>
                <w:szCs w:val="21"/>
              </w:rPr>
            </w:pPr>
            <w:r>
              <w:rPr>
                <w:rFonts w:ascii="Times New Roman" w:hAnsi="Times New Roman"/>
                <w:color w:val="auto"/>
                <w:szCs w:val="21"/>
              </w:rPr>
              <w:t>用途</w:t>
            </w:r>
          </w:p>
        </w:tc>
        <w:tc>
          <w:tcPr>
            <w:tcW w:w="1285" w:type="dxa"/>
            <w:vAlign w:val="center"/>
          </w:tcPr>
          <w:p>
            <w:pPr>
              <w:spacing w:line="440" w:lineRule="exact"/>
              <w:jc w:val="center"/>
              <w:rPr>
                <w:rFonts w:ascii="Times New Roman" w:hAnsi="Times New Roman"/>
                <w:color w:val="auto"/>
                <w:szCs w:val="21"/>
              </w:rPr>
            </w:pPr>
            <w:r>
              <w:rPr>
                <w:rFonts w:ascii="Times New Roman" w:hAnsi="Times New Roman"/>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06" w:type="dxa"/>
            <w:vAlign w:val="center"/>
          </w:tcPr>
          <w:p>
            <w:pPr>
              <w:spacing w:line="440" w:lineRule="exact"/>
              <w:jc w:val="center"/>
              <w:rPr>
                <w:rFonts w:ascii="Times New Roman" w:hAnsi="Times New Roman"/>
                <w:color w:val="auto"/>
                <w:szCs w:val="21"/>
              </w:rPr>
            </w:pPr>
          </w:p>
        </w:tc>
        <w:tc>
          <w:tcPr>
            <w:tcW w:w="1410" w:type="dxa"/>
            <w:vAlign w:val="center"/>
          </w:tcPr>
          <w:p>
            <w:pPr>
              <w:spacing w:line="440" w:lineRule="exact"/>
              <w:jc w:val="center"/>
              <w:rPr>
                <w:rFonts w:ascii="Times New Roman" w:hAnsi="Times New Roman"/>
                <w:color w:val="auto"/>
                <w:szCs w:val="21"/>
              </w:rPr>
            </w:pPr>
          </w:p>
        </w:tc>
        <w:tc>
          <w:tcPr>
            <w:tcW w:w="1036" w:type="dxa"/>
            <w:vAlign w:val="center"/>
          </w:tcPr>
          <w:p>
            <w:pPr>
              <w:spacing w:line="440" w:lineRule="exact"/>
              <w:jc w:val="center"/>
              <w:rPr>
                <w:rFonts w:ascii="Times New Roman" w:hAnsi="Times New Roman"/>
                <w:color w:val="auto"/>
                <w:szCs w:val="21"/>
              </w:rPr>
            </w:pPr>
          </w:p>
        </w:tc>
        <w:tc>
          <w:tcPr>
            <w:tcW w:w="827" w:type="dxa"/>
            <w:vAlign w:val="center"/>
          </w:tcPr>
          <w:p>
            <w:pPr>
              <w:spacing w:line="440" w:lineRule="exact"/>
              <w:jc w:val="center"/>
              <w:rPr>
                <w:rFonts w:ascii="Times New Roman" w:hAnsi="Times New Roman"/>
                <w:color w:val="auto"/>
                <w:szCs w:val="21"/>
              </w:rPr>
            </w:pPr>
          </w:p>
        </w:tc>
        <w:tc>
          <w:tcPr>
            <w:tcW w:w="941" w:type="dxa"/>
            <w:vAlign w:val="center"/>
          </w:tcPr>
          <w:p>
            <w:pPr>
              <w:spacing w:line="440" w:lineRule="exact"/>
              <w:jc w:val="center"/>
              <w:rPr>
                <w:rFonts w:ascii="Times New Roman" w:hAnsi="Times New Roman"/>
                <w:color w:val="auto"/>
                <w:szCs w:val="21"/>
              </w:rPr>
            </w:pPr>
          </w:p>
        </w:tc>
        <w:tc>
          <w:tcPr>
            <w:tcW w:w="1099" w:type="dxa"/>
            <w:vAlign w:val="center"/>
          </w:tcPr>
          <w:p>
            <w:pPr>
              <w:spacing w:line="440" w:lineRule="exact"/>
              <w:jc w:val="center"/>
              <w:rPr>
                <w:rFonts w:ascii="Times New Roman" w:hAnsi="Times New Roman"/>
                <w:color w:val="auto"/>
                <w:szCs w:val="21"/>
              </w:rPr>
            </w:pPr>
          </w:p>
        </w:tc>
        <w:tc>
          <w:tcPr>
            <w:tcW w:w="1570" w:type="dxa"/>
            <w:vAlign w:val="center"/>
          </w:tcPr>
          <w:p>
            <w:pPr>
              <w:spacing w:line="440" w:lineRule="exact"/>
              <w:jc w:val="center"/>
              <w:rPr>
                <w:rFonts w:ascii="Times New Roman" w:hAnsi="Times New Roman"/>
                <w:color w:val="auto"/>
                <w:szCs w:val="21"/>
              </w:rPr>
            </w:pPr>
          </w:p>
        </w:tc>
        <w:tc>
          <w:tcPr>
            <w:tcW w:w="1285" w:type="dxa"/>
            <w:vAlign w:val="center"/>
          </w:tcPr>
          <w:p>
            <w:pPr>
              <w:spacing w:line="4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06" w:type="dxa"/>
            <w:vAlign w:val="center"/>
          </w:tcPr>
          <w:p>
            <w:pPr>
              <w:spacing w:line="440" w:lineRule="exact"/>
              <w:jc w:val="center"/>
              <w:rPr>
                <w:rFonts w:ascii="Times New Roman" w:hAnsi="Times New Roman"/>
                <w:color w:val="auto"/>
                <w:szCs w:val="21"/>
              </w:rPr>
            </w:pPr>
          </w:p>
        </w:tc>
        <w:tc>
          <w:tcPr>
            <w:tcW w:w="1410" w:type="dxa"/>
            <w:vAlign w:val="center"/>
          </w:tcPr>
          <w:p>
            <w:pPr>
              <w:spacing w:line="440" w:lineRule="exact"/>
              <w:jc w:val="center"/>
              <w:rPr>
                <w:rFonts w:ascii="Times New Roman" w:hAnsi="Times New Roman"/>
                <w:color w:val="auto"/>
                <w:szCs w:val="21"/>
              </w:rPr>
            </w:pPr>
          </w:p>
        </w:tc>
        <w:tc>
          <w:tcPr>
            <w:tcW w:w="1036" w:type="dxa"/>
            <w:vAlign w:val="center"/>
          </w:tcPr>
          <w:p>
            <w:pPr>
              <w:spacing w:line="440" w:lineRule="exact"/>
              <w:jc w:val="center"/>
              <w:rPr>
                <w:rFonts w:ascii="Times New Roman" w:hAnsi="Times New Roman"/>
                <w:color w:val="auto"/>
                <w:szCs w:val="21"/>
              </w:rPr>
            </w:pPr>
          </w:p>
        </w:tc>
        <w:tc>
          <w:tcPr>
            <w:tcW w:w="827" w:type="dxa"/>
            <w:vAlign w:val="center"/>
          </w:tcPr>
          <w:p>
            <w:pPr>
              <w:spacing w:line="440" w:lineRule="exact"/>
              <w:jc w:val="center"/>
              <w:rPr>
                <w:rFonts w:ascii="Times New Roman" w:hAnsi="Times New Roman"/>
                <w:color w:val="auto"/>
                <w:szCs w:val="21"/>
              </w:rPr>
            </w:pPr>
          </w:p>
        </w:tc>
        <w:tc>
          <w:tcPr>
            <w:tcW w:w="941" w:type="dxa"/>
            <w:vAlign w:val="center"/>
          </w:tcPr>
          <w:p>
            <w:pPr>
              <w:spacing w:line="440" w:lineRule="exact"/>
              <w:jc w:val="center"/>
              <w:rPr>
                <w:rFonts w:ascii="Times New Roman" w:hAnsi="Times New Roman"/>
                <w:color w:val="auto"/>
                <w:szCs w:val="21"/>
              </w:rPr>
            </w:pPr>
          </w:p>
        </w:tc>
        <w:tc>
          <w:tcPr>
            <w:tcW w:w="1099" w:type="dxa"/>
            <w:vAlign w:val="center"/>
          </w:tcPr>
          <w:p>
            <w:pPr>
              <w:spacing w:line="440" w:lineRule="exact"/>
              <w:jc w:val="center"/>
              <w:rPr>
                <w:rFonts w:ascii="Times New Roman" w:hAnsi="Times New Roman"/>
                <w:color w:val="auto"/>
                <w:szCs w:val="21"/>
              </w:rPr>
            </w:pPr>
          </w:p>
        </w:tc>
        <w:tc>
          <w:tcPr>
            <w:tcW w:w="1570" w:type="dxa"/>
            <w:vAlign w:val="center"/>
          </w:tcPr>
          <w:p>
            <w:pPr>
              <w:spacing w:line="440" w:lineRule="exact"/>
              <w:jc w:val="center"/>
              <w:rPr>
                <w:rFonts w:ascii="Times New Roman" w:hAnsi="Times New Roman"/>
                <w:color w:val="auto"/>
                <w:szCs w:val="21"/>
              </w:rPr>
            </w:pPr>
          </w:p>
        </w:tc>
        <w:tc>
          <w:tcPr>
            <w:tcW w:w="1285" w:type="dxa"/>
            <w:vAlign w:val="center"/>
          </w:tcPr>
          <w:p>
            <w:pPr>
              <w:spacing w:line="4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06" w:type="dxa"/>
          </w:tcPr>
          <w:p>
            <w:pPr>
              <w:spacing w:line="440" w:lineRule="exact"/>
              <w:jc w:val="center"/>
              <w:rPr>
                <w:rFonts w:ascii="Times New Roman" w:hAnsi="Times New Roman"/>
                <w:color w:val="auto"/>
                <w:szCs w:val="21"/>
              </w:rPr>
            </w:pPr>
          </w:p>
        </w:tc>
        <w:tc>
          <w:tcPr>
            <w:tcW w:w="1410" w:type="dxa"/>
          </w:tcPr>
          <w:p>
            <w:pPr>
              <w:spacing w:line="440" w:lineRule="exact"/>
              <w:jc w:val="center"/>
              <w:rPr>
                <w:rFonts w:ascii="Times New Roman" w:hAnsi="Times New Roman"/>
                <w:color w:val="auto"/>
                <w:szCs w:val="21"/>
              </w:rPr>
            </w:pPr>
          </w:p>
        </w:tc>
        <w:tc>
          <w:tcPr>
            <w:tcW w:w="1036" w:type="dxa"/>
          </w:tcPr>
          <w:p>
            <w:pPr>
              <w:spacing w:line="440" w:lineRule="exact"/>
              <w:jc w:val="center"/>
              <w:rPr>
                <w:rFonts w:ascii="Times New Roman" w:hAnsi="Times New Roman"/>
                <w:color w:val="auto"/>
                <w:szCs w:val="21"/>
              </w:rPr>
            </w:pPr>
          </w:p>
        </w:tc>
        <w:tc>
          <w:tcPr>
            <w:tcW w:w="827" w:type="dxa"/>
          </w:tcPr>
          <w:p>
            <w:pPr>
              <w:spacing w:line="440" w:lineRule="exact"/>
              <w:jc w:val="center"/>
              <w:rPr>
                <w:rFonts w:ascii="Times New Roman" w:hAnsi="Times New Roman"/>
                <w:color w:val="auto"/>
                <w:szCs w:val="21"/>
              </w:rPr>
            </w:pPr>
          </w:p>
        </w:tc>
        <w:tc>
          <w:tcPr>
            <w:tcW w:w="941" w:type="dxa"/>
          </w:tcPr>
          <w:p>
            <w:pPr>
              <w:spacing w:line="440" w:lineRule="exact"/>
              <w:jc w:val="center"/>
              <w:rPr>
                <w:rFonts w:ascii="Times New Roman" w:hAnsi="Times New Roman"/>
                <w:color w:val="auto"/>
                <w:szCs w:val="21"/>
              </w:rPr>
            </w:pPr>
          </w:p>
        </w:tc>
        <w:tc>
          <w:tcPr>
            <w:tcW w:w="1099" w:type="dxa"/>
          </w:tcPr>
          <w:p>
            <w:pPr>
              <w:spacing w:line="440" w:lineRule="exact"/>
              <w:jc w:val="center"/>
              <w:rPr>
                <w:rFonts w:ascii="Times New Roman" w:hAnsi="Times New Roman"/>
                <w:color w:val="auto"/>
                <w:szCs w:val="21"/>
              </w:rPr>
            </w:pPr>
          </w:p>
        </w:tc>
        <w:tc>
          <w:tcPr>
            <w:tcW w:w="1570" w:type="dxa"/>
          </w:tcPr>
          <w:p>
            <w:pPr>
              <w:spacing w:line="440" w:lineRule="exact"/>
              <w:jc w:val="center"/>
              <w:rPr>
                <w:rFonts w:ascii="Times New Roman" w:hAnsi="Times New Roman"/>
                <w:color w:val="auto"/>
                <w:szCs w:val="21"/>
              </w:rPr>
            </w:pPr>
          </w:p>
        </w:tc>
        <w:tc>
          <w:tcPr>
            <w:tcW w:w="1285" w:type="dxa"/>
          </w:tcPr>
          <w:p>
            <w:pPr>
              <w:spacing w:line="4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06" w:type="dxa"/>
          </w:tcPr>
          <w:p>
            <w:pPr>
              <w:spacing w:line="440" w:lineRule="exact"/>
              <w:jc w:val="center"/>
              <w:rPr>
                <w:rFonts w:ascii="Times New Roman" w:hAnsi="Times New Roman"/>
                <w:color w:val="auto"/>
                <w:szCs w:val="21"/>
              </w:rPr>
            </w:pPr>
          </w:p>
        </w:tc>
        <w:tc>
          <w:tcPr>
            <w:tcW w:w="1410" w:type="dxa"/>
          </w:tcPr>
          <w:p>
            <w:pPr>
              <w:spacing w:line="440" w:lineRule="exact"/>
              <w:jc w:val="center"/>
              <w:rPr>
                <w:rFonts w:ascii="Times New Roman" w:hAnsi="Times New Roman"/>
                <w:color w:val="auto"/>
                <w:szCs w:val="21"/>
              </w:rPr>
            </w:pPr>
          </w:p>
        </w:tc>
        <w:tc>
          <w:tcPr>
            <w:tcW w:w="1036" w:type="dxa"/>
          </w:tcPr>
          <w:p>
            <w:pPr>
              <w:spacing w:line="440" w:lineRule="exact"/>
              <w:jc w:val="center"/>
              <w:rPr>
                <w:rFonts w:ascii="Times New Roman" w:hAnsi="Times New Roman"/>
                <w:color w:val="auto"/>
                <w:szCs w:val="21"/>
              </w:rPr>
            </w:pPr>
          </w:p>
        </w:tc>
        <w:tc>
          <w:tcPr>
            <w:tcW w:w="827" w:type="dxa"/>
          </w:tcPr>
          <w:p>
            <w:pPr>
              <w:spacing w:line="440" w:lineRule="exact"/>
              <w:jc w:val="center"/>
              <w:rPr>
                <w:rFonts w:ascii="Times New Roman" w:hAnsi="Times New Roman"/>
                <w:color w:val="auto"/>
                <w:szCs w:val="21"/>
              </w:rPr>
            </w:pPr>
          </w:p>
        </w:tc>
        <w:tc>
          <w:tcPr>
            <w:tcW w:w="941" w:type="dxa"/>
          </w:tcPr>
          <w:p>
            <w:pPr>
              <w:spacing w:line="440" w:lineRule="exact"/>
              <w:jc w:val="center"/>
              <w:rPr>
                <w:rFonts w:ascii="Times New Roman" w:hAnsi="Times New Roman"/>
                <w:color w:val="auto"/>
                <w:szCs w:val="21"/>
              </w:rPr>
            </w:pPr>
          </w:p>
        </w:tc>
        <w:tc>
          <w:tcPr>
            <w:tcW w:w="1099" w:type="dxa"/>
          </w:tcPr>
          <w:p>
            <w:pPr>
              <w:spacing w:line="440" w:lineRule="exact"/>
              <w:jc w:val="center"/>
              <w:rPr>
                <w:rFonts w:ascii="Times New Roman" w:hAnsi="Times New Roman"/>
                <w:color w:val="auto"/>
                <w:szCs w:val="21"/>
              </w:rPr>
            </w:pPr>
          </w:p>
        </w:tc>
        <w:tc>
          <w:tcPr>
            <w:tcW w:w="1570" w:type="dxa"/>
          </w:tcPr>
          <w:p>
            <w:pPr>
              <w:spacing w:line="440" w:lineRule="exact"/>
              <w:jc w:val="center"/>
              <w:rPr>
                <w:rFonts w:ascii="Times New Roman" w:hAnsi="Times New Roman"/>
                <w:color w:val="auto"/>
                <w:szCs w:val="21"/>
              </w:rPr>
            </w:pPr>
          </w:p>
        </w:tc>
        <w:tc>
          <w:tcPr>
            <w:tcW w:w="1285" w:type="dxa"/>
          </w:tcPr>
          <w:p>
            <w:pPr>
              <w:spacing w:line="4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06" w:type="dxa"/>
          </w:tcPr>
          <w:p>
            <w:pPr>
              <w:spacing w:line="440" w:lineRule="exact"/>
              <w:jc w:val="center"/>
              <w:rPr>
                <w:rFonts w:ascii="Times New Roman" w:hAnsi="Times New Roman"/>
                <w:color w:val="auto"/>
                <w:szCs w:val="21"/>
              </w:rPr>
            </w:pPr>
          </w:p>
        </w:tc>
        <w:tc>
          <w:tcPr>
            <w:tcW w:w="1410" w:type="dxa"/>
          </w:tcPr>
          <w:p>
            <w:pPr>
              <w:spacing w:line="440" w:lineRule="exact"/>
              <w:jc w:val="center"/>
              <w:rPr>
                <w:rFonts w:ascii="Times New Roman" w:hAnsi="Times New Roman"/>
                <w:color w:val="auto"/>
                <w:szCs w:val="21"/>
              </w:rPr>
            </w:pPr>
          </w:p>
        </w:tc>
        <w:tc>
          <w:tcPr>
            <w:tcW w:w="1036" w:type="dxa"/>
          </w:tcPr>
          <w:p>
            <w:pPr>
              <w:spacing w:line="440" w:lineRule="exact"/>
              <w:jc w:val="center"/>
              <w:rPr>
                <w:rFonts w:ascii="Times New Roman" w:hAnsi="Times New Roman"/>
                <w:color w:val="auto"/>
                <w:szCs w:val="21"/>
              </w:rPr>
            </w:pPr>
          </w:p>
        </w:tc>
        <w:tc>
          <w:tcPr>
            <w:tcW w:w="827" w:type="dxa"/>
          </w:tcPr>
          <w:p>
            <w:pPr>
              <w:spacing w:line="440" w:lineRule="exact"/>
              <w:jc w:val="center"/>
              <w:rPr>
                <w:rFonts w:ascii="Times New Roman" w:hAnsi="Times New Roman"/>
                <w:color w:val="auto"/>
                <w:szCs w:val="21"/>
              </w:rPr>
            </w:pPr>
          </w:p>
        </w:tc>
        <w:tc>
          <w:tcPr>
            <w:tcW w:w="941" w:type="dxa"/>
          </w:tcPr>
          <w:p>
            <w:pPr>
              <w:spacing w:line="440" w:lineRule="exact"/>
              <w:jc w:val="center"/>
              <w:rPr>
                <w:rFonts w:ascii="Times New Roman" w:hAnsi="Times New Roman"/>
                <w:color w:val="auto"/>
                <w:szCs w:val="21"/>
              </w:rPr>
            </w:pPr>
          </w:p>
        </w:tc>
        <w:tc>
          <w:tcPr>
            <w:tcW w:w="1099" w:type="dxa"/>
          </w:tcPr>
          <w:p>
            <w:pPr>
              <w:spacing w:line="440" w:lineRule="exact"/>
              <w:jc w:val="center"/>
              <w:rPr>
                <w:rFonts w:ascii="Times New Roman" w:hAnsi="Times New Roman"/>
                <w:color w:val="auto"/>
                <w:szCs w:val="21"/>
              </w:rPr>
            </w:pPr>
          </w:p>
        </w:tc>
        <w:tc>
          <w:tcPr>
            <w:tcW w:w="1570" w:type="dxa"/>
          </w:tcPr>
          <w:p>
            <w:pPr>
              <w:spacing w:line="440" w:lineRule="exact"/>
              <w:jc w:val="center"/>
              <w:rPr>
                <w:rFonts w:ascii="Times New Roman" w:hAnsi="Times New Roman"/>
                <w:color w:val="auto"/>
                <w:szCs w:val="21"/>
              </w:rPr>
            </w:pPr>
          </w:p>
        </w:tc>
        <w:tc>
          <w:tcPr>
            <w:tcW w:w="1285" w:type="dxa"/>
          </w:tcPr>
          <w:p>
            <w:pPr>
              <w:spacing w:line="4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06" w:type="dxa"/>
          </w:tcPr>
          <w:p>
            <w:pPr>
              <w:spacing w:line="440" w:lineRule="exact"/>
              <w:jc w:val="center"/>
              <w:rPr>
                <w:rFonts w:ascii="Times New Roman" w:hAnsi="Times New Roman"/>
                <w:color w:val="auto"/>
                <w:szCs w:val="21"/>
              </w:rPr>
            </w:pPr>
          </w:p>
        </w:tc>
        <w:tc>
          <w:tcPr>
            <w:tcW w:w="1410" w:type="dxa"/>
          </w:tcPr>
          <w:p>
            <w:pPr>
              <w:spacing w:line="440" w:lineRule="exact"/>
              <w:jc w:val="center"/>
              <w:rPr>
                <w:rFonts w:ascii="Times New Roman" w:hAnsi="Times New Roman"/>
                <w:color w:val="auto"/>
                <w:szCs w:val="21"/>
              </w:rPr>
            </w:pPr>
          </w:p>
        </w:tc>
        <w:tc>
          <w:tcPr>
            <w:tcW w:w="1036" w:type="dxa"/>
          </w:tcPr>
          <w:p>
            <w:pPr>
              <w:spacing w:line="440" w:lineRule="exact"/>
              <w:jc w:val="center"/>
              <w:rPr>
                <w:rFonts w:ascii="Times New Roman" w:hAnsi="Times New Roman"/>
                <w:color w:val="auto"/>
                <w:szCs w:val="21"/>
              </w:rPr>
            </w:pPr>
          </w:p>
        </w:tc>
        <w:tc>
          <w:tcPr>
            <w:tcW w:w="827" w:type="dxa"/>
          </w:tcPr>
          <w:p>
            <w:pPr>
              <w:spacing w:line="440" w:lineRule="exact"/>
              <w:jc w:val="center"/>
              <w:rPr>
                <w:rFonts w:ascii="Times New Roman" w:hAnsi="Times New Roman"/>
                <w:color w:val="auto"/>
                <w:szCs w:val="21"/>
              </w:rPr>
            </w:pPr>
          </w:p>
        </w:tc>
        <w:tc>
          <w:tcPr>
            <w:tcW w:w="941" w:type="dxa"/>
          </w:tcPr>
          <w:p>
            <w:pPr>
              <w:spacing w:line="440" w:lineRule="exact"/>
              <w:jc w:val="center"/>
              <w:rPr>
                <w:rFonts w:ascii="Times New Roman" w:hAnsi="Times New Roman"/>
                <w:color w:val="auto"/>
                <w:szCs w:val="21"/>
              </w:rPr>
            </w:pPr>
          </w:p>
        </w:tc>
        <w:tc>
          <w:tcPr>
            <w:tcW w:w="1099" w:type="dxa"/>
          </w:tcPr>
          <w:p>
            <w:pPr>
              <w:spacing w:line="440" w:lineRule="exact"/>
              <w:jc w:val="center"/>
              <w:rPr>
                <w:rFonts w:ascii="Times New Roman" w:hAnsi="Times New Roman"/>
                <w:color w:val="auto"/>
                <w:szCs w:val="21"/>
              </w:rPr>
            </w:pPr>
          </w:p>
        </w:tc>
        <w:tc>
          <w:tcPr>
            <w:tcW w:w="1570" w:type="dxa"/>
          </w:tcPr>
          <w:p>
            <w:pPr>
              <w:spacing w:line="440" w:lineRule="exact"/>
              <w:jc w:val="center"/>
              <w:rPr>
                <w:rFonts w:ascii="Times New Roman" w:hAnsi="Times New Roman"/>
                <w:color w:val="auto"/>
                <w:szCs w:val="21"/>
              </w:rPr>
            </w:pPr>
          </w:p>
        </w:tc>
        <w:tc>
          <w:tcPr>
            <w:tcW w:w="1285" w:type="dxa"/>
          </w:tcPr>
          <w:p>
            <w:pPr>
              <w:spacing w:line="4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06" w:type="dxa"/>
          </w:tcPr>
          <w:p>
            <w:pPr>
              <w:spacing w:line="440" w:lineRule="exact"/>
              <w:jc w:val="center"/>
              <w:rPr>
                <w:rFonts w:ascii="Times New Roman" w:hAnsi="Times New Roman"/>
                <w:color w:val="auto"/>
                <w:szCs w:val="21"/>
              </w:rPr>
            </w:pPr>
          </w:p>
        </w:tc>
        <w:tc>
          <w:tcPr>
            <w:tcW w:w="1410" w:type="dxa"/>
          </w:tcPr>
          <w:p>
            <w:pPr>
              <w:spacing w:line="440" w:lineRule="exact"/>
              <w:jc w:val="center"/>
              <w:rPr>
                <w:rFonts w:ascii="Times New Roman" w:hAnsi="Times New Roman"/>
                <w:color w:val="auto"/>
                <w:szCs w:val="21"/>
              </w:rPr>
            </w:pPr>
          </w:p>
        </w:tc>
        <w:tc>
          <w:tcPr>
            <w:tcW w:w="1036" w:type="dxa"/>
          </w:tcPr>
          <w:p>
            <w:pPr>
              <w:spacing w:line="440" w:lineRule="exact"/>
              <w:jc w:val="center"/>
              <w:rPr>
                <w:rFonts w:ascii="Times New Roman" w:hAnsi="Times New Roman"/>
                <w:color w:val="auto"/>
                <w:szCs w:val="21"/>
              </w:rPr>
            </w:pPr>
          </w:p>
        </w:tc>
        <w:tc>
          <w:tcPr>
            <w:tcW w:w="827" w:type="dxa"/>
          </w:tcPr>
          <w:p>
            <w:pPr>
              <w:spacing w:line="440" w:lineRule="exact"/>
              <w:jc w:val="center"/>
              <w:rPr>
                <w:rFonts w:ascii="Times New Roman" w:hAnsi="Times New Roman"/>
                <w:color w:val="auto"/>
                <w:szCs w:val="21"/>
              </w:rPr>
            </w:pPr>
          </w:p>
        </w:tc>
        <w:tc>
          <w:tcPr>
            <w:tcW w:w="941" w:type="dxa"/>
          </w:tcPr>
          <w:p>
            <w:pPr>
              <w:spacing w:line="440" w:lineRule="exact"/>
              <w:jc w:val="center"/>
              <w:rPr>
                <w:rFonts w:ascii="Times New Roman" w:hAnsi="Times New Roman"/>
                <w:color w:val="auto"/>
                <w:szCs w:val="21"/>
              </w:rPr>
            </w:pPr>
          </w:p>
        </w:tc>
        <w:tc>
          <w:tcPr>
            <w:tcW w:w="1099" w:type="dxa"/>
          </w:tcPr>
          <w:p>
            <w:pPr>
              <w:spacing w:line="440" w:lineRule="exact"/>
              <w:jc w:val="center"/>
              <w:rPr>
                <w:rFonts w:ascii="Times New Roman" w:hAnsi="Times New Roman"/>
                <w:color w:val="auto"/>
                <w:szCs w:val="21"/>
              </w:rPr>
            </w:pPr>
          </w:p>
        </w:tc>
        <w:tc>
          <w:tcPr>
            <w:tcW w:w="1570" w:type="dxa"/>
          </w:tcPr>
          <w:p>
            <w:pPr>
              <w:spacing w:line="440" w:lineRule="exact"/>
              <w:jc w:val="center"/>
              <w:rPr>
                <w:rFonts w:ascii="Times New Roman" w:hAnsi="Times New Roman"/>
                <w:color w:val="auto"/>
                <w:szCs w:val="21"/>
              </w:rPr>
            </w:pPr>
          </w:p>
        </w:tc>
        <w:tc>
          <w:tcPr>
            <w:tcW w:w="1285" w:type="dxa"/>
          </w:tcPr>
          <w:p>
            <w:pPr>
              <w:spacing w:line="4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06" w:type="dxa"/>
          </w:tcPr>
          <w:p>
            <w:pPr>
              <w:spacing w:line="440" w:lineRule="exact"/>
              <w:jc w:val="center"/>
              <w:rPr>
                <w:rFonts w:ascii="Times New Roman" w:hAnsi="Times New Roman"/>
                <w:color w:val="auto"/>
                <w:szCs w:val="21"/>
              </w:rPr>
            </w:pPr>
          </w:p>
        </w:tc>
        <w:tc>
          <w:tcPr>
            <w:tcW w:w="1410" w:type="dxa"/>
          </w:tcPr>
          <w:p>
            <w:pPr>
              <w:spacing w:line="440" w:lineRule="exact"/>
              <w:jc w:val="center"/>
              <w:rPr>
                <w:rFonts w:ascii="Times New Roman" w:hAnsi="Times New Roman"/>
                <w:color w:val="auto"/>
                <w:szCs w:val="21"/>
              </w:rPr>
            </w:pPr>
          </w:p>
        </w:tc>
        <w:tc>
          <w:tcPr>
            <w:tcW w:w="1036" w:type="dxa"/>
          </w:tcPr>
          <w:p>
            <w:pPr>
              <w:spacing w:line="440" w:lineRule="exact"/>
              <w:jc w:val="center"/>
              <w:rPr>
                <w:rFonts w:ascii="Times New Roman" w:hAnsi="Times New Roman"/>
                <w:color w:val="auto"/>
                <w:szCs w:val="21"/>
              </w:rPr>
            </w:pPr>
          </w:p>
        </w:tc>
        <w:tc>
          <w:tcPr>
            <w:tcW w:w="827" w:type="dxa"/>
          </w:tcPr>
          <w:p>
            <w:pPr>
              <w:spacing w:line="440" w:lineRule="exact"/>
              <w:jc w:val="center"/>
              <w:rPr>
                <w:rFonts w:ascii="Times New Roman" w:hAnsi="Times New Roman"/>
                <w:color w:val="auto"/>
                <w:szCs w:val="21"/>
              </w:rPr>
            </w:pPr>
          </w:p>
        </w:tc>
        <w:tc>
          <w:tcPr>
            <w:tcW w:w="941" w:type="dxa"/>
          </w:tcPr>
          <w:p>
            <w:pPr>
              <w:spacing w:line="440" w:lineRule="exact"/>
              <w:jc w:val="center"/>
              <w:rPr>
                <w:rFonts w:ascii="Times New Roman" w:hAnsi="Times New Roman"/>
                <w:color w:val="auto"/>
                <w:szCs w:val="21"/>
              </w:rPr>
            </w:pPr>
          </w:p>
        </w:tc>
        <w:tc>
          <w:tcPr>
            <w:tcW w:w="1099" w:type="dxa"/>
          </w:tcPr>
          <w:p>
            <w:pPr>
              <w:spacing w:line="440" w:lineRule="exact"/>
              <w:jc w:val="center"/>
              <w:rPr>
                <w:rFonts w:ascii="Times New Roman" w:hAnsi="Times New Roman"/>
                <w:color w:val="auto"/>
                <w:szCs w:val="21"/>
              </w:rPr>
            </w:pPr>
          </w:p>
        </w:tc>
        <w:tc>
          <w:tcPr>
            <w:tcW w:w="1570" w:type="dxa"/>
          </w:tcPr>
          <w:p>
            <w:pPr>
              <w:spacing w:line="440" w:lineRule="exact"/>
              <w:jc w:val="center"/>
              <w:rPr>
                <w:rFonts w:ascii="Times New Roman" w:hAnsi="Times New Roman"/>
                <w:color w:val="auto"/>
                <w:szCs w:val="21"/>
              </w:rPr>
            </w:pPr>
          </w:p>
        </w:tc>
        <w:tc>
          <w:tcPr>
            <w:tcW w:w="1285" w:type="dxa"/>
          </w:tcPr>
          <w:p>
            <w:pPr>
              <w:spacing w:line="4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06" w:type="dxa"/>
          </w:tcPr>
          <w:p>
            <w:pPr>
              <w:spacing w:line="440" w:lineRule="exact"/>
              <w:jc w:val="center"/>
              <w:rPr>
                <w:rFonts w:ascii="Times New Roman" w:hAnsi="Times New Roman"/>
                <w:color w:val="auto"/>
                <w:szCs w:val="21"/>
              </w:rPr>
            </w:pPr>
          </w:p>
        </w:tc>
        <w:tc>
          <w:tcPr>
            <w:tcW w:w="1410" w:type="dxa"/>
          </w:tcPr>
          <w:p>
            <w:pPr>
              <w:spacing w:line="440" w:lineRule="exact"/>
              <w:jc w:val="center"/>
              <w:rPr>
                <w:rFonts w:ascii="Times New Roman" w:hAnsi="Times New Roman"/>
                <w:color w:val="auto"/>
                <w:szCs w:val="21"/>
              </w:rPr>
            </w:pPr>
          </w:p>
        </w:tc>
        <w:tc>
          <w:tcPr>
            <w:tcW w:w="1036" w:type="dxa"/>
          </w:tcPr>
          <w:p>
            <w:pPr>
              <w:spacing w:line="440" w:lineRule="exact"/>
              <w:jc w:val="center"/>
              <w:rPr>
                <w:rFonts w:ascii="Times New Roman" w:hAnsi="Times New Roman"/>
                <w:color w:val="auto"/>
                <w:szCs w:val="21"/>
              </w:rPr>
            </w:pPr>
          </w:p>
        </w:tc>
        <w:tc>
          <w:tcPr>
            <w:tcW w:w="827" w:type="dxa"/>
          </w:tcPr>
          <w:p>
            <w:pPr>
              <w:spacing w:line="440" w:lineRule="exact"/>
              <w:jc w:val="center"/>
              <w:rPr>
                <w:rFonts w:ascii="Times New Roman" w:hAnsi="Times New Roman"/>
                <w:color w:val="auto"/>
                <w:szCs w:val="21"/>
              </w:rPr>
            </w:pPr>
          </w:p>
        </w:tc>
        <w:tc>
          <w:tcPr>
            <w:tcW w:w="941" w:type="dxa"/>
          </w:tcPr>
          <w:p>
            <w:pPr>
              <w:spacing w:line="440" w:lineRule="exact"/>
              <w:jc w:val="center"/>
              <w:rPr>
                <w:rFonts w:ascii="Times New Roman" w:hAnsi="Times New Roman"/>
                <w:color w:val="auto"/>
                <w:szCs w:val="21"/>
              </w:rPr>
            </w:pPr>
          </w:p>
        </w:tc>
        <w:tc>
          <w:tcPr>
            <w:tcW w:w="1099" w:type="dxa"/>
          </w:tcPr>
          <w:p>
            <w:pPr>
              <w:spacing w:line="440" w:lineRule="exact"/>
              <w:jc w:val="center"/>
              <w:rPr>
                <w:rFonts w:ascii="Times New Roman" w:hAnsi="Times New Roman"/>
                <w:color w:val="auto"/>
                <w:szCs w:val="21"/>
              </w:rPr>
            </w:pPr>
          </w:p>
        </w:tc>
        <w:tc>
          <w:tcPr>
            <w:tcW w:w="1570" w:type="dxa"/>
          </w:tcPr>
          <w:p>
            <w:pPr>
              <w:spacing w:line="440" w:lineRule="exact"/>
              <w:jc w:val="center"/>
              <w:rPr>
                <w:rFonts w:ascii="Times New Roman" w:hAnsi="Times New Roman"/>
                <w:color w:val="auto"/>
                <w:szCs w:val="21"/>
              </w:rPr>
            </w:pPr>
          </w:p>
        </w:tc>
        <w:tc>
          <w:tcPr>
            <w:tcW w:w="1285" w:type="dxa"/>
          </w:tcPr>
          <w:p>
            <w:pPr>
              <w:spacing w:line="4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06" w:type="dxa"/>
          </w:tcPr>
          <w:p>
            <w:pPr>
              <w:spacing w:line="440" w:lineRule="exact"/>
              <w:jc w:val="center"/>
              <w:rPr>
                <w:rFonts w:ascii="Times New Roman" w:hAnsi="Times New Roman"/>
                <w:color w:val="auto"/>
                <w:szCs w:val="21"/>
              </w:rPr>
            </w:pPr>
          </w:p>
        </w:tc>
        <w:tc>
          <w:tcPr>
            <w:tcW w:w="1410" w:type="dxa"/>
          </w:tcPr>
          <w:p>
            <w:pPr>
              <w:spacing w:line="440" w:lineRule="exact"/>
              <w:jc w:val="center"/>
              <w:rPr>
                <w:rFonts w:ascii="Times New Roman" w:hAnsi="Times New Roman"/>
                <w:color w:val="auto"/>
                <w:szCs w:val="21"/>
              </w:rPr>
            </w:pPr>
          </w:p>
        </w:tc>
        <w:tc>
          <w:tcPr>
            <w:tcW w:w="1036" w:type="dxa"/>
          </w:tcPr>
          <w:p>
            <w:pPr>
              <w:spacing w:line="440" w:lineRule="exact"/>
              <w:jc w:val="center"/>
              <w:rPr>
                <w:rFonts w:ascii="Times New Roman" w:hAnsi="Times New Roman"/>
                <w:color w:val="auto"/>
                <w:szCs w:val="21"/>
              </w:rPr>
            </w:pPr>
          </w:p>
        </w:tc>
        <w:tc>
          <w:tcPr>
            <w:tcW w:w="827" w:type="dxa"/>
          </w:tcPr>
          <w:p>
            <w:pPr>
              <w:spacing w:line="440" w:lineRule="exact"/>
              <w:jc w:val="center"/>
              <w:rPr>
                <w:rFonts w:ascii="Times New Roman" w:hAnsi="Times New Roman"/>
                <w:color w:val="auto"/>
                <w:szCs w:val="21"/>
              </w:rPr>
            </w:pPr>
          </w:p>
        </w:tc>
        <w:tc>
          <w:tcPr>
            <w:tcW w:w="941" w:type="dxa"/>
          </w:tcPr>
          <w:p>
            <w:pPr>
              <w:spacing w:line="440" w:lineRule="exact"/>
              <w:jc w:val="center"/>
              <w:rPr>
                <w:rFonts w:ascii="Times New Roman" w:hAnsi="Times New Roman"/>
                <w:color w:val="auto"/>
                <w:szCs w:val="21"/>
              </w:rPr>
            </w:pPr>
          </w:p>
        </w:tc>
        <w:tc>
          <w:tcPr>
            <w:tcW w:w="1099" w:type="dxa"/>
          </w:tcPr>
          <w:p>
            <w:pPr>
              <w:spacing w:line="440" w:lineRule="exact"/>
              <w:jc w:val="center"/>
              <w:rPr>
                <w:rFonts w:ascii="Times New Roman" w:hAnsi="Times New Roman"/>
                <w:color w:val="auto"/>
                <w:szCs w:val="21"/>
              </w:rPr>
            </w:pPr>
          </w:p>
        </w:tc>
        <w:tc>
          <w:tcPr>
            <w:tcW w:w="1570" w:type="dxa"/>
          </w:tcPr>
          <w:p>
            <w:pPr>
              <w:spacing w:line="440" w:lineRule="exact"/>
              <w:jc w:val="center"/>
              <w:rPr>
                <w:rFonts w:ascii="Times New Roman" w:hAnsi="Times New Roman"/>
                <w:color w:val="auto"/>
                <w:szCs w:val="21"/>
              </w:rPr>
            </w:pPr>
          </w:p>
        </w:tc>
        <w:tc>
          <w:tcPr>
            <w:tcW w:w="1285" w:type="dxa"/>
          </w:tcPr>
          <w:p>
            <w:pPr>
              <w:spacing w:line="4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06" w:type="dxa"/>
          </w:tcPr>
          <w:p>
            <w:pPr>
              <w:spacing w:line="440" w:lineRule="exact"/>
              <w:jc w:val="center"/>
              <w:rPr>
                <w:rFonts w:ascii="Times New Roman" w:hAnsi="Times New Roman"/>
                <w:color w:val="auto"/>
                <w:szCs w:val="21"/>
              </w:rPr>
            </w:pPr>
          </w:p>
        </w:tc>
        <w:tc>
          <w:tcPr>
            <w:tcW w:w="1410" w:type="dxa"/>
          </w:tcPr>
          <w:p>
            <w:pPr>
              <w:spacing w:line="440" w:lineRule="exact"/>
              <w:jc w:val="center"/>
              <w:rPr>
                <w:rFonts w:ascii="Times New Roman" w:hAnsi="Times New Roman"/>
                <w:color w:val="auto"/>
                <w:szCs w:val="21"/>
              </w:rPr>
            </w:pPr>
          </w:p>
        </w:tc>
        <w:tc>
          <w:tcPr>
            <w:tcW w:w="1036" w:type="dxa"/>
          </w:tcPr>
          <w:p>
            <w:pPr>
              <w:spacing w:line="440" w:lineRule="exact"/>
              <w:jc w:val="center"/>
              <w:rPr>
                <w:rFonts w:ascii="Times New Roman" w:hAnsi="Times New Roman"/>
                <w:color w:val="auto"/>
                <w:szCs w:val="21"/>
              </w:rPr>
            </w:pPr>
          </w:p>
        </w:tc>
        <w:tc>
          <w:tcPr>
            <w:tcW w:w="827" w:type="dxa"/>
          </w:tcPr>
          <w:p>
            <w:pPr>
              <w:spacing w:line="440" w:lineRule="exact"/>
              <w:jc w:val="center"/>
              <w:rPr>
                <w:rFonts w:ascii="Times New Roman" w:hAnsi="Times New Roman"/>
                <w:color w:val="auto"/>
                <w:szCs w:val="21"/>
              </w:rPr>
            </w:pPr>
          </w:p>
        </w:tc>
        <w:tc>
          <w:tcPr>
            <w:tcW w:w="941" w:type="dxa"/>
          </w:tcPr>
          <w:p>
            <w:pPr>
              <w:spacing w:line="440" w:lineRule="exact"/>
              <w:jc w:val="center"/>
              <w:rPr>
                <w:rFonts w:ascii="Times New Roman" w:hAnsi="Times New Roman"/>
                <w:color w:val="auto"/>
                <w:szCs w:val="21"/>
              </w:rPr>
            </w:pPr>
          </w:p>
        </w:tc>
        <w:tc>
          <w:tcPr>
            <w:tcW w:w="1099" w:type="dxa"/>
          </w:tcPr>
          <w:p>
            <w:pPr>
              <w:spacing w:line="440" w:lineRule="exact"/>
              <w:jc w:val="center"/>
              <w:rPr>
                <w:rFonts w:ascii="Times New Roman" w:hAnsi="Times New Roman"/>
                <w:color w:val="auto"/>
                <w:szCs w:val="21"/>
              </w:rPr>
            </w:pPr>
          </w:p>
        </w:tc>
        <w:tc>
          <w:tcPr>
            <w:tcW w:w="1570" w:type="dxa"/>
          </w:tcPr>
          <w:p>
            <w:pPr>
              <w:spacing w:line="440" w:lineRule="exact"/>
              <w:jc w:val="center"/>
              <w:rPr>
                <w:rFonts w:ascii="Times New Roman" w:hAnsi="Times New Roman"/>
                <w:color w:val="auto"/>
                <w:szCs w:val="21"/>
              </w:rPr>
            </w:pPr>
          </w:p>
        </w:tc>
        <w:tc>
          <w:tcPr>
            <w:tcW w:w="1285" w:type="dxa"/>
          </w:tcPr>
          <w:p>
            <w:pPr>
              <w:spacing w:line="4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06" w:type="dxa"/>
          </w:tcPr>
          <w:p>
            <w:pPr>
              <w:spacing w:line="440" w:lineRule="exact"/>
              <w:jc w:val="center"/>
              <w:rPr>
                <w:rFonts w:ascii="Times New Roman" w:hAnsi="Times New Roman"/>
                <w:color w:val="auto"/>
                <w:szCs w:val="21"/>
              </w:rPr>
            </w:pPr>
          </w:p>
        </w:tc>
        <w:tc>
          <w:tcPr>
            <w:tcW w:w="1410" w:type="dxa"/>
          </w:tcPr>
          <w:p>
            <w:pPr>
              <w:spacing w:line="440" w:lineRule="exact"/>
              <w:jc w:val="center"/>
              <w:rPr>
                <w:rFonts w:ascii="Times New Roman" w:hAnsi="Times New Roman"/>
                <w:color w:val="auto"/>
                <w:szCs w:val="21"/>
              </w:rPr>
            </w:pPr>
          </w:p>
        </w:tc>
        <w:tc>
          <w:tcPr>
            <w:tcW w:w="1036" w:type="dxa"/>
          </w:tcPr>
          <w:p>
            <w:pPr>
              <w:spacing w:line="440" w:lineRule="exact"/>
              <w:jc w:val="center"/>
              <w:rPr>
                <w:rFonts w:ascii="Times New Roman" w:hAnsi="Times New Roman"/>
                <w:color w:val="auto"/>
                <w:szCs w:val="21"/>
              </w:rPr>
            </w:pPr>
          </w:p>
        </w:tc>
        <w:tc>
          <w:tcPr>
            <w:tcW w:w="827" w:type="dxa"/>
          </w:tcPr>
          <w:p>
            <w:pPr>
              <w:spacing w:line="440" w:lineRule="exact"/>
              <w:jc w:val="center"/>
              <w:rPr>
                <w:rFonts w:ascii="Times New Roman" w:hAnsi="Times New Roman"/>
                <w:color w:val="auto"/>
                <w:szCs w:val="21"/>
              </w:rPr>
            </w:pPr>
          </w:p>
        </w:tc>
        <w:tc>
          <w:tcPr>
            <w:tcW w:w="941" w:type="dxa"/>
          </w:tcPr>
          <w:p>
            <w:pPr>
              <w:spacing w:line="440" w:lineRule="exact"/>
              <w:jc w:val="center"/>
              <w:rPr>
                <w:rFonts w:ascii="Times New Roman" w:hAnsi="Times New Roman"/>
                <w:color w:val="auto"/>
                <w:szCs w:val="21"/>
              </w:rPr>
            </w:pPr>
          </w:p>
        </w:tc>
        <w:tc>
          <w:tcPr>
            <w:tcW w:w="1099" w:type="dxa"/>
          </w:tcPr>
          <w:p>
            <w:pPr>
              <w:spacing w:line="440" w:lineRule="exact"/>
              <w:jc w:val="center"/>
              <w:rPr>
                <w:rFonts w:ascii="Times New Roman" w:hAnsi="Times New Roman"/>
                <w:color w:val="auto"/>
                <w:szCs w:val="21"/>
              </w:rPr>
            </w:pPr>
          </w:p>
        </w:tc>
        <w:tc>
          <w:tcPr>
            <w:tcW w:w="1570" w:type="dxa"/>
          </w:tcPr>
          <w:p>
            <w:pPr>
              <w:spacing w:line="440" w:lineRule="exact"/>
              <w:jc w:val="center"/>
              <w:rPr>
                <w:rFonts w:ascii="Times New Roman" w:hAnsi="Times New Roman"/>
                <w:color w:val="auto"/>
                <w:szCs w:val="21"/>
              </w:rPr>
            </w:pPr>
          </w:p>
        </w:tc>
        <w:tc>
          <w:tcPr>
            <w:tcW w:w="1285" w:type="dxa"/>
          </w:tcPr>
          <w:p>
            <w:pPr>
              <w:spacing w:line="4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06" w:type="dxa"/>
          </w:tcPr>
          <w:p>
            <w:pPr>
              <w:spacing w:line="440" w:lineRule="exact"/>
              <w:jc w:val="center"/>
              <w:rPr>
                <w:rFonts w:ascii="Times New Roman" w:hAnsi="Times New Roman"/>
                <w:color w:val="auto"/>
                <w:szCs w:val="21"/>
              </w:rPr>
            </w:pPr>
          </w:p>
        </w:tc>
        <w:tc>
          <w:tcPr>
            <w:tcW w:w="1410" w:type="dxa"/>
          </w:tcPr>
          <w:p>
            <w:pPr>
              <w:spacing w:line="440" w:lineRule="exact"/>
              <w:jc w:val="center"/>
              <w:rPr>
                <w:rFonts w:ascii="Times New Roman" w:hAnsi="Times New Roman"/>
                <w:color w:val="auto"/>
                <w:szCs w:val="21"/>
              </w:rPr>
            </w:pPr>
          </w:p>
        </w:tc>
        <w:tc>
          <w:tcPr>
            <w:tcW w:w="1036" w:type="dxa"/>
          </w:tcPr>
          <w:p>
            <w:pPr>
              <w:spacing w:line="440" w:lineRule="exact"/>
              <w:jc w:val="center"/>
              <w:rPr>
                <w:rFonts w:ascii="Times New Roman" w:hAnsi="Times New Roman"/>
                <w:color w:val="auto"/>
                <w:szCs w:val="21"/>
              </w:rPr>
            </w:pPr>
          </w:p>
        </w:tc>
        <w:tc>
          <w:tcPr>
            <w:tcW w:w="827" w:type="dxa"/>
          </w:tcPr>
          <w:p>
            <w:pPr>
              <w:spacing w:line="440" w:lineRule="exact"/>
              <w:jc w:val="center"/>
              <w:rPr>
                <w:rFonts w:ascii="Times New Roman" w:hAnsi="Times New Roman"/>
                <w:color w:val="auto"/>
                <w:szCs w:val="21"/>
              </w:rPr>
            </w:pPr>
          </w:p>
        </w:tc>
        <w:tc>
          <w:tcPr>
            <w:tcW w:w="941" w:type="dxa"/>
          </w:tcPr>
          <w:p>
            <w:pPr>
              <w:spacing w:line="440" w:lineRule="exact"/>
              <w:jc w:val="center"/>
              <w:rPr>
                <w:rFonts w:ascii="Times New Roman" w:hAnsi="Times New Roman"/>
                <w:color w:val="auto"/>
                <w:szCs w:val="21"/>
              </w:rPr>
            </w:pPr>
          </w:p>
        </w:tc>
        <w:tc>
          <w:tcPr>
            <w:tcW w:w="1099" w:type="dxa"/>
          </w:tcPr>
          <w:p>
            <w:pPr>
              <w:spacing w:line="440" w:lineRule="exact"/>
              <w:jc w:val="center"/>
              <w:rPr>
                <w:rFonts w:ascii="Times New Roman" w:hAnsi="Times New Roman"/>
                <w:color w:val="auto"/>
                <w:szCs w:val="21"/>
              </w:rPr>
            </w:pPr>
          </w:p>
        </w:tc>
        <w:tc>
          <w:tcPr>
            <w:tcW w:w="1570" w:type="dxa"/>
          </w:tcPr>
          <w:p>
            <w:pPr>
              <w:spacing w:line="440" w:lineRule="exact"/>
              <w:jc w:val="center"/>
              <w:rPr>
                <w:rFonts w:ascii="Times New Roman" w:hAnsi="Times New Roman"/>
                <w:color w:val="auto"/>
                <w:szCs w:val="21"/>
              </w:rPr>
            </w:pPr>
          </w:p>
        </w:tc>
        <w:tc>
          <w:tcPr>
            <w:tcW w:w="1285" w:type="dxa"/>
          </w:tcPr>
          <w:p>
            <w:pPr>
              <w:spacing w:line="4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06" w:type="dxa"/>
          </w:tcPr>
          <w:p>
            <w:pPr>
              <w:spacing w:line="440" w:lineRule="exact"/>
              <w:jc w:val="center"/>
              <w:rPr>
                <w:rFonts w:ascii="Times New Roman" w:hAnsi="Times New Roman"/>
                <w:color w:val="auto"/>
                <w:szCs w:val="21"/>
              </w:rPr>
            </w:pPr>
          </w:p>
        </w:tc>
        <w:tc>
          <w:tcPr>
            <w:tcW w:w="1410" w:type="dxa"/>
          </w:tcPr>
          <w:p>
            <w:pPr>
              <w:spacing w:line="440" w:lineRule="exact"/>
              <w:jc w:val="center"/>
              <w:rPr>
                <w:rFonts w:ascii="Times New Roman" w:hAnsi="Times New Roman"/>
                <w:color w:val="auto"/>
                <w:szCs w:val="21"/>
              </w:rPr>
            </w:pPr>
          </w:p>
        </w:tc>
        <w:tc>
          <w:tcPr>
            <w:tcW w:w="1036" w:type="dxa"/>
          </w:tcPr>
          <w:p>
            <w:pPr>
              <w:spacing w:line="440" w:lineRule="exact"/>
              <w:jc w:val="center"/>
              <w:rPr>
                <w:rFonts w:ascii="Times New Roman" w:hAnsi="Times New Roman"/>
                <w:color w:val="auto"/>
                <w:szCs w:val="21"/>
              </w:rPr>
            </w:pPr>
          </w:p>
        </w:tc>
        <w:tc>
          <w:tcPr>
            <w:tcW w:w="827" w:type="dxa"/>
          </w:tcPr>
          <w:p>
            <w:pPr>
              <w:spacing w:line="440" w:lineRule="exact"/>
              <w:jc w:val="center"/>
              <w:rPr>
                <w:rFonts w:ascii="Times New Roman" w:hAnsi="Times New Roman"/>
                <w:color w:val="auto"/>
                <w:szCs w:val="21"/>
              </w:rPr>
            </w:pPr>
          </w:p>
        </w:tc>
        <w:tc>
          <w:tcPr>
            <w:tcW w:w="941" w:type="dxa"/>
          </w:tcPr>
          <w:p>
            <w:pPr>
              <w:spacing w:line="440" w:lineRule="exact"/>
              <w:jc w:val="center"/>
              <w:rPr>
                <w:rFonts w:ascii="Times New Roman" w:hAnsi="Times New Roman"/>
                <w:color w:val="auto"/>
                <w:szCs w:val="21"/>
              </w:rPr>
            </w:pPr>
          </w:p>
        </w:tc>
        <w:tc>
          <w:tcPr>
            <w:tcW w:w="1099" w:type="dxa"/>
          </w:tcPr>
          <w:p>
            <w:pPr>
              <w:spacing w:line="440" w:lineRule="exact"/>
              <w:jc w:val="center"/>
              <w:rPr>
                <w:rFonts w:ascii="Times New Roman" w:hAnsi="Times New Roman"/>
                <w:color w:val="auto"/>
                <w:szCs w:val="21"/>
              </w:rPr>
            </w:pPr>
          </w:p>
        </w:tc>
        <w:tc>
          <w:tcPr>
            <w:tcW w:w="1570" w:type="dxa"/>
          </w:tcPr>
          <w:p>
            <w:pPr>
              <w:spacing w:line="440" w:lineRule="exact"/>
              <w:jc w:val="center"/>
              <w:rPr>
                <w:rFonts w:ascii="Times New Roman" w:hAnsi="Times New Roman"/>
                <w:color w:val="auto"/>
                <w:szCs w:val="21"/>
              </w:rPr>
            </w:pPr>
          </w:p>
        </w:tc>
        <w:tc>
          <w:tcPr>
            <w:tcW w:w="1285" w:type="dxa"/>
          </w:tcPr>
          <w:p>
            <w:pPr>
              <w:spacing w:line="4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06" w:type="dxa"/>
          </w:tcPr>
          <w:p>
            <w:pPr>
              <w:spacing w:line="440" w:lineRule="exact"/>
              <w:jc w:val="center"/>
              <w:rPr>
                <w:rFonts w:ascii="Times New Roman" w:hAnsi="Times New Roman"/>
                <w:color w:val="auto"/>
                <w:szCs w:val="21"/>
              </w:rPr>
            </w:pPr>
          </w:p>
        </w:tc>
        <w:tc>
          <w:tcPr>
            <w:tcW w:w="1410" w:type="dxa"/>
          </w:tcPr>
          <w:p>
            <w:pPr>
              <w:spacing w:line="440" w:lineRule="exact"/>
              <w:jc w:val="center"/>
              <w:rPr>
                <w:rFonts w:ascii="Times New Roman" w:hAnsi="Times New Roman"/>
                <w:color w:val="auto"/>
                <w:szCs w:val="21"/>
              </w:rPr>
            </w:pPr>
          </w:p>
        </w:tc>
        <w:tc>
          <w:tcPr>
            <w:tcW w:w="1036" w:type="dxa"/>
          </w:tcPr>
          <w:p>
            <w:pPr>
              <w:spacing w:line="440" w:lineRule="exact"/>
              <w:jc w:val="center"/>
              <w:rPr>
                <w:rFonts w:ascii="Times New Roman" w:hAnsi="Times New Roman"/>
                <w:color w:val="auto"/>
                <w:szCs w:val="21"/>
              </w:rPr>
            </w:pPr>
          </w:p>
        </w:tc>
        <w:tc>
          <w:tcPr>
            <w:tcW w:w="827" w:type="dxa"/>
          </w:tcPr>
          <w:p>
            <w:pPr>
              <w:spacing w:line="440" w:lineRule="exact"/>
              <w:jc w:val="center"/>
              <w:rPr>
                <w:rFonts w:ascii="Times New Roman" w:hAnsi="Times New Roman"/>
                <w:color w:val="auto"/>
                <w:szCs w:val="21"/>
              </w:rPr>
            </w:pPr>
          </w:p>
        </w:tc>
        <w:tc>
          <w:tcPr>
            <w:tcW w:w="941" w:type="dxa"/>
          </w:tcPr>
          <w:p>
            <w:pPr>
              <w:spacing w:line="440" w:lineRule="exact"/>
              <w:jc w:val="center"/>
              <w:rPr>
                <w:rFonts w:ascii="Times New Roman" w:hAnsi="Times New Roman"/>
                <w:color w:val="auto"/>
                <w:szCs w:val="21"/>
              </w:rPr>
            </w:pPr>
          </w:p>
        </w:tc>
        <w:tc>
          <w:tcPr>
            <w:tcW w:w="1099" w:type="dxa"/>
          </w:tcPr>
          <w:p>
            <w:pPr>
              <w:spacing w:line="440" w:lineRule="exact"/>
              <w:jc w:val="center"/>
              <w:rPr>
                <w:rFonts w:ascii="Times New Roman" w:hAnsi="Times New Roman"/>
                <w:color w:val="auto"/>
                <w:szCs w:val="21"/>
              </w:rPr>
            </w:pPr>
          </w:p>
        </w:tc>
        <w:tc>
          <w:tcPr>
            <w:tcW w:w="1570" w:type="dxa"/>
          </w:tcPr>
          <w:p>
            <w:pPr>
              <w:spacing w:line="440" w:lineRule="exact"/>
              <w:jc w:val="center"/>
              <w:rPr>
                <w:rFonts w:ascii="Times New Roman" w:hAnsi="Times New Roman"/>
                <w:color w:val="auto"/>
                <w:szCs w:val="21"/>
              </w:rPr>
            </w:pPr>
          </w:p>
        </w:tc>
        <w:tc>
          <w:tcPr>
            <w:tcW w:w="1285" w:type="dxa"/>
          </w:tcPr>
          <w:p>
            <w:pPr>
              <w:spacing w:line="4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06" w:type="dxa"/>
          </w:tcPr>
          <w:p>
            <w:pPr>
              <w:spacing w:line="440" w:lineRule="exact"/>
              <w:jc w:val="center"/>
              <w:rPr>
                <w:rFonts w:ascii="Times New Roman" w:hAnsi="Times New Roman"/>
                <w:color w:val="auto"/>
                <w:szCs w:val="21"/>
              </w:rPr>
            </w:pPr>
          </w:p>
        </w:tc>
        <w:tc>
          <w:tcPr>
            <w:tcW w:w="1410" w:type="dxa"/>
          </w:tcPr>
          <w:p>
            <w:pPr>
              <w:spacing w:line="440" w:lineRule="exact"/>
              <w:jc w:val="center"/>
              <w:rPr>
                <w:rFonts w:ascii="Times New Roman" w:hAnsi="Times New Roman"/>
                <w:color w:val="auto"/>
                <w:szCs w:val="21"/>
              </w:rPr>
            </w:pPr>
          </w:p>
        </w:tc>
        <w:tc>
          <w:tcPr>
            <w:tcW w:w="1036" w:type="dxa"/>
          </w:tcPr>
          <w:p>
            <w:pPr>
              <w:spacing w:line="440" w:lineRule="exact"/>
              <w:jc w:val="center"/>
              <w:rPr>
                <w:rFonts w:ascii="Times New Roman" w:hAnsi="Times New Roman"/>
                <w:color w:val="auto"/>
                <w:szCs w:val="21"/>
              </w:rPr>
            </w:pPr>
          </w:p>
        </w:tc>
        <w:tc>
          <w:tcPr>
            <w:tcW w:w="827" w:type="dxa"/>
          </w:tcPr>
          <w:p>
            <w:pPr>
              <w:spacing w:line="440" w:lineRule="exact"/>
              <w:jc w:val="center"/>
              <w:rPr>
                <w:rFonts w:ascii="Times New Roman" w:hAnsi="Times New Roman"/>
                <w:color w:val="auto"/>
                <w:szCs w:val="21"/>
              </w:rPr>
            </w:pPr>
          </w:p>
        </w:tc>
        <w:tc>
          <w:tcPr>
            <w:tcW w:w="941" w:type="dxa"/>
          </w:tcPr>
          <w:p>
            <w:pPr>
              <w:spacing w:line="440" w:lineRule="exact"/>
              <w:jc w:val="center"/>
              <w:rPr>
                <w:rFonts w:ascii="Times New Roman" w:hAnsi="Times New Roman"/>
                <w:color w:val="auto"/>
                <w:szCs w:val="21"/>
              </w:rPr>
            </w:pPr>
          </w:p>
        </w:tc>
        <w:tc>
          <w:tcPr>
            <w:tcW w:w="1099" w:type="dxa"/>
          </w:tcPr>
          <w:p>
            <w:pPr>
              <w:spacing w:line="440" w:lineRule="exact"/>
              <w:jc w:val="center"/>
              <w:rPr>
                <w:rFonts w:ascii="Times New Roman" w:hAnsi="Times New Roman"/>
                <w:color w:val="auto"/>
                <w:szCs w:val="21"/>
              </w:rPr>
            </w:pPr>
          </w:p>
        </w:tc>
        <w:tc>
          <w:tcPr>
            <w:tcW w:w="1570" w:type="dxa"/>
          </w:tcPr>
          <w:p>
            <w:pPr>
              <w:spacing w:line="440" w:lineRule="exact"/>
              <w:jc w:val="center"/>
              <w:rPr>
                <w:rFonts w:ascii="Times New Roman" w:hAnsi="Times New Roman"/>
                <w:color w:val="auto"/>
                <w:szCs w:val="21"/>
              </w:rPr>
            </w:pPr>
          </w:p>
        </w:tc>
        <w:tc>
          <w:tcPr>
            <w:tcW w:w="1285" w:type="dxa"/>
          </w:tcPr>
          <w:p>
            <w:pPr>
              <w:spacing w:line="4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06" w:type="dxa"/>
          </w:tcPr>
          <w:p>
            <w:pPr>
              <w:spacing w:line="440" w:lineRule="exact"/>
              <w:jc w:val="center"/>
              <w:rPr>
                <w:rFonts w:ascii="Times New Roman" w:hAnsi="Times New Roman"/>
                <w:color w:val="auto"/>
                <w:szCs w:val="21"/>
              </w:rPr>
            </w:pPr>
          </w:p>
        </w:tc>
        <w:tc>
          <w:tcPr>
            <w:tcW w:w="1410" w:type="dxa"/>
          </w:tcPr>
          <w:p>
            <w:pPr>
              <w:spacing w:line="440" w:lineRule="exact"/>
              <w:jc w:val="center"/>
              <w:rPr>
                <w:rFonts w:ascii="Times New Roman" w:hAnsi="Times New Roman"/>
                <w:color w:val="auto"/>
                <w:szCs w:val="21"/>
              </w:rPr>
            </w:pPr>
          </w:p>
        </w:tc>
        <w:tc>
          <w:tcPr>
            <w:tcW w:w="1036" w:type="dxa"/>
          </w:tcPr>
          <w:p>
            <w:pPr>
              <w:spacing w:line="440" w:lineRule="exact"/>
              <w:jc w:val="center"/>
              <w:rPr>
                <w:rFonts w:ascii="Times New Roman" w:hAnsi="Times New Roman"/>
                <w:color w:val="auto"/>
                <w:szCs w:val="21"/>
              </w:rPr>
            </w:pPr>
          </w:p>
        </w:tc>
        <w:tc>
          <w:tcPr>
            <w:tcW w:w="827" w:type="dxa"/>
          </w:tcPr>
          <w:p>
            <w:pPr>
              <w:spacing w:line="440" w:lineRule="exact"/>
              <w:jc w:val="center"/>
              <w:rPr>
                <w:rFonts w:ascii="Times New Roman" w:hAnsi="Times New Roman"/>
                <w:color w:val="auto"/>
                <w:szCs w:val="21"/>
              </w:rPr>
            </w:pPr>
          </w:p>
        </w:tc>
        <w:tc>
          <w:tcPr>
            <w:tcW w:w="941" w:type="dxa"/>
          </w:tcPr>
          <w:p>
            <w:pPr>
              <w:spacing w:line="440" w:lineRule="exact"/>
              <w:jc w:val="center"/>
              <w:rPr>
                <w:rFonts w:ascii="Times New Roman" w:hAnsi="Times New Roman"/>
                <w:color w:val="auto"/>
                <w:szCs w:val="21"/>
              </w:rPr>
            </w:pPr>
          </w:p>
        </w:tc>
        <w:tc>
          <w:tcPr>
            <w:tcW w:w="1099" w:type="dxa"/>
          </w:tcPr>
          <w:p>
            <w:pPr>
              <w:spacing w:line="440" w:lineRule="exact"/>
              <w:jc w:val="center"/>
              <w:rPr>
                <w:rFonts w:ascii="Times New Roman" w:hAnsi="Times New Roman"/>
                <w:color w:val="auto"/>
                <w:szCs w:val="21"/>
              </w:rPr>
            </w:pPr>
          </w:p>
        </w:tc>
        <w:tc>
          <w:tcPr>
            <w:tcW w:w="1570" w:type="dxa"/>
          </w:tcPr>
          <w:p>
            <w:pPr>
              <w:spacing w:line="440" w:lineRule="exact"/>
              <w:jc w:val="center"/>
              <w:rPr>
                <w:rFonts w:ascii="Times New Roman" w:hAnsi="Times New Roman"/>
                <w:color w:val="auto"/>
                <w:szCs w:val="21"/>
              </w:rPr>
            </w:pPr>
          </w:p>
        </w:tc>
        <w:tc>
          <w:tcPr>
            <w:tcW w:w="1285" w:type="dxa"/>
          </w:tcPr>
          <w:p>
            <w:pPr>
              <w:spacing w:line="4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06" w:type="dxa"/>
          </w:tcPr>
          <w:p>
            <w:pPr>
              <w:spacing w:line="440" w:lineRule="exact"/>
              <w:jc w:val="center"/>
              <w:rPr>
                <w:rFonts w:ascii="Times New Roman" w:hAnsi="Times New Roman"/>
                <w:color w:val="auto"/>
                <w:szCs w:val="21"/>
              </w:rPr>
            </w:pPr>
          </w:p>
        </w:tc>
        <w:tc>
          <w:tcPr>
            <w:tcW w:w="1410" w:type="dxa"/>
          </w:tcPr>
          <w:p>
            <w:pPr>
              <w:spacing w:line="440" w:lineRule="exact"/>
              <w:jc w:val="center"/>
              <w:rPr>
                <w:rFonts w:ascii="Times New Roman" w:hAnsi="Times New Roman"/>
                <w:color w:val="auto"/>
                <w:szCs w:val="21"/>
              </w:rPr>
            </w:pPr>
          </w:p>
        </w:tc>
        <w:tc>
          <w:tcPr>
            <w:tcW w:w="1036" w:type="dxa"/>
          </w:tcPr>
          <w:p>
            <w:pPr>
              <w:spacing w:line="440" w:lineRule="exact"/>
              <w:jc w:val="center"/>
              <w:rPr>
                <w:rFonts w:ascii="Times New Roman" w:hAnsi="Times New Roman"/>
                <w:color w:val="auto"/>
                <w:szCs w:val="21"/>
              </w:rPr>
            </w:pPr>
          </w:p>
        </w:tc>
        <w:tc>
          <w:tcPr>
            <w:tcW w:w="827" w:type="dxa"/>
          </w:tcPr>
          <w:p>
            <w:pPr>
              <w:spacing w:line="440" w:lineRule="exact"/>
              <w:jc w:val="center"/>
              <w:rPr>
                <w:rFonts w:ascii="Times New Roman" w:hAnsi="Times New Roman"/>
                <w:color w:val="auto"/>
                <w:szCs w:val="21"/>
              </w:rPr>
            </w:pPr>
          </w:p>
        </w:tc>
        <w:tc>
          <w:tcPr>
            <w:tcW w:w="941" w:type="dxa"/>
          </w:tcPr>
          <w:p>
            <w:pPr>
              <w:spacing w:line="440" w:lineRule="exact"/>
              <w:jc w:val="center"/>
              <w:rPr>
                <w:rFonts w:ascii="Times New Roman" w:hAnsi="Times New Roman"/>
                <w:color w:val="auto"/>
                <w:szCs w:val="21"/>
              </w:rPr>
            </w:pPr>
          </w:p>
        </w:tc>
        <w:tc>
          <w:tcPr>
            <w:tcW w:w="1099" w:type="dxa"/>
          </w:tcPr>
          <w:p>
            <w:pPr>
              <w:spacing w:line="440" w:lineRule="exact"/>
              <w:jc w:val="center"/>
              <w:rPr>
                <w:rFonts w:ascii="Times New Roman" w:hAnsi="Times New Roman"/>
                <w:color w:val="auto"/>
                <w:szCs w:val="21"/>
              </w:rPr>
            </w:pPr>
          </w:p>
        </w:tc>
        <w:tc>
          <w:tcPr>
            <w:tcW w:w="1570" w:type="dxa"/>
          </w:tcPr>
          <w:p>
            <w:pPr>
              <w:spacing w:line="440" w:lineRule="exact"/>
              <w:jc w:val="center"/>
              <w:rPr>
                <w:rFonts w:ascii="Times New Roman" w:hAnsi="Times New Roman"/>
                <w:color w:val="auto"/>
                <w:szCs w:val="21"/>
              </w:rPr>
            </w:pPr>
          </w:p>
        </w:tc>
        <w:tc>
          <w:tcPr>
            <w:tcW w:w="1285" w:type="dxa"/>
          </w:tcPr>
          <w:p>
            <w:pPr>
              <w:spacing w:line="4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06" w:type="dxa"/>
          </w:tcPr>
          <w:p>
            <w:pPr>
              <w:spacing w:line="440" w:lineRule="exact"/>
              <w:jc w:val="center"/>
              <w:rPr>
                <w:rFonts w:ascii="Times New Roman" w:hAnsi="Times New Roman"/>
                <w:color w:val="auto"/>
                <w:szCs w:val="21"/>
              </w:rPr>
            </w:pPr>
          </w:p>
        </w:tc>
        <w:tc>
          <w:tcPr>
            <w:tcW w:w="1410" w:type="dxa"/>
          </w:tcPr>
          <w:p>
            <w:pPr>
              <w:spacing w:line="440" w:lineRule="exact"/>
              <w:jc w:val="center"/>
              <w:rPr>
                <w:rFonts w:ascii="Times New Roman" w:hAnsi="Times New Roman"/>
                <w:color w:val="auto"/>
                <w:szCs w:val="21"/>
              </w:rPr>
            </w:pPr>
          </w:p>
        </w:tc>
        <w:tc>
          <w:tcPr>
            <w:tcW w:w="1036" w:type="dxa"/>
          </w:tcPr>
          <w:p>
            <w:pPr>
              <w:spacing w:line="440" w:lineRule="exact"/>
              <w:jc w:val="center"/>
              <w:rPr>
                <w:rFonts w:ascii="Times New Roman" w:hAnsi="Times New Roman"/>
                <w:color w:val="auto"/>
                <w:szCs w:val="21"/>
              </w:rPr>
            </w:pPr>
          </w:p>
        </w:tc>
        <w:tc>
          <w:tcPr>
            <w:tcW w:w="827" w:type="dxa"/>
          </w:tcPr>
          <w:p>
            <w:pPr>
              <w:spacing w:line="440" w:lineRule="exact"/>
              <w:jc w:val="center"/>
              <w:rPr>
                <w:rFonts w:ascii="Times New Roman" w:hAnsi="Times New Roman"/>
                <w:color w:val="auto"/>
                <w:szCs w:val="21"/>
              </w:rPr>
            </w:pPr>
          </w:p>
        </w:tc>
        <w:tc>
          <w:tcPr>
            <w:tcW w:w="941" w:type="dxa"/>
          </w:tcPr>
          <w:p>
            <w:pPr>
              <w:spacing w:line="440" w:lineRule="exact"/>
              <w:jc w:val="center"/>
              <w:rPr>
                <w:rFonts w:ascii="Times New Roman" w:hAnsi="Times New Roman"/>
                <w:color w:val="auto"/>
                <w:szCs w:val="21"/>
              </w:rPr>
            </w:pPr>
          </w:p>
        </w:tc>
        <w:tc>
          <w:tcPr>
            <w:tcW w:w="1099" w:type="dxa"/>
          </w:tcPr>
          <w:p>
            <w:pPr>
              <w:spacing w:line="440" w:lineRule="exact"/>
              <w:jc w:val="center"/>
              <w:rPr>
                <w:rFonts w:ascii="Times New Roman" w:hAnsi="Times New Roman"/>
                <w:color w:val="auto"/>
                <w:szCs w:val="21"/>
              </w:rPr>
            </w:pPr>
          </w:p>
        </w:tc>
        <w:tc>
          <w:tcPr>
            <w:tcW w:w="1570" w:type="dxa"/>
          </w:tcPr>
          <w:p>
            <w:pPr>
              <w:spacing w:line="440" w:lineRule="exact"/>
              <w:jc w:val="center"/>
              <w:rPr>
                <w:rFonts w:ascii="Times New Roman" w:hAnsi="Times New Roman"/>
                <w:color w:val="auto"/>
                <w:szCs w:val="21"/>
              </w:rPr>
            </w:pPr>
          </w:p>
        </w:tc>
        <w:tc>
          <w:tcPr>
            <w:tcW w:w="1285" w:type="dxa"/>
          </w:tcPr>
          <w:p>
            <w:pPr>
              <w:spacing w:line="440" w:lineRule="exact"/>
              <w:jc w:val="center"/>
              <w:rPr>
                <w:rFonts w:ascii="Times New Roman" w:hAnsi="Times New Roman"/>
                <w:color w:val="auto"/>
                <w:szCs w:val="21"/>
              </w:rPr>
            </w:pPr>
          </w:p>
        </w:tc>
      </w:tr>
    </w:tbl>
    <w:p>
      <w:pPr>
        <w:rPr>
          <w:rFonts w:ascii="Times New Roman" w:hAnsi="Times New Roman"/>
          <w:color w:val="auto"/>
        </w:rPr>
      </w:pPr>
    </w:p>
    <w:p>
      <w:pPr>
        <w:rPr>
          <w:color w:val="auto"/>
        </w:rPr>
      </w:pPr>
    </w:p>
    <w:p>
      <w:pPr>
        <w:rPr>
          <w:color w:val="auto"/>
        </w:rPr>
      </w:pPr>
    </w:p>
    <w:p>
      <w:pPr>
        <w:jc w:val="center"/>
        <w:rPr>
          <w:rFonts w:ascii="Times New Roman" w:hAnsi="Times New Roman" w:eastAsia="黑体"/>
          <w:color w:val="auto"/>
          <w:sz w:val="28"/>
          <w:szCs w:val="20"/>
        </w:rPr>
      </w:pPr>
      <w:bookmarkStart w:id="808" w:name="_Toc16"/>
    </w:p>
    <w:p>
      <w:pPr>
        <w:jc w:val="center"/>
        <w:rPr>
          <w:rFonts w:ascii="Times New Roman" w:hAnsi="Times New Roman" w:eastAsia="黑体"/>
          <w:color w:val="auto"/>
          <w:sz w:val="28"/>
          <w:szCs w:val="20"/>
        </w:rPr>
      </w:pPr>
    </w:p>
    <w:p>
      <w:pPr>
        <w:widowControl/>
        <w:jc w:val="left"/>
        <w:rPr>
          <w:rFonts w:ascii="Times New Roman" w:hAnsi="Times New Roman" w:eastAsia="黑体"/>
          <w:color w:val="auto"/>
          <w:sz w:val="28"/>
          <w:szCs w:val="20"/>
        </w:rPr>
      </w:pPr>
      <w:r>
        <w:rPr>
          <w:rFonts w:ascii="Times New Roman" w:hAnsi="Times New Roman" w:eastAsia="黑体"/>
          <w:color w:val="auto"/>
          <w:sz w:val="28"/>
          <w:szCs w:val="20"/>
        </w:rPr>
        <w:br w:type="page"/>
      </w:r>
    </w:p>
    <w:p>
      <w:pPr>
        <w:jc w:val="center"/>
        <w:rPr>
          <w:rFonts w:ascii="Times New Roman" w:hAnsi="Times New Roman" w:eastAsia="黑体"/>
          <w:color w:val="auto"/>
          <w:sz w:val="28"/>
          <w:szCs w:val="20"/>
        </w:rPr>
      </w:pPr>
      <w:r>
        <w:rPr>
          <w:rFonts w:hint="eastAsia" w:ascii="Times New Roman" w:hAnsi="Times New Roman" w:eastAsia="黑体"/>
          <w:color w:val="auto"/>
          <w:sz w:val="28"/>
          <w:szCs w:val="20"/>
        </w:rPr>
        <w:t>（五）</w:t>
      </w:r>
      <w:bookmarkEnd w:id="808"/>
      <w:r>
        <w:rPr>
          <w:rFonts w:hint="eastAsia" w:ascii="Times New Roman" w:hAnsi="Times New Roman" w:eastAsia="黑体"/>
          <w:color w:val="auto"/>
          <w:sz w:val="28"/>
          <w:szCs w:val="20"/>
        </w:rPr>
        <w:t>投标人认为需要提供的资料（如有）。</w:t>
      </w:r>
    </w:p>
    <w:p>
      <w:pPr>
        <w:jc w:val="center"/>
        <w:rPr>
          <w:color w:val="auto"/>
        </w:rPr>
      </w:pPr>
    </w:p>
    <w:p>
      <w:pPr>
        <w:rPr>
          <w:color w:val="auto"/>
        </w:rPr>
      </w:pPr>
      <w:r>
        <w:rPr>
          <w:rFonts w:hint="eastAsia"/>
          <w:color w:val="auto"/>
        </w:rPr>
        <w:t>格式自拟。</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rPr>
        <w:lang w:val="zh-CN"/>
      </w:rPr>
      <w:t>24</w:t>
    </w:r>
    <w:r>
      <w:rPr>
        <w:lang w:val="zh-CN"/>
      </w:rP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96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96</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F3350"/>
    <w:multiLevelType w:val="multilevel"/>
    <w:tmpl w:val="B53F3350"/>
    <w:lvl w:ilvl="0" w:tentative="0">
      <w:start w:val="1"/>
      <w:numFmt w:val="decimal"/>
      <w:lvlText w:val="（%1）"/>
      <w:lvlJc w:val="left"/>
      <w:pPr>
        <w:ind w:left="1189" w:hanging="601"/>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122" w:hanging="601"/>
      </w:pPr>
      <w:rPr>
        <w:rFonts w:hint="default"/>
        <w:lang w:val="zh-CN" w:eastAsia="zh-CN" w:bidi="zh-CN"/>
      </w:rPr>
    </w:lvl>
    <w:lvl w:ilvl="2" w:tentative="0">
      <w:start w:val="0"/>
      <w:numFmt w:val="bullet"/>
      <w:lvlText w:val="•"/>
      <w:lvlJc w:val="left"/>
      <w:pPr>
        <w:ind w:left="3064" w:hanging="601"/>
      </w:pPr>
      <w:rPr>
        <w:rFonts w:hint="default"/>
        <w:lang w:val="zh-CN" w:eastAsia="zh-CN" w:bidi="zh-CN"/>
      </w:rPr>
    </w:lvl>
    <w:lvl w:ilvl="3" w:tentative="0">
      <w:start w:val="0"/>
      <w:numFmt w:val="bullet"/>
      <w:lvlText w:val="•"/>
      <w:lvlJc w:val="left"/>
      <w:pPr>
        <w:ind w:left="4006" w:hanging="601"/>
      </w:pPr>
      <w:rPr>
        <w:rFonts w:hint="default"/>
        <w:lang w:val="zh-CN" w:eastAsia="zh-CN" w:bidi="zh-CN"/>
      </w:rPr>
    </w:lvl>
    <w:lvl w:ilvl="4" w:tentative="0">
      <w:start w:val="0"/>
      <w:numFmt w:val="bullet"/>
      <w:lvlText w:val="•"/>
      <w:lvlJc w:val="left"/>
      <w:pPr>
        <w:ind w:left="4948" w:hanging="601"/>
      </w:pPr>
      <w:rPr>
        <w:rFonts w:hint="default"/>
        <w:lang w:val="zh-CN" w:eastAsia="zh-CN" w:bidi="zh-CN"/>
      </w:rPr>
    </w:lvl>
    <w:lvl w:ilvl="5" w:tentative="0">
      <w:start w:val="0"/>
      <w:numFmt w:val="bullet"/>
      <w:lvlText w:val="•"/>
      <w:lvlJc w:val="left"/>
      <w:pPr>
        <w:ind w:left="5890" w:hanging="601"/>
      </w:pPr>
      <w:rPr>
        <w:rFonts w:hint="default"/>
        <w:lang w:val="zh-CN" w:eastAsia="zh-CN" w:bidi="zh-CN"/>
      </w:rPr>
    </w:lvl>
    <w:lvl w:ilvl="6" w:tentative="0">
      <w:start w:val="0"/>
      <w:numFmt w:val="bullet"/>
      <w:lvlText w:val="•"/>
      <w:lvlJc w:val="left"/>
      <w:pPr>
        <w:ind w:left="6832" w:hanging="601"/>
      </w:pPr>
      <w:rPr>
        <w:rFonts w:hint="default"/>
        <w:lang w:val="zh-CN" w:eastAsia="zh-CN" w:bidi="zh-CN"/>
      </w:rPr>
    </w:lvl>
    <w:lvl w:ilvl="7" w:tentative="0">
      <w:start w:val="0"/>
      <w:numFmt w:val="bullet"/>
      <w:lvlText w:val="•"/>
      <w:lvlJc w:val="left"/>
      <w:pPr>
        <w:ind w:left="7774" w:hanging="601"/>
      </w:pPr>
      <w:rPr>
        <w:rFonts w:hint="default"/>
        <w:lang w:val="zh-CN" w:eastAsia="zh-CN" w:bidi="zh-CN"/>
      </w:rPr>
    </w:lvl>
    <w:lvl w:ilvl="8" w:tentative="0">
      <w:start w:val="0"/>
      <w:numFmt w:val="bullet"/>
      <w:lvlText w:val="•"/>
      <w:lvlJc w:val="left"/>
      <w:pPr>
        <w:ind w:left="8716" w:hanging="601"/>
      </w:pPr>
      <w:rPr>
        <w:rFonts w:hint="default"/>
        <w:lang w:val="zh-CN" w:eastAsia="zh-CN" w:bidi="zh-CN"/>
      </w:rPr>
    </w:lvl>
  </w:abstractNum>
  <w:abstractNum w:abstractNumId="1">
    <w:nsid w:val="00000001"/>
    <w:multiLevelType w:val="singleLevel"/>
    <w:tmpl w:val="00000001"/>
    <w:lvl w:ilvl="0" w:tentative="0">
      <w:start w:val="4"/>
      <w:numFmt w:val="decimal"/>
      <w:suff w:val="space"/>
      <w:lvlText w:val="%1."/>
      <w:lvlJc w:val="left"/>
    </w:lvl>
  </w:abstractNum>
  <w:abstractNum w:abstractNumId="2">
    <w:nsid w:val="0ADC506F"/>
    <w:multiLevelType w:val="multilevel"/>
    <w:tmpl w:val="0ADC506F"/>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0F9F9CCA"/>
    <w:multiLevelType w:val="multilevel"/>
    <w:tmpl w:val="0F9F9CCA"/>
    <w:lvl w:ilvl="0" w:tentative="0">
      <w:start w:val="1"/>
      <w:numFmt w:val="decimal"/>
      <w:lvlText w:val="（%1）"/>
      <w:lvlJc w:val="left"/>
      <w:pPr>
        <w:ind w:left="1189" w:hanging="601"/>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122" w:hanging="601"/>
      </w:pPr>
      <w:rPr>
        <w:rFonts w:hint="default"/>
        <w:lang w:val="zh-CN" w:eastAsia="zh-CN" w:bidi="zh-CN"/>
      </w:rPr>
    </w:lvl>
    <w:lvl w:ilvl="2" w:tentative="0">
      <w:start w:val="0"/>
      <w:numFmt w:val="bullet"/>
      <w:lvlText w:val="•"/>
      <w:lvlJc w:val="left"/>
      <w:pPr>
        <w:ind w:left="3064" w:hanging="601"/>
      </w:pPr>
      <w:rPr>
        <w:rFonts w:hint="default"/>
        <w:lang w:val="zh-CN" w:eastAsia="zh-CN" w:bidi="zh-CN"/>
      </w:rPr>
    </w:lvl>
    <w:lvl w:ilvl="3" w:tentative="0">
      <w:start w:val="0"/>
      <w:numFmt w:val="bullet"/>
      <w:lvlText w:val="•"/>
      <w:lvlJc w:val="left"/>
      <w:pPr>
        <w:ind w:left="4006" w:hanging="601"/>
      </w:pPr>
      <w:rPr>
        <w:rFonts w:hint="default"/>
        <w:lang w:val="zh-CN" w:eastAsia="zh-CN" w:bidi="zh-CN"/>
      </w:rPr>
    </w:lvl>
    <w:lvl w:ilvl="4" w:tentative="0">
      <w:start w:val="0"/>
      <w:numFmt w:val="bullet"/>
      <w:lvlText w:val="•"/>
      <w:lvlJc w:val="left"/>
      <w:pPr>
        <w:ind w:left="4948" w:hanging="601"/>
      </w:pPr>
      <w:rPr>
        <w:rFonts w:hint="default"/>
        <w:lang w:val="zh-CN" w:eastAsia="zh-CN" w:bidi="zh-CN"/>
      </w:rPr>
    </w:lvl>
    <w:lvl w:ilvl="5" w:tentative="0">
      <w:start w:val="0"/>
      <w:numFmt w:val="bullet"/>
      <w:lvlText w:val="•"/>
      <w:lvlJc w:val="left"/>
      <w:pPr>
        <w:ind w:left="5890" w:hanging="601"/>
      </w:pPr>
      <w:rPr>
        <w:rFonts w:hint="default"/>
        <w:lang w:val="zh-CN" w:eastAsia="zh-CN" w:bidi="zh-CN"/>
      </w:rPr>
    </w:lvl>
    <w:lvl w:ilvl="6" w:tentative="0">
      <w:start w:val="0"/>
      <w:numFmt w:val="bullet"/>
      <w:lvlText w:val="•"/>
      <w:lvlJc w:val="left"/>
      <w:pPr>
        <w:ind w:left="6832" w:hanging="601"/>
      </w:pPr>
      <w:rPr>
        <w:rFonts w:hint="default"/>
        <w:lang w:val="zh-CN" w:eastAsia="zh-CN" w:bidi="zh-CN"/>
      </w:rPr>
    </w:lvl>
    <w:lvl w:ilvl="7" w:tentative="0">
      <w:start w:val="0"/>
      <w:numFmt w:val="bullet"/>
      <w:lvlText w:val="•"/>
      <w:lvlJc w:val="left"/>
      <w:pPr>
        <w:ind w:left="7774" w:hanging="601"/>
      </w:pPr>
      <w:rPr>
        <w:rFonts w:hint="default"/>
        <w:lang w:val="zh-CN" w:eastAsia="zh-CN" w:bidi="zh-CN"/>
      </w:rPr>
    </w:lvl>
    <w:lvl w:ilvl="8" w:tentative="0">
      <w:start w:val="0"/>
      <w:numFmt w:val="bullet"/>
      <w:lvlText w:val="•"/>
      <w:lvlJc w:val="left"/>
      <w:pPr>
        <w:ind w:left="8716" w:hanging="601"/>
      </w:pPr>
      <w:rPr>
        <w:rFonts w:hint="default"/>
        <w:lang w:val="zh-CN" w:eastAsia="zh-CN" w:bidi="zh-CN"/>
      </w:rPr>
    </w:lvl>
  </w:abstractNum>
  <w:abstractNum w:abstractNumId="4">
    <w:nsid w:val="262762BB"/>
    <w:multiLevelType w:val="singleLevel"/>
    <w:tmpl w:val="262762BB"/>
    <w:lvl w:ilvl="0" w:tentative="0">
      <w:start w:val="1"/>
      <w:numFmt w:val="chineseCounting"/>
      <w:suff w:val="nothing"/>
      <w:lvlText w:val="%1、"/>
      <w:lvlJc w:val="left"/>
      <w:rPr>
        <w:rFonts w:hint="eastAsia"/>
      </w:rPr>
    </w:lvl>
  </w:abstractNum>
  <w:abstractNum w:abstractNumId="5">
    <w:nsid w:val="365FF7B4"/>
    <w:multiLevelType w:val="singleLevel"/>
    <w:tmpl w:val="365FF7B4"/>
    <w:lvl w:ilvl="0" w:tentative="0">
      <w:start w:val="3"/>
      <w:numFmt w:val="decimal"/>
      <w:suff w:val="space"/>
      <w:lvlText w:val="%1."/>
      <w:lvlJc w:val="left"/>
    </w:lvl>
  </w:abstractNum>
  <w:num w:numId="1">
    <w:abstractNumId w:val="5"/>
  </w:num>
  <w:num w:numId="2">
    <w:abstractNumId w:val="1"/>
    <w:lvlOverride w:ilvl="0">
      <w:startOverride w:val="4"/>
    </w:lvlOverride>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1MjY2YWQ4YTBiYzdhZWY1ZDhmOWZiM2JmZmZhNGIifQ=="/>
  </w:docVars>
  <w:rsids>
    <w:rsidRoot w:val="00EA63BE"/>
    <w:rsid w:val="00012B43"/>
    <w:rsid w:val="0001309E"/>
    <w:rsid w:val="000137F8"/>
    <w:rsid w:val="000442F5"/>
    <w:rsid w:val="00045A91"/>
    <w:rsid w:val="00046A38"/>
    <w:rsid w:val="0007228C"/>
    <w:rsid w:val="00084E2F"/>
    <w:rsid w:val="00093EE1"/>
    <w:rsid w:val="000A7F11"/>
    <w:rsid w:val="000D2476"/>
    <w:rsid w:val="000D30E6"/>
    <w:rsid w:val="000E1FA3"/>
    <w:rsid w:val="000F0C8C"/>
    <w:rsid w:val="0016513C"/>
    <w:rsid w:val="0017138F"/>
    <w:rsid w:val="001839C2"/>
    <w:rsid w:val="00197859"/>
    <w:rsid w:val="001A4E90"/>
    <w:rsid w:val="001C04CB"/>
    <w:rsid w:val="001E3BCC"/>
    <w:rsid w:val="00203339"/>
    <w:rsid w:val="00212BCD"/>
    <w:rsid w:val="00225258"/>
    <w:rsid w:val="002651B5"/>
    <w:rsid w:val="00271CBA"/>
    <w:rsid w:val="00273BE9"/>
    <w:rsid w:val="002A3A28"/>
    <w:rsid w:val="002A3F5A"/>
    <w:rsid w:val="002B4865"/>
    <w:rsid w:val="002C33A0"/>
    <w:rsid w:val="002C3F57"/>
    <w:rsid w:val="002D6312"/>
    <w:rsid w:val="002E623B"/>
    <w:rsid w:val="00302AFA"/>
    <w:rsid w:val="00330CF8"/>
    <w:rsid w:val="003509A0"/>
    <w:rsid w:val="003710DA"/>
    <w:rsid w:val="003741A5"/>
    <w:rsid w:val="00383EF9"/>
    <w:rsid w:val="0039151C"/>
    <w:rsid w:val="003A468C"/>
    <w:rsid w:val="003B2365"/>
    <w:rsid w:val="003B4035"/>
    <w:rsid w:val="003D25CC"/>
    <w:rsid w:val="003D335E"/>
    <w:rsid w:val="003E1E32"/>
    <w:rsid w:val="00446693"/>
    <w:rsid w:val="00457C62"/>
    <w:rsid w:val="0046342D"/>
    <w:rsid w:val="00476F1D"/>
    <w:rsid w:val="00490505"/>
    <w:rsid w:val="004A2660"/>
    <w:rsid w:val="004A720E"/>
    <w:rsid w:val="004B4453"/>
    <w:rsid w:val="004E5648"/>
    <w:rsid w:val="0050468B"/>
    <w:rsid w:val="005253B6"/>
    <w:rsid w:val="00530E1B"/>
    <w:rsid w:val="00577076"/>
    <w:rsid w:val="0059555C"/>
    <w:rsid w:val="005B16C4"/>
    <w:rsid w:val="005B535D"/>
    <w:rsid w:val="005B7814"/>
    <w:rsid w:val="005E1581"/>
    <w:rsid w:val="00601CC4"/>
    <w:rsid w:val="00611D91"/>
    <w:rsid w:val="00614470"/>
    <w:rsid w:val="00634B17"/>
    <w:rsid w:val="00674177"/>
    <w:rsid w:val="00684BC5"/>
    <w:rsid w:val="00687ED8"/>
    <w:rsid w:val="006C10CE"/>
    <w:rsid w:val="006C4E12"/>
    <w:rsid w:val="006D0DED"/>
    <w:rsid w:val="006D1DF3"/>
    <w:rsid w:val="006D525B"/>
    <w:rsid w:val="006E7DB4"/>
    <w:rsid w:val="006F2F19"/>
    <w:rsid w:val="0070519C"/>
    <w:rsid w:val="00724084"/>
    <w:rsid w:val="00757C48"/>
    <w:rsid w:val="00757E7D"/>
    <w:rsid w:val="00761851"/>
    <w:rsid w:val="00764338"/>
    <w:rsid w:val="00790687"/>
    <w:rsid w:val="007D6515"/>
    <w:rsid w:val="008069CC"/>
    <w:rsid w:val="0080771A"/>
    <w:rsid w:val="00812578"/>
    <w:rsid w:val="00864E67"/>
    <w:rsid w:val="008660F5"/>
    <w:rsid w:val="00866B17"/>
    <w:rsid w:val="00872478"/>
    <w:rsid w:val="00886BF6"/>
    <w:rsid w:val="008B75A4"/>
    <w:rsid w:val="008C0192"/>
    <w:rsid w:val="0093008A"/>
    <w:rsid w:val="00931F5C"/>
    <w:rsid w:val="00956F7B"/>
    <w:rsid w:val="00966314"/>
    <w:rsid w:val="009846D5"/>
    <w:rsid w:val="00993705"/>
    <w:rsid w:val="009C353A"/>
    <w:rsid w:val="009F4D63"/>
    <w:rsid w:val="00A02080"/>
    <w:rsid w:val="00A3226D"/>
    <w:rsid w:val="00A44631"/>
    <w:rsid w:val="00A451B8"/>
    <w:rsid w:val="00A520CB"/>
    <w:rsid w:val="00A6176A"/>
    <w:rsid w:val="00AA0E86"/>
    <w:rsid w:val="00AA35CC"/>
    <w:rsid w:val="00AA4B77"/>
    <w:rsid w:val="00AC245E"/>
    <w:rsid w:val="00AE079C"/>
    <w:rsid w:val="00B04492"/>
    <w:rsid w:val="00B16218"/>
    <w:rsid w:val="00B26538"/>
    <w:rsid w:val="00B405EA"/>
    <w:rsid w:val="00B42A0D"/>
    <w:rsid w:val="00B7775B"/>
    <w:rsid w:val="00B9532C"/>
    <w:rsid w:val="00BC6C0D"/>
    <w:rsid w:val="00BD566A"/>
    <w:rsid w:val="00C1624E"/>
    <w:rsid w:val="00C26783"/>
    <w:rsid w:val="00C45AA0"/>
    <w:rsid w:val="00C47594"/>
    <w:rsid w:val="00C80E39"/>
    <w:rsid w:val="00C814E2"/>
    <w:rsid w:val="00CF7353"/>
    <w:rsid w:val="00D122B0"/>
    <w:rsid w:val="00D16188"/>
    <w:rsid w:val="00D163B4"/>
    <w:rsid w:val="00D429CE"/>
    <w:rsid w:val="00D441A1"/>
    <w:rsid w:val="00D540CB"/>
    <w:rsid w:val="00D814E5"/>
    <w:rsid w:val="00DB1CE0"/>
    <w:rsid w:val="00DC7871"/>
    <w:rsid w:val="00DE20E1"/>
    <w:rsid w:val="00DE3C21"/>
    <w:rsid w:val="00DF2074"/>
    <w:rsid w:val="00E1350A"/>
    <w:rsid w:val="00E30FF2"/>
    <w:rsid w:val="00E47615"/>
    <w:rsid w:val="00E56834"/>
    <w:rsid w:val="00E83E65"/>
    <w:rsid w:val="00EA63BE"/>
    <w:rsid w:val="00EC3AF4"/>
    <w:rsid w:val="00EC53D1"/>
    <w:rsid w:val="00ED4C55"/>
    <w:rsid w:val="00EE4CC4"/>
    <w:rsid w:val="00F91460"/>
    <w:rsid w:val="00F93BD5"/>
    <w:rsid w:val="00FA64B5"/>
    <w:rsid w:val="00FB236E"/>
    <w:rsid w:val="00FC72CE"/>
    <w:rsid w:val="00FE4192"/>
    <w:rsid w:val="01DA029C"/>
    <w:rsid w:val="0549747E"/>
    <w:rsid w:val="061924C9"/>
    <w:rsid w:val="07EB3A46"/>
    <w:rsid w:val="087106CF"/>
    <w:rsid w:val="0AA552FF"/>
    <w:rsid w:val="0BA82FBB"/>
    <w:rsid w:val="0D402DCA"/>
    <w:rsid w:val="10745A53"/>
    <w:rsid w:val="11B10E30"/>
    <w:rsid w:val="11CD7818"/>
    <w:rsid w:val="1203343A"/>
    <w:rsid w:val="13787C50"/>
    <w:rsid w:val="13E91B76"/>
    <w:rsid w:val="14634B62"/>
    <w:rsid w:val="15FB1B64"/>
    <w:rsid w:val="17794719"/>
    <w:rsid w:val="19AC7F7E"/>
    <w:rsid w:val="1A893C87"/>
    <w:rsid w:val="1AD51FCD"/>
    <w:rsid w:val="1FC126CD"/>
    <w:rsid w:val="2287370D"/>
    <w:rsid w:val="243B7621"/>
    <w:rsid w:val="24CA0A70"/>
    <w:rsid w:val="25DC7F48"/>
    <w:rsid w:val="26185F86"/>
    <w:rsid w:val="27457B09"/>
    <w:rsid w:val="27837A12"/>
    <w:rsid w:val="28D308C8"/>
    <w:rsid w:val="296F04B9"/>
    <w:rsid w:val="29BD1BA3"/>
    <w:rsid w:val="29D807BC"/>
    <w:rsid w:val="2CC04333"/>
    <w:rsid w:val="2D2F177D"/>
    <w:rsid w:val="2F4010E3"/>
    <w:rsid w:val="2FFD45E8"/>
    <w:rsid w:val="30B02C62"/>
    <w:rsid w:val="32E052B5"/>
    <w:rsid w:val="34274A45"/>
    <w:rsid w:val="34A24E89"/>
    <w:rsid w:val="34FA14D5"/>
    <w:rsid w:val="35D809D0"/>
    <w:rsid w:val="3C1E094F"/>
    <w:rsid w:val="3E1D72E9"/>
    <w:rsid w:val="3FC4700A"/>
    <w:rsid w:val="3FE61EF8"/>
    <w:rsid w:val="41065AEE"/>
    <w:rsid w:val="412E638D"/>
    <w:rsid w:val="457D1427"/>
    <w:rsid w:val="465B54E0"/>
    <w:rsid w:val="47661990"/>
    <w:rsid w:val="48566BE5"/>
    <w:rsid w:val="49367D46"/>
    <w:rsid w:val="4A9D1A87"/>
    <w:rsid w:val="4B8360DE"/>
    <w:rsid w:val="4C722D31"/>
    <w:rsid w:val="4CD34868"/>
    <w:rsid w:val="4D072B13"/>
    <w:rsid w:val="4D9A513E"/>
    <w:rsid w:val="4DC84CF6"/>
    <w:rsid w:val="50DF1D3D"/>
    <w:rsid w:val="52675692"/>
    <w:rsid w:val="53443375"/>
    <w:rsid w:val="536C07A9"/>
    <w:rsid w:val="54AA0BDA"/>
    <w:rsid w:val="555155EA"/>
    <w:rsid w:val="563837FE"/>
    <w:rsid w:val="56F23486"/>
    <w:rsid w:val="58EB2C60"/>
    <w:rsid w:val="58EC0B44"/>
    <w:rsid w:val="59822250"/>
    <w:rsid w:val="5A7C4F3D"/>
    <w:rsid w:val="5D306F28"/>
    <w:rsid w:val="5E275D3B"/>
    <w:rsid w:val="6115048B"/>
    <w:rsid w:val="63054152"/>
    <w:rsid w:val="6354523B"/>
    <w:rsid w:val="6430003F"/>
    <w:rsid w:val="64B61558"/>
    <w:rsid w:val="695068F6"/>
    <w:rsid w:val="69B94497"/>
    <w:rsid w:val="69CF7219"/>
    <w:rsid w:val="69E1674D"/>
    <w:rsid w:val="6A5C67B4"/>
    <w:rsid w:val="6A901C22"/>
    <w:rsid w:val="6CA228CB"/>
    <w:rsid w:val="6E446F28"/>
    <w:rsid w:val="6E6E2E3E"/>
    <w:rsid w:val="70DA42FD"/>
    <w:rsid w:val="739B4D00"/>
    <w:rsid w:val="745F72FB"/>
    <w:rsid w:val="74B56541"/>
    <w:rsid w:val="754A6D84"/>
    <w:rsid w:val="764F7082"/>
    <w:rsid w:val="78E263A4"/>
    <w:rsid w:val="79823728"/>
    <w:rsid w:val="7AD61519"/>
    <w:rsid w:val="7B1F3A0C"/>
    <w:rsid w:val="7B742552"/>
    <w:rsid w:val="7B881F66"/>
    <w:rsid w:val="7C375CFE"/>
    <w:rsid w:val="7CF31D97"/>
    <w:rsid w:val="7D5E654A"/>
    <w:rsid w:val="7E0D0C38"/>
    <w:rsid w:val="7EFF4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5">
    <w:name w:val="heading 2"/>
    <w:basedOn w:val="1"/>
    <w:next w:val="1"/>
    <w:qFormat/>
    <w:uiPriority w:val="99"/>
    <w:pPr>
      <w:keepNext/>
      <w:keepLines/>
      <w:spacing w:before="260" w:after="260" w:line="412" w:lineRule="auto"/>
      <w:outlineLvl w:val="1"/>
    </w:pPr>
    <w:rPr>
      <w:rFonts w:ascii="Arial" w:hAnsi="Arial" w:eastAsia="黑体"/>
      <w:b/>
      <w:sz w:val="32"/>
      <w:szCs w:val="20"/>
    </w:rPr>
  </w:style>
  <w:style w:type="paragraph" w:styleId="6">
    <w:name w:val="heading 3"/>
    <w:basedOn w:val="1"/>
    <w:next w:val="1"/>
    <w:qFormat/>
    <w:uiPriority w:val="0"/>
    <w:pPr>
      <w:keepNext/>
      <w:keepLines/>
      <w:spacing w:before="260" w:after="260" w:line="412" w:lineRule="auto"/>
      <w:ind w:firstLine="49" w:firstLineChars="49"/>
      <w:outlineLvl w:val="2"/>
    </w:pPr>
    <w:rPr>
      <w:rFonts w:ascii="黑体" w:eastAsia="黑体"/>
      <w:sz w:val="28"/>
      <w:szCs w:val="20"/>
    </w:rPr>
  </w:style>
  <w:style w:type="paragraph" w:styleId="7">
    <w:name w:val="heading 5"/>
    <w:basedOn w:val="1"/>
    <w:next w:val="1"/>
    <w:qFormat/>
    <w:uiPriority w:val="1"/>
    <w:pPr>
      <w:spacing w:before="46"/>
      <w:ind w:left="108"/>
      <w:outlineLvl w:val="4"/>
    </w:pPr>
    <w:rPr>
      <w:sz w:val="28"/>
      <w:szCs w:val="28"/>
    </w:rPr>
  </w:style>
  <w:style w:type="paragraph" w:styleId="8">
    <w:name w:val="heading 6"/>
    <w:basedOn w:val="1"/>
    <w:next w:val="1"/>
    <w:qFormat/>
    <w:uiPriority w:val="1"/>
    <w:pPr>
      <w:ind w:left="296"/>
      <w:outlineLvl w:val="5"/>
    </w:pPr>
    <w:rPr>
      <w:b/>
      <w:bCs/>
      <w:sz w:val="24"/>
      <w:szCs w:val="24"/>
    </w:rPr>
  </w:style>
  <w:style w:type="character" w:default="1" w:styleId="24">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left="0" w:leftChars="0" w:firstLine="960" w:firstLineChars="200"/>
    </w:pPr>
    <w:rPr>
      <w:sz w:val="24"/>
      <w:szCs w:val="20"/>
    </w:rPr>
  </w:style>
  <w:style w:type="paragraph" w:styleId="3">
    <w:name w:val="Body Text Indent"/>
    <w:basedOn w:val="1"/>
    <w:qFormat/>
    <w:uiPriority w:val="0"/>
    <w:pPr>
      <w:spacing w:after="120"/>
      <w:ind w:left="420" w:leftChars="200"/>
    </w:pPr>
    <w:rPr>
      <w:rFonts w:ascii="Times New Roman" w:hAnsi="Times New Roman"/>
      <w:szCs w:val="20"/>
    </w:rPr>
  </w:style>
  <w:style w:type="paragraph" w:styleId="9">
    <w:name w:val="Normal Indent"/>
    <w:basedOn w:val="1"/>
    <w:next w:val="1"/>
    <w:qFormat/>
    <w:uiPriority w:val="0"/>
    <w:pPr>
      <w:ind w:firstLine="420"/>
    </w:pPr>
    <w:rPr>
      <w:kern w:val="0"/>
      <w:sz w:val="20"/>
      <w:szCs w:val="20"/>
    </w:rPr>
  </w:style>
  <w:style w:type="paragraph" w:styleId="10">
    <w:name w:val="annotation text"/>
    <w:basedOn w:val="1"/>
    <w:link w:val="37"/>
    <w:qFormat/>
    <w:uiPriority w:val="0"/>
    <w:pPr>
      <w:jc w:val="left"/>
    </w:pPr>
  </w:style>
  <w:style w:type="paragraph" w:styleId="11">
    <w:name w:val="Body Text 3"/>
    <w:basedOn w:val="1"/>
    <w:qFormat/>
    <w:uiPriority w:val="0"/>
    <w:rPr>
      <w:rFonts w:ascii="宋体"/>
      <w:sz w:val="24"/>
      <w:szCs w:val="20"/>
    </w:rPr>
  </w:style>
  <w:style w:type="paragraph" w:styleId="12">
    <w:name w:val="Body Text"/>
    <w:basedOn w:val="1"/>
    <w:unhideWhenUsed/>
    <w:qFormat/>
    <w:uiPriority w:val="0"/>
    <w:pPr>
      <w:spacing w:after="120"/>
    </w:pPr>
    <w:rPr>
      <w:rFonts w:ascii="Times New Roman" w:hAnsi="Times New Roman"/>
      <w:szCs w:val="20"/>
    </w:rPr>
  </w:style>
  <w:style w:type="paragraph" w:styleId="13">
    <w:name w:val="toc 3"/>
    <w:basedOn w:val="1"/>
    <w:next w:val="1"/>
    <w:qFormat/>
    <w:uiPriority w:val="39"/>
    <w:pPr>
      <w:ind w:left="400" w:leftChars="400"/>
    </w:pPr>
  </w:style>
  <w:style w:type="paragraph" w:styleId="14">
    <w:name w:val="Plain Text"/>
    <w:basedOn w:val="1"/>
    <w:next w:val="1"/>
    <w:link w:val="42"/>
    <w:qFormat/>
    <w:uiPriority w:val="0"/>
    <w:rPr>
      <w:rFonts w:ascii="宋体"/>
    </w:rPr>
  </w:style>
  <w:style w:type="paragraph" w:styleId="15">
    <w:name w:val="Balloon Text"/>
    <w:basedOn w:val="1"/>
    <w:link w:val="41"/>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link w:val="39"/>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toc 2"/>
    <w:basedOn w:val="1"/>
    <w:next w:val="1"/>
    <w:qFormat/>
    <w:uiPriority w:val="39"/>
    <w:pPr>
      <w:ind w:left="200" w:leftChars="200"/>
    </w:pPr>
  </w:style>
  <w:style w:type="paragraph" w:styleId="20">
    <w:name w:val="Normal (Web)"/>
    <w:basedOn w:val="1"/>
    <w:unhideWhenUsed/>
    <w:qFormat/>
    <w:uiPriority w:val="99"/>
    <w:pPr>
      <w:widowControl/>
      <w:jc w:val="left"/>
    </w:pPr>
    <w:rPr>
      <w:rFonts w:ascii="微软雅黑" w:hAnsi="微软雅黑" w:eastAsia="微软雅黑" w:cs="宋体"/>
      <w:kern w:val="0"/>
      <w:sz w:val="24"/>
      <w:szCs w:val="24"/>
    </w:rPr>
  </w:style>
  <w:style w:type="paragraph" w:styleId="21">
    <w:name w:val="annotation subject"/>
    <w:basedOn w:val="10"/>
    <w:next w:val="10"/>
    <w:link w:val="38"/>
    <w:qFormat/>
    <w:uiPriority w:val="0"/>
    <w:rPr>
      <w:b/>
      <w:bCs/>
    </w:rPr>
  </w:style>
  <w:style w:type="paragraph" w:styleId="22">
    <w:name w:val="Body Text First Indent"/>
    <w:basedOn w:val="12"/>
    <w:qFormat/>
    <w:uiPriority w:val="0"/>
    <w:pPr>
      <w:spacing w:line="312" w:lineRule="auto"/>
      <w:ind w:firstLine="420"/>
    </w:pPr>
    <w:rPr>
      <w:szCs w:val="24"/>
    </w:rPr>
  </w:style>
  <w:style w:type="character" w:styleId="25">
    <w:name w:val="Strong"/>
    <w:basedOn w:val="24"/>
    <w:qFormat/>
    <w:uiPriority w:val="0"/>
    <w:rPr>
      <w:b/>
    </w:rPr>
  </w:style>
  <w:style w:type="character" w:styleId="26">
    <w:name w:val="Hyperlink"/>
    <w:basedOn w:val="24"/>
    <w:qFormat/>
    <w:uiPriority w:val="99"/>
    <w:rPr>
      <w:color w:val="000000"/>
      <w:u w:val="none"/>
    </w:rPr>
  </w:style>
  <w:style w:type="character" w:styleId="27">
    <w:name w:val="annotation reference"/>
    <w:qFormat/>
    <w:uiPriority w:val="0"/>
    <w:rPr>
      <w:sz w:val="21"/>
    </w:rPr>
  </w:style>
  <w:style w:type="paragraph" w:customStyle="1" w:styleId="28">
    <w:name w:val="TOC 标题1"/>
    <w:basedOn w:val="4"/>
    <w:next w:val="1"/>
    <w:qFormat/>
    <w:uiPriority w:val="0"/>
    <w:pPr>
      <w:widowControl/>
      <w:spacing w:before="480" w:after="0" w:line="276" w:lineRule="auto"/>
      <w:jc w:val="left"/>
      <w:outlineLvl w:val="9"/>
    </w:pPr>
    <w:rPr>
      <w:rFonts w:ascii="Cambria" w:hAnsi="Cambria"/>
      <w:color w:val="365F91"/>
      <w:kern w:val="0"/>
      <w:sz w:val="28"/>
    </w:rPr>
  </w:style>
  <w:style w:type="paragraph" w:customStyle="1" w:styleId="29">
    <w:name w:val="p0"/>
    <w:basedOn w:val="1"/>
    <w:qFormat/>
    <w:uiPriority w:val="0"/>
    <w:pPr>
      <w:widowControl/>
      <w:spacing w:before="75" w:after="75"/>
      <w:jc w:val="left"/>
    </w:pPr>
    <w:rPr>
      <w:rFonts w:ascii="宋体" w:hAnsi="宋体" w:cs="宋体"/>
      <w:kern w:val="0"/>
      <w:sz w:val="24"/>
      <w:szCs w:val="24"/>
    </w:rPr>
  </w:style>
  <w:style w:type="paragraph" w:customStyle="1" w:styleId="30">
    <w:name w:val="Table Paragraph"/>
    <w:basedOn w:val="1"/>
    <w:unhideWhenUsed/>
    <w:qFormat/>
    <w:uiPriority w:val="99"/>
    <w:rPr>
      <w:rFonts w:hint="eastAsia"/>
    </w:rPr>
  </w:style>
  <w:style w:type="paragraph" w:customStyle="1" w:styleId="31">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2">
    <w:name w:val="List Paragraph"/>
    <w:basedOn w:val="1"/>
    <w:unhideWhenUsed/>
    <w:qFormat/>
    <w:uiPriority w:val="99"/>
    <w:pPr>
      <w:ind w:firstLine="420" w:firstLineChars="200"/>
    </w:pPr>
  </w:style>
  <w:style w:type="paragraph" w:customStyle="1" w:styleId="33">
    <w:name w:val="样式 宋体 行距: 1.5 倍行距"/>
    <w:basedOn w:val="1"/>
    <w:qFormat/>
    <w:uiPriority w:val="99"/>
    <w:pPr>
      <w:jc w:val="center"/>
    </w:pPr>
    <w:rPr>
      <w:b/>
      <w:bCs/>
    </w:rPr>
  </w:style>
  <w:style w:type="character" w:customStyle="1" w:styleId="34">
    <w:name w:val="font31"/>
    <w:basedOn w:val="24"/>
    <w:qFormat/>
    <w:uiPriority w:val="0"/>
    <w:rPr>
      <w:rFonts w:hint="eastAsia" w:ascii="仿宋" w:hAnsi="仿宋" w:eastAsia="仿宋" w:cs="仿宋"/>
      <w:color w:val="000000"/>
      <w:sz w:val="28"/>
      <w:szCs w:val="28"/>
      <w:u w:val="none"/>
    </w:rPr>
  </w:style>
  <w:style w:type="character" w:customStyle="1" w:styleId="35">
    <w:name w:val="font01"/>
    <w:basedOn w:val="24"/>
    <w:qFormat/>
    <w:uiPriority w:val="0"/>
    <w:rPr>
      <w:rFonts w:hint="eastAsia" w:ascii="仿宋" w:hAnsi="仿宋" w:eastAsia="仿宋" w:cs="仿宋"/>
      <w:b/>
      <w:color w:val="000000"/>
      <w:sz w:val="28"/>
      <w:szCs w:val="28"/>
      <w:u w:val="none"/>
    </w:rPr>
  </w:style>
  <w:style w:type="paragraph" w:customStyle="1" w:styleId="36">
    <w:name w:val="修订1"/>
    <w:hidden/>
    <w:semiHidden/>
    <w:qFormat/>
    <w:uiPriority w:val="99"/>
    <w:rPr>
      <w:rFonts w:ascii="Calibri" w:hAnsi="Calibri" w:eastAsia="宋体" w:cs="Times New Roman"/>
      <w:kern w:val="2"/>
      <w:sz w:val="21"/>
      <w:szCs w:val="22"/>
      <w:lang w:val="en-US" w:eastAsia="zh-CN" w:bidi="ar-SA"/>
    </w:rPr>
  </w:style>
  <w:style w:type="character" w:customStyle="1" w:styleId="37">
    <w:name w:val="批注文字 Char"/>
    <w:basedOn w:val="24"/>
    <w:link w:val="10"/>
    <w:qFormat/>
    <w:uiPriority w:val="0"/>
    <w:rPr>
      <w:rFonts w:ascii="Calibri" w:hAnsi="Calibri" w:eastAsia="宋体" w:cs="Times New Roman"/>
      <w:kern w:val="2"/>
      <w:sz w:val="21"/>
      <w:szCs w:val="22"/>
    </w:rPr>
  </w:style>
  <w:style w:type="character" w:customStyle="1" w:styleId="38">
    <w:name w:val="批注主题 Char"/>
    <w:basedOn w:val="37"/>
    <w:link w:val="21"/>
    <w:qFormat/>
    <w:uiPriority w:val="0"/>
    <w:rPr>
      <w:rFonts w:ascii="Calibri" w:hAnsi="Calibri" w:eastAsia="宋体" w:cs="Times New Roman"/>
      <w:b/>
      <w:bCs/>
      <w:kern w:val="2"/>
      <w:sz w:val="21"/>
      <w:szCs w:val="22"/>
    </w:rPr>
  </w:style>
  <w:style w:type="character" w:customStyle="1" w:styleId="39">
    <w:name w:val="页眉 Char"/>
    <w:basedOn w:val="24"/>
    <w:link w:val="17"/>
    <w:qFormat/>
    <w:uiPriority w:val="0"/>
    <w:rPr>
      <w:rFonts w:ascii="Calibri" w:hAnsi="Calibri" w:eastAsia="宋体" w:cs="Times New Roman"/>
      <w:kern w:val="2"/>
      <w:sz w:val="18"/>
      <w:szCs w:val="18"/>
    </w:rPr>
  </w:style>
  <w:style w:type="paragraph" w:customStyle="1" w:styleId="40">
    <w:name w:val="修订2"/>
    <w:hidden/>
    <w:semiHidden/>
    <w:qFormat/>
    <w:uiPriority w:val="99"/>
    <w:rPr>
      <w:rFonts w:ascii="Calibri" w:hAnsi="Calibri" w:eastAsia="宋体" w:cs="Times New Roman"/>
      <w:kern w:val="2"/>
      <w:sz w:val="21"/>
      <w:szCs w:val="22"/>
      <w:lang w:val="en-US" w:eastAsia="zh-CN" w:bidi="ar-SA"/>
    </w:rPr>
  </w:style>
  <w:style w:type="character" w:customStyle="1" w:styleId="41">
    <w:name w:val="批注框文本 Char"/>
    <w:basedOn w:val="24"/>
    <w:link w:val="15"/>
    <w:qFormat/>
    <w:uiPriority w:val="0"/>
    <w:rPr>
      <w:rFonts w:ascii="Calibri" w:hAnsi="Calibri" w:eastAsia="宋体" w:cs="Times New Roman"/>
      <w:kern w:val="2"/>
      <w:sz w:val="18"/>
      <w:szCs w:val="18"/>
    </w:rPr>
  </w:style>
  <w:style w:type="character" w:customStyle="1" w:styleId="42">
    <w:name w:val="纯文本 Char"/>
    <w:link w:val="14"/>
    <w:qFormat/>
    <w:uiPriority w:val="0"/>
    <w:rPr>
      <w:rFonts w:ascii="宋体" w:hAnsi="Calibri" w:eastAsia="宋体"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D53655-4280-4E6D-9D29-73D959CAAC00}">
  <ds:schemaRefs/>
</ds:datastoreItem>
</file>

<file path=docProps/app.xml><?xml version="1.0" encoding="utf-8"?>
<Properties xmlns="http://schemas.openxmlformats.org/officeDocument/2006/extended-properties" xmlns:vt="http://schemas.openxmlformats.org/officeDocument/2006/docPropsVTypes">
  <Template>Normal</Template>
  <Pages>111</Pages>
  <Words>59262</Words>
  <Characters>61777</Characters>
  <Lines>502</Lines>
  <Paragraphs>141</Paragraphs>
  <TotalTime>40</TotalTime>
  <ScaleCrop>false</ScaleCrop>
  <LinksUpToDate>false</LinksUpToDate>
  <CharactersWithSpaces>66178</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2022-07-25T07:01:00Z</dcterms:created>
  <dc:creator>ZCCT</dc:creator>
  <cp:lastModifiedBy>ling</cp:lastModifiedBy>
  <cp:lastPrinted>2022-08-12T07:52:00Z</cp:lastPrinted>
  <dcterms:modified xsi:type="dcterms:W3CDTF">2022-09-19T03:41:55Z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14D1DF232BF54B94BA89D3A5F2DE4DEC</vt:lpwstr>
  </property>
</Properties>
</file>