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7B168">
      <w:pPr>
        <w:ind w:firstLine="883"/>
        <w:jc w:val="center"/>
        <w:rPr>
          <w:rFonts w:ascii="宋体" w:hAnsi="宋体"/>
          <w:b/>
          <w:color w:val="auto"/>
          <w:sz w:val="44"/>
          <w:szCs w:val="44"/>
          <w:highlight w:val="none"/>
        </w:rPr>
      </w:pPr>
      <w:bookmarkStart w:id="0" w:name="_Toc25072048"/>
    </w:p>
    <w:p w14:paraId="07C45A9F">
      <w:pPr>
        <w:pStyle w:val="2"/>
        <w:rPr>
          <w:color w:val="auto"/>
          <w:highlight w:val="none"/>
        </w:rPr>
      </w:pPr>
    </w:p>
    <w:p w14:paraId="0AC5E7A5">
      <w:pPr>
        <w:ind w:firstLine="883"/>
        <w:jc w:val="center"/>
        <w:rPr>
          <w:rFonts w:hint="eastAsia" w:ascii="宋体" w:hAnsi="宋体" w:eastAsia="宋体" w:cs="宋体"/>
          <w:b/>
          <w:bCs/>
          <w:color w:val="auto"/>
          <w:sz w:val="20"/>
          <w:szCs w:val="20"/>
          <w:highlight w:val="none"/>
          <w:lang w:eastAsia="zh-CN"/>
        </w:rPr>
      </w:pPr>
      <w:r>
        <w:rPr>
          <w:rFonts w:hint="eastAsia" w:ascii="宋体" w:hAnsi="宋体"/>
          <w:b/>
          <w:color w:val="auto"/>
          <w:sz w:val="44"/>
          <w:szCs w:val="44"/>
          <w:highlight w:val="none"/>
          <w:lang w:eastAsia="zh-CN"/>
        </w:rPr>
        <w:t>广东省生态环境厅新港西路办公业务用房维修改造工程项目设计（第二次）</w:t>
      </w:r>
    </w:p>
    <w:p w14:paraId="4B800CA7">
      <w:pPr>
        <w:ind w:firstLine="402"/>
        <w:rPr>
          <w:rFonts w:ascii="宋体" w:hAnsi="宋体" w:cs="宋体"/>
          <w:b/>
          <w:bCs/>
          <w:color w:val="auto"/>
          <w:sz w:val="20"/>
          <w:szCs w:val="20"/>
          <w:highlight w:val="none"/>
        </w:rPr>
      </w:pPr>
    </w:p>
    <w:p w14:paraId="572BB7B1">
      <w:pPr>
        <w:ind w:firstLine="1928"/>
        <w:jc w:val="center"/>
        <w:rPr>
          <w:rFonts w:ascii="宋体" w:hAnsi="宋体"/>
          <w:b/>
          <w:color w:val="auto"/>
          <w:sz w:val="96"/>
          <w:szCs w:val="84"/>
          <w:highlight w:val="none"/>
        </w:rPr>
      </w:pPr>
    </w:p>
    <w:p w14:paraId="20F8107B">
      <w:pPr>
        <w:ind w:firstLine="1928"/>
        <w:jc w:val="center"/>
        <w:rPr>
          <w:rFonts w:ascii="宋体" w:hAnsi="宋体"/>
          <w:b/>
          <w:color w:val="auto"/>
          <w:sz w:val="96"/>
          <w:szCs w:val="84"/>
          <w:highlight w:val="none"/>
        </w:rPr>
      </w:pPr>
    </w:p>
    <w:p w14:paraId="4E6D391E">
      <w:pPr>
        <w:jc w:val="center"/>
        <w:rPr>
          <w:rFonts w:ascii="宋体" w:hAnsi="宋体"/>
          <w:b/>
          <w:color w:val="auto"/>
          <w:sz w:val="96"/>
          <w:szCs w:val="84"/>
          <w:highlight w:val="none"/>
        </w:rPr>
      </w:pPr>
      <w:r>
        <w:rPr>
          <w:rFonts w:ascii="宋体" w:hAnsi="宋体"/>
          <w:b/>
          <w:color w:val="auto"/>
          <w:sz w:val="96"/>
          <w:szCs w:val="84"/>
          <w:highlight w:val="none"/>
        </w:rPr>
        <w:t>招标</w:t>
      </w:r>
      <w:r>
        <w:rPr>
          <w:rFonts w:hint="eastAsia" w:ascii="宋体" w:hAnsi="宋体"/>
          <w:b/>
          <w:color w:val="auto"/>
          <w:sz w:val="96"/>
          <w:szCs w:val="84"/>
          <w:highlight w:val="none"/>
        </w:rPr>
        <w:t>公告</w:t>
      </w:r>
    </w:p>
    <w:p w14:paraId="45BD93C1">
      <w:pPr>
        <w:ind w:firstLine="880"/>
        <w:rPr>
          <w:rFonts w:ascii="宋体" w:hAnsi="宋体" w:cs="宋体"/>
          <w:color w:val="auto"/>
          <w:sz w:val="44"/>
          <w:szCs w:val="44"/>
          <w:highlight w:val="none"/>
        </w:rPr>
      </w:pPr>
    </w:p>
    <w:p w14:paraId="295F8C2D">
      <w:pPr>
        <w:ind w:firstLine="880"/>
        <w:rPr>
          <w:rFonts w:ascii="宋体" w:hAnsi="宋体" w:cs="宋体"/>
          <w:color w:val="auto"/>
          <w:sz w:val="44"/>
          <w:szCs w:val="44"/>
          <w:highlight w:val="none"/>
        </w:rPr>
      </w:pPr>
    </w:p>
    <w:p w14:paraId="138481A3">
      <w:pPr>
        <w:ind w:firstLine="880"/>
        <w:rPr>
          <w:rFonts w:ascii="宋体" w:hAnsi="宋体" w:cs="宋体"/>
          <w:color w:val="auto"/>
          <w:sz w:val="44"/>
          <w:szCs w:val="44"/>
          <w:highlight w:val="none"/>
        </w:rPr>
      </w:pPr>
    </w:p>
    <w:p w14:paraId="0B3E13EC">
      <w:pPr>
        <w:ind w:firstLine="880"/>
        <w:rPr>
          <w:rFonts w:ascii="宋体" w:hAnsi="宋体" w:cs="宋体"/>
          <w:color w:val="auto"/>
          <w:sz w:val="44"/>
          <w:szCs w:val="44"/>
          <w:highlight w:val="none"/>
        </w:rPr>
      </w:pPr>
    </w:p>
    <w:p w14:paraId="4F66E6C0">
      <w:pPr>
        <w:spacing w:before="8"/>
        <w:ind w:firstLine="660"/>
        <w:rPr>
          <w:rFonts w:ascii="宋体" w:hAnsi="宋体" w:cs="宋体"/>
          <w:color w:val="auto"/>
          <w:sz w:val="33"/>
          <w:szCs w:val="33"/>
          <w:highlight w:val="none"/>
        </w:rPr>
      </w:pPr>
    </w:p>
    <w:p w14:paraId="18EC78B2">
      <w:pPr>
        <w:spacing w:before="8"/>
        <w:ind w:firstLine="660"/>
        <w:rPr>
          <w:rFonts w:ascii="宋体" w:hAnsi="宋体" w:cs="宋体"/>
          <w:color w:val="auto"/>
          <w:sz w:val="33"/>
          <w:szCs w:val="33"/>
          <w:highlight w:val="none"/>
        </w:rPr>
      </w:pPr>
    </w:p>
    <w:p w14:paraId="457AB6B3">
      <w:pPr>
        <w:spacing w:line="360" w:lineRule="auto"/>
        <w:ind w:firstLine="964" w:firstLineChars="300"/>
        <w:rPr>
          <w:rFonts w:ascii="宋体" w:hAnsi="宋体"/>
          <w:b/>
          <w:color w:val="auto"/>
          <w:sz w:val="32"/>
          <w:szCs w:val="32"/>
          <w:highlight w:val="none"/>
        </w:rPr>
      </w:pPr>
    </w:p>
    <w:p w14:paraId="38330210">
      <w:pPr>
        <w:spacing w:line="360" w:lineRule="auto"/>
        <w:ind w:firstLine="964" w:firstLineChars="300"/>
        <w:rPr>
          <w:rFonts w:ascii="宋体" w:hAnsi="宋体"/>
          <w:b/>
          <w:color w:val="auto"/>
          <w:sz w:val="32"/>
          <w:szCs w:val="32"/>
          <w:highlight w:val="none"/>
        </w:rPr>
      </w:pPr>
    </w:p>
    <w:p w14:paraId="2F006B42">
      <w:pPr>
        <w:spacing w:line="360" w:lineRule="auto"/>
        <w:ind w:firstLine="964" w:firstLineChars="300"/>
        <w:rPr>
          <w:rFonts w:ascii="宋体" w:hAnsi="宋体"/>
          <w:b/>
          <w:color w:val="auto"/>
          <w:sz w:val="32"/>
          <w:szCs w:val="32"/>
          <w:highlight w:val="none"/>
        </w:rPr>
      </w:pPr>
      <w:r>
        <w:rPr>
          <w:rFonts w:hint="eastAsia" w:ascii="宋体" w:hAnsi="宋体"/>
          <w:b/>
          <w:color w:val="auto"/>
          <w:sz w:val="32"/>
          <w:szCs w:val="32"/>
          <w:highlight w:val="none"/>
        </w:rPr>
        <w:t>招   标   人：</w:t>
      </w:r>
      <w:bookmarkStart w:id="1" w:name="OLE_LINK20"/>
      <w:r>
        <w:rPr>
          <w:rFonts w:hint="eastAsia" w:ascii="宋体" w:hAnsi="宋体"/>
          <w:b/>
          <w:color w:val="auto"/>
          <w:sz w:val="32"/>
          <w:highlight w:val="none"/>
        </w:rPr>
        <w:t>广东省代建项目管理局</w:t>
      </w:r>
      <w:bookmarkEnd w:id="1"/>
    </w:p>
    <w:p w14:paraId="40EFC96B">
      <w:pPr>
        <w:spacing w:line="360" w:lineRule="auto"/>
        <w:ind w:firstLine="964" w:firstLineChars="300"/>
        <w:rPr>
          <w:rFonts w:ascii="宋体" w:hAnsi="宋体"/>
          <w:b/>
          <w:color w:val="auto"/>
          <w:sz w:val="32"/>
          <w:szCs w:val="32"/>
          <w:highlight w:val="none"/>
        </w:rPr>
      </w:pPr>
      <w:r>
        <w:rPr>
          <w:rFonts w:hint="eastAsia" w:ascii="宋体" w:hAnsi="宋体"/>
          <w:b/>
          <w:color w:val="auto"/>
          <w:sz w:val="32"/>
          <w:szCs w:val="32"/>
          <w:highlight w:val="none"/>
        </w:rPr>
        <w:t>招标代理机构：</w:t>
      </w:r>
      <w:r>
        <w:rPr>
          <w:rFonts w:hint="eastAsia" w:ascii="宋体" w:hAnsi="宋体"/>
          <w:b/>
          <w:color w:val="auto"/>
          <w:sz w:val="32"/>
          <w:highlight w:val="none"/>
        </w:rPr>
        <w:t>广州市市政工程监理有限公司</w:t>
      </w:r>
    </w:p>
    <w:p w14:paraId="70C5318F">
      <w:pPr>
        <w:tabs>
          <w:tab w:val="left" w:pos="561"/>
        </w:tabs>
        <w:spacing w:line="360" w:lineRule="auto"/>
        <w:ind w:firstLine="964" w:firstLineChars="300"/>
        <w:rPr>
          <w:rFonts w:ascii="宋体" w:hAnsi="宋体"/>
          <w:b/>
          <w:color w:val="auto"/>
          <w:sz w:val="32"/>
          <w:szCs w:val="32"/>
          <w:highlight w:val="none"/>
        </w:rPr>
      </w:pPr>
      <w:r>
        <w:rPr>
          <w:rFonts w:hint="eastAsia" w:ascii="宋体" w:hAnsi="宋体"/>
          <w:b/>
          <w:color w:val="auto"/>
          <w:sz w:val="32"/>
          <w:szCs w:val="32"/>
          <w:highlight w:val="none"/>
        </w:rPr>
        <w:t>日        期：202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3</w:t>
      </w:r>
      <w:r>
        <w:rPr>
          <w:rFonts w:hint="eastAsia" w:ascii="宋体" w:hAnsi="宋体"/>
          <w:b/>
          <w:color w:val="auto"/>
          <w:sz w:val="32"/>
          <w:szCs w:val="32"/>
          <w:highlight w:val="none"/>
        </w:rPr>
        <w:t>月</w:t>
      </w:r>
    </w:p>
    <w:p w14:paraId="1361CB76">
      <w:pPr>
        <w:pStyle w:val="14"/>
        <w:tabs>
          <w:tab w:val="right" w:pos="9350"/>
        </w:tabs>
        <w:spacing w:line="360" w:lineRule="auto"/>
        <w:ind w:firstLine="643"/>
        <w:jc w:val="center"/>
        <w:rPr>
          <w:b/>
          <w:color w:val="auto"/>
          <w:sz w:val="32"/>
          <w:szCs w:val="32"/>
          <w:highlight w:val="none"/>
          <w:lang w:eastAsia="zh-CN"/>
        </w:rPr>
        <w:sectPr>
          <w:headerReference r:id="rId3" w:type="default"/>
          <w:footerReference r:id="rId4" w:type="default"/>
          <w:pgSz w:w="11905" w:h="16838"/>
          <w:pgMar w:top="1440" w:right="1440" w:bottom="1440" w:left="1440" w:header="720" w:footer="720" w:gutter="0"/>
          <w:cols w:space="0" w:num="1"/>
        </w:sectPr>
      </w:pPr>
    </w:p>
    <w:p w14:paraId="301F6384">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lang w:eastAsia="zh-CN"/>
        </w:rPr>
        <w:t>广东省生态环境厅新港西路办公业务用房维修改造工程项目设计（第二次）</w:t>
      </w:r>
      <w:r>
        <w:rPr>
          <w:rFonts w:hint="eastAsia" w:ascii="宋体" w:hAnsi="宋体"/>
          <w:b/>
          <w:color w:val="auto"/>
          <w:sz w:val="36"/>
          <w:szCs w:val="36"/>
          <w:highlight w:val="none"/>
          <w:lang w:val="en-US" w:eastAsia="zh-CN"/>
        </w:rPr>
        <w:t>招</w:t>
      </w:r>
      <w:r>
        <w:rPr>
          <w:rFonts w:hint="eastAsia" w:ascii="宋体" w:hAnsi="宋体"/>
          <w:b/>
          <w:color w:val="auto"/>
          <w:sz w:val="36"/>
          <w:szCs w:val="36"/>
          <w:highlight w:val="none"/>
        </w:rPr>
        <w:t>标公告</w:t>
      </w:r>
    </w:p>
    <w:p w14:paraId="48EA2E67">
      <w:pPr>
        <w:pStyle w:val="5"/>
        <w:spacing w:line="360" w:lineRule="auto"/>
        <w:ind w:firstLine="647"/>
        <w:rPr>
          <w:rFonts w:ascii="宋体" w:hAnsi="宋体"/>
          <w:b/>
          <w:color w:val="auto"/>
          <w:sz w:val="32"/>
          <w:highlight w:val="none"/>
        </w:rPr>
      </w:pPr>
      <w:r>
        <w:rPr>
          <w:rFonts w:hint="eastAsia" w:ascii="宋体" w:hAnsi="宋体"/>
          <w:b/>
          <w:color w:val="auto"/>
          <w:spacing w:val="1"/>
          <w:sz w:val="32"/>
          <w:highlight w:val="none"/>
        </w:rPr>
        <w:t>1</w:t>
      </w:r>
      <w:r>
        <w:rPr>
          <w:rFonts w:hint="eastAsia" w:ascii="宋体" w:hAnsi="宋体"/>
          <w:b/>
          <w:color w:val="auto"/>
          <w:sz w:val="32"/>
          <w:highlight w:val="none"/>
        </w:rPr>
        <w:t>.招标条件</w:t>
      </w:r>
      <w:bookmarkEnd w:id="0"/>
    </w:p>
    <w:p w14:paraId="4F261520">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u w:val="single"/>
          <w:lang w:eastAsia="zh-CN"/>
        </w:rPr>
        <w:t>广东省生态环境厅新港西路办公业务用房维修改造工程项目设计（第二次）</w:t>
      </w:r>
      <w:r>
        <w:rPr>
          <w:rFonts w:hint="eastAsia" w:ascii="宋体" w:hAnsi="宋体" w:cs="宋体"/>
          <w:color w:val="auto"/>
          <w:sz w:val="24"/>
          <w:highlight w:val="none"/>
        </w:rPr>
        <w:t>已由</w:t>
      </w:r>
      <w:r>
        <w:rPr>
          <w:rFonts w:hint="eastAsia" w:ascii="宋体" w:hAnsi="宋体" w:cs="宋体"/>
          <w:color w:val="auto"/>
          <w:sz w:val="24"/>
          <w:highlight w:val="none"/>
          <w:u w:val="single"/>
        </w:rPr>
        <w:t>广东省发展和改革委员会</w:t>
      </w:r>
      <w:r>
        <w:rPr>
          <w:rFonts w:hint="eastAsia" w:ascii="宋体" w:hAnsi="宋体"/>
          <w:color w:val="auto"/>
          <w:sz w:val="24"/>
          <w:highlight w:val="none"/>
        </w:rPr>
        <w:t>以</w:t>
      </w:r>
      <w:r>
        <w:rPr>
          <w:rFonts w:hint="eastAsia" w:ascii="宋体" w:hAnsi="宋体"/>
          <w:color w:val="auto"/>
          <w:sz w:val="24"/>
          <w:highlight w:val="none"/>
          <w:u w:val="single"/>
        </w:rPr>
        <w:t>《</w:t>
      </w:r>
      <w:r>
        <w:rPr>
          <w:rFonts w:hint="eastAsia" w:ascii="宋体" w:hAnsi="宋体" w:cs="宋体"/>
          <w:color w:val="auto"/>
          <w:sz w:val="24"/>
          <w:highlight w:val="none"/>
          <w:u w:val="single"/>
        </w:rPr>
        <w:t>广东省发展改革委</w:t>
      </w:r>
      <w:r>
        <w:rPr>
          <w:rFonts w:hint="eastAsia" w:ascii="宋体" w:hAnsi="宋体"/>
          <w:color w:val="auto"/>
          <w:sz w:val="24"/>
          <w:highlight w:val="none"/>
          <w:u w:val="single"/>
        </w:rPr>
        <w:t>关于</w:t>
      </w:r>
      <w:r>
        <w:rPr>
          <w:rFonts w:hint="eastAsia" w:ascii="宋体" w:hAnsi="宋体" w:cs="宋体"/>
          <w:color w:val="auto"/>
          <w:sz w:val="24"/>
          <w:highlight w:val="none"/>
          <w:u w:val="single"/>
        </w:rPr>
        <w:t>广东省生态环境厅新港西路办公业务用房维修改造工程项目</w:t>
      </w:r>
      <w:r>
        <w:rPr>
          <w:rFonts w:hint="eastAsia" w:ascii="宋体" w:hAnsi="宋体"/>
          <w:color w:val="auto"/>
          <w:sz w:val="24"/>
          <w:highlight w:val="none"/>
          <w:u w:val="single"/>
        </w:rPr>
        <w:t>可行性研究报告的复函》（粤发改投审</w:t>
      </w:r>
      <w:r>
        <w:rPr>
          <w:rFonts w:hint="eastAsia" w:ascii="宋体" w:hAnsi="宋体" w:cs="宋体"/>
          <w:color w:val="auto"/>
          <w:kern w:val="0"/>
          <w:sz w:val="24"/>
          <w:highlight w:val="none"/>
          <w:u w:val="single"/>
        </w:rPr>
        <w:t>〔</w:t>
      </w:r>
      <w:r>
        <w:rPr>
          <w:rFonts w:hint="eastAsia" w:ascii="宋体" w:hAnsi="宋体"/>
          <w:color w:val="auto"/>
          <w:sz w:val="24"/>
          <w:highlight w:val="none"/>
          <w:u w:val="single"/>
        </w:rPr>
        <w:t>2024</w:t>
      </w:r>
      <w:r>
        <w:rPr>
          <w:rFonts w:hint="eastAsia" w:ascii="宋体" w:hAnsi="宋体" w:cs="宋体"/>
          <w:color w:val="auto"/>
          <w:kern w:val="0"/>
          <w:sz w:val="24"/>
          <w:highlight w:val="none"/>
          <w:u w:val="single"/>
        </w:rPr>
        <w:t>〕</w:t>
      </w:r>
      <w:r>
        <w:rPr>
          <w:rFonts w:hint="eastAsia" w:ascii="宋体" w:hAnsi="宋体"/>
          <w:color w:val="auto"/>
          <w:sz w:val="24"/>
          <w:highlight w:val="none"/>
          <w:u w:val="single"/>
          <w:lang w:val="en-US" w:eastAsia="zh-CN"/>
        </w:rPr>
        <w:t>146</w:t>
      </w:r>
      <w:r>
        <w:rPr>
          <w:rFonts w:hint="eastAsia" w:ascii="宋体" w:hAnsi="宋体"/>
          <w:color w:val="auto"/>
          <w:sz w:val="24"/>
          <w:highlight w:val="none"/>
          <w:u w:val="single"/>
        </w:rPr>
        <w:t>号）</w:t>
      </w:r>
      <w:r>
        <w:rPr>
          <w:rFonts w:hint="eastAsia" w:ascii="宋体" w:hAnsi="宋体" w:cs="宋体"/>
          <w:color w:val="auto"/>
          <w:sz w:val="24"/>
          <w:highlight w:val="none"/>
        </w:rPr>
        <w:t>批准建设，</w:t>
      </w:r>
      <w:r>
        <w:rPr>
          <w:rFonts w:hint="eastAsia" w:ascii="宋体" w:hAnsi="宋体"/>
          <w:color w:val="auto"/>
          <w:sz w:val="24"/>
          <w:highlight w:val="none"/>
        </w:rPr>
        <w:t>项目业主为</w:t>
      </w:r>
      <w:r>
        <w:rPr>
          <w:rFonts w:hint="eastAsia" w:ascii="宋体" w:hAnsi="宋体" w:cs="宋体"/>
          <w:color w:val="auto"/>
          <w:sz w:val="24"/>
          <w:highlight w:val="none"/>
          <w:u w:val="single"/>
        </w:rPr>
        <w:t>广东省</w:t>
      </w:r>
      <w:r>
        <w:rPr>
          <w:rFonts w:hint="eastAsia" w:ascii="宋体" w:hAnsi="宋体" w:cs="宋体"/>
          <w:color w:val="auto"/>
          <w:sz w:val="24"/>
          <w:highlight w:val="none"/>
          <w:u w:val="single"/>
          <w:lang w:val="en-US" w:eastAsia="zh-CN"/>
        </w:rPr>
        <w:t>生态环境</w:t>
      </w:r>
      <w:r>
        <w:rPr>
          <w:rFonts w:hint="eastAsia" w:ascii="宋体" w:hAnsi="宋体" w:cs="宋体"/>
          <w:color w:val="auto"/>
          <w:sz w:val="24"/>
          <w:highlight w:val="none"/>
          <w:u w:val="single"/>
        </w:rPr>
        <w:t>厅</w:t>
      </w:r>
      <w:r>
        <w:rPr>
          <w:rFonts w:hint="eastAsia" w:ascii="宋体" w:hAnsi="宋体"/>
          <w:color w:val="auto"/>
          <w:sz w:val="24"/>
          <w:highlight w:val="none"/>
          <w:u w:val="single"/>
        </w:rPr>
        <w:t>，</w:t>
      </w:r>
      <w:r>
        <w:rPr>
          <w:rFonts w:hint="eastAsia" w:ascii="宋体" w:hAnsi="宋体" w:cs="宋体"/>
          <w:color w:val="auto"/>
          <w:sz w:val="24"/>
          <w:highlight w:val="none"/>
        </w:rPr>
        <w:t>建设资金由省财政新增预算资金解决，出资比例为</w:t>
      </w:r>
      <w:r>
        <w:rPr>
          <w:rFonts w:hint="eastAsia" w:ascii="宋体" w:hAnsi="宋体" w:cs="宋体"/>
          <w:color w:val="auto"/>
          <w:sz w:val="24"/>
          <w:highlight w:val="none"/>
          <w:u w:val="single"/>
        </w:rPr>
        <w:t>100%</w:t>
      </w:r>
      <w:r>
        <w:rPr>
          <w:rFonts w:hint="eastAsia" w:ascii="宋体" w:hAnsi="宋体" w:cs="宋体"/>
          <w:color w:val="auto"/>
          <w:sz w:val="24"/>
          <w:highlight w:val="none"/>
        </w:rPr>
        <w:t>，招标人为</w:t>
      </w:r>
      <w:r>
        <w:rPr>
          <w:rFonts w:hint="eastAsia" w:ascii="宋体" w:hAnsi="宋体" w:cs="宋体"/>
          <w:color w:val="auto"/>
          <w:sz w:val="24"/>
          <w:highlight w:val="none"/>
          <w:u w:val="single"/>
        </w:rPr>
        <w:t>广东省代建项目管理局</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设计</w:t>
      </w:r>
      <w:r>
        <w:rPr>
          <w:rFonts w:hint="eastAsia" w:ascii="宋体" w:hAnsi="宋体" w:cs="宋体"/>
          <w:color w:val="auto"/>
          <w:sz w:val="24"/>
          <w:highlight w:val="none"/>
        </w:rPr>
        <w:t>进行公开招标</w:t>
      </w:r>
      <w:r>
        <w:rPr>
          <w:rFonts w:hint="eastAsia" w:ascii="宋体" w:hAnsi="宋体"/>
          <w:color w:val="auto"/>
          <w:sz w:val="24"/>
          <w:highlight w:val="none"/>
        </w:rPr>
        <w:t>。</w:t>
      </w:r>
    </w:p>
    <w:p w14:paraId="64AAC96D">
      <w:pPr>
        <w:pStyle w:val="5"/>
        <w:spacing w:line="360" w:lineRule="auto"/>
        <w:ind w:firstLine="647"/>
        <w:rPr>
          <w:rFonts w:ascii="宋体" w:hAnsi="宋体"/>
          <w:b/>
          <w:color w:val="auto"/>
          <w:spacing w:val="1"/>
          <w:sz w:val="32"/>
          <w:highlight w:val="none"/>
        </w:rPr>
      </w:pPr>
      <w:bookmarkStart w:id="2" w:name="_Toc25072049"/>
      <w:r>
        <w:rPr>
          <w:rFonts w:hint="eastAsia" w:ascii="宋体" w:hAnsi="宋体"/>
          <w:b/>
          <w:color w:val="auto"/>
          <w:spacing w:val="1"/>
          <w:sz w:val="32"/>
          <w:highlight w:val="none"/>
        </w:rPr>
        <w:t>2.项目概况与招标范围</w:t>
      </w:r>
      <w:bookmarkEnd w:id="2"/>
    </w:p>
    <w:p w14:paraId="4DE6E55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2.1  招标项目概况</w:t>
      </w:r>
    </w:p>
    <w:p w14:paraId="33598E7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2.1.1  招标项目名称：</w:t>
      </w:r>
      <w:r>
        <w:rPr>
          <w:rFonts w:hint="eastAsia" w:ascii="宋体" w:hAnsi="宋体"/>
          <w:color w:val="auto"/>
          <w:sz w:val="24"/>
          <w:highlight w:val="none"/>
          <w:u w:val="single"/>
          <w:lang w:eastAsia="zh-CN"/>
        </w:rPr>
        <w:t>广东省生态环境厅新港西路办公业务用房维修改造工程项目设计（第二次）</w:t>
      </w:r>
      <w:r>
        <w:rPr>
          <w:rFonts w:hint="eastAsia" w:ascii="宋体" w:hAnsi="宋体"/>
          <w:color w:val="auto"/>
          <w:sz w:val="24"/>
          <w:highlight w:val="none"/>
        </w:rPr>
        <w:t>。</w:t>
      </w:r>
    </w:p>
    <w:p w14:paraId="2A9ED2BE">
      <w:pPr>
        <w:spacing w:line="360" w:lineRule="auto"/>
        <w:ind w:firstLine="480" w:firstLineChars="200"/>
        <w:jc w:val="left"/>
        <w:rPr>
          <w:rFonts w:ascii="宋体" w:hAnsi="宋体" w:cs="宋体"/>
          <w:color w:val="auto"/>
          <w:sz w:val="24"/>
          <w:highlight w:val="none"/>
          <w:u w:val="single"/>
        </w:rPr>
      </w:pPr>
      <w:r>
        <w:rPr>
          <w:rFonts w:hint="eastAsia" w:ascii="宋体" w:hAnsi="宋体"/>
          <w:color w:val="auto"/>
          <w:sz w:val="24"/>
          <w:highlight w:val="none"/>
        </w:rPr>
        <w:t>2.1.2  工程建设地点：</w:t>
      </w:r>
      <w:r>
        <w:rPr>
          <w:rFonts w:hint="eastAsia" w:ascii="宋体" w:hAnsi="宋体" w:cs="宋体"/>
          <w:color w:val="auto"/>
          <w:sz w:val="24"/>
          <w:highlight w:val="none"/>
          <w:u w:val="single"/>
        </w:rPr>
        <w:t>广州市海珠区</w:t>
      </w:r>
      <w:r>
        <w:rPr>
          <w:rFonts w:hint="eastAsia" w:ascii="宋体" w:hAnsi="宋体" w:cs="宋体"/>
          <w:color w:val="auto"/>
          <w:sz w:val="24"/>
          <w:highlight w:val="none"/>
          <w:u w:val="single"/>
          <w:lang w:val="en-US" w:eastAsia="zh-CN"/>
        </w:rPr>
        <w:t>新港街道</w:t>
      </w:r>
      <w:r>
        <w:rPr>
          <w:rFonts w:hint="eastAsia" w:ascii="宋体" w:hAnsi="宋体" w:cs="宋体"/>
          <w:color w:val="auto"/>
          <w:sz w:val="24"/>
          <w:highlight w:val="none"/>
          <w:u w:val="single"/>
        </w:rPr>
        <w:t>新港西路176号。</w:t>
      </w:r>
    </w:p>
    <w:p w14:paraId="35BA5FDC">
      <w:pPr>
        <w:spacing w:line="360" w:lineRule="auto"/>
        <w:ind w:firstLine="480" w:firstLineChars="200"/>
        <w:rPr>
          <w:rFonts w:ascii="宋体" w:hAnsi="宋体" w:cs="宋体"/>
          <w:color w:val="auto"/>
          <w:sz w:val="24"/>
          <w:highlight w:val="none"/>
          <w:u w:val="single"/>
        </w:rPr>
      </w:pPr>
      <w:r>
        <w:rPr>
          <w:rFonts w:hint="eastAsia" w:ascii="宋体" w:hAnsi="宋体"/>
          <w:color w:val="auto"/>
          <w:sz w:val="24"/>
          <w:highlight w:val="none"/>
        </w:rPr>
        <w:t>2.1.3  工程建设规模：</w:t>
      </w:r>
      <w:r>
        <w:rPr>
          <w:rFonts w:hint="eastAsia" w:ascii="宋体" w:hAnsi="宋体"/>
          <w:color w:val="auto"/>
          <w:sz w:val="24"/>
          <w:highlight w:val="none"/>
          <w:u w:val="single"/>
        </w:rPr>
        <w:t>本项目</w:t>
      </w:r>
      <w:r>
        <w:rPr>
          <w:rFonts w:hint="eastAsia" w:ascii="宋体" w:hAnsi="宋体"/>
          <w:color w:val="auto"/>
          <w:sz w:val="24"/>
          <w:highlight w:val="none"/>
          <w:u w:val="single"/>
          <w:lang w:val="en-US" w:eastAsia="zh-CN"/>
        </w:rPr>
        <w:t>维修改造总</w:t>
      </w:r>
      <w:r>
        <w:rPr>
          <w:rFonts w:hint="eastAsia" w:ascii="宋体" w:hAnsi="宋体"/>
          <w:color w:val="auto"/>
          <w:sz w:val="24"/>
          <w:highlight w:val="none"/>
          <w:u w:val="single"/>
        </w:rPr>
        <w:t>建筑面积19720平方米</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其中，</w:t>
      </w:r>
      <w:r>
        <w:rPr>
          <w:rFonts w:hint="eastAsia" w:ascii="宋体" w:hAnsi="宋体"/>
          <w:color w:val="auto"/>
          <w:sz w:val="24"/>
          <w:highlight w:val="none"/>
          <w:u w:val="single"/>
        </w:rPr>
        <w:t>基本办公用房964</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平方米，附属用房2125平方米，业务技术用房7951平方米</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改造内容包括加建机械停车设施，建筑内部格局调整，建筑外墙、内墙、地面、天棚、吊顶、梁、柱等构件的饰面翻新及内门窗的更换，给排水系统、电气系统、智能化系统、通风空调系统、消防系统等更新改造等。</w:t>
      </w:r>
    </w:p>
    <w:p w14:paraId="7327EEB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2.1.4  规划用地文件：</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072466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2.1.5  项目批准文件：</w:t>
      </w:r>
      <w:r>
        <w:rPr>
          <w:rFonts w:hint="eastAsia" w:ascii="宋体" w:hAnsi="宋体"/>
          <w:color w:val="auto"/>
          <w:sz w:val="24"/>
          <w:highlight w:val="none"/>
          <w:u w:val="single"/>
        </w:rPr>
        <w:t>《广东省发展改革委关于广东省生态环境厅新港西路办公业务用房维修改造工程项目可行性研究报告的复函》（粤发改投审〔2024〕146号）</w:t>
      </w:r>
    </w:p>
    <w:p w14:paraId="2FA7CCD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2.1.6  资金来源：</w:t>
      </w:r>
      <w:r>
        <w:rPr>
          <w:rFonts w:hint="eastAsia" w:ascii="宋体" w:hAnsi="宋体" w:cs="宋体"/>
          <w:color w:val="auto"/>
          <w:sz w:val="24"/>
          <w:highlight w:val="none"/>
          <w:u w:val="single"/>
        </w:rPr>
        <w:t>省财政新增预算资金解决</w:t>
      </w:r>
      <w:r>
        <w:rPr>
          <w:rFonts w:hint="eastAsia" w:ascii="宋体" w:hAnsi="宋体"/>
          <w:color w:val="auto"/>
          <w:sz w:val="24"/>
          <w:highlight w:val="none"/>
          <w:u w:val="single"/>
        </w:rPr>
        <w:t>。</w:t>
      </w:r>
    </w:p>
    <w:p w14:paraId="49D4E984">
      <w:pPr>
        <w:pStyle w:val="2"/>
        <w:spacing w:line="600" w:lineRule="exact"/>
        <w:ind w:firstLine="480"/>
        <w:rPr>
          <w:rFonts w:ascii="宋体" w:hAnsi="宋体"/>
          <w:color w:val="auto"/>
          <w:sz w:val="24"/>
          <w:highlight w:val="none"/>
          <w:u w:val="single"/>
          <w:lang w:eastAsia="zh-CN"/>
        </w:rPr>
      </w:pPr>
      <w:r>
        <w:rPr>
          <w:rFonts w:hint="eastAsia" w:ascii="宋体" w:hAnsi="宋体"/>
          <w:color w:val="auto"/>
          <w:sz w:val="24"/>
          <w:highlight w:val="none"/>
          <w:lang w:eastAsia="zh-CN"/>
        </w:rPr>
        <w:t>2.1.7  投资总额：</w:t>
      </w:r>
      <w:r>
        <w:rPr>
          <w:rFonts w:hint="eastAsia" w:ascii="宋体" w:hAnsi="宋体"/>
          <w:color w:val="auto"/>
          <w:sz w:val="24"/>
          <w:highlight w:val="none"/>
          <w:u w:val="single"/>
          <w:lang w:eastAsia="zh-CN"/>
        </w:rPr>
        <w:t>本项目估算总投资12026万元，其中，工程费用10110万元，工程建设其他费用1343万元，预备费57</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lang w:eastAsia="zh-CN"/>
        </w:rPr>
        <w:t>万元。</w:t>
      </w:r>
    </w:p>
    <w:p w14:paraId="32120351">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rPr>
        <w:t>2.1.8  标段划分：</w:t>
      </w:r>
      <w:r>
        <w:rPr>
          <w:rFonts w:hint="eastAsia" w:ascii="宋体" w:hAnsi="宋体"/>
          <w:color w:val="auto"/>
          <w:sz w:val="24"/>
          <w:highlight w:val="none"/>
          <w:u w:val="single"/>
        </w:rPr>
        <w:t>本项目设1个标段。</w:t>
      </w:r>
    </w:p>
    <w:p w14:paraId="5B69DDF8">
      <w:pPr>
        <w:spacing w:line="360" w:lineRule="auto"/>
        <w:ind w:firstLine="480" w:firstLineChars="200"/>
        <w:jc w:val="left"/>
        <w:rPr>
          <w:rFonts w:ascii="宋体" w:hAnsi="宋体"/>
          <w:color w:val="auto"/>
          <w:sz w:val="24"/>
          <w:highlight w:val="none"/>
        </w:rPr>
      </w:pPr>
      <w:bookmarkStart w:id="3" w:name="OLE_LINK1"/>
      <w:r>
        <w:rPr>
          <w:rFonts w:hint="eastAsia" w:ascii="宋体" w:hAnsi="宋体"/>
          <w:color w:val="auto"/>
          <w:sz w:val="24"/>
          <w:highlight w:val="none"/>
        </w:rPr>
        <w:t>2.2  招标范围及招标内容：</w:t>
      </w:r>
      <w:bookmarkEnd w:id="3"/>
    </w:p>
    <w:p w14:paraId="732D398A">
      <w:pPr>
        <w:spacing w:line="360" w:lineRule="auto"/>
        <w:ind w:firstLine="480"/>
        <w:jc w:val="left"/>
        <w:rPr>
          <w:rFonts w:ascii="宋体" w:hAnsi="宋体" w:cs="宋体"/>
          <w:color w:val="auto"/>
          <w:sz w:val="24"/>
          <w:highlight w:val="none"/>
          <w:u w:val="single"/>
        </w:rPr>
      </w:pPr>
      <w:r>
        <w:rPr>
          <w:rFonts w:hint="eastAsia" w:ascii="宋体" w:hAnsi="宋体" w:cs="宋体"/>
          <w:color w:val="auto"/>
          <w:sz w:val="24"/>
          <w:highlight w:val="none"/>
          <w:u w:val="single"/>
        </w:rPr>
        <w:t>根据基础资料等要求，完成项目建设范围所涉及建设内容的设计工作，主要包括：</w:t>
      </w:r>
    </w:p>
    <w:p w14:paraId="5050E912">
      <w:pPr>
        <w:spacing w:line="360" w:lineRule="auto"/>
        <w:ind w:firstLine="470" w:firstLineChars="196"/>
        <w:rPr>
          <w:rFonts w:asciiTheme="minorEastAsia" w:hAnsiTheme="minorEastAsia" w:eastAsiaTheme="minorEastAsia"/>
          <w:color w:val="auto"/>
          <w:sz w:val="24"/>
          <w:highlight w:val="none"/>
          <w:u w:val="single"/>
        </w:rPr>
      </w:pPr>
      <w:bookmarkStart w:id="4" w:name="OLE_LINK3"/>
      <w:bookmarkStart w:id="5" w:name="_Hlk157101334"/>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u w:val="single"/>
        </w:rPr>
        <w:t>）现状摸查及编制摸查报告：报告包含但不限于项目概况、项目现状（既有建筑补充测绘）、地下管线（对前期地下管线探测报告成果进行复核）、周边市政条件、报批报建工作进展、设计工作进展、建设工作界面、设计工作计划、存在的问题及相关建议等内容，前期摸查报告需经招标人审核通过后视为完成。</w:t>
      </w:r>
      <w:bookmarkEnd w:id="4"/>
    </w:p>
    <w:p w14:paraId="19A13F2C">
      <w:pPr>
        <w:spacing w:line="360" w:lineRule="auto"/>
        <w:ind w:firstLine="470" w:firstLineChars="196"/>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val="en-US" w:eastAsia="zh-CN"/>
        </w:rPr>
        <w:t>2</w:t>
      </w:r>
      <w:r>
        <w:rPr>
          <w:rFonts w:hint="eastAsia" w:asciiTheme="minorEastAsia" w:hAnsiTheme="minorEastAsia" w:eastAsiaTheme="minorEastAsia"/>
          <w:color w:val="auto"/>
          <w:sz w:val="24"/>
          <w:highlight w:val="none"/>
          <w:u w:val="single"/>
        </w:rPr>
        <w:t>）设计方案报审工作(含设计方案审查（房屋建筑类）设计工作）(如有）：在编制设计方案过程中，根据使用单位需求及发包人要求对实际功能布局进行深化优化，在现行政策规定下完成设计方案审查并同步推进控制性详细规划修正。设计方案审查范围包括总平面及竖向规划设计、管线综合设计、建筑布局、交通组织、景观绿化、建筑立面、环境节能保护等（具体以招标人要求为准）。</w:t>
      </w:r>
    </w:p>
    <w:bookmarkEnd w:id="5"/>
    <w:p w14:paraId="6374A7D6">
      <w:pPr>
        <w:spacing w:line="360" w:lineRule="auto"/>
        <w:ind w:firstLine="470" w:firstLineChars="196"/>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color w:val="auto"/>
          <w:sz w:val="24"/>
          <w:highlight w:val="none"/>
          <w:u w:val="single"/>
        </w:rPr>
        <w:t>）设计主要阶段：所有建设内容的方案设计、初步设计及概算编制、施工图设计、竣工图编制，设计内容以经批准的可研报告和初步设计概算中所列的有关工程内容为准。内容包括加建机械停车设施，建筑内部格局调整，建筑外墙、内墙、地面、天棚、吊顶、梁、柱等构件的饰面翻新及内门窗的更换，给排水系统、电气系统、智能化系统、通风空调系统、消防系统等更新改造等。</w:t>
      </w:r>
    </w:p>
    <w:p w14:paraId="2E0C170A">
      <w:pPr>
        <w:spacing w:line="360" w:lineRule="auto"/>
        <w:ind w:firstLine="470" w:firstLineChars="196"/>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）建筑节能与新技术的应用及设计：包括节能、环保、绿色建筑、海绵城市。</w:t>
      </w:r>
    </w:p>
    <w:p w14:paraId="2637B9BE">
      <w:pPr>
        <w:spacing w:line="360" w:lineRule="auto"/>
        <w:ind w:firstLine="480"/>
        <w:jc w:val="left"/>
        <w:rPr>
          <w:rFonts w:ascii="宋体" w:hAns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）其他工作：</w:t>
      </w:r>
    </w:p>
    <w:p w14:paraId="3C065A35">
      <w:pPr>
        <w:spacing w:line="360" w:lineRule="auto"/>
        <w:ind w:firstLine="470" w:firstLineChars="196"/>
        <w:rPr>
          <w:rFonts w:asciiTheme="minorEastAsia" w:hAnsiTheme="minorEastAsia" w:eastAsiaTheme="minorEastAsia"/>
          <w:color w:val="auto"/>
          <w:sz w:val="24"/>
          <w:highlight w:val="none"/>
          <w:u w:val="single"/>
        </w:rPr>
      </w:pPr>
      <w:r>
        <w:rPr>
          <w:rFonts w:hint="eastAsia" w:ascii="宋体" w:hAnsi="宋体" w:cs="宋体"/>
          <w:color w:val="auto"/>
          <w:sz w:val="24"/>
          <w:highlight w:val="none"/>
          <w:u w:val="single"/>
        </w:rPr>
        <w:t>1）造价文件编制工作：</w:t>
      </w:r>
      <w:r>
        <w:rPr>
          <w:rFonts w:hint="eastAsia" w:asciiTheme="minorEastAsia" w:hAnsiTheme="minorEastAsia" w:eastAsiaTheme="minorEastAsia"/>
          <w:color w:val="auto"/>
          <w:sz w:val="24"/>
          <w:highlight w:val="none"/>
          <w:u w:val="single"/>
        </w:rPr>
        <w:t>按照限额设计要求，完成本项目招标范围内工程投资方案设计估算、初步设计概算等造价文件的编制及相关配合报审工作，协助招标人取得发展改革部门的批复意见。还包括各阶段方案比选、技术选型比选的投资分析、施工阶段的设计变更造价变化分析、协助竣工图审核等。</w:t>
      </w:r>
    </w:p>
    <w:p w14:paraId="07DD5AD2">
      <w:pPr>
        <w:spacing w:line="360" w:lineRule="auto"/>
        <w:ind w:firstLine="480"/>
        <w:jc w:val="left"/>
        <w:rPr>
          <w:rFonts w:ascii="宋体" w:hAnsi="宋体" w:cs="宋体"/>
          <w:color w:val="auto"/>
          <w:sz w:val="24"/>
          <w:highlight w:val="none"/>
          <w:u w:val="single"/>
        </w:rPr>
      </w:pPr>
      <w:r>
        <w:rPr>
          <w:rFonts w:hint="eastAsia" w:ascii="宋体" w:hAnsi="宋体" w:cs="宋体"/>
          <w:color w:val="auto"/>
          <w:sz w:val="24"/>
          <w:highlight w:val="none"/>
          <w:u w:val="single"/>
        </w:rPr>
        <w:t>2）技术配合工作：</w:t>
      </w:r>
      <w:r>
        <w:rPr>
          <w:rFonts w:hint="eastAsia" w:asciiTheme="minorEastAsia" w:hAnsiTheme="minorEastAsia" w:eastAsiaTheme="minorEastAsia"/>
          <w:color w:val="auto"/>
          <w:sz w:val="24"/>
          <w:highlight w:val="none"/>
          <w:u w:val="single"/>
        </w:rPr>
        <w:t>招标人后续各类招标工作配合、施工配合、现场服务、竣工验收及概算清理、专题研究等；配合设计审查（概念方案审查、设计方案审查、初步设计审查和施工图设计审查）及相关配套设计服务（包括不限于修详通、报建通、竣工通）等项目全过程的设计服务。</w:t>
      </w:r>
    </w:p>
    <w:p w14:paraId="6B0724AE">
      <w:pPr>
        <w:spacing w:line="360" w:lineRule="auto"/>
        <w:ind w:firstLine="480"/>
        <w:jc w:val="left"/>
        <w:rPr>
          <w:rFonts w:asciiTheme="minorEastAsia" w:hAnsiTheme="minorEastAsia" w:eastAsiaTheme="minorEastAsia"/>
          <w:color w:val="auto"/>
          <w:sz w:val="24"/>
          <w:highlight w:val="none"/>
          <w:u w:val="single"/>
        </w:rPr>
      </w:pPr>
      <w:r>
        <w:rPr>
          <w:rFonts w:hint="eastAsia" w:ascii="宋体" w:hAnsi="宋体" w:cs="宋体"/>
          <w:color w:val="auto"/>
          <w:sz w:val="24"/>
          <w:highlight w:val="none"/>
          <w:u w:val="single"/>
        </w:rPr>
        <w:t>3）报批报建：</w:t>
      </w:r>
      <w:r>
        <w:rPr>
          <w:rFonts w:hint="eastAsia" w:asciiTheme="minorEastAsia" w:hAnsiTheme="minorEastAsia" w:eastAsiaTheme="minorEastAsia"/>
          <w:color w:val="auto"/>
          <w:sz w:val="24"/>
          <w:highlight w:val="none"/>
          <w:u w:val="single"/>
        </w:rPr>
        <w:t>立项（含可研）范围内综合管线规划设计报批、建筑设计方案审查等的所有用地、规划、建筑、技术、管线、专项等各类报建配合、协调工作等。</w:t>
      </w:r>
    </w:p>
    <w:p w14:paraId="70C4E66A">
      <w:pPr>
        <w:spacing w:line="360" w:lineRule="auto"/>
        <w:ind w:firstLine="480"/>
        <w:jc w:val="left"/>
        <w:rPr>
          <w:rFonts w:ascii="宋体" w:hAnsi="宋体" w:cs="宋体"/>
          <w:color w:val="auto"/>
          <w:sz w:val="24"/>
          <w:highlight w:val="none"/>
          <w:u w:val="single"/>
        </w:rPr>
      </w:pPr>
      <w:r>
        <w:rPr>
          <w:rFonts w:hint="eastAsia" w:ascii="宋体" w:hAnsi="宋体" w:cs="宋体"/>
          <w:color w:val="auto"/>
          <w:sz w:val="24"/>
          <w:highlight w:val="none"/>
          <w:u w:val="single"/>
        </w:rPr>
        <w:t>4）设计文件修改、完善工作：中标人应根据政府相关行政主管部门、行业主管部门的审批意见无条件地修改、完善各阶段的设计成果文件，确保其满足相关的审批要求；中标人应根据施工图审查单位的审查、招标人的设计评审、招标人组织的专业人士的意见对设计成果文件进行修改、完善。</w:t>
      </w:r>
    </w:p>
    <w:p w14:paraId="7659EE30">
      <w:pPr>
        <w:spacing w:line="360" w:lineRule="auto"/>
        <w:ind w:firstLine="470" w:firstLineChars="196"/>
        <w:rPr>
          <w:rFonts w:ascii="宋体" w:hAnsi="宋体" w:cs="宋体"/>
          <w:color w:val="auto"/>
          <w:sz w:val="24"/>
          <w:highlight w:val="none"/>
          <w:u w:val="single"/>
        </w:rPr>
      </w:pPr>
      <w:r>
        <w:rPr>
          <w:rFonts w:hint="eastAsia" w:ascii="宋体" w:hAnsi="宋体" w:cs="宋体"/>
          <w:color w:val="auto"/>
          <w:sz w:val="24"/>
          <w:highlight w:val="none"/>
          <w:u w:val="single"/>
        </w:rPr>
        <w:t>5）设计配合工作：</w:t>
      </w:r>
    </w:p>
    <w:p w14:paraId="3C3553F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①</w:t>
      </w:r>
      <w:r>
        <w:rPr>
          <w:rFonts w:hint="eastAsia" w:asciiTheme="minorEastAsia" w:hAnsiTheme="minorEastAsia" w:eastAsiaTheme="minorEastAsia"/>
          <w:color w:val="auto"/>
          <w:sz w:val="24"/>
          <w:highlight w:val="none"/>
          <w:u w:val="single"/>
        </w:rPr>
        <w:t>设计配合工作包括临水（临时外水）、临电（临时外电）、施工总平面等设计工作；</w:t>
      </w:r>
    </w:p>
    <w:p w14:paraId="40FC2D5D">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②若设计过程中有需要前往外地考察同类项目并借鉴其经验，中标人应予以协助和配合，考察费用已包含在投标报价中。</w:t>
      </w:r>
    </w:p>
    <w:p w14:paraId="4197EC47">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③参加各类协调、论证、评审等会议，项目负责人及各专业负责人须到会，负责会议有关汇报文件、展示文件的制作和汇报。</w:t>
      </w:r>
    </w:p>
    <w:p w14:paraId="15DB1FAB">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④参加由招标人或建设单位组织的专家评审，评审专家劳务费用由中标人负责。</w:t>
      </w:r>
    </w:p>
    <w:p w14:paraId="72962C94">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⑤对材料、设备的选型提出合理化建议。</w:t>
      </w:r>
    </w:p>
    <w:p w14:paraId="0867DA36">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⑥</w:t>
      </w:r>
      <w:r>
        <w:rPr>
          <w:rFonts w:hint="eastAsia" w:ascii="宋体" w:hAnsi="宋体" w:cs="宋体"/>
          <w:color w:val="auto"/>
          <w:sz w:val="24"/>
          <w:highlight w:val="none"/>
          <w:u w:val="single"/>
        </w:rPr>
        <w:t>现场服务：现场指导与监督、施工配合（含派设计代表驻现场），及时处理现场设计问题。</w:t>
      </w:r>
    </w:p>
    <w:p w14:paraId="46A5AFC6">
      <w:pPr>
        <w:spacing w:line="360" w:lineRule="auto"/>
        <w:ind w:firstLine="480"/>
        <w:jc w:val="left"/>
        <w:rPr>
          <w:rFonts w:ascii="宋体" w:hAnsi="宋体" w:cs="宋体"/>
          <w:color w:val="auto"/>
          <w:sz w:val="24"/>
          <w:highlight w:val="none"/>
          <w:u w:val="single"/>
        </w:rPr>
      </w:pPr>
      <w:r>
        <w:rPr>
          <w:rFonts w:hint="eastAsia" w:ascii="宋体" w:hAnsi="宋体" w:cs="宋体"/>
          <w:color w:val="auto"/>
          <w:sz w:val="24"/>
          <w:highlight w:val="none"/>
          <w:u w:val="single"/>
        </w:rPr>
        <w:t>⑦</w:t>
      </w:r>
      <w:r>
        <w:rPr>
          <w:rFonts w:hint="eastAsia" w:asciiTheme="minorEastAsia" w:hAnsiTheme="minorEastAsia" w:eastAsiaTheme="minorEastAsia"/>
          <w:color w:val="auto"/>
          <w:sz w:val="24"/>
          <w:highlight w:val="none"/>
          <w:u w:val="single"/>
        </w:rPr>
        <w:t>协助提供工程实体质量监督抽测及监测等咨询工作的招标要求（包括技术要求及清单、预算）等；</w:t>
      </w:r>
    </w:p>
    <w:p w14:paraId="635818F7">
      <w:pPr>
        <w:pStyle w:val="2"/>
        <w:spacing w:line="360" w:lineRule="auto"/>
        <w:ind w:firstLine="480"/>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⑧设计文件要根据招标人要求列出项目需求，逐一给出简要分析，并对每一项需求，说明在方案设计中如何满足。</w:t>
      </w:r>
    </w:p>
    <w:p w14:paraId="107A79DE">
      <w:pP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olor w:val="auto"/>
          <w:sz w:val="24"/>
          <w:highlight w:val="none"/>
          <w:u w:val="single"/>
        </w:rPr>
        <w:t>⑨</w:t>
      </w:r>
      <w:r>
        <w:rPr>
          <w:rFonts w:hint="eastAsia" w:asciiTheme="minorEastAsia" w:hAnsiTheme="minorEastAsia" w:eastAsiaTheme="minorEastAsia"/>
          <w:color w:val="auto"/>
          <w:sz w:val="24"/>
          <w:highlight w:val="none"/>
          <w:u w:val="single"/>
        </w:rPr>
        <w:t>工程量清单编制服务。根据审核完成的初步设计方案做好工程量清单的编制工作。</w:t>
      </w:r>
    </w:p>
    <w:p w14:paraId="12DB9548">
      <w:pPr>
        <w:pStyle w:val="2"/>
        <w:spacing w:line="360" w:lineRule="auto"/>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u w:val="single"/>
          <w:lang w:val="en-US" w:eastAsia="zh-CN"/>
        </w:rPr>
        <w:t>6</w:t>
      </w:r>
      <w:r>
        <w:rPr>
          <w:rFonts w:hint="eastAsia" w:asciiTheme="minorEastAsia" w:hAnsiTheme="minorEastAsia" w:eastAsiaTheme="minorEastAsia"/>
          <w:color w:val="auto"/>
          <w:sz w:val="24"/>
          <w:highlight w:val="none"/>
          <w:u w:val="single"/>
          <w:lang w:eastAsia="zh-CN"/>
        </w:rPr>
        <w:t>）</w:t>
      </w:r>
      <w:r>
        <w:rPr>
          <w:rFonts w:hint="eastAsia" w:asciiTheme="minorEastAsia" w:hAnsiTheme="minorEastAsia" w:eastAsiaTheme="minorEastAsia"/>
          <w:color w:val="auto"/>
          <w:sz w:val="24"/>
          <w:highlight w:val="none"/>
          <w:u w:val="single"/>
          <w:lang w:val="en-US" w:eastAsia="zh-CN"/>
        </w:rPr>
        <w:t>中标人</w:t>
      </w:r>
      <w:r>
        <w:rPr>
          <w:rFonts w:hint="eastAsia" w:asciiTheme="minorEastAsia" w:hAnsiTheme="minorEastAsia" w:eastAsiaTheme="minorEastAsia"/>
          <w:color w:val="auto"/>
          <w:sz w:val="24"/>
          <w:highlight w:val="none"/>
          <w:u w:val="single"/>
          <w:lang w:eastAsia="zh-CN"/>
        </w:rPr>
        <w:t>应按照</w:t>
      </w:r>
      <w:r>
        <w:rPr>
          <w:rFonts w:hint="eastAsia" w:asciiTheme="minorEastAsia" w:hAnsiTheme="minorEastAsia" w:eastAsiaTheme="minorEastAsia"/>
          <w:color w:val="auto"/>
          <w:sz w:val="24"/>
          <w:highlight w:val="none"/>
          <w:u w:val="single"/>
          <w:lang w:val="en-US" w:eastAsia="zh-CN"/>
        </w:rPr>
        <w:t>招标人</w:t>
      </w:r>
      <w:r>
        <w:rPr>
          <w:rFonts w:hint="eastAsia" w:asciiTheme="minorEastAsia" w:hAnsiTheme="minorEastAsia" w:eastAsiaTheme="minorEastAsia"/>
          <w:color w:val="auto"/>
          <w:sz w:val="24"/>
          <w:highlight w:val="none"/>
          <w:u w:val="single"/>
          <w:lang w:eastAsia="zh-CN"/>
        </w:rPr>
        <w:t>工作要求，结合本项目特点组建项目管理团队，协助</w:t>
      </w:r>
      <w:r>
        <w:rPr>
          <w:rFonts w:hint="eastAsia" w:asciiTheme="minorEastAsia" w:hAnsiTheme="minorEastAsia" w:eastAsiaTheme="minorEastAsia"/>
          <w:color w:val="auto"/>
          <w:sz w:val="24"/>
          <w:highlight w:val="none"/>
          <w:u w:val="single"/>
          <w:lang w:val="en-US" w:eastAsia="zh-CN"/>
        </w:rPr>
        <w:t>招标人</w:t>
      </w:r>
      <w:r>
        <w:rPr>
          <w:rFonts w:hint="eastAsia" w:asciiTheme="minorEastAsia" w:hAnsiTheme="minorEastAsia" w:eastAsiaTheme="minorEastAsia"/>
          <w:color w:val="auto"/>
          <w:sz w:val="24"/>
          <w:highlight w:val="none"/>
          <w:u w:val="single"/>
          <w:lang w:eastAsia="zh-CN"/>
        </w:rPr>
        <w:t>开展前期阶段的项目管理工作。</w:t>
      </w:r>
    </w:p>
    <w:p w14:paraId="55EE8118">
      <w:pPr>
        <w:pStyle w:val="2"/>
        <w:spacing w:line="360" w:lineRule="auto"/>
        <w:rPr>
          <w:rFonts w:hint="eastAsia" w:eastAsiaTheme="minorEastAsia"/>
          <w:color w:val="auto"/>
          <w:highlight w:val="none"/>
          <w:lang w:eastAsia="zh-CN"/>
        </w:rPr>
      </w:pP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color w:val="auto"/>
          <w:sz w:val="24"/>
          <w:highlight w:val="none"/>
          <w:u w:val="single"/>
          <w:lang w:eastAsia="zh-CN"/>
        </w:rPr>
        <w:t>）</w:t>
      </w:r>
      <w:r>
        <w:rPr>
          <w:rFonts w:hint="eastAsia" w:asciiTheme="minorEastAsia" w:hAnsiTheme="minorEastAsia" w:eastAsiaTheme="minorEastAsia"/>
          <w:color w:val="auto"/>
          <w:sz w:val="24"/>
          <w:highlight w:val="none"/>
          <w:u w:val="single"/>
          <w:lang w:val="en-US" w:eastAsia="zh-CN"/>
        </w:rPr>
        <w:t>中标人</w:t>
      </w:r>
      <w:r>
        <w:rPr>
          <w:rFonts w:hint="eastAsia" w:asciiTheme="minorEastAsia" w:hAnsiTheme="minorEastAsia" w:eastAsiaTheme="minorEastAsia"/>
          <w:color w:val="auto"/>
          <w:sz w:val="24"/>
          <w:highlight w:val="none"/>
          <w:u w:val="single"/>
          <w:lang w:eastAsia="zh-CN"/>
        </w:rPr>
        <w:t>配合</w:t>
      </w:r>
      <w:r>
        <w:rPr>
          <w:rFonts w:hint="eastAsia" w:asciiTheme="minorEastAsia" w:hAnsiTheme="minorEastAsia" w:eastAsiaTheme="minorEastAsia"/>
          <w:color w:val="auto"/>
          <w:sz w:val="24"/>
          <w:highlight w:val="none"/>
          <w:u w:val="single"/>
          <w:lang w:val="en-US" w:eastAsia="zh-CN"/>
        </w:rPr>
        <w:t>招标人</w:t>
      </w:r>
      <w:r>
        <w:rPr>
          <w:rFonts w:hint="eastAsia" w:asciiTheme="minorEastAsia" w:hAnsiTheme="minorEastAsia" w:eastAsiaTheme="minorEastAsia"/>
          <w:color w:val="auto"/>
          <w:sz w:val="24"/>
          <w:highlight w:val="none"/>
          <w:u w:val="single"/>
          <w:lang w:eastAsia="zh-CN"/>
        </w:rPr>
        <w:t>和使用单位负责办理规划、专业报建等项目前期阶段所有报建报批手续。报建和验收手续所需的书面文件和电子文件由</w:t>
      </w:r>
      <w:r>
        <w:rPr>
          <w:rFonts w:hint="eastAsia" w:asciiTheme="minorEastAsia" w:hAnsiTheme="minorEastAsia" w:eastAsiaTheme="minorEastAsia"/>
          <w:color w:val="auto"/>
          <w:sz w:val="24"/>
          <w:highlight w:val="none"/>
          <w:u w:val="single"/>
          <w:lang w:val="en-US" w:eastAsia="zh-CN"/>
        </w:rPr>
        <w:t>中标人</w:t>
      </w:r>
      <w:r>
        <w:rPr>
          <w:rFonts w:hint="eastAsia" w:asciiTheme="minorEastAsia" w:hAnsiTheme="minorEastAsia" w:eastAsiaTheme="minorEastAsia"/>
          <w:color w:val="auto"/>
          <w:sz w:val="24"/>
          <w:highlight w:val="none"/>
          <w:u w:val="single"/>
          <w:lang w:eastAsia="zh-CN"/>
        </w:rPr>
        <w:t>自行负责（除前期已取得的有关批准资料外），并应根据报建和验收主管部门的意见对有关申报资料进行修改和补充，</w:t>
      </w:r>
      <w:r>
        <w:rPr>
          <w:rFonts w:hint="eastAsia" w:asciiTheme="minorEastAsia" w:hAnsiTheme="minorEastAsia" w:eastAsiaTheme="minorEastAsia"/>
          <w:color w:val="auto"/>
          <w:sz w:val="24"/>
          <w:highlight w:val="none"/>
          <w:u w:val="single"/>
          <w:lang w:val="en-US" w:eastAsia="zh-CN"/>
        </w:rPr>
        <w:t>招标人</w:t>
      </w:r>
      <w:r>
        <w:rPr>
          <w:rFonts w:hint="eastAsia" w:asciiTheme="minorEastAsia" w:hAnsiTheme="minorEastAsia" w:eastAsiaTheme="minorEastAsia"/>
          <w:color w:val="auto"/>
          <w:sz w:val="24"/>
          <w:highlight w:val="none"/>
          <w:u w:val="single"/>
          <w:lang w:eastAsia="zh-CN"/>
        </w:rPr>
        <w:t>配合设计单位完善有关资料。</w:t>
      </w:r>
    </w:p>
    <w:p w14:paraId="34051453">
      <w:pPr>
        <w:spacing w:line="360" w:lineRule="auto"/>
        <w:ind w:firstLine="470" w:firstLineChars="19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val="en-US" w:eastAsia="zh-CN"/>
        </w:rPr>
        <w:t>6</w:t>
      </w:r>
      <w:r>
        <w:rPr>
          <w:rFonts w:hint="eastAsia" w:asciiTheme="minorEastAsia" w:hAnsiTheme="minorEastAsia" w:eastAsiaTheme="minorEastAsia"/>
          <w:color w:val="auto"/>
          <w:sz w:val="24"/>
          <w:highlight w:val="none"/>
          <w:u w:val="single"/>
        </w:rPr>
        <w:t>）各阶段设计文件深度要求必须满足《建筑工程设计文件编制深度规定》的要求，各专业还应该满足各专业工程设计文件编制深度规范或规定的要求。</w:t>
      </w:r>
    </w:p>
    <w:p w14:paraId="0550B763">
      <w:pPr>
        <w:pStyle w:val="2"/>
        <w:ind w:firstLine="480"/>
        <w:rPr>
          <w:rFonts w:eastAsiaTheme="minorEastAsia"/>
          <w:color w:val="auto"/>
          <w:highlight w:val="none"/>
          <w:lang w:eastAsia="zh-CN"/>
        </w:rPr>
      </w:pPr>
      <w:r>
        <w:rPr>
          <w:rFonts w:hint="eastAsia" w:ascii="宋体" w:hAnsi="宋体" w:cs="宋体" w:eastAsiaTheme="minorEastAsia"/>
          <w:color w:val="auto"/>
          <w:sz w:val="24"/>
          <w:highlight w:val="none"/>
          <w:u w:val="single"/>
          <w:lang w:eastAsia="zh-CN"/>
        </w:rPr>
        <w:t>（</w:t>
      </w:r>
      <w:r>
        <w:rPr>
          <w:rFonts w:hint="eastAsia" w:ascii="宋体" w:hAnsi="宋体" w:cs="宋体" w:eastAsiaTheme="minorEastAsia"/>
          <w:color w:val="auto"/>
          <w:sz w:val="24"/>
          <w:highlight w:val="none"/>
          <w:u w:val="single"/>
          <w:lang w:val="en-US" w:eastAsia="zh-CN"/>
        </w:rPr>
        <w:t>7</w:t>
      </w:r>
      <w:r>
        <w:rPr>
          <w:rFonts w:hint="eastAsia" w:ascii="宋体" w:hAnsi="宋体" w:cs="宋体" w:eastAsiaTheme="minorEastAsia"/>
          <w:color w:val="auto"/>
          <w:sz w:val="24"/>
          <w:highlight w:val="none"/>
          <w:u w:val="single"/>
          <w:lang w:eastAsia="zh-CN"/>
        </w:rPr>
        <w:t>）</w:t>
      </w:r>
      <w:r>
        <w:rPr>
          <w:rFonts w:hint="eastAsia" w:ascii="宋体" w:hAnsi="宋体" w:cs="宋体"/>
          <w:color w:val="auto"/>
          <w:sz w:val="24"/>
          <w:highlight w:val="none"/>
          <w:u w:val="single"/>
          <w:lang w:eastAsia="zh-CN"/>
        </w:rPr>
        <w:t>设计合同中的其他要求。</w:t>
      </w:r>
    </w:p>
    <w:p w14:paraId="39C1D2B7">
      <w:pPr>
        <w:spacing w:line="360" w:lineRule="auto"/>
        <w:ind w:firstLine="482" w:firstLineChars="200"/>
        <w:rPr>
          <w:rFonts w:ascii="宋体" w:hAnsi="宋体"/>
          <w:color w:val="auto"/>
          <w:sz w:val="24"/>
          <w:highlight w:val="none"/>
          <w:u w:val="single"/>
        </w:rPr>
      </w:pPr>
      <w:r>
        <w:rPr>
          <w:rFonts w:hint="eastAsia" w:ascii="宋体" w:hAnsi="宋体" w:cs="宋体"/>
          <w:b/>
          <w:bCs/>
          <w:color w:val="auto"/>
          <w:sz w:val="24"/>
          <w:highlight w:val="none"/>
        </w:rPr>
        <w:t>各阶段设计工作的服务深度需满足现行国家、省、市有关规范规定以及有关职能审批部门的要求。具体工作内容及要求详见本项目可行性研究报告及合同条款的有关约定。</w:t>
      </w:r>
    </w:p>
    <w:p w14:paraId="50C9BD0D">
      <w:pPr>
        <w:pStyle w:val="5"/>
        <w:ind w:firstLine="647"/>
        <w:rPr>
          <w:rFonts w:ascii="宋体" w:hAnsi="宋体"/>
          <w:b/>
          <w:color w:val="auto"/>
          <w:spacing w:val="1"/>
          <w:sz w:val="32"/>
          <w:highlight w:val="none"/>
        </w:rPr>
      </w:pPr>
      <w:r>
        <w:rPr>
          <w:rFonts w:hint="eastAsia" w:ascii="宋体" w:hAnsi="宋体"/>
          <w:b/>
          <w:color w:val="auto"/>
          <w:spacing w:val="1"/>
          <w:sz w:val="32"/>
          <w:highlight w:val="none"/>
        </w:rPr>
        <w:t>3.设计服务期、工作目标</w:t>
      </w:r>
    </w:p>
    <w:p w14:paraId="4F80982F">
      <w:pPr>
        <w:spacing w:line="360" w:lineRule="auto"/>
        <w:ind w:firstLine="480" w:firstLineChars="200"/>
        <w:rPr>
          <w:rFonts w:hint="eastAsia" w:ascii="宋体" w:hAnsi="宋体" w:eastAsia="宋体" w:cs="宋体"/>
          <w:color w:val="auto"/>
          <w:sz w:val="24"/>
          <w:highlight w:val="none"/>
          <w:u w:val="single"/>
          <w:lang w:eastAsia="zh-CN"/>
        </w:rPr>
      </w:pPr>
      <w:bookmarkStart w:id="6" w:name="OLE_LINK6"/>
      <w:bookmarkStart w:id="7" w:name="OLE_LINK7"/>
      <w:r>
        <w:rPr>
          <w:rFonts w:hint="eastAsia" w:ascii="宋体" w:hAnsi="宋体" w:cs="宋体"/>
          <w:color w:val="auto"/>
          <w:sz w:val="24"/>
          <w:highlight w:val="none"/>
          <w:u w:val="single"/>
        </w:rPr>
        <w:t>3.</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设计工期</w:t>
      </w:r>
      <w:bookmarkEnd w:id="6"/>
      <w:r>
        <w:rPr>
          <w:rFonts w:hint="eastAsia" w:ascii="宋体" w:hAnsi="宋体" w:cs="宋体"/>
          <w:color w:val="auto"/>
          <w:sz w:val="24"/>
          <w:highlight w:val="none"/>
          <w:u w:val="single"/>
        </w:rPr>
        <w:t>:</w:t>
      </w:r>
      <w:bookmarkEnd w:id="7"/>
      <w:r>
        <w:rPr>
          <w:rFonts w:hint="eastAsia" w:ascii="宋体" w:hAnsi="宋体" w:cs="宋体"/>
          <w:color w:val="auto"/>
          <w:sz w:val="24"/>
          <w:highlight w:val="none"/>
          <w:u w:val="single"/>
        </w:rPr>
        <w:t>方案设计：30日历天；明确完善意见后对方案修改：15日历天；初步设计（含概算）：30日历天；按照建设单位、施工图审查单位、评审专家意见对初步设计（含概算）修改完善：15日历天；施工图设计：30日历天；按照施工图审查单位意见修改完善：10日历天</w:t>
      </w:r>
      <w:r>
        <w:rPr>
          <w:rFonts w:hint="eastAsia" w:ascii="宋体" w:hAnsi="宋体" w:cs="宋体"/>
          <w:color w:val="auto"/>
          <w:sz w:val="24"/>
          <w:highlight w:val="none"/>
          <w:u w:val="single"/>
          <w:lang w:eastAsia="zh-CN"/>
        </w:rPr>
        <w:t>。</w:t>
      </w:r>
    </w:p>
    <w:p w14:paraId="5A6BE1FF">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3.</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工作目标：</w:t>
      </w:r>
    </w:p>
    <w:p w14:paraId="32A149A9">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本项目工程质量目标须</w:t>
      </w:r>
      <w:r>
        <w:rPr>
          <w:rFonts w:ascii="宋体" w:hAnsi="宋体" w:cs="宋体"/>
          <w:color w:val="auto"/>
          <w:sz w:val="24"/>
          <w:highlight w:val="none"/>
          <w:u w:val="single"/>
        </w:rPr>
        <w:t>符合《建设工程质量管理条例》、《建设工程勘察设计管理条例》、《建筑工程设计文件编制深度规定（2016年版）》等国家及地方有关工程设计管理法规和规章，达到行业相关规范技术标准等要求。</w:t>
      </w:r>
      <w:r>
        <w:rPr>
          <w:rFonts w:hint="eastAsia" w:ascii="宋体" w:hAnsi="宋体" w:cs="宋体"/>
          <w:color w:val="auto"/>
          <w:sz w:val="24"/>
          <w:highlight w:val="none"/>
          <w:u w:val="single"/>
        </w:rPr>
        <w:t>绿色建筑目标为绿色建筑二星标准设计。</w:t>
      </w:r>
    </w:p>
    <w:p w14:paraId="0C19D86F">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u w:val="single"/>
        </w:rPr>
        <w:t>3.4其他：中标人各阶段设计工作及所提交的设计成果应满足上述目标的申报条件，同时中标人应配合上述目标的申报，为申报工作提供相关基础资料。相关费用已包含在投标报价中，招标人不再另行支付费用。</w:t>
      </w:r>
    </w:p>
    <w:p w14:paraId="7042562B">
      <w:pPr>
        <w:pStyle w:val="5"/>
        <w:ind w:firstLine="647"/>
        <w:rPr>
          <w:rFonts w:ascii="宋体" w:hAnsi="宋体"/>
          <w:b/>
          <w:color w:val="auto"/>
          <w:spacing w:val="1"/>
          <w:sz w:val="32"/>
          <w:highlight w:val="none"/>
        </w:rPr>
      </w:pPr>
      <w:r>
        <w:rPr>
          <w:rFonts w:hint="eastAsia" w:ascii="宋体" w:hAnsi="宋体"/>
          <w:b/>
          <w:color w:val="auto"/>
          <w:spacing w:val="1"/>
          <w:sz w:val="32"/>
          <w:highlight w:val="none"/>
        </w:rPr>
        <w:t>4.投标限价</w:t>
      </w:r>
    </w:p>
    <w:p w14:paraId="531CB0A6">
      <w:pPr>
        <w:snapToGrid w:val="0"/>
        <w:spacing w:line="360" w:lineRule="auto"/>
        <w:ind w:firstLine="480" w:firstLineChars="200"/>
        <w:rPr>
          <w:rFonts w:ascii="宋体" w:hAnsi="宋体" w:cs="宋体"/>
          <w:color w:val="auto"/>
          <w:sz w:val="24"/>
          <w:szCs w:val="22"/>
          <w:highlight w:val="none"/>
          <w:u w:val="single"/>
        </w:rPr>
      </w:pPr>
      <w:bookmarkStart w:id="8" w:name="OLE_LINK8"/>
      <w:bookmarkStart w:id="9" w:name="OLE_LINK9"/>
      <w:r>
        <w:rPr>
          <w:rFonts w:hint="eastAsia" w:ascii="宋体" w:hAnsi="宋体"/>
          <w:color w:val="auto"/>
          <w:sz w:val="24"/>
          <w:highlight w:val="none"/>
          <w:u w:val="single"/>
        </w:rPr>
        <w:t>4.1最高投标限</w:t>
      </w:r>
      <w:bookmarkEnd w:id="8"/>
      <w:r>
        <w:rPr>
          <w:rFonts w:hint="eastAsia" w:ascii="宋体" w:hAnsi="宋体"/>
          <w:color w:val="auto"/>
          <w:sz w:val="24"/>
          <w:highlight w:val="none"/>
          <w:u w:val="single"/>
        </w:rPr>
        <w:t>价总价</w:t>
      </w:r>
      <w:r>
        <w:rPr>
          <w:rFonts w:hint="eastAsia" w:ascii="宋体" w:hAnsi="宋体" w:cs="宋体"/>
          <w:color w:val="auto"/>
          <w:sz w:val="24"/>
          <w:szCs w:val="22"/>
          <w:highlight w:val="none"/>
          <w:u w:val="single"/>
        </w:rPr>
        <w:t>为</w:t>
      </w:r>
      <w:r>
        <w:rPr>
          <w:rFonts w:hint="eastAsia" w:ascii="宋体" w:hAnsi="宋体" w:cs="宋体"/>
          <w:color w:val="auto"/>
          <w:sz w:val="24"/>
          <w:szCs w:val="22"/>
          <w:highlight w:val="none"/>
          <w:u w:val="single"/>
          <w:lang w:val="en-US" w:eastAsia="zh-CN"/>
        </w:rPr>
        <w:t>382.15</w:t>
      </w:r>
      <w:r>
        <w:rPr>
          <w:rFonts w:hint="eastAsia" w:ascii="宋体" w:hAnsi="宋体" w:cs="宋体"/>
          <w:color w:val="auto"/>
          <w:sz w:val="24"/>
          <w:szCs w:val="22"/>
          <w:highlight w:val="none"/>
          <w:u w:val="single"/>
        </w:rPr>
        <w:t>万元</w:t>
      </w:r>
      <w:r>
        <w:rPr>
          <w:rFonts w:hint="eastAsia" w:ascii="宋体" w:hAnsi="宋体" w:cs="宋体"/>
          <w:color w:val="auto"/>
          <w:sz w:val="24"/>
          <w:highlight w:val="none"/>
          <w:u w:val="single"/>
        </w:rPr>
        <w:t>(含投标经济补偿费，其中基本设计费最高投标限价为</w:t>
      </w:r>
      <w:r>
        <w:rPr>
          <w:rFonts w:hint="eastAsia" w:ascii="宋体" w:hAnsi="宋体" w:cs="宋体"/>
          <w:color w:val="auto"/>
          <w:sz w:val="24"/>
          <w:szCs w:val="22"/>
          <w:highlight w:val="none"/>
          <w:u w:val="single"/>
          <w:lang w:val="en-US" w:eastAsia="zh-CN"/>
        </w:rPr>
        <w:t xml:space="preserve"> 353.84 </w:t>
      </w:r>
      <w:r>
        <w:rPr>
          <w:rFonts w:hint="eastAsia" w:ascii="宋体" w:hAnsi="宋体" w:cs="宋体"/>
          <w:color w:val="auto"/>
          <w:sz w:val="24"/>
          <w:highlight w:val="none"/>
          <w:u w:val="single"/>
        </w:rPr>
        <w:t>万元，竣工图编制费最高投标限价为</w:t>
      </w:r>
      <w:r>
        <w:rPr>
          <w:rFonts w:hint="eastAsia" w:ascii="宋体" w:hAnsi="宋体" w:cs="宋体"/>
          <w:color w:val="auto"/>
          <w:sz w:val="24"/>
          <w:highlight w:val="none"/>
          <w:u w:val="single"/>
          <w:lang w:val="en-US" w:eastAsia="zh-CN"/>
        </w:rPr>
        <w:t>28.31</w:t>
      </w:r>
      <w:r>
        <w:rPr>
          <w:rFonts w:hint="eastAsia" w:ascii="宋体" w:hAnsi="宋体" w:cs="宋体"/>
          <w:color w:val="auto"/>
          <w:sz w:val="24"/>
          <w:highlight w:val="none"/>
          <w:u w:val="single"/>
        </w:rPr>
        <w:t>万元）</w:t>
      </w:r>
      <w:r>
        <w:rPr>
          <w:rFonts w:hint="eastAsia" w:ascii="宋体" w:hAnsi="宋体" w:cs="宋体"/>
          <w:color w:val="auto"/>
          <w:sz w:val="24"/>
          <w:szCs w:val="22"/>
          <w:highlight w:val="none"/>
          <w:u w:val="single"/>
        </w:rPr>
        <w:t>。</w:t>
      </w:r>
      <w:bookmarkEnd w:id="9"/>
    </w:p>
    <w:p w14:paraId="0C001E7F">
      <w:pPr>
        <w:snapToGrid w:val="0"/>
        <w:spacing w:line="360" w:lineRule="auto"/>
        <w:ind w:firstLine="480" w:firstLineChars="200"/>
        <w:rPr>
          <w:rFonts w:ascii="宋体" w:hAnsi="宋体" w:cs="宋体"/>
          <w:color w:val="auto"/>
          <w:sz w:val="24"/>
          <w:szCs w:val="22"/>
          <w:highlight w:val="none"/>
          <w:u w:val="single"/>
        </w:rPr>
      </w:pPr>
      <w:r>
        <w:rPr>
          <w:rFonts w:hint="eastAsia" w:ascii="宋体" w:hAnsi="宋体" w:cs="宋体"/>
          <w:color w:val="auto"/>
          <w:sz w:val="24"/>
          <w:szCs w:val="22"/>
          <w:highlight w:val="none"/>
          <w:u w:val="single"/>
        </w:rPr>
        <w:t>投标人的投标总价</w:t>
      </w:r>
      <w:r>
        <w:rPr>
          <w:rFonts w:hint="eastAsia" w:ascii="宋体" w:hAnsi="宋体" w:cs="宋体"/>
          <w:color w:val="auto"/>
          <w:sz w:val="24"/>
          <w:highlight w:val="none"/>
          <w:u w:val="single"/>
        </w:rPr>
        <w:t>或基本设计费或</w:t>
      </w:r>
      <w:r>
        <w:rPr>
          <w:rFonts w:hint="eastAsia" w:ascii="宋体" w:hAnsi="宋体"/>
          <w:color w:val="auto"/>
          <w:sz w:val="24"/>
          <w:highlight w:val="none"/>
          <w:u w:val="single"/>
        </w:rPr>
        <w:t>竣工图编制费</w:t>
      </w:r>
      <w:r>
        <w:rPr>
          <w:rFonts w:hint="eastAsia" w:ascii="宋体" w:hAnsi="宋体" w:cs="宋体"/>
          <w:color w:val="auto"/>
          <w:sz w:val="24"/>
          <w:szCs w:val="22"/>
          <w:highlight w:val="none"/>
          <w:u w:val="single"/>
        </w:rPr>
        <w:t>超过上述相应最高投标限价的为无效标。</w:t>
      </w:r>
      <w:r>
        <w:rPr>
          <w:rFonts w:hint="eastAsia" w:ascii="宋体" w:hAnsi="宋体" w:cs="宋体"/>
          <w:b/>
          <w:bCs/>
          <w:color w:val="auto"/>
          <w:sz w:val="24"/>
          <w:szCs w:val="22"/>
          <w:highlight w:val="none"/>
          <w:u w:val="single"/>
        </w:rPr>
        <w:t>项目应实行限额设计，建筑设计暂以建安工程费10110万元作为设计限额。</w:t>
      </w:r>
    </w:p>
    <w:p w14:paraId="0775FD5B">
      <w:pPr>
        <w:snapToGrid w:val="0"/>
        <w:spacing w:line="360" w:lineRule="auto"/>
        <w:ind w:firstLine="480" w:firstLineChars="200"/>
        <w:rPr>
          <w:rFonts w:ascii="宋体" w:hAnsi="宋体"/>
          <w:color w:val="auto"/>
          <w:sz w:val="24"/>
          <w:highlight w:val="none"/>
          <w:u w:val="single"/>
        </w:rPr>
      </w:pPr>
      <w:r>
        <w:rPr>
          <w:rFonts w:hint="eastAsia" w:ascii="宋体" w:hAnsi="宋体" w:cs="宋体"/>
          <w:color w:val="auto"/>
          <w:sz w:val="24"/>
          <w:szCs w:val="22"/>
          <w:highlight w:val="none"/>
          <w:u w:val="single"/>
        </w:rPr>
        <w:t>4.2</w:t>
      </w:r>
      <w:r>
        <w:rPr>
          <w:rFonts w:hint="eastAsia" w:ascii="宋体" w:hAnsi="宋体"/>
          <w:color w:val="auto"/>
          <w:sz w:val="24"/>
          <w:highlight w:val="none"/>
          <w:u w:val="single"/>
        </w:rPr>
        <w:t>设计收费实行市场调节价，投标人自主报价，投标报价不得高于</w:t>
      </w:r>
      <w:r>
        <w:rPr>
          <w:rFonts w:hint="eastAsia" w:ascii="宋体" w:hAnsi="宋体" w:cs="宋体"/>
          <w:color w:val="auto"/>
          <w:kern w:val="0"/>
          <w:sz w:val="24"/>
          <w:highlight w:val="none"/>
          <w:u w:val="single"/>
        </w:rPr>
        <w:t>设计费的最高投标限价；在合同实施期间设计费总价包干，不因设计工作量调整及工程造价的变化而变化，最终结算根据省财政厅《关于规范省级项目主管部门对下属单位基本建设工程结（决）算审核工作的通知》（粤财建[2017]120号）等财政部门的相关规定办理。设计费已包含了后续项目变更的设计工作量，项目概算内产生的变更调整不再另行增加设计费。</w:t>
      </w:r>
    </w:p>
    <w:p w14:paraId="62729A39">
      <w:pPr>
        <w:pStyle w:val="5"/>
        <w:spacing w:line="360" w:lineRule="auto"/>
        <w:ind w:firstLine="647"/>
        <w:rPr>
          <w:rFonts w:ascii="宋体" w:hAnsi="宋体"/>
          <w:b/>
          <w:color w:val="auto"/>
          <w:spacing w:val="1"/>
          <w:sz w:val="32"/>
          <w:highlight w:val="none"/>
        </w:rPr>
      </w:pPr>
      <w:bookmarkStart w:id="10" w:name="_Toc25072050"/>
      <w:r>
        <w:rPr>
          <w:rFonts w:hint="eastAsia" w:ascii="宋体" w:hAnsi="宋体"/>
          <w:b/>
          <w:color w:val="auto"/>
          <w:spacing w:val="1"/>
          <w:sz w:val="32"/>
          <w:highlight w:val="none"/>
        </w:rPr>
        <w:t>5.投标人资格要求</w:t>
      </w:r>
      <w:bookmarkEnd w:id="10"/>
    </w:p>
    <w:p w14:paraId="56D9FE2B">
      <w:pPr>
        <w:autoSpaceDE w:val="0"/>
        <w:autoSpaceDN w:val="0"/>
        <w:adjustRightIn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5.1  投标人与招标人过去3年内无合同履约纠纷，没有不得参加投标的情形；（以投标人提供的《投标人声明》为评审依据。） </w:t>
      </w:r>
    </w:p>
    <w:p w14:paraId="4C734507">
      <w:pPr>
        <w:autoSpaceDE w:val="0"/>
        <w:autoSpaceDN w:val="0"/>
        <w:adjustRightInd w:val="0"/>
        <w:spacing w:line="360" w:lineRule="auto"/>
        <w:ind w:firstLine="480" w:firstLineChars="200"/>
        <w:rPr>
          <w:rFonts w:ascii="宋体" w:hAnsi="宋体" w:cs="宋体"/>
          <w:color w:val="auto"/>
          <w:spacing w:val="9"/>
          <w:kern w:val="0"/>
          <w:sz w:val="24"/>
          <w:highlight w:val="none"/>
          <w:u w:val="single"/>
        </w:rPr>
      </w:pPr>
      <w:r>
        <w:rPr>
          <w:rFonts w:hint="eastAsia" w:ascii="宋体" w:hAnsi="宋体" w:cs="宋体"/>
          <w:color w:val="auto"/>
          <w:kern w:val="0"/>
          <w:sz w:val="24"/>
          <w:highlight w:val="none"/>
          <w:u w:val="single"/>
        </w:rPr>
        <w:t xml:space="preserve">5.2  </w:t>
      </w:r>
      <w:r>
        <w:rPr>
          <w:rFonts w:hint="eastAsia" w:ascii="宋体" w:hAnsi="宋体" w:cs="宋体"/>
          <w:color w:val="auto"/>
          <w:spacing w:val="9"/>
          <w:kern w:val="0"/>
          <w:sz w:val="24"/>
          <w:highlight w:val="none"/>
          <w:u w:val="single"/>
        </w:rPr>
        <w:t>投标人须具备以下工程设计资质（以下资质条件之一）：</w:t>
      </w:r>
    </w:p>
    <w:p w14:paraId="566F4B1F">
      <w:pPr>
        <w:autoSpaceDE w:val="0"/>
        <w:autoSpaceDN w:val="0"/>
        <w:adjustRightInd w:val="0"/>
        <w:spacing w:line="360" w:lineRule="auto"/>
        <w:ind w:firstLine="516" w:firstLineChars="200"/>
        <w:rPr>
          <w:rFonts w:ascii="宋体" w:hAnsi="宋体" w:cs="宋体"/>
          <w:color w:val="auto"/>
          <w:spacing w:val="9"/>
          <w:kern w:val="0"/>
          <w:sz w:val="24"/>
          <w:highlight w:val="none"/>
          <w:u w:val="single"/>
        </w:rPr>
      </w:pPr>
      <w:r>
        <w:rPr>
          <w:rFonts w:hint="eastAsia" w:ascii="宋体" w:hAnsi="宋体" w:cs="宋体"/>
          <w:color w:val="auto"/>
          <w:spacing w:val="9"/>
          <w:kern w:val="0"/>
          <w:sz w:val="24"/>
          <w:highlight w:val="none"/>
          <w:u w:val="single"/>
        </w:rPr>
        <w:t>（1）建设行政主管部门颁发的工程设计综合甲级资质；</w:t>
      </w:r>
    </w:p>
    <w:p w14:paraId="226C54C6">
      <w:pPr>
        <w:autoSpaceDE w:val="0"/>
        <w:autoSpaceDN w:val="0"/>
        <w:adjustRightInd w:val="0"/>
        <w:spacing w:line="360" w:lineRule="auto"/>
        <w:ind w:firstLine="516" w:firstLineChars="200"/>
        <w:rPr>
          <w:rFonts w:ascii="宋体" w:hAnsi="宋体" w:cs="宋体"/>
          <w:color w:val="auto"/>
          <w:spacing w:val="9"/>
          <w:kern w:val="0"/>
          <w:sz w:val="24"/>
          <w:highlight w:val="none"/>
          <w:u w:val="single"/>
        </w:rPr>
      </w:pPr>
      <w:r>
        <w:rPr>
          <w:rFonts w:hint="eastAsia" w:ascii="宋体" w:hAnsi="宋体" w:cs="宋体"/>
          <w:color w:val="auto"/>
          <w:spacing w:val="9"/>
          <w:kern w:val="0"/>
          <w:sz w:val="24"/>
          <w:highlight w:val="none"/>
          <w:u w:val="single"/>
        </w:rPr>
        <w:t>（2）建设行政主管部门颁发的工程设计建筑行业</w:t>
      </w:r>
      <w:r>
        <w:rPr>
          <w:rFonts w:hint="eastAsia" w:ascii="宋体" w:hAnsi="宋体" w:cs="宋体"/>
          <w:color w:val="auto"/>
          <w:spacing w:val="9"/>
          <w:kern w:val="0"/>
          <w:sz w:val="24"/>
          <w:highlight w:val="none"/>
          <w:u w:val="single"/>
          <w:lang w:val="en-US" w:eastAsia="zh-CN"/>
        </w:rPr>
        <w:t>乙级</w:t>
      </w:r>
      <w:r>
        <w:rPr>
          <w:rFonts w:hint="eastAsia" w:ascii="宋体" w:hAnsi="宋体" w:cs="宋体"/>
          <w:color w:val="auto"/>
          <w:spacing w:val="9"/>
          <w:kern w:val="0"/>
          <w:sz w:val="24"/>
          <w:highlight w:val="none"/>
          <w:u w:val="single"/>
        </w:rPr>
        <w:t>或以上资质；</w:t>
      </w:r>
    </w:p>
    <w:p w14:paraId="6CAA1788">
      <w:pPr>
        <w:autoSpaceDE w:val="0"/>
        <w:autoSpaceDN w:val="0"/>
        <w:adjustRightInd w:val="0"/>
        <w:spacing w:line="360" w:lineRule="auto"/>
        <w:ind w:firstLine="516" w:firstLineChars="200"/>
        <w:rPr>
          <w:rFonts w:ascii="宋体" w:hAnsi="宋体" w:cs="宋体"/>
          <w:color w:val="auto"/>
          <w:spacing w:val="9"/>
          <w:kern w:val="0"/>
          <w:sz w:val="24"/>
          <w:highlight w:val="none"/>
          <w:u w:val="single"/>
        </w:rPr>
      </w:pPr>
      <w:r>
        <w:rPr>
          <w:rFonts w:hint="eastAsia" w:ascii="宋体" w:hAnsi="宋体" w:cs="宋体"/>
          <w:color w:val="auto"/>
          <w:spacing w:val="9"/>
          <w:kern w:val="0"/>
          <w:sz w:val="24"/>
          <w:highlight w:val="none"/>
          <w:u w:val="single"/>
        </w:rPr>
        <w:t>（3）建设行政主管部门颁发的建筑行业（建筑工程）专业设计</w:t>
      </w:r>
      <w:r>
        <w:rPr>
          <w:rFonts w:hint="eastAsia" w:ascii="宋体" w:hAnsi="宋体" w:cs="宋体"/>
          <w:color w:val="auto"/>
          <w:spacing w:val="9"/>
          <w:kern w:val="0"/>
          <w:sz w:val="24"/>
          <w:highlight w:val="none"/>
          <w:u w:val="single"/>
          <w:lang w:val="en-US" w:eastAsia="zh-CN"/>
        </w:rPr>
        <w:t>乙</w:t>
      </w:r>
      <w:r>
        <w:rPr>
          <w:rFonts w:hint="eastAsia" w:ascii="宋体" w:hAnsi="宋体" w:cs="宋体"/>
          <w:color w:val="auto"/>
          <w:spacing w:val="9"/>
          <w:kern w:val="0"/>
          <w:sz w:val="24"/>
          <w:highlight w:val="none"/>
          <w:u w:val="single"/>
        </w:rPr>
        <w:t>级或以上资质；</w:t>
      </w:r>
    </w:p>
    <w:p w14:paraId="41FE3D52">
      <w:pPr>
        <w:autoSpaceDE w:val="0"/>
        <w:autoSpaceDN w:val="0"/>
        <w:adjustRightInd w:val="0"/>
        <w:ind w:firstLine="516" w:firstLineChars="200"/>
        <w:rPr>
          <w:rFonts w:ascii="宋体" w:hAnsi="宋体" w:cs="宋体"/>
          <w:color w:val="auto"/>
          <w:sz w:val="24"/>
          <w:highlight w:val="none"/>
        </w:rPr>
      </w:pPr>
      <w:r>
        <w:rPr>
          <w:rFonts w:hint="eastAsia" w:ascii="宋体" w:hAnsi="宋体" w:cs="宋体"/>
          <w:color w:val="auto"/>
          <w:spacing w:val="9"/>
          <w:kern w:val="0"/>
          <w:sz w:val="24"/>
          <w:highlight w:val="none"/>
          <w:u w:val="single"/>
        </w:rPr>
        <w:t>（4）建设行政主管部门颁发的建筑设计事务所资质。</w:t>
      </w:r>
    </w:p>
    <w:p w14:paraId="482DBD10">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注：（1）国内申请人具体资质要求按照</w:t>
      </w:r>
      <w:r>
        <w:rPr>
          <w:rFonts w:hint="eastAsia" w:ascii="宋体" w:hAnsi="宋体" w:cs="宋体"/>
          <w:color w:val="auto"/>
          <w:sz w:val="24"/>
          <w:highlight w:val="none"/>
        </w:rPr>
        <w:t>《建设工程勘察设计资质管理规定》（建设部令第160号）</w:t>
      </w:r>
      <w:r>
        <w:rPr>
          <w:rFonts w:hint="eastAsia" w:ascii="宋体" w:hAnsi="宋体" w:cs="宋体"/>
          <w:color w:val="auto"/>
          <w:kern w:val="0"/>
          <w:sz w:val="24"/>
          <w:highlight w:val="none"/>
        </w:rPr>
        <w:t>、《工程勘察、工程设计资质分级标准补充规定》（建设〔2001〕178号）、</w:t>
      </w:r>
      <w:r>
        <w:rPr>
          <w:rFonts w:hint="eastAsia" w:ascii="宋体" w:hAnsi="宋体" w:cs="宋体"/>
          <w:color w:val="auto"/>
          <w:sz w:val="24"/>
          <w:highlight w:val="none"/>
        </w:rPr>
        <w:t>《工程设计资质标准》（建市〔2007〕86号）、《建设工程勘察设计资质管理规定实施意见》（建市[2007]202号）、</w:t>
      </w:r>
      <w:r>
        <w:rPr>
          <w:rFonts w:hint="eastAsia" w:ascii="宋体" w:hAnsi="宋体" w:cs="宋体"/>
          <w:color w:val="auto"/>
          <w:kern w:val="0"/>
          <w:sz w:val="24"/>
          <w:highlight w:val="none"/>
        </w:rPr>
        <w:t>《住房城乡建设部关于促进建筑工程设计事务所发展有关事项的通知》（建市〔2016〕261号）填写。</w:t>
      </w:r>
    </w:p>
    <w:p w14:paraId="770D0F5B">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工程设计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w:t>
      </w:r>
      <w:r>
        <w:rPr>
          <w:rFonts w:hint="eastAsia" w:ascii="宋体" w:hAnsi="宋体" w:cs="宋体"/>
          <w:color w:val="auto"/>
          <w:sz w:val="24"/>
          <w:highlight w:val="none"/>
        </w:rPr>
        <w:t>等相关规定</w:t>
      </w:r>
      <w:r>
        <w:rPr>
          <w:rFonts w:hint="eastAsia" w:ascii="宋体" w:hAnsi="宋体" w:cs="宋体"/>
          <w:color w:val="auto"/>
          <w:kern w:val="0"/>
          <w:sz w:val="24"/>
          <w:highlight w:val="none"/>
        </w:rPr>
        <w:t>执行</w:t>
      </w:r>
      <w:r>
        <w:rPr>
          <w:rFonts w:hint="eastAsia" w:ascii="宋体" w:hAnsi="宋体" w:cs="宋体"/>
          <w:color w:val="auto"/>
          <w:sz w:val="24"/>
          <w:highlight w:val="none"/>
        </w:rPr>
        <w:t>。根据上述文件的要求，投标人需办理企业资质有效期延续的，应当按照相关规定及时办理</w:t>
      </w:r>
      <w:r>
        <w:rPr>
          <w:rFonts w:hint="eastAsia" w:ascii="宋体" w:hAnsi="宋体" w:cs="宋体"/>
          <w:color w:val="auto"/>
          <w:kern w:val="0"/>
          <w:sz w:val="24"/>
          <w:highlight w:val="none"/>
        </w:rPr>
        <w:t xml:space="preserve">。 </w:t>
      </w:r>
    </w:p>
    <w:p w14:paraId="64DC11DC">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u w:val="single"/>
        </w:rPr>
        <w:t>香港企业独立参加投标的，须在广东省住房和城乡建设主管部门备案且备案的业务范围应符合本招标项目对工程设计资质的要求</w:t>
      </w:r>
      <w:r>
        <w:rPr>
          <w:rFonts w:hint="eastAsia" w:ascii="宋体" w:hAnsi="宋体" w:cs="宋体"/>
          <w:color w:val="auto"/>
          <w:kern w:val="0"/>
          <w:sz w:val="24"/>
          <w:highlight w:val="none"/>
        </w:rPr>
        <w:t>。</w:t>
      </w:r>
    </w:p>
    <w:p w14:paraId="43585153">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香港企业备案的业务范围依据《广东省住房和城乡建设厅关于印发香港工程建设咨询企业和专业人士在粤港澳大湾区内地城市开业执业试点管理暂行办法的通知》（粤建规范〔2020〕1号，详见链接：</w:t>
      </w:r>
      <w:r>
        <w:rPr>
          <w:color w:val="auto"/>
          <w:highlight w:val="none"/>
        </w:rPr>
        <w:fldChar w:fldCharType="begin"/>
      </w:r>
      <w:r>
        <w:rPr>
          <w:color w:val="auto"/>
          <w:highlight w:val="none"/>
        </w:rPr>
        <w:instrText xml:space="preserve"> HYPERLINK "http://zfcxjst.gd.gov.cn/xxgk/wjtz/content/post_3137220.html）确定。香港企业须提供满足招标文件要求的相应资质证书及备案证明资料扫描件。" </w:instrText>
      </w:r>
      <w:r>
        <w:rPr>
          <w:color w:val="auto"/>
          <w:highlight w:val="none"/>
        </w:rPr>
        <w:fldChar w:fldCharType="separate"/>
      </w:r>
      <w:r>
        <w:rPr>
          <w:rFonts w:hint="eastAsia" w:ascii="宋体" w:hAnsi="宋体" w:cs="宋体"/>
          <w:color w:val="auto"/>
          <w:kern w:val="0"/>
          <w:sz w:val="24"/>
          <w:highlight w:val="none"/>
        </w:rPr>
        <w:t>http://zfcxjst.gd.gov.cn/xxgk/wjtz/content/post_3137220.html）确定。香港企业须提供满足招标文件要求的相应资质证书及备案证明资料扫描件。</w:t>
      </w:r>
      <w:r>
        <w:rPr>
          <w:rFonts w:hint="eastAsia" w:ascii="宋体" w:hAnsi="宋体" w:cs="宋体"/>
          <w:color w:val="auto"/>
          <w:kern w:val="0"/>
          <w:sz w:val="24"/>
          <w:highlight w:val="none"/>
        </w:rPr>
        <w:fldChar w:fldCharType="end"/>
      </w:r>
    </w:p>
    <w:p w14:paraId="07A176A3">
      <w:pPr>
        <w:autoSpaceDE w:val="0"/>
        <w:autoSpaceDN w:val="0"/>
        <w:adjustRightInd w:val="0"/>
        <w:spacing w:line="360" w:lineRule="auto"/>
        <w:ind w:firstLine="508" w:firstLineChars="200"/>
        <w:rPr>
          <w:rFonts w:ascii="宋体" w:hAnsi="宋体"/>
          <w:color w:val="auto"/>
          <w:spacing w:val="7"/>
          <w:kern w:val="0"/>
          <w:sz w:val="24"/>
          <w:highlight w:val="none"/>
          <w:u w:val="single"/>
        </w:rPr>
      </w:pPr>
      <w:r>
        <w:rPr>
          <w:rFonts w:hint="eastAsia" w:ascii="宋体" w:hAnsi="宋体"/>
          <w:color w:val="auto"/>
          <w:spacing w:val="7"/>
          <w:kern w:val="0"/>
          <w:sz w:val="24"/>
          <w:highlight w:val="none"/>
        </w:rPr>
        <w:t>5.3  外国或澳门、台湾的设计企业必须选择一家符合上述条件（招标公告第5.1条、第5.2.2条要求）的国内投标人进行合作设计。香港企业如不单独参加投标，也必须选择一家符合上述条件（招标公告第5.1条、第5.2.2条要求）的国内投标人进行合作设计。（需提供合作设计协议书。）</w:t>
      </w:r>
    </w:p>
    <w:p w14:paraId="351B5B02">
      <w:pPr>
        <w:autoSpaceDE w:val="0"/>
        <w:autoSpaceDN w:val="0"/>
        <w:adjustRightInd w:val="0"/>
        <w:spacing w:line="360" w:lineRule="auto"/>
        <w:ind w:firstLine="508" w:firstLineChars="200"/>
        <w:rPr>
          <w:rFonts w:ascii="宋体" w:hAnsi="宋体"/>
          <w:color w:val="auto"/>
          <w:spacing w:val="7"/>
          <w:kern w:val="0"/>
          <w:sz w:val="24"/>
          <w:highlight w:val="none"/>
          <w:u w:val="single"/>
        </w:rPr>
      </w:pPr>
      <w:r>
        <w:rPr>
          <w:rFonts w:hint="eastAsia" w:ascii="宋体" w:hAnsi="宋体"/>
          <w:color w:val="auto"/>
          <w:spacing w:val="7"/>
          <w:kern w:val="0"/>
          <w:sz w:val="24"/>
          <w:highlight w:val="none"/>
        </w:rPr>
        <w:t>5.4  投标人已在</w:t>
      </w:r>
      <w:r>
        <w:rPr>
          <w:rFonts w:hint="eastAsia" w:ascii="宋体" w:hAnsi="宋体"/>
          <w:color w:val="auto"/>
          <w:kern w:val="0"/>
          <w:sz w:val="24"/>
          <w:highlight w:val="none"/>
        </w:rPr>
        <w:t>广州市住房和城乡建设局</w:t>
      </w:r>
      <w:r>
        <w:rPr>
          <w:rFonts w:hint="eastAsia" w:ascii="宋体" w:hAnsi="宋体"/>
          <w:color w:val="auto"/>
          <w:spacing w:val="7"/>
          <w:kern w:val="0"/>
          <w:sz w:val="24"/>
          <w:highlight w:val="none"/>
        </w:rPr>
        <w:t>建立企业信用档案，拟委派的项目负责人须是本企业信用档案中的在册人员。（信用档案办理详见《广州市住建行业信用管理平台设计企业信息录入指引》http://zfcj.gz.gov.cn/zwgk/zsdwxxgkzl/gzsjzyglfwzx/bszy/content/post_9116013.html）</w:t>
      </w:r>
    </w:p>
    <w:p w14:paraId="7909CCD7">
      <w:pPr>
        <w:autoSpaceDE w:val="0"/>
        <w:autoSpaceDN w:val="0"/>
        <w:adjustRightInd w:val="0"/>
        <w:spacing w:line="360" w:lineRule="auto"/>
        <w:ind w:firstLine="508" w:firstLineChars="200"/>
        <w:rPr>
          <w:rFonts w:ascii="宋体" w:hAnsi="宋体"/>
          <w:color w:val="auto"/>
          <w:spacing w:val="7"/>
          <w:kern w:val="0"/>
          <w:sz w:val="24"/>
          <w:highlight w:val="none"/>
          <w:u w:val="single"/>
        </w:rPr>
      </w:pPr>
      <w:r>
        <w:rPr>
          <w:rFonts w:hint="eastAsia" w:ascii="宋体" w:hAnsi="宋体"/>
          <w:color w:val="auto"/>
          <w:spacing w:val="7"/>
          <w:kern w:val="0"/>
          <w:sz w:val="24"/>
          <w:highlight w:val="none"/>
          <w:u w:val="single"/>
        </w:rPr>
        <w:t>5.5  投标人委派的项目负责人须具备</w:t>
      </w:r>
      <w:r>
        <w:rPr>
          <w:rFonts w:hint="eastAsia" w:ascii="宋体" w:hAnsi="宋体"/>
          <w:color w:val="auto"/>
          <w:spacing w:val="7"/>
          <w:kern w:val="0"/>
          <w:sz w:val="24"/>
          <w:highlight w:val="none"/>
          <w:u w:val="single"/>
          <w:lang w:val="en-US" w:eastAsia="zh-CN"/>
        </w:rPr>
        <w:t>一</w:t>
      </w:r>
      <w:r>
        <w:rPr>
          <w:rFonts w:hint="eastAsia" w:ascii="宋体" w:hAnsi="宋体"/>
          <w:color w:val="auto"/>
          <w:spacing w:val="7"/>
          <w:kern w:val="0"/>
          <w:sz w:val="24"/>
          <w:highlight w:val="none"/>
          <w:u w:val="single"/>
        </w:rPr>
        <w:t>级注册建筑师资格或备案的业务范围</w:t>
      </w:r>
      <w:bookmarkStart w:id="11" w:name="_Hlk106938609"/>
      <w:r>
        <w:rPr>
          <w:rFonts w:hint="eastAsia" w:ascii="宋体" w:hAnsi="宋体"/>
          <w:color w:val="auto"/>
          <w:spacing w:val="7"/>
          <w:kern w:val="0"/>
          <w:sz w:val="24"/>
          <w:highlight w:val="none"/>
          <w:u w:val="single"/>
        </w:rPr>
        <w:t>相当于</w:t>
      </w:r>
      <w:r>
        <w:rPr>
          <w:rFonts w:hint="eastAsia" w:ascii="宋体" w:hAnsi="宋体"/>
          <w:color w:val="auto"/>
          <w:spacing w:val="7"/>
          <w:kern w:val="0"/>
          <w:sz w:val="24"/>
          <w:highlight w:val="none"/>
          <w:u w:val="single"/>
          <w:lang w:val="en-US" w:eastAsia="zh-CN"/>
        </w:rPr>
        <w:t>一</w:t>
      </w:r>
      <w:r>
        <w:rPr>
          <w:rFonts w:hint="eastAsia" w:ascii="宋体" w:hAnsi="宋体"/>
          <w:color w:val="auto"/>
          <w:spacing w:val="7"/>
          <w:kern w:val="0"/>
          <w:sz w:val="24"/>
          <w:highlight w:val="none"/>
          <w:u w:val="single"/>
        </w:rPr>
        <w:t>级注册建筑师的</w:t>
      </w:r>
      <w:bookmarkEnd w:id="11"/>
      <w:r>
        <w:rPr>
          <w:rFonts w:hint="eastAsia" w:ascii="宋体" w:hAnsi="宋体"/>
          <w:color w:val="auto"/>
          <w:spacing w:val="7"/>
          <w:kern w:val="0"/>
          <w:sz w:val="24"/>
          <w:highlight w:val="none"/>
          <w:u w:val="single"/>
        </w:rPr>
        <w:t>香港专业人士。</w:t>
      </w:r>
    </w:p>
    <w:p w14:paraId="36334370">
      <w:pPr>
        <w:pStyle w:val="3"/>
        <w:keepNext w:val="0"/>
        <w:keepLines w:val="0"/>
        <w:widowControl/>
        <w:shd w:val="clear" w:color="auto" w:fill="FFFFFF"/>
        <w:spacing w:before="0" w:after="0" w:line="360" w:lineRule="auto"/>
        <w:ind w:firstLine="510" w:firstLineChars="200"/>
        <w:jc w:val="left"/>
        <w:rPr>
          <w:rFonts w:ascii="宋体" w:hAnsi="宋体" w:cs="宋体"/>
          <w:b w:val="0"/>
          <w:bCs/>
          <w:color w:val="auto"/>
          <w:kern w:val="2"/>
          <w:sz w:val="24"/>
          <w:szCs w:val="24"/>
          <w:highlight w:val="none"/>
          <w:u w:val="single"/>
        </w:rPr>
      </w:pPr>
      <w:r>
        <w:rPr>
          <w:rFonts w:hint="eastAsia" w:ascii="宋体" w:hAnsi="宋体"/>
          <w:color w:val="auto"/>
          <w:spacing w:val="7"/>
          <w:kern w:val="0"/>
          <w:sz w:val="24"/>
          <w:highlight w:val="none"/>
        </w:rPr>
        <w:t>注：</w:t>
      </w:r>
      <w:r>
        <w:rPr>
          <w:rFonts w:hint="eastAsia" w:ascii="宋体" w:hAnsi="宋体"/>
          <w:b w:val="0"/>
          <w:bCs/>
          <w:color w:val="auto"/>
          <w:spacing w:val="7"/>
          <w:kern w:val="0"/>
          <w:sz w:val="24"/>
          <w:highlight w:val="none"/>
        </w:rPr>
        <w:t>（1）</w:t>
      </w:r>
      <w:r>
        <w:rPr>
          <w:rFonts w:hint="eastAsia" w:ascii="宋体" w:hAnsi="宋体"/>
          <w:b w:val="0"/>
          <w:color w:val="auto"/>
          <w:spacing w:val="7"/>
          <w:kern w:val="0"/>
          <w:sz w:val="24"/>
          <w:szCs w:val="24"/>
          <w:highlight w:val="none"/>
        </w:rPr>
        <w:t>根据《全国注册建筑师管理委员会关于开展使用一级注册建筑师电子注册证书工作的通知》（注建[2021]2号）要求，自2022年7月1日起，一级注册建筑师统一使用电子证书，纸质注册证书作废。若投标人提供的一级注册建筑师电子证书未在个人签名处手写签名或手写签名与签名图像笔迹存在差异的，资格审查时应通过“全国建筑市场监管公共服务平台”查询渠道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投标人提供一级注册建筑师证书电子证书的注册有效期或使用有效期内未在有效期内，该电子证书无效，投标人将自行承担资格审查不通过相应后果</w:t>
      </w:r>
      <w:r>
        <w:rPr>
          <w:rFonts w:ascii="宋体" w:hAnsi="宋体" w:cs="宋体"/>
          <w:b w:val="0"/>
          <w:bCs/>
          <w:color w:val="auto"/>
          <w:kern w:val="2"/>
          <w:sz w:val="24"/>
          <w:szCs w:val="24"/>
          <w:highlight w:val="none"/>
        </w:rPr>
        <w:t>。</w:t>
      </w:r>
    </w:p>
    <w:p w14:paraId="5581234B">
      <w:pPr>
        <w:numPr>
          <w:ilvl w:val="0"/>
          <w:numId w:val="1"/>
        </w:numPr>
        <w:autoSpaceDE w:val="0"/>
        <w:autoSpaceDN w:val="0"/>
        <w:adjustRightInd w:val="0"/>
        <w:spacing w:line="360" w:lineRule="auto"/>
        <w:ind w:firstLine="508" w:firstLineChars="200"/>
        <w:rPr>
          <w:rFonts w:hint="eastAsia" w:ascii="宋体" w:hAnsi="宋体"/>
          <w:color w:val="auto"/>
          <w:spacing w:val="7"/>
          <w:kern w:val="0"/>
          <w:sz w:val="24"/>
          <w:highlight w:val="none"/>
        </w:rPr>
      </w:pPr>
      <w:r>
        <w:rPr>
          <w:rFonts w:hint="eastAsia" w:ascii="宋体" w:hAnsi="宋体"/>
          <w:color w:val="auto"/>
          <w:spacing w:val="7"/>
          <w:kern w:val="0"/>
          <w:sz w:val="24"/>
          <w:highlight w:val="none"/>
        </w:rPr>
        <w:t>香港专业人士的备案业务范围依据《广东省住房和城乡建设厅关于印发香港工程建设咨询企业和专业人士在粤港澳大湾区内地城市开业执业试点管理暂行办法的通知》（粤建规范〔2020〕1号）确定。</w:t>
      </w:r>
      <w:bookmarkStart w:id="12" w:name="_Hlk106938655"/>
      <w:r>
        <w:rPr>
          <w:rFonts w:hint="eastAsia" w:ascii="宋体" w:hAnsi="宋体"/>
          <w:color w:val="auto"/>
          <w:spacing w:val="7"/>
          <w:kern w:val="0"/>
          <w:sz w:val="24"/>
          <w:highlight w:val="none"/>
        </w:rPr>
        <w:t>香港专业人士须提供满足招标文件要求的相应执业证书及备案证明资料扫描件。</w:t>
      </w:r>
      <w:bookmarkEnd w:id="12"/>
    </w:p>
    <w:p w14:paraId="6440604A">
      <w:pPr>
        <w:pStyle w:val="2"/>
        <w:numPr>
          <w:ilvl w:val="0"/>
          <w:numId w:val="0"/>
        </w:numPr>
        <w:spacing w:line="360" w:lineRule="auto"/>
        <w:ind w:firstLine="480" w:firstLineChars="200"/>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u w:val="single"/>
          <w:lang w:val="en-US" w:eastAsia="zh-CN" w:bidi="ar-SA"/>
        </w:rPr>
        <w:t>5.6  本次招标不接受联合体投标。</w:t>
      </w:r>
    </w:p>
    <w:p w14:paraId="653D17FA">
      <w:pPr>
        <w:autoSpaceDE w:val="0"/>
        <w:autoSpaceDN w:val="0"/>
        <w:adjustRightInd w:val="0"/>
        <w:spacing w:line="360" w:lineRule="auto"/>
        <w:ind w:firstLine="508" w:firstLineChars="200"/>
        <w:rPr>
          <w:rFonts w:ascii="宋体" w:hAnsi="宋体"/>
          <w:color w:val="auto"/>
          <w:spacing w:val="7"/>
          <w:kern w:val="0"/>
          <w:sz w:val="24"/>
          <w:highlight w:val="none"/>
          <w:u w:val="single"/>
        </w:rPr>
      </w:pPr>
      <w:r>
        <w:rPr>
          <w:rFonts w:hint="eastAsia" w:ascii="宋体" w:hAnsi="宋体"/>
          <w:color w:val="auto"/>
          <w:spacing w:val="7"/>
          <w:kern w:val="0"/>
          <w:sz w:val="24"/>
          <w:highlight w:val="none"/>
          <w:u w:val="single"/>
        </w:rPr>
        <w:t>5.</w:t>
      </w:r>
      <w:r>
        <w:rPr>
          <w:rFonts w:hint="eastAsia" w:ascii="宋体" w:hAnsi="宋体"/>
          <w:color w:val="auto"/>
          <w:spacing w:val="7"/>
          <w:kern w:val="0"/>
          <w:sz w:val="24"/>
          <w:highlight w:val="none"/>
          <w:u w:val="single"/>
          <w:lang w:val="en-US" w:eastAsia="zh-CN"/>
        </w:rPr>
        <w:t>7</w:t>
      </w:r>
      <w:r>
        <w:rPr>
          <w:rFonts w:hint="eastAsia" w:ascii="宋体" w:hAnsi="宋体"/>
          <w:color w:val="auto"/>
          <w:spacing w:val="7"/>
          <w:kern w:val="0"/>
          <w:sz w:val="24"/>
          <w:highlight w:val="none"/>
          <w:u w:val="single"/>
        </w:rPr>
        <w:t xml:space="preserve">  </w:t>
      </w:r>
      <w:r>
        <w:rPr>
          <w:rFonts w:hint="eastAsia" w:ascii="宋体" w:hAnsi="宋体"/>
          <w:color w:val="auto"/>
          <w:sz w:val="24"/>
          <w:highlight w:val="none"/>
          <w:u w:val="single"/>
        </w:rPr>
        <w:t>投标人没有招标文件第二章第</w:t>
      </w:r>
      <w:r>
        <w:rPr>
          <w:rFonts w:ascii="宋体" w:hAnsi="宋体"/>
          <w:color w:val="auto"/>
          <w:sz w:val="24"/>
          <w:highlight w:val="none"/>
          <w:u w:val="single"/>
        </w:rPr>
        <w:t>1.4.3项规定的任何一种情形（根据《投标人声明》进行评审），投标人须按《投标人声明》规定的格式填写并加盖投标人章）。</w:t>
      </w:r>
    </w:p>
    <w:p w14:paraId="6B8C549D">
      <w:pPr>
        <w:autoSpaceDE w:val="0"/>
        <w:autoSpaceDN w:val="0"/>
        <w:adjustRightInd w:val="0"/>
        <w:spacing w:line="360" w:lineRule="auto"/>
        <w:ind w:firstLine="508" w:firstLineChars="200"/>
        <w:rPr>
          <w:rFonts w:ascii="宋体" w:hAnsi="宋体"/>
          <w:color w:val="auto"/>
          <w:sz w:val="24"/>
          <w:highlight w:val="none"/>
          <w:u w:val="single"/>
        </w:rPr>
      </w:pPr>
      <w:r>
        <w:rPr>
          <w:rFonts w:hint="eastAsia" w:ascii="宋体" w:hAnsi="宋体"/>
          <w:color w:val="auto"/>
          <w:spacing w:val="7"/>
          <w:kern w:val="0"/>
          <w:sz w:val="24"/>
          <w:highlight w:val="none"/>
          <w:u w:val="single"/>
        </w:rPr>
        <w:t>5.</w:t>
      </w:r>
      <w:r>
        <w:rPr>
          <w:rFonts w:hint="eastAsia" w:ascii="宋体" w:hAnsi="宋体"/>
          <w:color w:val="auto"/>
          <w:spacing w:val="7"/>
          <w:kern w:val="0"/>
          <w:sz w:val="24"/>
          <w:highlight w:val="none"/>
          <w:u w:val="single"/>
          <w:lang w:val="en-US" w:eastAsia="zh-CN"/>
        </w:rPr>
        <w:t>8</w:t>
      </w:r>
      <w:r>
        <w:rPr>
          <w:rFonts w:hint="eastAsia" w:ascii="宋体" w:hAnsi="宋体"/>
          <w:color w:val="auto"/>
          <w:spacing w:val="7"/>
          <w:kern w:val="0"/>
          <w:sz w:val="24"/>
          <w:highlight w:val="none"/>
          <w:u w:val="single"/>
        </w:rPr>
        <w:t xml:space="preserve">  信誉要求：</w:t>
      </w:r>
      <w:r>
        <w:rPr>
          <w:rFonts w:hint="eastAsia" w:ascii="宋体" w:hAnsi="宋体" w:cs="宋体"/>
          <w:color w:val="auto"/>
          <w:spacing w:val="7"/>
          <w:kern w:val="0"/>
          <w:sz w:val="24"/>
          <w:highlight w:val="none"/>
          <w:u w:val="single"/>
        </w:rPr>
        <w:t>未被列入拖欠农民工工资失信联合惩戒对象名单</w:t>
      </w:r>
      <w:r>
        <w:rPr>
          <w:rFonts w:hint="eastAsia" w:ascii="宋体" w:hAnsi="宋体"/>
          <w:color w:val="auto"/>
          <w:spacing w:val="7"/>
          <w:kern w:val="0"/>
          <w:sz w:val="24"/>
          <w:highlight w:val="none"/>
          <w:u w:val="single"/>
        </w:rPr>
        <w:t>。</w:t>
      </w:r>
    </w:p>
    <w:p w14:paraId="0BB46896">
      <w:pPr>
        <w:pStyle w:val="5"/>
        <w:spacing w:line="360" w:lineRule="auto"/>
        <w:ind w:firstLine="647"/>
        <w:rPr>
          <w:rFonts w:ascii="宋体" w:hAnsi="宋体"/>
          <w:b/>
          <w:color w:val="auto"/>
          <w:spacing w:val="1"/>
          <w:sz w:val="32"/>
          <w:highlight w:val="none"/>
        </w:rPr>
      </w:pPr>
      <w:bookmarkStart w:id="13" w:name="OLE_LINK10"/>
      <w:bookmarkStart w:id="14" w:name="_Toc25072051"/>
      <w:r>
        <w:rPr>
          <w:rFonts w:hint="eastAsia" w:ascii="宋体" w:hAnsi="宋体"/>
          <w:b/>
          <w:color w:val="auto"/>
          <w:spacing w:val="1"/>
          <w:sz w:val="32"/>
          <w:highlight w:val="none"/>
        </w:rPr>
        <w:t>6.投标单位经济补偿及补偿金额</w:t>
      </w:r>
      <w:bookmarkEnd w:id="13"/>
    </w:p>
    <w:p w14:paraId="7B4A6D19">
      <w:pPr>
        <w:widowControl/>
        <w:tabs>
          <w:tab w:val="left" w:pos="105"/>
        </w:tabs>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6.1  </w:t>
      </w:r>
      <w:r>
        <w:rPr>
          <w:rFonts w:hint="eastAsia" w:ascii="宋体" w:hAnsi="宋体"/>
          <w:color w:val="auto"/>
          <w:sz w:val="24"/>
          <w:highlight w:val="none"/>
          <w:u w:val="single"/>
          <w:lang w:eastAsia="zh-CN"/>
        </w:rPr>
        <w:t>广东省生态环境厅新港西路办公业务用房维修改造工程项目设计（第二次）</w:t>
      </w:r>
      <w:r>
        <w:rPr>
          <w:rFonts w:hint="eastAsia" w:ascii="宋体" w:hAnsi="宋体"/>
          <w:color w:val="auto"/>
          <w:sz w:val="24"/>
          <w:highlight w:val="none"/>
          <w:u w:val="single"/>
        </w:rPr>
        <w:t>方案</w:t>
      </w:r>
      <w:r>
        <w:rPr>
          <w:rFonts w:hint="eastAsia" w:ascii="宋体" w:hAnsi="宋体" w:cs="宋体"/>
          <w:color w:val="auto"/>
          <w:kern w:val="0"/>
          <w:sz w:val="24"/>
          <w:highlight w:val="none"/>
          <w:u w:val="single"/>
        </w:rPr>
        <w:t>投标经济补偿</w:t>
      </w:r>
      <w:r>
        <w:rPr>
          <w:rFonts w:hint="eastAsia" w:ascii="宋体" w:hAnsi="宋体" w:cs="宋体"/>
          <w:color w:val="auto"/>
          <w:kern w:val="0"/>
          <w:sz w:val="24"/>
          <w:highlight w:val="none"/>
          <w:u w:val="single"/>
          <w:lang w:val="en-US" w:eastAsia="zh-CN"/>
        </w:rPr>
        <w:t>19</w:t>
      </w:r>
      <w:r>
        <w:rPr>
          <w:rFonts w:hint="eastAsia" w:ascii="宋体" w:hAnsi="宋体" w:cs="宋体"/>
          <w:color w:val="auto"/>
          <w:kern w:val="0"/>
          <w:sz w:val="24"/>
          <w:highlight w:val="none"/>
          <w:u w:val="single"/>
        </w:rPr>
        <w:t>万元，分配办法如下：</w:t>
      </w:r>
    </w:p>
    <w:tbl>
      <w:tblPr>
        <w:tblStyle w:val="18"/>
        <w:tblW w:w="52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1249"/>
        <w:gridCol w:w="1250"/>
        <w:gridCol w:w="1250"/>
        <w:gridCol w:w="1250"/>
        <w:gridCol w:w="1250"/>
      </w:tblGrid>
      <w:tr w14:paraId="09FA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109" w:type="dxa"/>
            <w:vAlign w:val="center"/>
          </w:tcPr>
          <w:p w14:paraId="235C4282">
            <w:pPr>
              <w:spacing w:line="360" w:lineRule="auto"/>
              <w:jc w:val="center"/>
              <w:rPr>
                <w:rFonts w:ascii="宋体" w:hAnsi="宋体"/>
                <w:color w:val="auto"/>
                <w:sz w:val="24"/>
                <w:highlight w:val="none"/>
              </w:rPr>
            </w:pPr>
            <w:r>
              <w:rPr>
                <w:rFonts w:hint="eastAsia" w:ascii="宋体" w:hAnsi="宋体"/>
                <w:color w:val="auto"/>
                <w:sz w:val="24"/>
                <w:highlight w:val="none"/>
              </w:rPr>
              <w:t>设计方案评审排序</w:t>
            </w:r>
          </w:p>
        </w:tc>
        <w:tc>
          <w:tcPr>
            <w:tcW w:w="1249" w:type="dxa"/>
            <w:vAlign w:val="center"/>
          </w:tcPr>
          <w:p w14:paraId="578D310A">
            <w:pPr>
              <w:spacing w:line="360" w:lineRule="auto"/>
              <w:jc w:val="center"/>
              <w:rPr>
                <w:rFonts w:ascii="宋体" w:hAnsi="宋体"/>
                <w:color w:val="auto"/>
                <w:sz w:val="24"/>
                <w:highlight w:val="none"/>
              </w:rPr>
            </w:pPr>
            <w:r>
              <w:rPr>
                <w:rFonts w:hint="eastAsia" w:ascii="宋体" w:hAnsi="宋体"/>
                <w:color w:val="auto"/>
                <w:sz w:val="24"/>
                <w:highlight w:val="none"/>
              </w:rPr>
              <w:t>第1名</w:t>
            </w:r>
          </w:p>
        </w:tc>
        <w:tc>
          <w:tcPr>
            <w:tcW w:w="1250" w:type="dxa"/>
            <w:vAlign w:val="center"/>
          </w:tcPr>
          <w:p w14:paraId="01AA8732">
            <w:pPr>
              <w:spacing w:line="360" w:lineRule="auto"/>
              <w:jc w:val="center"/>
              <w:rPr>
                <w:color w:val="auto"/>
                <w:sz w:val="24"/>
                <w:highlight w:val="none"/>
              </w:rPr>
            </w:pPr>
            <w:r>
              <w:rPr>
                <w:rFonts w:hint="eastAsia" w:ascii="宋体" w:hAnsi="宋体"/>
                <w:color w:val="auto"/>
                <w:sz w:val="24"/>
                <w:highlight w:val="none"/>
              </w:rPr>
              <w:t>第2名</w:t>
            </w:r>
          </w:p>
        </w:tc>
        <w:tc>
          <w:tcPr>
            <w:tcW w:w="1250" w:type="dxa"/>
            <w:vAlign w:val="center"/>
          </w:tcPr>
          <w:p w14:paraId="33BEC1A6">
            <w:pPr>
              <w:spacing w:line="360" w:lineRule="auto"/>
              <w:jc w:val="center"/>
              <w:rPr>
                <w:color w:val="auto"/>
                <w:sz w:val="24"/>
                <w:highlight w:val="none"/>
              </w:rPr>
            </w:pPr>
            <w:r>
              <w:rPr>
                <w:rFonts w:hint="eastAsia" w:ascii="宋体" w:hAnsi="宋体"/>
                <w:color w:val="auto"/>
                <w:sz w:val="24"/>
                <w:highlight w:val="none"/>
              </w:rPr>
              <w:t>第3名</w:t>
            </w:r>
          </w:p>
        </w:tc>
        <w:tc>
          <w:tcPr>
            <w:tcW w:w="1250" w:type="dxa"/>
            <w:vAlign w:val="center"/>
          </w:tcPr>
          <w:p w14:paraId="2D63B017">
            <w:pPr>
              <w:spacing w:line="360" w:lineRule="auto"/>
              <w:jc w:val="center"/>
              <w:rPr>
                <w:color w:val="auto"/>
                <w:sz w:val="24"/>
                <w:highlight w:val="none"/>
              </w:rPr>
            </w:pPr>
            <w:r>
              <w:rPr>
                <w:rFonts w:hint="eastAsia" w:ascii="宋体" w:hAnsi="宋体"/>
                <w:color w:val="auto"/>
                <w:sz w:val="24"/>
                <w:highlight w:val="none"/>
              </w:rPr>
              <w:t>第 4名</w:t>
            </w:r>
          </w:p>
        </w:tc>
        <w:tc>
          <w:tcPr>
            <w:tcW w:w="1250" w:type="dxa"/>
            <w:vAlign w:val="center"/>
          </w:tcPr>
          <w:p w14:paraId="0AF1657D">
            <w:pPr>
              <w:spacing w:line="360" w:lineRule="auto"/>
              <w:jc w:val="center"/>
              <w:rPr>
                <w:color w:val="auto"/>
                <w:sz w:val="24"/>
                <w:highlight w:val="none"/>
              </w:rPr>
            </w:pPr>
            <w:r>
              <w:rPr>
                <w:rFonts w:hint="eastAsia" w:ascii="宋体" w:hAnsi="宋体"/>
                <w:color w:val="auto"/>
                <w:sz w:val="24"/>
                <w:highlight w:val="none"/>
              </w:rPr>
              <w:t>第 5名</w:t>
            </w:r>
          </w:p>
        </w:tc>
      </w:tr>
      <w:tr w14:paraId="47E9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109" w:type="dxa"/>
            <w:vAlign w:val="center"/>
          </w:tcPr>
          <w:p w14:paraId="6FBF3883">
            <w:pPr>
              <w:spacing w:line="360" w:lineRule="auto"/>
              <w:jc w:val="center"/>
              <w:rPr>
                <w:rFonts w:ascii="宋体" w:hAnsi="宋体"/>
                <w:color w:val="auto"/>
                <w:sz w:val="24"/>
                <w:highlight w:val="none"/>
              </w:rPr>
            </w:pPr>
            <w:r>
              <w:rPr>
                <w:rFonts w:hint="eastAsia" w:ascii="宋体" w:hAnsi="宋体"/>
                <w:color w:val="auto"/>
                <w:sz w:val="24"/>
                <w:highlight w:val="none"/>
              </w:rPr>
              <w:t>投标经济补偿金额</w:t>
            </w:r>
          </w:p>
          <w:p w14:paraId="07D776F6">
            <w:pPr>
              <w:spacing w:line="360" w:lineRule="auto"/>
              <w:jc w:val="center"/>
              <w:rPr>
                <w:rFonts w:ascii="宋体" w:hAnsi="宋体"/>
                <w:color w:val="auto"/>
                <w:sz w:val="24"/>
                <w:highlight w:val="none"/>
              </w:rPr>
            </w:pPr>
            <w:r>
              <w:rPr>
                <w:rFonts w:hint="eastAsia" w:ascii="宋体" w:hAnsi="宋体"/>
                <w:color w:val="auto"/>
                <w:sz w:val="24"/>
                <w:highlight w:val="none"/>
              </w:rPr>
              <w:t>（万元）</w:t>
            </w:r>
          </w:p>
        </w:tc>
        <w:tc>
          <w:tcPr>
            <w:tcW w:w="1249" w:type="dxa"/>
            <w:vAlign w:val="center"/>
          </w:tcPr>
          <w:p w14:paraId="00767B70">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250" w:type="dxa"/>
            <w:vAlign w:val="center"/>
          </w:tcPr>
          <w:p w14:paraId="1E9721C2">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1250" w:type="dxa"/>
            <w:vAlign w:val="center"/>
          </w:tcPr>
          <w:p w14:paraId="3F3AEF02">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1250" w:type="dxa"/>
            <w:vAlign w:val="center"/>
          </w:tcPr>
          <w:p w14:paraId="0083ED0C">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1250" w:type="dxa"/>
            <w:vAlign w:val="center"/>
          </w:tcPr>
          <w:p w14:paraId="5A117B1C">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r>
    </w:tbl>
    <w:p w14:paraId="3F10BB61">
      <w:pPr>
        <w:widowControl/>
        <w:tabs>
          <w:tab w:val="left" w:pos="105"/>
        </w:tabs>
        <w:snapToGrid w:val="0"/>
        <w:spacing w:beforeLines="50" w:line="360" w:lineRule="auto"/>
        <w:ind w:firstLine="480" w:firstLineChars="200"/>
        <w:jc w:val="left"/>
        <w:rPr>
          <w:rFonts w:ascii="宋体" w:hAnsi="宋体" w:cs="宋体"/>
          <w:color w:val="auto"/>
          <w:kern w:val="0"/>
          <w:sz w:val="24"/>
          <w:highlight w:val="none"/>
          <w:u w:val="single"/>
        </w:rPr>
      </w:pPr>
      <w:bookmarkStart w:id="15" w:name="OLE_LINK12"/>
      <w:r>
        <w:rPr>
          <w:rFonts w:hint="eastAsia" w:ascii="宋体" w:hAnsi="宋体" w:cs="宋体"/>
          <w:color w:val="auto"/>
          <w:kern w:val="0"/>
          <w:sz w:val="24"/>
          <w:highlight w:val="none"/>
          <w:u w:val="single"/>
        </w:rPr>
        <w:t>（1</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其余投标人费用自理。</w:t>
      </w:r>
    </w:p>
    <w:p w14:paraId="2493E93C">
      <w:pPr>
        <w:tabs>
          <w:tab w:val="left" w:pos="105"/>
        </w:tabs>
        <w:spacing w:line="360" w:lineRule="auto"/>
        <w:ind w:firstLine="480" w:firstLineChars="200"/>
        <w:rPr>
          <w:rFonts w:ascii="宋体" w:hAnsi="宋体"/>
          <w:color w:val="auto"/>
          <w:sz w:val="24"/>
          <w:highlight w:val="none"/>
          <w:u w:val="single"/>
        </w:rPr>
      </w:pPr>
      <w:r>
        <w:rPr>
          <w:rFonts w:hint="eastAsia" w:ascii="宋体" w:hAnsi="宋体" w:cs="宋体"/>
          <w:color w:val="auto"/>
          <w:kern w:val="0"/>
          <w:sz w:val="24"/>
          <w:highlight w:val="none"/>
          <w:u w:val="single"/>
        </w:rPr>
        <w:t>（</w:t>
      </w:r>
      <w:r>
        <w:rPr>
          <w:rFonts w:ascii="宋体" w:hAnsi="宋体" w:cs="宋体"/>
          <w:color w:val="auto"/>
          <w:kern w:val="0"/>
          <w:sz w:val="24"/>
          <w:highlight w:val="none"/>
          <w:u w:val="single"/>
        </w:rPr>
        <w:t>2）</w:t>
      </w:r>
      <w:r>
        <w:rPr>
          <w:rFonts w:hint="eastAsia" w:ascii="宋体" w:hAnsi="宋体"/>
          <w:color w:val="auto"/>
          <w:sz w:val="24"/>
          <w:highlight w:val="none"/>
          <w:u w:val="single"/>
        </w:rPr>
        <w:t>并列排名的原则：如出现并列名次的按一个名次计，后续名次空缺，例：如果第2名出现两个投标人并列，则下一名次的投标人排名第4名，如果第2名出现三个投标人并列，则下一名次的投标人排名第5名，依次类推。</w:t>
      </w:r>
    </w:p>
    <w:p w14:paraId="510E517E">
      <w:pPr>
        <w:tabs>
          <w:tab w:val="left" w:pos="105"/>
        </w:tabs>
        <w:spacing w:line="360" w:lineRule="auto"/>
        <w:ind w:firstLine="480" w:firstLineChars="200"/>
        <w:rPr>
          <w:rFonts w:hAnsi="宋体"/>
          <w:strike/>
          <w:color w:val="auto"/>
          <w:sz w:val="24"/>
          <w:highlight w:val="none"/>
          <w:u w:val="single"/>
        </w:rPr>
      </w:pPr>
      <w:r>
        <w:rPr>
          <w:rFonts w:hint="eastAsia" w:ascii="宋体" w:hAnsi="宋体" w:cs="宋体"/>
          <w:color w:val="auto"/>
          <w:kern w:val="0"/>
          <w:sz w:val="24"/>
          <w:highlight w:val="none"/>
          <w:u w:val="single"/>
        </w:rPr>
        <w:t>（</w:t>
      </w:r>
      <w:r>
        <w:rPr>
          <w:rFonts w:ascii="宋体" w:hAnsi="宋体" w:cs="宋体"/>
          <w:color w:val="auto"/>
          <w:kern w:val="0"/>
          <w:sz w:val="24"/>
          <w:highlight w:val="none"/>
          <w:u w:val="single"/>
        </w:rPr>
        <w:t>3）</w:t>
      </w:r>
      <w:r>
        <w:rPr>
          <w:rFonts w:hint="eastAsia" w:ascii="宋体" w:hAnsi="宋体"/>
          <w:color w:val="auto"/>
          <w:sz w:val="24"/>
          <w:highlight w:val="none"/>
          <w:u w:val="single"/>
        </w:rPr>
        <w:t>并列排名的补偿原则：如出现并列名次的，该排名补偿费总额=出现排名并列名次的补偿金额+空缺名次的补偿金额，则n个并列排名投标人的各个补偿金额=该排名补偿费总额/n。例：第2名出现两个投标人并列，则第2名的补偿费总额为</w:t>
      </w:r>
      <w:r>
        <w:rPr>
          <w:rFonts w:hint="eastAsia" w:ascii="宋体" w:hAnsi="宋体"/>
          <w:color w:val="auto"/>
          <w:sz w:val="24"/>
          <w:highlight w:val="none"/>
          <w:u w:val="single"/>
          <w:lang w:val="en-US" w:eastAsia="zh-CN"/>
        </w:rPr>
        <w:t>40000</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40000</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80000</w:t>
      </w:r>
      <w:r>
        <w:rPr>
          <w:rFonts w:hint="eastAsia" w:ascii="宋体" w:hAnsi="宋体"/>
          <w:color w:val="auto"/>
          <w:sz w:val="24"/>
          <w:highlight w:val="none"/>
          <w:u w:val="single"/>
        </w:rPr>
        <w:t>元，两个投标人的各个补偿金额为</w:t>
      </w:r>
      <w:r>
        <w:rPr>
          <w:rFonts w:hint="eastAsia" w:ascii="宋体" w:hAnsi="宋体"/>
          <w:color w:val="auto"/>
          <w:sz w:val="24"/>
          <w:highlight w:val="none"/>
          <w:u w:val="single"/>
          <w:lang w:val="en-US" w:eastAsia="zh-CN"/>
        </w:rPr>
        <w:t>80000</w:t>
      </w:r>
      <w:r>
        <w:rPr>
          <w:rFonts w:hint="eastAsia" w:ascii="宋体" w:hAnsi="宋体"/>
          <w:color w:val="auto"/>
          <w:sz w:val="24"/>
          <w:highlight w:val="none"/>
          <w:u w:val="single"/>
        </w:rPr>
        <w:t>/2=</w:t>
      </w:r>
      <w:r>
        <w:rPr>
          <w:rFonts w:hint="eastAsia" w:ascii="宋体" w:hAnsi="宋体"/>
          <w:color w:val="auto"/>
          <w:sz w:val="24"/>
          <w:highlight w:val="none"/>
          <w:u w:val="single"/>
          <w:lang w:val="en-US" w:eastAsia="zh-CN"/>
        </w:rPr>
        <w:t>4</w:t>
      </w:r>
      <w:bookmarkStart w:id="23" w:name="_GoBack"/>
      <w:bookmarkEnd w:id="23"/>
      <w:r>
        <w:rPr>
          <w:rFonts w:hint="eastAsia" w:ascii="宋体" w:hAnsi="宋体"/>
          <w:color w:val="auto"/>
          <w:sz w:val="24"/>
          <w:highlight w:val="none"/>
          <w:u w:val="single"/>
          <w:lang w:val="en-US" w:eastAsia="zh-CN"/>
        </w:rPr>
        <w:t>0000</w:t>
      </w:r>
      <w:r>
        <w:rPr>
          <w:rFonts w:hint="eastAsia" w:ascii="宋体" w:hAnsi="宋体"/>
          <w:color w:val="auto"/>
          <w:sz w:val="24"/>
          <w:highlight w:val="none"/>
          <w:u w:val="single"/>
        </w:rPr>
        <w:t>元。</w:t>
      </w:r>
      <w:bookmarkStart w:id="16" w:name="OLE_LINK11"/>
    </w:p>
    <w:p w14:paraId="4D93612F">
      <w:pPr>
        <w:pStyle w:val="37"/>
        <w:ind w:firstLine="540"/>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u w:val="single"/>
        </w:rPr>
        <w:t>6.2</w:t>
      </w:r>
      <w:r>
        <w:rPr>
          <w:rFonts w:hint="eastAsia" w:ascii="宋体" w:hAnsi="宋体" w:eastAsia="宋体" w:cs="宋体"/>
          <w:color w:val="auto"/>
          <w:sz w:val="24"/>
          <w:szCs w:val="24"/>
          <w:highlight w:val="none"/>
          <w:u w:val="single"/>
        </w:rPr>
        <w:t>投标经济补偿费包括在投标人中标价中，中标人根据评标委员会对投标人的评审排序，在签订合同后向招标人申请投标补偿费，</w:t>
      </w:r>
      <w:r>
        <w:rPr>
          <w:rFonts w:hint="eastAsia" w:ascii="宋体" w:hAnsi="宋体" w:eastAsia="宋体" w:cs="宋体"/>
          <w:b/>
          <w:bCs/>
          <w:color w:val="auto"/>
          <w:sz w:val="24"/>
          <w:szCs w:val="24"/>
          <w:highlight w:val="none"/>
          <w:u w:val="single"/>
        </w:rPr>
        <w:t>并对设计方案部分得分排名1-5名的投标人给予补偿。</w:t>
      </w:r>
      <w:r>
        <w:rPr>
          <w:rFonts w:hint="eastAsia" w:ascii="宋体" w:hAnsi="宋体" w:eastAsia="宋体" w:cs="宋体"/>
          <w:color w:val="auto"/>
          <w:sz w:val="24"/>
          <w:szCs w:val="24"/>
          <w:highlight w:val="none"/>
          <w:u w:val="single"/>
        </w:rPr>
        <w:t>如果招标失败，则当次不作投标经济补偿。</w:t>
      </w:r>
    </w:p>
    <w:p w14:paraId="2B31A269">
      <w:pPr>
        <w:pStyle w:val="37"/>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对出现废标情形的投标人，将不作投标经济补偿，该部分投标经济补偿费支付给中标人。</w:t>
      </w:r>
    </w:p>
    <w:p w14:paraId="23CBE9B9">
      <w:pPr>
        <w:spacing w:line="360" w:lineRule="auto"/>
        <w:ind w:firstLine="480" w:firstLineChars="200"/>
        <w:rPr>
          <w:rFonts w:ascii="宋体" w:hAnsi="宋体"/>
          <w:bCs/>
          <w:strike/>
          <w:color w:val="auto"/>
          <w:sz w:val="24"/>
          <w:highlight w:val="none"/>
          <w:u w:val="single"/>
        </w:rPr>
      </w:pPr>
      <w:r>
        <w:rPr>
          <w:rFonts w:hint="eastAsia" w:hAnsi="宋体" w:cs="宋体"/>
          <w:color w:val="auto"/>
          <w:sz w:val="24"/>
          <w:highlight w:val="none"/>
          <w:u w:val="single"/>
        </w:rPr>
        <w:t>招标人和中标人有权在实施方案中参考使用获得经济补偿的所有投标方案成果内容。</w:t>
      </w:r>
      <w:bookmarkEnd w:id="15"/>
      <w:bookmarkEnd w:id="16"/>
    </w:p>
    <w:bookmarkEnd w:id="14"/>
    <w:p w14:paraId="21781169">
      <w:pPr>
        <w:pStyle w:val="5"/>
        <w:spacing w:line="360" w:lineRule="auto"/>
        <w:ind w:firstLine="647"/>
        <w:rPr>
          <w:rFonts w:ascii="宋体" w:hAnsi="宋体"/>
          <w:b/>
          <w:color w:val="auto"/>
          <w:spacing w:val="1"/>
          <w:sz w:val="32"/>
          <w:highlight w:val="none"/>
        </w:rPr>
      </w:pPr>
      <w:bookmarkStart w:id="17" w:name="_Toc25072052"/>
      <w:r>
        <w:rPr>
          <w:rFonts w:hint="eastAsia" w:ascii="宋体" w:hAnsi="宋体"/>
          <w:b/>
          <w:color w:val="auto"/>
          <w:spacing w:val="1"/>
          <w:sz w:val="32"/>
          <w:highlight w:val="none"/>
        </w:rPr>
        <w:t>7.</w:t>
      </w:r>
      <w:r>
        <w:rPr>
          <w:rFonts w:ascii="宋体" w:hAnsi="宋体"/>
          <w:b/>
          <w:color w:val="auto"/>
          <w:spacing w:val="1"/>
          <w:sz w:val="32"/>
          <w:highlight w:val="none"/>
        </w:rPr>
        <w:t>发布招标公告、招标文件获取</w:t>
      </w:r>
    </w:p>
    <w:bookmarkEnd w:id="17"/>
    <w:p w14:paraId="11FFD5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7.1招标公告发布时间（含本日）：</w:t>
      </w:r>
      <w:r>
        <w:rPr>
          <w:rFonts w:hint="eastAsia" w:ascii="宋体" w:hAnsi="宋体" w:cs="宋体"/>
          <w:color w:val="auto"/>
          <w:sz w:val="24"/>
          <w:highlight w:val="none"/>
          <w:lang w:eastAsia="zh-CN"/>
        </w:rPr>
        <w:t>2025</w:t>
      </w:r>
      <w:r>
        <w:rPr>
          <w:rFonts w:hint="eastAsia" w:ascii="宋体" w:hAnsi="宋体" w:cs="宋体"/>
          <w:color w:val="auto"/>
          <w:sz w:val="24"/>
          <w:highlight w:val="none"/>
        </w:rPr>
        <w:t>年  月  日  时  分至</w:t>
      </w:r>
      <w:r>
        <w:rPr>
          <w:rFonts w:hint="eastAsia" w:ascii="宋体" w:hAnsi="宋体" w:cs="宋体"/>
          <w:color w:val="auto"/>
          <w:sz w:val="24"/>
          <w:highlight w:val="none"/>
          <w:lang w:eastAsia="zh-CN"/>
        </w:rPr>
        <w:t>2025</w:t>
      </w:r>
      <w:r>
        <w:rPr>
          <w:rFonts w:hint="eastAsia" w:ascii="宋体" w:hAnsi="宋体" w:cs="宋体"/>
          <w:color w:val="auto"/>
          <w:sz w:val="24"/>
          <w:highlight w:val="none"/>
        </w:rPr>
        <w:t>年  月  日  时  分。（北京时间，下同），凡有意参加投标者，请登录广州交易集团有限公司（广州公共资源交易中心）网站（http//www.gzggzy.cn）在本项目招标公告附件中下载电子招标文件。</w:t>
      </w:r>
    </w:p>
    <w:p w14:paraId="17989E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 本项目采用全电子化资格后审方式。</w:t>
      </w:r>
    </w:p>
    <w:p w14:paraId="7E5380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投标人通过广州交易集团有限公司（广州公共资源交易中心）交易平台递交电子投标文件。投标人应在递交投标文件截止时间前，登录广州交易集团有限公司（广州公共资源交易中心）网站办理网上投标登记手续。操作详见广州交易集团有限公司（广州公共资源交易中心）网站（网址：http://www.gzggzy.cn）。</w:t>
      </w:r>
    </w:p>
    <w:p w14:paraId="05C420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 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58F8AA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 递交投标文件截止时间与开标时间是否有变化，请密切留意招标答疑中的相关信息。递交投标文件截止时间后，开标时间因故推迟的，相关评标信息仍以原递交投标文件截止时间的信息为准。</w:t>
      </w:r>
    </w:p>
    <w:p w14:paraId="1DB2BAEA">
      <w:pPr>
        <w:pStyle w:val="5"/>
        <w:spacing w:line="360" w:lineRule="auto"/>
        <w:ind w:firstLine="647"/>
        <w:rPr>
          <w:rFonts w:ascii="宋体" w:hAnsi="宋体"/>
          <w:b/>
          <w:color w:val="auto"/>
          <w:spacing w:val="1"/>
          <w:sz w:val="32"/>
          <w:highlight w:val="none"/>
        </w:rPr>
      </w:pPr>
      <w:bookmarkStart w:id="18" w:name="_Toc25072053"/>
      <w:r>
        <w:rPr>
          <w:rFonts w:hint="eastAsia" w:ascii="宋体" w:hAnsi="宋体"/>
          <w:b/>
          <w:color w:val="auto"/>
          <w:spacing w:val="1"/>
          <w:sz w:val="32"/>
          <w:highlight w:val="none"/>
        </w:rPr>
        <w:t>8.</w:t>
      </w:r>
      <w:r>
        <w:rPr>
          <w:rFonts w:ascii="宋体" w:hAnsi="宋体"/>
          <w:b/>
          <w:color w:val="auto"/>
          <w:spacing w:val="1"/>
          <w:sz w:val="32"/>
          <w:highlight w:val="none"/>
        </w:rPr>
        <w:t>递交投标文件时间、开标时间及办理投标登记</w:t>
      </w:r>
      <w:r>
        <w:rPr>
          <w:rFonts w:hint="eastAsia" w:ascii="宋体" w:hAnsi="宋体"/>
          <w:b/>
          <w:color w:val="auto"/>
          <w:spacing w:val="1"/>
          <w:sz w:val="32"/>
          <w:highlight w:val="none"/>
        </w:rPr>
        <w:t>手续</w:t>
      </w:r>
      <w:bookmarkEnd w:id="18"/>
    </w:p>
    <w:p w14:paraId="647FC4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 投标文件递交的截止时间（投标截止时间，下同）为</w:t>
      </w:r>
      <w:r>
        <w:rPr>
          <w:rFonts w:hint="eastAsia" w:ascii="宋体" w:hAnsi="宋体" w:cs="宋体"/>
          <w:color w:val="auto"/>
          <w:sz w:val="24"/>
          <w:highlight w:val="none"/>
          <w:lang w:eastAsia="zh-CN"/>
        </w:rPr>
        <w:t>2025</w:t>
      </w:r>
      <w:r>
        <w:rPr>
          <w:rFonts w:hint="eastAsia" w:ascii="宋体" w:hAnsi="宋体" w:cs="宋体"/>
          <w:color w:val="auto"/>
          <w:sz w:val="24"/>
          <w:highlight w:val="none"/>
        </w:rPr>
        <w:t>年  月  日  时  分，投标人应在截止时间前通过广州交易集团有限公司（广州公共资源交易中心）网站（网址：http://www.gzggzy.cn）递交电子投标文件。</w:t>
      </w:r>
    </w:p>
    <w:p w14:paraId="0BE86D65">
      <w:pPr>
        <w:pStyle w:val="2"/>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 投标人应在递交投标文件截止时间前，登录广州交易集团有限公司（广州公共资源交易中心）网站办理网上投标登记手续。操作详见广州交易集团有限公司（广州公共资源交易中心）网站（网址：http://www.gzggzy.cn）。</w:t>
      </w:r>
    </w:p>
    <w:p w14:paraId="0B8F22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w:t>
      </w:r>
      <w:bookmarkStart w:id="19" w:name="_Hlk106940116"/>
      <w:r>
        <w:rPr>
          <w:rFonts w:hint="eastAsia" w:ascii="宋体" w:hAnsi="宋体" w:cs="宋体"/>
          <w:color w:val="auto"/>
          <w:sz w:val="24"/>
          <w:highlight w:val="none"/>
        </w:rPr>
        <w:t xml:space="preserve"> 递交备用投标文件电子光盘</w:t>
      </w:r>
      <w:bookmarkEnd w:id="19"/>
      <w:r>
        <w:rPr>
          <w:rFonts w:hint="eastAsia" w:ascii="宋体" w:hAnsi="宋体" w:cs="宋体"/>
          <w:color w:val="auto"/>
          <w:sz w:val="24"/>
          <w:highlight w:val="none"/>
        </w:rPr>
        <w:t>的规定：</w:t>
      </w:r>
    </w:p>
    <w:p w14:paraId="3CB049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时间为</w:t>
      </w:r>
      <w:r>
        <w:rPr>
          <w:rFonts w:hint="eastAsia" w:ascii="宋体" w:hAnsi="宋体" w:cs="宋体"/>
          <w:color w:val="auto"/>
          <w:sz w:val="24"/>
          <w:highlight w:val="none"/>
          <w:lang w:eastAsia="zh-CN"/>
        </w:rPr>
        <w:t>2025</w:t>
      </w:r>
      <w:r>
        <w:rPr>
          <w:rFonts w:hint="eastAsia" w:ascii="宋体" w:hAnsi="宋体" w:cs="宋体"/>
          <w:color w:val="auto"/>
          <w:sz w:val="24"/>
          <w:highlight w:val="none"/>
        </w:rPr>
        <w:t>年  月  日  时  分至</w:t>
      </w:r>
      <w:r>
        <w:rPr>
          <w:rFonts w:hint="eastAsia" w:ascii="宋体" w:hAnsi="宋体" w:cs="宋体"/>
          <w:color w:val="auto"/>
          <w:sz w:val="24"/>
          <w:highlight w:val="none"/>
          <w:lang w:eastAsia="zh-CN"/>
        </w:rPr>
        <w:t>2025</w:t>
      </w:r>
      <w:r>
        <w:rPr>
          <w:rFonts w:hint="eastAsia" w:ascii="宋体" w:hAnsi="宋体" w:cs="宋体"/>
          <w:color w:val="auto"/>
          <w:sz w:val="24"/>
          <w:highlight w:val="none"/>
        </w:rPr>
        <w:t>年  月  日  时  分；地点：广州交易集团有限公司（广州公共资源交易中心）开标室,具体安排请投标人自行登陆“http://www.gzggzy.cn/xmcxjsgc/index.jhtml”进行查询。（投标人应在投标截止时间前，凭法定代表人证明书原件、法定代表人授权委托证明书原件（非法定代表人办理手续时提供）、本人身份证原件到达开标室递交投标文件光盘（备用）。电子光盘需按规定封装。投标人在将数据刻录到光盘之后，投标前自行检查文件是否可以读取。）</w:t>
      </w:r>
    </w:p>
    <w:p w14:paraId="6355C7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8.4 逾期送达的投标文件，电子招标投标交易平台将予以拒收。</w:t>
      </w:r>
    </w:p>
    <w:p w14:paraId="60486F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8.5 开标时间：</w:t>
      </w:r>
      <w:r>
        <w:rPr>
          <w:rFonts w:hint="eastAsia" w:ascii="宋体" w:hAnsi="宋体" w:cs="宋体"/>
          <w:color w:val="auto"/>
          <w:sz w:val="24"/>
          <w:highlight w:val="none"/>
          <w:lang w:eastAsia="zh-CN"/>
        </w:rPr>
        <w:t>2025</w:t>
      </w:r>
      <w:r>
        <w:rPr>
          <w:rFonts w:hint="eastAsia" w:ascii="宋体" w:hAnsi="宋体" w:cs="宋体"/>
          <w:color w:val="auto"/>
          <w:sz w:val="24"/>
          <w:highlight w:val="none"/>
        </w:rPr>
        <w:t>年  月  日  时  分。地点：广州交易集团有限公司（广州公共资源交易中心）开标室,具体安排请投标人自行登陆“http://www.gzggzy.cn/xmcxjsgc/index.jhtml”进行查询。</w:t>
      </w:r>
    </w:p>
    <w:p w14:paraId="293AB2CA">
      <w:pPr>
        <w:spacing w:line="360" w:lineRule="auto"/>
        <w:ind w:firstLine="472" w:firstLineChars="200"/>
        <w:jc w:val="left"/>
        <w:rPr>
          <w:color w:val="auto"/>
          <w:highlight w:val="none"/>
        </w:rPr>
      </w:pPr>
      <w:r>
        <w:rPr>
          <w:rFonts w:hint="eastAsia" w:ascii="宋体" w:hAnsi="宋体" w:cs="宋体"/>
          <w:color w:val="auto"/>
          <w:spacing w:val="-2"/>
          <w:kern w:val="0"/>
          <w:sz w:val="24"/>
          <w:highlight w:val="none"/>
          <w:u w:val="single"/>
        </w:rPr>
        <w:t>备注：本项目具体的招投标活动日程安排及场地安排以广州公共资源交</w:t>
      </w:r>
      <w:r>
        <w:rPr>
          <w:rFonts w:hint="eastAsia" w:ascii="宋体" w:hAnsi="宋体"/>
          <w:color w:val="auto"/>
          <w:spacing w:val="-2"/>
          <w:kern w:val="0"/>
          <w:sz w:val="24"/>
          <w:highlight w:val="none"/>
          <w:u w:val="single"/>
        </w:rPr>
        <w:t>易中心网站中“建设工程”→“项目查询（日程安排、答疑纪要）”公布的为准。</w:t>
      </w:r>
    </w:p>
    <w:p w14:paraId="741D954D">
      <w:pPr>
        <w:pStyle w:val="5"/>
        <w:spacing w:line="360" w:lineRule="auto"/>
        <w:ind w:firstLine="647"/>
        <w:rPr>
          <w:rFonts w:ascii="宋体" w:hAnsi="宋体"/>
          <w:b/>
          <w:color w:val="auto"/>
          <w:spacing w:val="1"/>
          <w:sz w:val="32"/>
          <w:highlight w:val="none"/>
        </w:rPr>
      </w:pPr>
      <w:bookmarkStart w:id="20" w:name="_Toc25072054"/>
      <w:r>
        <w:rPr>
          <w:rFonts w:hint="eastAsia" w:ascii="宋体" w:hAnsi="宋体"/>
          <w:b/>
          <w:color w:val="auto"/>
          <w:spacing w:val="1"/>
          <w:sz w:val="32"/>
          <w:highlight w:val="none"/>
        </w:rPr>
        <w:t>9.发布公告的媒介</w:t>
      </w:r>
      <w:bookmarkEnd w:id="20"/>
    </w:p>
    <w:p w14:paraId="1FA5FAE7">
      <w:pPr>
        <w:autoSpaceDE w:val="0"/>
        <w:autoSpaceDN w:val="0"/>
        <w:adjustRightInd w:val="0"/>
        <w:spacing w:line="360" w:lineRule="auto"/>
        <w:ind w:firstLine="472" w:firstLineChars="200"/>
        <w:rPr>
          <w:rFonts w:ascii="宋体" w:hAnsi="宋体"/>
          <w:color w:val="auto"/>
          <w:kern w:val="0"/>
          <w:sz w:val="24"/>
          <w:highlight w:val="none"/>
        </w:rPr>
      </w:pPr>
      <w:r>
        <w:rPr>
          <w:rFonts w:hint="eastAsia" w:ascii="宋体" w:hAnsi="宋体"/>
          <w:color w:val="auto"/>
          <w:spacing w:val="-2"/>
          <w:kern w:val="0"/>
          <w:position w:val="-4"/>
          <w:sz w:val="24"/>
          <w:highlight w:val="none"/>
        </w:rPr>
        <w:t>本次招标公告同时在广州交易集团有限公司（广州公共资源交易中心）网（网址：http://www.gzggzy.cn）、广东省招标投标监管网（网址：http://zbtb.gd.gov.cn）和中国招标投标公共服务平台（网址：http://www.cebpubservice.com/）上发布。本公告的修改、补充，在广州交易集团有限公司（广州公共资源交易中心）网发布。</w:t>
      </w:r>
    </w:p>
    <w:p w14:paraId="21A39050">
      <w:pPr>
        <w:pStyle w:val="5"/>
        <w:spacing w:line="360" w:lineRule="auto"/>
        <w:ind w:firstLine="647"/>
        <w:rPr>
          <w:rFonts w:ascii="宋体" w:hAnsi="宋体"/>
          <w:b/>
          <w:color w:val="auto"/>
          <w:spacing w:val="1"/>
          <w:sz w:val="32"/>
          <w:highlight w:val="none"/>
        </w:rPr>
      </w:pPr>
      <w:bookmarkStart w:id="21" w:name="_Toc25072055"/>
      <w:r>
        <w:rPr>
          <w:rFonts w:hint="eastAsia" w:ascii="宋体" w:hAnsi="宋体"/>
          <w:b/>
          <w:color w:val="auto"/>
          <w:spacing w:val="1"/>
          <w:sz w:val="32"/>
          <w:highlight w:val="none"/>
        </w:rPr>
        <w:t>10.其它事项</w:t>
      </w:r>
      <w:bookmarkEnd w:id="21"/>
    </w:p>
    <w:p w14:paraId="512D1B3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10.1投标时是否需要提交设计模型：</w:t>
      </w:r>
      <w:r>
        <w:rPr>
          <w:rFonts w:hint="eastAsia" w:ascii="宋体" w:hAnsi="宋体" w:cs="宋体"/>
          <w:bCs/>
          <w:color w:val="auto"/>
          <w:sz w:val="24"/>
          <w:highlight w:val="none"/>
          <w:u w:val="single"/>
        </w:rPr>
        <w:t>不需要</w:t>
      </w:r>
      <w:r>
        <w:rPr>
          <w:rFonts w:hint="eastAsia" w:ascii="宋体" w:hAnsi="宋体" w:cs="宋体"/>
          <w:color w:val="auto"/>
          <w:sz w:val="24"/>
          <w:highlight w:val="none"/>
        </w:rPr>
        <w:t>。</w:t>
      </w:r>
    </w:p>
    <w:p w14:paraId="5CD4E2F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10.2 投标人可通过</w:t>
      </w:r>
      <w:r>
        <w:rPr>
          <w:rFonts w:hint="eastAsia" w:ascii="宋体" w:hAnsi="宋体" w:cs="宋体"/>
          <w:color w:val="auto"/>
          <w:sz w:val="24"/>
          <w:highlight w:val="none"/>
          <w:u w:val="single"/>
        </w:rPr>
        <w:t>http://map.baidu.com选择（地球模式）</w:t>
      </w:r>
      <w:r>
        <w:rPr>
          <w:rFonts w:hint="eastAsia" w:ascii="宋体" w:hAnsi="宋体" w:cs="宋体"/>
          <w:color w:val="auto"/>
          <w:sz w:val="24"/>
          <w:highlight w:val="none"/>
        </w:rPr>
        <w:t>观察本项目的周边环境。</w:t>
      </w:r>
    </w:p>
    <w:p w14:paraId="38585FAE">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10.3 </w:t>
      </w:r>
      <w:r>
        <w:rPr>
          <w:rFonts w:hint="eastAsia" w:ascii="宋体" w:hAnsi="宋体" w:cs="宋体"/>
          <w:color w:val="auto"/>
          <w:sz w:val="24"/>
          <w:highlight w:val="none"/>
        </w:rPr>
        <w:t>项目的其他情况在可行性研究报告中详细介绍。本公告为招标文件的组成部分，更详细的信息以招标文件为准。</w:t>
      </w:r>
    </w:p>
    <w:p w14:paraId="532CD17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10.4 潜在投标人或利害关系人对本招标公告及招标文件有异议的，应当在投标截止时间10日前向招标人书面提出。</w:t>
      </w:r>
    </w:p>
    <w:p w14:paraId="4A3AB508">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rPr>
        <w:t>广东省代建项目管理局</w:t>
      </w:r>
    </w:p>
    <w:p w14:paraId="68C4EF5B">
      <w:pPr>
        <w:spacing w:line="440" w:lineRule="exact"/>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eastAsia="zh-CN"/>
        </w:rPr>
        <w:t>陈工</w:t>
      </w:r>
    </w:p>
    <w:p w14:paraId="3225C28F">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lang w:eastAsia="zh-CN"/>
        </w:rPr>
        <w:t>020-83620834</w:t>
      </w:r>
    </w:p>
    <w:p w14:paraId="797C12AB">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广州市黄埔大道西108号12楼</w:t>
      </w:r>
    </w:p>
    <w:p w14:paraId="0FFDEB3F">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B1579D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10.5 特别提示：投标人在本项目招标人的工程项目中存在下列行为的，将被拒绝</w:t>
      </w:r>
      <w:r>
        <w:rPr>
          <w:rFonts w:hint="eastAsia" w:ascii="宋体" w:hAnsi="宋体" w:cs="宋体"/>
          <w:color w:val="auto"/>
          <w:sz w:val="24"/>
          <w:highlight w:val="none"/>
          <w:u w:val="single"/>
        </w:rPr>
        <w:t>一年内</w:t>
      </w:r>
      <w:r>
        <w:rPr>
          <w:rFonts w:hint="eastAsia" w:ascii="宋体" w:hAnsi="宋体" w:cs="宋体"/>
          <w:color w:val="auto"/>
          <w:sz w:val="24"/>
          <w:highlight w:val="none"/>
        </w:rPr>
        <w:t>参与我单位后续工程投标：（注：拒绝投标时限自招标人发出通知之日起计）</w:t>
      </w:r>
    </w:p>
    <w:p w14:paraId="46853CF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（1）将中标工程转包或者违法分包的；</w:t>
      </w:r>
    </w:p>
    <w:p w14:paraId="7DF5967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（2）在中标工程中不执行质量、安全生产相关规定的，造成质量或安全事故的；</w:t>
      </w:r>
    </w:p>
    <w:p w14:paraId="601FC39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（3）存在围标或串标情形的；</w:t>
      </w:r>
    </w:p>
    <w:p w14:paraId="04BC6DF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（4）在投标文件中提供虚假材料的，存在弄虚作假骗取中标的；</w:t>
      </w:r>
    </w:p>
    <w:p w14:paraId="4B595A7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（5）存在行贿情形的；</w:t>
      </w:r>
    </w:p>
    <w:p w14:paraId="2231967C">
      <w:pPr>
        <w:spacing w:line="440" w:lineRule="exact"/>
        <w:ind w:left="599" w:leftChars="228" w:hanging="120" w:hangingChars="50"/>
        <w:rPr>
          <w:rFonts w:ascii="宋体" w:hAnsi="宋体" w:cs="宋体"/>
          <w:color w:val="auto"/>
          <w:sz w:val="24"/>
          <w:highlight w:val="none"/>
        </w:rPr>
      </w:pPr>
      <w:r>
        <w:rPr>
          <w:rFonts w:hint="eastAsia" w:ascii="宋体" w:hAnsi="宋体" w:cs="宋体"/>
          <w:color w:val="auto"/>
          <w:sz w:val="24"/>
          <w:highlight w:val="none"/>
        </w:rPr>
        <w:t xml:space="preserve"> (6)在中标工程中不执行质量、安全生产相关规定，造成质量或安全事故的；(7)未按照国家、省、市有关建筑施工实名制管理和工人工资支付分帐管理的规定执行，被行政监管部门处罚的；</w:t>
      </w:r>
    </w:p>
    <w:p w14:paraId="08D082BE">
      <w:pPr>
        <w:spacing w:line="4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(8)由于承包人原因拖欠农民工工资的；</w:t>
      </w:r>
    </w:p>
    <w:p w14:paraId="5F82E592">
      <w:pPr>
        <w:spacing w:line="4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(9)承包人因合同履行过错行为被生效法律文书认定承担违约或侵权责任的；</w:t>
      </w:r>
    </w:p>
    <w:p w14:paraId="5FE5D38A">
      <w:pPr>
        <w:spacing w:line="4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(10)由于承包人原因提交竣工结算申请时间超过两年的；</w:t>
      </w:r>
    </w:p>
    <w:p w14:paraId="3306F763">
      <w:pPr>
        <w:spacing w:line="4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(11)由于承包人原因未按合同约定工期完工超过两年的；</w:t>
      </w:r>
    </w:p>
    <w:p w14:paraId="12B750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（12）未在以往工程中因不充分履约行为被本项目招标人书面拒绝投标的，或未被纳入联合惩戒范围的（详见附件二《被招标人拒绝投标的企业名单》）。</w:t>
      </w:r>
    </w:p>
    <w:p w14:paraId="28AAC171">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10.6 前期服务机构名称：</w:t>
      </w:r>
      <w:r>
        <w:rPr>
          <w:rFonts w:hint="eastAsia" w:ascii="宋体" w:hAnsi="宋体" w:cs="宋体"/>
          <w:color w:val="auto"/>
          <w:sz w:val="24"/>
          <w:highlight w:val="none"/>
          <w:u w:val="single"/>
        </w:rPr>
        <w:t>广东省国际工程咨询有限公司（可行性研究报告编制单位）</w:t>
      </w:r>
      <w:r>
        <w:rPr>
          <w:rFonts w:hint="eastAsia" w:ascii="宋体" w:hAnsi="宋体" w:cs="宋体"/>
          <w:color w:val="auto"/>
          <w:sz w:val="24"/>
          <w:highlight w:val="none"/>
          <w:u w:val="single"/>
          <w:lang w:eastAsia="zh-CN"/>
        </w:rPr>
        <w:t>、华南农业大学（树木保护专章编制</w:t>
      </w:r>
      <w:r>
        <w:rPr>
          <w:rFonts w:hint="eastAsia" w:ascii="宋体" w:hAnsi="宋体" w:cs="宋体"/>
          <w:color w:val="auto"/>
          <w:sz w:val="24"/>
          <w:highlight w:val="none"/>
          <w:u w:val="single"/>
          <w:lang w:val="en-US" w:eastAsia="zh-CN"/>
        </w:rPr>
        <w:t>单位</w:t>
      </w:r>
      <w:r>
        <w:rPr>
          <w:rFonts w:hint="eastAsia" w:ascii="宋体" w:hAnsi="宋体" w:cs="宋体"/>
          <w:color w:val="auto"/>
          <w:sz w:val="24"/>
          <w:highlight w:val="none"/>
          <w:u w:val="single"/>
          <w:lang w:eastAsia="zh-CN"/>
        </w:rPr>
        <w:t>）、广东省建筑设计研究院有限公司（</w:t>
      </w:r>
      <w:r>
        <w:rPr>
          <w:rFonts w:hint="eastAsia" w:ascii="宋体" w:hAnsi="宋体" w:cs="宋体"/>
          <w:color w:val="auto"/>
          <w:sz w:val="24"/>
          <w:highlight w:val="none"/>
          <w:u w:val="single"/>
          <w:lang w:val="en-US" w:eastAsia="zh-CN"/>
        </w:rPr>
        <w:t>前期工作咨询单位</w:t>
      </w:r>
      <w:r>
        <w:rPr>
          <w:rFonts w:hint="eastAsia" w:ascii="宋体" w:hAnsi="宋体" w:cs="宋体"/>
          <w:color w:val="auto"/>
          <w:sz w:val="24"/>
          <w:highlight w:val="none"/>
          <w:u w:val="single"/>
          <w:lang w:eastAsia="zh-CN"/>
        </w:rPr>
        <w:t>）、广东省建科建筑设计院有限公司（交通流量影响评估</w:t>
      </w:r>
      <w:r>
        <w:rPr>
          <w:rFonts w:hint="eastAsia" w:ascii="宋体" w:hAnsi="宋体" w:cs="宋体"/>
          <w:color w:val="auto"/>
          <w:sz w:val="24"/>
          <w:highlight w:val="none"/>
          <w:u w:val="single"/>
          <w:lang w:val="en-US" w:eastAsia="zh-CN"/>
        </w:rPr>
        <w:t>单位</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w:t>
      </w:r>
    </w:p>
    <w:p w14:paraId="06F78E0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注：如果前期服务机构参加本次投标，应将本公告发布前最终完成的工作成果（含电子文件）在发布招标公告的同时提供给所有投标人参考，否则前期参与的服务机构中标无效。 </w:t>
      </w:r>
    </w:p>
    <w:p w14:paraId="6F69A02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10.7 本项目采用全电子化资格后审，由评标委员会负责对投标人的资格进行审查，评标时只对通过资格审查的投标人进行下一阶段的评审。满足资格审查合格条件的投标人不足3名，或经评审有效的投标单位不足3名时为招标失败。</w:t>
      </w:r>
    </w:p>
    <w:p w14:paraId="2701D3A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10.8 现场考察：</w:t>
      </w:r>
    </w:p>
    <w:p w14:paraId="19424ECE">
      <w:pPr>
        <w:autoSpaceDE w:val="0"/>
        <w:autoSpaceDN w:val="0"/>
        <w:adjustRightInd w:val="0"/>
        <w:spacing w:before="16" w:line="440" w:lineRule="exact"/>
        <w:ind w:firstLine="960" w:firstLineChars="400"/>
        <w:jc w:val="left"/>
        <w:rPr>
          <w:rFonts w:ascii="宋体" w:hAnsi="宋体" w:cs="宋体"/>
          <w:color w:val="auto"/>
          <w:sz w:val="24"/>
          <w:highlight w:val="none"/>
        </w:rPr>
      </w:pPr>
      <w:r>
        <w:rPr>
          <w:rFonts w:hint="eastAsia" w:ascii="宋体" w:hAnsi="宋体" w:cs="宋体"/>
          <w:color w:val="auto"/>
          <w:sz w:val="24"/>
          <w:highlight w:val="none"/>
          <w:u w:val="single"/>
        </w:rPr>
        <w:t>时间：不安排统一考察，由投标人自行考察。</w:t>
      </w:r>
    </w:p>
    <w:p w14:paraId="091EEAB3">
      <w:pPr>
        <w:autoSpaceDE w:val="0"/>
        <w:autoSpaceDN w:val="0"/>
        <w:adjustRightInd w:val="0"/>
        <w:spacing w:before="16" w:line="440" w:lineRule="exact"/>
        <w:ind w:firstLine="960" w:firstLineChars="400"/>
        <w:jc w:val="left"/>
        <w:rPr>
          <w:rFonts w:ascii="宋体" w:hAnsi="宋体"/>
          <w:b/>
          <w:color w:val="auto"/>
          <w:sz w:val="24"/>
          <w:highlight w:val="none"/>
          <w:u w:val="single"/>
        </w:rPr>
      </w:pPr>
      <w:r>
        <w:rPr>
          <w:rFonts w:hint="eastAsia" w:ascii="宋体" w:hAnsi="宋体" w:cs="宋体"/>
          <w:color w:val="auto"/>
          <w:sz w:val="24"/>
          <w:highlight w:val="none"/>
          <w:u w:val="single"/>
        </w:rPr>
        <w:t>地点：不安排统一考察，由投标人自行考察。</w:t>
      </w:r>
    </w:p>
    <w:p w14:paraId="5B0FF2C7">
      <w:pPr>
        <w:autoSpaceDE w:val="0"/>
        <w:autoSpaceDN w:val="0"/>
        <w:adjustRightInd w:val="0"/>
        <w:spacing w:beforeLines="50" w:afterLines="50" w:line="360" w:lineRule="auto"/>
        <w:jc w:val="left"/>
        <w:rPr>
          <w:rFonts w:ascii="宋体" w:hAnsi="宋体"/>
          <w:color w:val="auto"/>
          <w:sz w:val="24"/>
          <w:highlight w:val="none"/>
        </w:rPr>
      </w:pPr>
      <w:bookmarkStart w:id="22" w:name="_Toc25072056"/>
      <w:r>
        <w:rPr>
          <w:rFonts w:hint="eastAsia" w:ascii="宋体" w:hAnsi="宋体"/>
          <w:b/>
          <w:bCs/>
          <w:color w:val="auto"/>
          <w:sz w:val="32"/>
          <w:szCs w:val="32"/>
          <w:highlight w:val="none"/>
        </w:rPr>
        <w:t>11.联系方式</w:t>
      </w:r>
      <w:bookmarkEnd w:id="22"/>
    </w:p>
    <w:p w14:paraId="7DA00015">
      <w:pPr>
        <w:autoSpaceDE w:val="0"/>
        <w:autoSpaceDN w:val="0"/>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招标人名称：</w:t>
      </w:r>
      <w:r>
        <w:rPr>
          <w:rFonts w:hint="eastAsia" w:ascii="宋体" w:hAnsi="宋体"/>
          <w:color w:val="auto"/>
          <w:sz w:val="24"/>
          <w:highlight w:val="none"/>
          <w:u w:val="single"/>
        </w:rPr>
        <w:t>广东省代建项目管理局</w:t>
      </w:r>
    </w:p>
    <w:p w14:paraId="32FFB24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邮政编码、地址：</w:t>
      </w:r>
      <w:r>
        <w:rPr>
          <w:rFonts w:ascii="宋体" w:hAnsi="宋体"/>
          <w:color w:val="auto"/>
          <w:sz w:val="24"/>
          <w:highlight w:val="none"/>
          <w:u w:val="single"/>
        </w:rPr>
        <w:t>510000</w:t>
      </w:r>
      <w:r>
        <w:rPr>
          <w:rFonts w:hint="eastAsia" w:ascii="宋体" w:hAnsi="宋体"/>
          <w:color w:val="auto"/>
          <w:sz w:val="24"/>
          <w:highlight w:val="none"/>
          <w:u w:val="single"/>
        </w:rPr>
        <w:t>、</w:t>
      </w:r>
      <w:r>
        <w:rPr>
          <w:rFonts w:hint="eastAsia" w:ascii="宋体" w:hAnsi="宋体" w:cs="宋体"/>
          <w:color w:val="auto"/>
          <w:sz w:val="24"/>
          <w:highlight w:val="none"/>
          <w:u w:val="single"/>
        </w:rPr>
        <w:t>广州市黄埔大道西108号12楼</w:t>
      </w:r>
    </w:p>
    <w:p w14:paraId="490A1C34">
      <w:pPr>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u w:val="single"/>
          <w:lang w:eastAsia="zh-CN"/>
        </w:rPr>
        <w:t>陈工</w:t>
      </w:r>
    </w:p>
    <w:p w14:paraId="34E06A6A">
      <w:pPr>
        <w:spacing w:line="360" w:lineRule="auto"/>
        <w:ind w:firstLine="480" w:firstLineChars="200"/>
        <w:jc w:val="left"/>
        <w:rPr>
          <w:rFonts w:hint="eastAsia" w:ascii="宋体" w:hAnsi="宋体" w:eastAsia="宋体"/>
          <w:color w:val="auto"/>
          <w:sz w:val="24"/>
          <w:highlight w:val="none"/>
          <w:u w:val="single"/>
          <w:lang w:eastAsia="zh-CN"/>
        </w:rPr>
      </w:pPr>
      <w:r>
        <w:rPr>
          <w:rFonts w:hint="eastAsia" w:ascii="宋体" w:hAnsi="宋体"/>
          <w:color w:val="auto"/>
          <w:sz w:val="24"/>
          <w:highlight w:val="none"/>
        </w:rPr>
        <w:t>电话（手机）号码：</w:t>
      </w:r>
      <w:r>
        <w:rPr>
          <w:rFonts w:hint="eastAsia" w:ascii="宋体" w:hAnsi="宋体" w:cs="宋体"/>
          <w:color w:val="auto"/>
          <w:sz w:val="24"/>
          <w:highlight w:val="none"/>
          <w:u w:val="single"/>
          <w:lang w:eastAsia="zh-CN"/>
        </w:rPr>
        <w:t>020-83620834</w:t>
      </w:r>
    </w:p>
    <w:p w14:paraId="005B8461">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电子邮箱：</w:t>
      </w:r>
      <w:r>
        <w:rPr>
          <w:rFonts w:hint="eastAsia" w:ascii="宋体" w:hAnsi="宋体"/>
          <w:color w:val="auto"/>
          <w:sz w:val="24"/>
          <w:highlight w:val="none"/>
          <w:u w:val="single"/>
        </w:rPr>
        <w:t xml:space="preserve">  /  </w:t>
      </w:r>
    </w:p>
    <w:p w14:paraId="3CFC7DBE">
      <w:pPr>
        <w:pStyle w:val="17"/>
        <w:ind w:left="420" w:firstLine="420"/>
        <w:rPr>
          <w:color w:val="auto"/>
          <w:highlight w:val="none"/>
        </w:rPr>
      </w:pPr>
    </w:p>
    <w:p w14:paraId="3C69B7A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招标代理名称：</w:t>
      </w:r>
      <w:r>
        <w:rPr>
          <w:rFonts w:hint="eastAsia" w:ascii="宋体" w:hAnsi="宋体" w:cs="宋体"/>
          <w:color w:val="auto"/>
          <w:sz w:val="24"/>
          <w:highlight w:val="none"/>
          <w:u w:val="single"/>
        </w:rPr>
        <w:t>广州市市政工程监理有限公司</w:t>
      </w:r>
    </w:p>
    <w:p w14:paraId="3CD472FE">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rPr>
        <w:t>邮政编码、地址：</w:t>
      </w:r>
      <w:r>
        <w:rPr>
          <w:rFonts w:hint="eastAsia" w:ascii="宋体" w:hAnsi="宋体"/>
          <w:color w:val="auto"/>
          <w:sz w:val="24"/>
          <w:highlight w:val="none"/>
          <w:u w:val="single"/>
        </w:rPr>
        <w:t>510030、</w:t>
      </w:r>
      <w:r>
        <w:rPr>
          <w:rFonts w:hint="eastAsia" w:ascii="宋体" w:hAnsi="宋体"/>
          <w:color w:val="auto"/>
          <w:spacing w:val="-6"/>
          <w:sz w:val="24"/>
          <w:highlight w:val="none"/>
          <w:u w:val="single"/>
        </w:rPr>
        <w:t>广州市越秀区东风中路437号越秀城市广场南塔38楼</w:t>
      </w:r>
    </w:p>
    <w:p w14:paraId="1259A360">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single"/>
        </w:rPr>
        <w:t>卢工、彭工</w:t>
      </w:r>
    </w:p>
    <w:p w14:paraId="5CB24BF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电话（手机）号码：</w:t>
      </w:r>
      <w:r>
        <w:rPr>
          <w:rFonts w:hint="eastAsia" w:ascii="宋体" w:hAnsi="宋体" w:cs="宋体"/>
          <w:color w:val="auto"/>
          <w:sz w:val="24"/>
          <w:highlight w:val="none"/>
          <w:u w:val="single"/>
        </w:rPr>
        <w:t>020-83313605</w:t>
      </w:r>
    </w:p>
    <w:p w14:paraId="352D7C17">
      <w:pPr>
        <w:spacing w:line="360" w:lineRule="auto"/>
        <w:ind w:firstLine="480" w:firstLineChars="200"/>
        <w:rPr>
          <w:rFonts w:ascii="宋体" w:hAnsi="宋体"/>
          <w:color w:val="auto"/>
          <w:sz w:val="24"/>
          <w:highlight w:val="none"/>
          <w:u w:val="single"/>
        </w:rPr>
      </w:pPr>
      <w:r>
        <w:rPr>
          <w:rFonts w:hint="eastAsia" w:ascii="宋体" w:hAnsi="宋体" w:cs="宋体"/>
          <w:color w:val="auto"/>
          <w:sz w:val="24"/>
          <w:highlight w:val="none"/>
        </w:rPr>
        <w:t>电子</w:t>
      </w:r>
      <w:r>
        <w:rPr>
          <w:rFonts w:hint="eastAsia" w:ascii="宋体" w:hAnsi="宋体"/>
          <w:color w:val="auto"/>
          <w:sz w:val="24"/>
          <w:highlight w:val="none"/>
        </w:rPr>
        <w:t>邮</w:t>
      </w:r>
      <w:r>
        <w:rPr>
          <w:rFonts w:hint="eastAsia" w:ascii="宋体" w:hAnsi="宋体" w:cs="宋体"/>
          <w:color w:val="auto"/>
          <w:sz w:val="24"/>
          <w:highlight w:val="none"/>
        </w:rPr>
        <w:t>箱</w:t>
      </w:r>
      <w:r>
        <w:rPr>
          <w:rFonts w:hint="eastAsia" w:ascii="宋体" w:hAnsi="宋体"/>
          <w:color w:val="auto"/>
          <w:sz w:val="24"/>
          <w:highlight w:val="none"/>
        </w:rPr>
        <w:t>：</w:t>
      </w:r>
      <w:r>
        <w:rPr>
          <w:rFonts w:hint="eastAsia" w:ascii="宋体" w:hAnsi="宋体" w:cs="宋体"/>
          <w:color w:val="auto"/>
          <w:sz w:val="24"/>
          <w:highlight w:val="none"/>
          <w:u w:val="single"/>
        </w:rPr>
        <w:t>gzszzb02@126.com</w:t>
      </w:r>
    </w:p>
    <w:p w14:paraId="5C71A3A7">
      <w:pPr>
        <w:pStyle w:val="17"/>
        <w:ind w:left="420" w:firstLine="420"/>
        <w:rPr>
          <w:color w:val="auto"/>
          <w:highlight w:val="none"/>
        </w:rPr>
      </w:pPr>
    </w:p>
    <w:p w14:paraId="4858C65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交易服务机构名称：</w:t>
      </w:r>
      <w:r>
        <w:rPr>
          <w:rFonts w:hint="eastAsia" w:ascii="宋体" w:hAnsi="宋体"/>
          <w:color w:val="auto"/>
          <w:sz w:val="24"/>
          <w:highlight w:val="none"/>
          <w:u w:val="single"/>
        </w:rPr>
        <w:t>广州公共资源交易中心</w:t>
      </w:r>
    </w:p>
    <w:p w14:paraId="072EE60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邮政编码、地址：</w:t>
      </w:r>
      <w:r>
        <w:rPr>
          <w:rFonts w:ascii="宋体" w:hAnsi="宋体"/>
          <w:color w:val="auto"/>
          <w:sz w:val="24"/>
          <w:highlight w:val="none"/>
          <w:u w:val="single"/>
        </w:rPr>
        <w:t>510635</w:t>
      </w:r>
      <w:r>
        <w:rPr>
          <w:rFonts w:hint="eastAsia" w:ascii="宋体" w:hAnsi="宋体"/>
          <w:color w:val="auto"/>
          <w:sz w:val="24"/>
          <w:highlight w:val="none"/>
          <w:u w:val="single"/>
        </w:rPr>
        <w:t>、广州市天河区天润路333号4楼</w:t>
      </w:r>
    </w:p>
    <w:p w14:paraId="043054E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电话（手机）号码：</w:t>
      </w:r>
      <w:r>
        <w:rPr>
          <w:rFonts w:hint="eastAsia" w:ascii="宋体" w:hAnsi="宋体"/>
          <w:color w:val="auto"/>
          <w:sz w:val="24"/>
          <w:highlight w:val="none"/>
          <w:u w:val="single"/>
        </w:rPr>
        <w:t>020-28866000</w:t>
      </w:r>
    </w:p>
    <w:p w14:paraId="7F364D7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传真号码：</w:t>
      </w:r>
      <w:r>
        <w:rPr>
          <w:rFonts w:hint="eastAsia" w:ascii="宋体" w:hAnsi="宋体"/>
          <w:color w:val="auto"/>
          <w:sz w:val="24"/>
          <w:highlight w:val="none"/>
          <w:u w:val="single"/>
        </w:rPr>
        <w:t>020-28866095</w:t>
      </w:r>
    </w:p>
    <w:p w14:paraId="6275608D">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网址：</w:t>
      </w:r>
      <w:r>
        <w:rPr>
          <w:rFonts w:ascii="宋体" w:hAnsi="宋体"/>
          <w:color w:val="auto"/>
          <w:sz w:val="24"/>
          <w:highlight w:val="none"/>
          <w:u w:val="single"/>
        </w:rPr>
        <w:t>http://www.gzggzy.cn</w:t>
      </w:r>
    </w:p>
    <w:p w14:paraId="1DB5ADF3">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rPr>
        <w:t>招标管理机构名称：</w:t>
      </w:r>
      <w:r>
        <w:rPr>
          <w:rFonts w:hint="eastAsia" w:ascii="宋体" w:hAnsi="宋体"/>
          <w:color w:val="auto"/>
          <w:sz w:val="24"/>
          <w:highlight w:val="none"/>
          <w:u w:val="single"/>
        </w:rPr>
        <w:t>广州市建设工程招标管理办公室</w:t>
      </w:r>
    </w:p>
    <w:p w14:paraId="37E178F0">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rPr>
        <w:t>邮政编码、地址：</w:t>
      </w:r>
      <w:r>
        <w:rPr>
          <w:rFonts w:ascii="宋体" w:hAnsi="宋体"/>
          <w:color w:val="auto"/>
          <w:sz w:val="24"/>
          <w:highlight w:val="none"/>
          <w:u w:val="single"/>
        </w:rPr>
        <w:t>510635</w:t>
      </w:r>
      <w:r>
        <w:rPr>
          <w:rFonts w:hint="eastAsia" w:ascii="宋体" w:hAnsi="宋体"/>
          <w:color w:val="auto"/>
          <w:sz w:val="24"/>
          <w:highlight w:val="none"/>
          <w:u w:val="single"/>
        </w:rPr>
        <w:t>、广州市天河区天润路333号3楼</w:t>
      </w:r>
    </w:p>
    <w:p w14:paraId="3F9F408F">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rPr>
        <w:t>电话号码：</w:t>
      </w:r>
      <w:r>
        <w:rPr>
          <w:rFonts w:ascii="宋体" w:hAnsi="宋体"/>
          <w:color w:val="auto"/>
          <w:sz w:val="24"/>
          <w:highlight w:val="none"/>
          <w:u w:val="single"/>
        </w:rPr>
        <w:t>020-</w:t>
      </w:r>
      <w:r>
        <w:rPr>
          <w:rFonts w:hint="eastAsia" w:ascii="宋体" w:hAnsi="宋体"/>
          <w:bCs/>
          <w:color w:val="auto"/>
          <w:sz w:val="24"/>
          <w:highlight w:val="none"/>
          <w:u w:val="single"/>
        </w:rPr>
        <w:t>28866213</w:t>
      </w:r>
    </w:p>
    <w:p w14:paraId="2543C9CB">
      <w:pPr>
        <w:pStyle w:val="17"/>
        <w:ind w:left="420" w:firstLine="420"/>
        <w:rPr>
          <w:color w:val="auto"/>
          <w:highlight w:val="none"/>
        </w:rPr>
      </w:pPr>
    </w:p>
    <w:p w14:paraId="79C53B6C">
      <w:pPr>
        <w:spacing w:line="360" w:lineRule="auto"/>
        <w:jc w:val="right"/>
        <w:rPr>
          <w:rFonts w:ascii="宋体" w:hAnsi="宋体"/>
          <w:color w:val="auto"/>
          <w:sz w:val="24"/>
          <w:highlight w:val="none"/>
        </w:rPr>
      </w:pPr>
      <w:r>
        <w:rPr>
          <w:rFonts w:hint="eastAsia" w:ascii="宋体" w:hAnsi="宋体" w:cs="宋体"/>
          <w:color w:val="auto"/>
          <w:sz w:val="24"/>
          <w:highlight w:val="none"/>
          <w:lang w:eastAsia="zh-CN"/>
        </w:rPr>
        <w:t>2025</w:t>
      </w:r>
      <w:r>
        <w:rPr>
          <w:rFonts w:hint="eastAsia" w:ascii="宋体" w:hAnsi="宋体"/>
          <w:color w:val="auto"/>
          <w:sz w:val="24"/>
          <w:highlight w:val="none"/>
        </w:rPr>
        <w:t>年  月  日</w:t>
      </w:r>
    </w:p>
    <w:p w14:paraId="7DEF4534">
      <w:pPr>
        <w:pStyle w:val="17"/>
        <w:spacing w:after="0" w:line="360" w:lineRule="auto"/>
        <w:ind w:left="0" w:leftChars="0" w:firstLine="482"/>
        <w:rPr>
          <w:rFonts w:ascii="宋体" w:hAnsi="宋体"/>
          <w:b/>
          <w:color w:val="auto"/>
          <w:kern w:val="0"/>
          <w:sz w:val="24"/>
          <w:highlight w:val="none"/>
        </w:rPr>
      </w:pPr>
      <w:r>
        <w:rPr>
          <w:color w:val="auto"/>
          <w:highlight w:val="none"/>
          <w:lang w:eastAsia="zh-CN"/>
        </w:rPr>
        <w:br w:type="page"/>
      </w:r>
    </w:p>
    <w:p w14:paraId="7CDBC009">
      <w:pPr>
        <w:spacing w:line="360" w:lineRule="auto"/>
        <w:rPr>
          <w:rFonts w:ascii="宋体" w:hAnsi="宋体"/>
          <w:color w:val="auto"/>
          <w:sz w:val="24"/>
          <w:highlight w:val="none"/>
        </w:rPr>
      </w:pPr>
    </w:p>
    <w:p w14:paraId="4B949AD2">
      <w:pPr>
        <w:spacing w:line="360" w:lineRule="auto"/>
        <w:rPr>
          <w:rFonts w:ascii="宋体" w:hAnsi="宋体"/>
          <w:b/>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一</w:t>
      </w:r>
      <w:r>
        <w:rPr>
          <w:rFonts w:hint="eastAsia" w:ascii="宋体" w:hAnsi="宋体"/>
          <w:color w:val="auto"/>
          <w:sz w:val="24"/>
          <w:highlight w:val="none"/>
        </w:rPr>
        <w:t>：</w:t>
      </w:r>
    </w:p>
    <w:p w14:paraId="551F50F3">
      <w:pPr>
        <w:spacing w:line="360" w:lineRule="auto"/>
        <w:ind w:firstLine="883"/>
        <w:rPr>
          <w:b/>
          <w:color w:val="auto"/>
          <w:sz w:val="44"/>
          <w:highlight w:val="none"/>
        </w:rPr>
      </w:pPr>
    </w:p>
    <w:p w14:paraId="1F3B85FF">
      <w:pPr>
        <w:shd w:val="clear" w:color="auto" w:fill="FFFFFF"/>
        <w:snapToGrid w:val="0"/>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被招标人拒绝投标的企业名单</w:t>
      </w:r>
    </w:p>
    <w:tbl>
      <w:tblPr>
        <w:tblStyle w:val="18"/>
        <w:tblpPr w:leftFromText="180" w:rightFromText="180" w:vertAnchor="text" w:horzAnchor="page" w:tblpX="915" w:tblpY="300"/>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395"/>
        <w:gridCol w:w="4665"/>
      </w:tblGrid>
      <w:tr w14:paraId="7C83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95" w:type="dxa"/>
            <w:tcBorders>
              <w:top w:val="single" w:color="auto" w:sz="4" w:space="0"/>
              <w:left w:val="single" w:color="auto" w:sz="4" w:space="0"/>
              <w:bottom w:val="single" w:color="auto" w:sz="4" w:space="0"/>
              <w:right w:val="single" w:color="auto" w:sz="4" w:space="0"/>
            </w:tcBorders>
            <w:noWrap/>
            <w:vAlign w:val="center"/>
          </w:tcPr>
          <w:p w14:paraId="11F0B8C0">
            <w:pPr>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4395" w:type="dxa"/>
            <w:tcBorders>
              <w:top w:val="single" w:color="auto" w:sz="4" w:space="0"/>
              <w:left w:val="single" w:color="auto" w:sz="4" w:space="0"/>
              <w:bottom w:val="single" w:color="auto" w:sz="4" w:space="0"/>
              <w:right w:val="single" w:color="auto" w:sz="4" w:space="0"/>
            </w:tcBorders>
            <w:noWrap/>
            <w:vAlign w:val="center"/>
          </w:tcPr>
          <w:p w14:paraId="7C2318C1">
            <w:pPr>
              <w:tabs>
                <w:tab w:val="left" w:pos="2292"/>
              </w:tabs>
              <w:spacing w:line="240" w:lineRule="auto"/>
              <w:ind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rPr>
              <w:t>企业名称</w:t>
            </w:r>
          </w:p>
        </w:tc>
        <w:tc>
          <w:tcPr>
            <w:tcW w:w="4665" w:type="dxa"/>
            <w:tcBorders>
              <w:top w:val="single" w:color="auto" w:sz="4" w:space="0"/>
              <w:left w:val="single" w:color="auto" w:sz="4" w:space="0"/>
              <w:bottom w:val="single" w:color="auto" w:sz="4" w:space="0"/>
              <w:right w:val="single" w:color="auto" w:sz="4" w:space="0"/>
            </w:tcBorders>
            <w:noWrap/>
            <w:vAlign w:val="center"/>
          </w:tcPr>
          <w:p w14:paraId="7416FB6C">
            <w:pPr>
              <w:tabs>
                <w:tab w:val="left" w:pos="2292"/>
              </w:tabs>
              <w:spacing w:line="240" w:lineRule="auto"/>
              <w:ind w:firstLine="482"/>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备注</w:t>
            </w:r>
          </w:p>
        </w:tc>
      </w:tr>
      <w:tr w14:paraId="719F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95" w:type="dxa"/>
            <w:tcBorders>
              <w:top w:val="single" w:color="auto" w:sz="4" w:space="0"/>
              <w:left w:val="single" w:color="auto" w:sz="4" w:space="0"/>
              <w:bottom w:val="single" w:color="auto" w:sz="4" w:space="0"/>
              <w:right w:val="single" w:color="auto" w:sz="4" w:space="0"/>
            </w:tcBorders>
            <w:noWrap/>
            <w:vAlign w:val="center"/>
          </w:tcPr>
          <w:p w14:paraId="54EEABDE">
            <w:pPr>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1</w:t>
            </w:r>
          </w:p>
        </w:tc>
        <w:tc>
          <w:tcPr>
            <w:tcW w:w="4395" w:type="dxa"/>
            <w:tcBorders>
              <w:top w:val="single" w:color="auto" w:sz="4" w:space="0"/>
              <w:left w:val="single" w:color="auto" w:sz="4" w:space="0"/>
              <w:bottom w:val="single" w:color="auto" w:sz="4" w:space="0"/>
              <w:right w:val="single" w:color="auto" w:sz="4" w:space="0"/>
            </w:tcBorders>
            <w:noWrap/>
            <w:vAlign w:val="center"/>
          </w:tcPr>
          <w:p w14:paraId="315C053D">
            <w:pPr>
              <w:tabs>
                <w:tab w:val="left" w:pos="2211"/>
              </w:tabs>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广东广信建筑工程监理有限公司</w:t>
            </w:r>
          </w:p>
        </w:tc>
        <w:tc>
          <w:tcPr>
            <w:tcW w:w="4665" w:type="dxa"/>
            <w:tcBorders>
              <w:top w:val="single" w:color="auto" w:sz="4" w:space="0"/>
              <w:left w:val="single" w:color="auto" w:sz="4" w:space="0"/>
              <w:bottom w:val="single" w:color="auto" w:sz="4" w:space="0"/>
              <w:right w:val="single" w:color="auto" w:sz="4" w:space="0"/>
            </w:tcBorders>
            <w:noWrap/>
            <w:vAlign w:val="center"/>
          </w:tcPr>
          <w:p w14:paraId="2D20E3C0">
            <w:pPr>
              <w:tabs>
                <w:tab w:val="left" w:pos="2211"/>
              </w:tabs>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暂停企业参加省属代建项目招投标活动三年，自</w:t>
            </w:r>
            <w:r>
              <w:rPr>
                <w:rFonts w:ascii="宋体" w:hAnsi="宋体" w:cs="宋体"/>
                <w:b/>
                <w:color w:val="auto"/>
                <w:sz w:val="24"/>
                <w:szCs w:val="24"/>
                <w:highlight w:val="none"/>
              </w:rPr>
              <w:t>202</w:t>
            </w:r>
            <w:r>
              <w:rPr>
                <w:rFonts w:hint="eastAsia" w:ascii="宋体" w:hAnsi="宋体" w:cs="宋体"/>
                <w:b/>
                <w:color w:val="auto"/>
                <w:sz w:val="24"/>
                <w:szCs w:val="24"/>
                <w:highlight w:val="none"/>
              </w:rPr>
              <w:t>3</w:t>
            </w:r>
            <w:r>
              <w:rPr>
                <w:rFonts w:ascii="宋体" w:hAnsi="宋体" w:cs="宋体"/>
                <w:b/>
                <w:color w:val="auto"/>
                <w:sz w:val="24"/>
                <w:szCs w:val="24"/>
                <w:highlight w:val="none"/>
              </w:rPr>
              <w:t>年</w:t>
            </w:r>
            <w:r>
              <w:rPr>
                <w:rFonts w:hint="eastAsia" w:ascii="宋体" w:hAnsi="宋体" w:cs="宋体"/>
                <w:b/>
                <w:color w:val="auto"/>
                <w:sz w:val="24"/>
                <w:szCs w:val="24"/>
                <w:highlight w:val="none"/>
              </w:rPr>
              <w:t>7</w:t>
            </w:r>
            <w:r>
              <w:rPr>
                <w:rFonts w:ascii="宋体" w:hAnsi="宋体" w:cs="宋体"/>
                <w:b/>
                <w:color w:val="auto"/>
                <w:sz w:val="24"/>
                <w:szCs w:val="24"/>
                <w:highlight w:val="none"/>
              </w:rPr>
              <w:t>月</w:t>
            </w:r>
            <w:r>
              <w:rPr>
                <w:rFonts w:hint="eastAsia" w:ascii="宋体" w:hAnsi="宋体" w:cs="宋体"/>
                <w:b/>
                <w:color w:val="auto"/>
                <w:sz w:val="24"/>
                <w:szCs w:val="24"/>
                <w:highlight w:val="none"/>
              </w:rPr>
              <w:t>14</w:t>
            </w:r>
            <w:r>
              <w:rPr>
                <w:rFonts w:ascii="宋体" w:hAnsi="宋体" w:cs="宋体"/>
                <w:b/>
                <w:color w:val="auto"/>
                <w:sz w:val="24"/>
                <w:szCs w:val="24"/>
                <w:highlight w:val="none"/>
              </w:rPr>
              <w:t>日起计。</w:t>
            </w:r>
          </w:p>
        </w:tc>
      </w:tr>
      <w:tr w14:paraId="185F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895" w:type="dxa"/>
            <w:tcBorders>
              <w:top w:val="single" w:color="auto" w:sz="4" w:space="0"/>
              <w:left w:val="single" w:color="auto" w:sz="4" w:space="0"/>
              <w:bottom w:val="single" w:color="auto" w:sz="4" w:space="0"/>
              <w:right w:val="single" w:color="auto" w:sz="4" w:space="0"/>
            </w:tcBorders>
            <w:noWrap/>
            <w:vAlign w:val="center"/>
          </w:tcPr>
          <w:p w14:paraId="10376D77">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w:t>
            </w:r>
          </w:p>
        </w:tc>
        <w:tc>
          <w:tcPr>
            <w:tcW w:w="4395" w:type="dxa"/>
            <w:tcBorders>
              <w:top w:val="single" w:color="auto" w:sz="4" w:space="0"/>
              <w:left w:val="single" w:color="auto" w:sz="4" w:space="0"/>
              <w:bottom w:val="single" w:color="auto" w:sz="4" w:space="0"/>
              <w:right w:val="single" w:color="auto" w:sz="4" w:space="0"/>
            </w:tcBorders>
            <w:noWrap/>
            <w:vAlign w:val="center"/>
          </w:tcPr>
          <w:p w14:paraId="7531FB2C">
            <w:pPr>
              <w:tabs>
                <w:tab w:val="left" w:pos="2211"/>
              </w:tabs>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广西建工第一建筑工程集团有限公司</w:t>
            </w:r>
          </w:p>
        </w:tc>
        <w:tc>
          <w:tcPr>
            <w:tcW w:w="4665" w:type="dxa"/>
            <w:tcBorders>
              <w:top w:val="single" w:color="auto" w:sz="4" w:space="0"/>
              <w:left w:val="single" w:color="auto" w:sz="4" w:space="0"/>
              <w:bottom w:val="single" w:color="auto" w:sz="4" w:space="0"/>
              <w:right w:val="single" w:color="auto" w:sz="4" w:space="0"/>
            </w:tcBorders>
            <w:noWrap/>
            <w:vAlign w:val="center"/>
          </w:tcPr>
          <w:p w14:paraId="6251ED39">
            <w:pPr>
              <w:tabs>
                <w:tab w:val="left" w:pos="2211"/>
              </w:tabs>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拒绝投标期限6个月(自2024年11月24日起至2025年</w:t>
            </w:r>
            <w:r>
              <w:rPr>
                <w:rFonts w:hint="eastAsia" w:ascii="宋体" w:hAnsi="宋体" w:cs="宋体"/>
                <w:b/>
                <w:color w:val="auto"/>
                <w:sz w:val="24"/>
                <w:szCs w:val="24"/>
                <w:highlight w:val="none"/>
                <w:lang w:val="en-US" w:eastAsia="zh-CN"/>
              </w:rPr>
              <w:t>5月23日）。</w:t>
            </w:r>
          </w:p>
        </w:tc>
      </w:tr>
    </w:tbl>
    <w:p w14:paraId="5E5D0180">
      <w:pPr>
        <w:shd w:val="clear" w:color="auto" w:fill="FFFFFF"/>
        <w:snapToGrid w:val="0"/>
        <w:ind w:firstLine="482"/>
        <w:rPr>
          <w:rFonts w:ascii="宋体" w:hAnsi="宋体" w:cs="宋体"/>
          <w:b/>
          <w:color w:val="auto"/>
          <w:sz w:val="24"/>
          <w:highlight w:val="none"/>
        </w:rPr>
      </w:pPr>
    </w:p>
    <w:p w14:paraId="5BE77F65">
      <w:pPr>
        <w:widowControl/>
        <w:snapToGrid w:val="0"/>
        <w:spacing w:line="360" w:lineRule="auto"/>
        <w:ind w:right="102"/>
        <w:jc w:val="left"/>
        <w:rPr>
          <w:rFonts w:ascii="宋体" w:hAnsi="宋体" w:cs="宋体"/>
          <w:color w:val="auto"/>
          <w:sz w:val="24"/>
          <w:highlight w:val="none"/>
        </w:rPr>
      </w:pPr>
    </w:p>
    <w:p w14:paraId="002BA26C">
      <w:pPr>
        <w:pStyle w:val="17"/>
        <w:spacing w:after="0" w:line="360" w:lineRule="auto"/>
        <w:ind w:left="0" w:leftChars="0" w:firstLine="482"/>
        <w:rPr>
          <w:rFonts w:ascii="宋体" w:hAnsi="宋体"/>
          <w:b/>
          <w:color w:val="auto"/>
          <w:kern w:val="0"/>
          <w:sz w:val="24"/>
          <w:highlight w:val="none"/>
        </w:rPr>
      </w:pPr>
    </w:p>
    <w:sectPr>
      <w:footerReference r:id="rId6" w:type="first"/>
      <w:footerReference r:id="rId5" w:type="default"/>
      <w:pgSz w:w="11906" w:h="16838"/>
      <w:pgMar w:top="1440" w:right="1588" w:bottom="1440" w:left="1588" w:header="851" w:footer="850"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18479">
    <w:pPr>
      <w:pStyle w:val="12"/>
      <w:jc w:val="center"/>
    </w:pPr>
  </w:p>
  <w:p w14:paraId="3FD98580">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B7F4D">
    <w:pPr>
      <w:pStyle w:val="12"/>
      <w:jc w:val="both"/>
    </w:pPr>
    <w: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14CCB33">
                <w:pPr>
                  <w:pStyle w:val="12"/>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9EAB">
    <w:pPr>
      <w:pStyle w:val="12"/>
      <w:ind w:firstLine="360"/>
    </w:pPr>
    <w:r>
      <w:pict>
        <v:shape id="_x0000_s4102" o:spid="_x0000_s410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4EAE57AE">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F6C94">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8A684"/>
    <w:multiLevelType w:val="singleLevel"/>
    <w:tmpl w:val="60B8A68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NjNDQ4MDQ4YjFlYmEwYWRlYjdkZjk3MjQyNzRhNzMifQ=="/>
  </w:docVars>
  <w:rsids>
    <w:rsidRoot w:val="008D7E6C"/>
    <w:rsid w:val="000172BE"/>
    <w:rsid w:val="00025226"/>
    <w:rsid w:val="00031031"/>
    <w:rsid w:val="00032175"/>
    <w:rsid w:val="00044B36"/>
    <w:rsid w:val="00045F90"/>
    <w:rsid w:val="000469B4"/>
    <w:rsid w:val="00050E32"/>
    <w:rsid w:val="00052BBD"/>
    <w:rsid w:val="00061F4B"/>
    <w:rsid w:val="00072354"/>
    <w:rsid w:val="0008193D"/>
    <w:rsid w:val="00081C59"/>
    <w:rsid w:val="00082953"/>
    <w:rsid w:val="00090EBD"/>
    <w:rsid w:val="00094A32"/>
    <w:rsid w:val="000A009B"/>
    <w:rsid w:val="000A23DC"/>
    <w:rsid w:val="000A68BD"/>
    <w:rsid w:val="000A71D0"/>
    <w:rsid w:val="000B2635"/>
    <w:rsid w:val="000C0FB8"/>
    <w:rsid w:val="000C1778"/>
    <w:rsid w:val="000C2B20"/>
    <w:rsid w:val="000C3E28"/>
    <w:rsid w:val="000C6207"/>
    <w:rsid w:val="000E62EC"/>
    <w:rsid w:val="000F1129"/>
    <w:rsid w:val="00103850"/>
    <w:rsid w:val="00103E33"/>
    <w:rsid w:val="00116060"/>
    <w:rsid w:val="00130575"/>
    <w:rsid w:val="001347AD"/>
    <w:rsid w:val="00136A9B"/>
    <w:rsid w:val="00136E68"/>
    <w:rsid w:val="00136F96"/>
    <w:rsid w:val="001372C6"/>
    <w:rsid w:val="00140A3C"/>
    <w:rsid w:val="001410DA"/>
    <w:rsid w:val="00142E43"/>
    <w:rsid w:val="0014369D"/>
    <w:rsid w:val="0015341B"/>
    <w:rsid w:val="001570EC"/>
    <w:rsid w:val="001613B6"/>
    <w:rsid w:val="00165E70"/>
    <w:rsid w:val="00171991"/>
    <w:rsid w:val="00176DA8"/>
    <w:rsid w:val="00184564"/>
    <w:rsid w:val="001B38D9"/>
    <w:rsid w:val="001B4F49"/>
    <w:rsid w:val="001B51B0"/>
    <w:rsid w:val="001B637A"/>
    <w:rsid w:val="001C110D"/>
    <w:rsid w:val="001C2705"/>
    <w:rsid w:val="001C3CFC"/>
    <w:rsid w:val="001E4941"/>
    <w:rsid w:val="001E535D"/>
    <w:rsid w:val="001E61EA"/>
    <w:rsid w:val="0020165E"/>
    <w:rsid w:val="0020227E"/>
    <w:rsid w:val="00214C48"/>
    <w:rsid w:val="00226629"/>
    <w:rsid w:val="00256A80"/>
    <w:rsid w:val="002572D1"/>
    <w:rsid w:val="00265992"/>
    <w:rsid w:val="00266840"/>
    <w:rsid w:val="00266A4F"/>
    <w:rsid w:val="0027205F"/>
    <w:rsid w:val="00280488"/>
    <w:rsid w:val="002818D2"/>
    <w:rsid w:val="00285805"/>
    <w:rsid w:val="0029139D"/>
    <w:rsid w:val="00297BDC"/>
    <w:rsid w:val="002A1324"/>
    <w:rsid w:val="002A2300"/>
    <w:rsid w:val="002A753B"/>
    <w:rsid w:val="002B4DBF"/>
    <w:rsid w:val="002B5FD1"/>
    <w:rsid w:val="002C1610"/>
    <w:rsid w:val="002C1E37"/>
    <w:rsid w:val="002C22AB"/>
    <w:rsid w:val="002C4466"/>
    <w:rsid w:val="002D6127"/>
    <w:rsid w:val="002E1CFB"/>
    <w:rsid w:val="002E2231"/>
    <w:rsid w:val="002E5DAF"/>
    <w:rsid w:val="002E713F"/>
    <w:rsid w:val="002F02BA"/>
    <w:rsid w:val="002F38D3"/>
    <w:rsid w:val="00307B7D"/>
    <w:rsid w:val="0031270D"/>
    <w:rsid w:val="00313E7D"/>
    <w:rsid w:val="003209C0"/>
    <w:rsid w:val="0032440D"/>
    <w:rsid w:val="00334CB5"/>
    <w:rsid w:val="003366EA"/>
    <w:rsid w:val="00344128"/>
    <w:rsid w:val="0034495C"/>
    <w:rsid w:val="00355D52"/>
    <w:rsid w:val="003640F8"/>
    <w:rsid w:val="00370BEF"/>
    <w:rsid w:val="00373A91"/>
    <w:rsid w:val="0037737D"/>
    <w:rsid w:val="003776B8"/>
    <w:rsid w:val="00386A56"/>
    <w:rsid w:val="00391962"/>
    <w:rsid w:val="003A067A"/>
    <w:rsid w:val="003A14DA"/>
    <w:rsid w:val="003C4E10"/>
    <w:rsid w:val="003D16CB"/>
    <w:rsid w:val="003D7ACB"/>
    <w:rsid w:val="003E2106"/>
    <w:rsid w:val="00403B3E"/>
    <w:rsid w:val="004100BD"/>
    <w:rsid w:val="004102D4"/>
    <w:rsid w:val="0041507E"/>
    <w:rsid w:val="004157CC"/>
    <w:rsid w:val="004175D1"/>
    <w:rsid w:val="00420127"/>
    <w:rsid w:val="00421934"/>
    <w:rsid w:val="00422874"/>
    <w:rsid w:val="00424164"/>
    <w:rsid w:val="004264BA"/>
    <w:rsid w:val="00426679"/>
    <w:rsid w:val="0043030B"/>
    <w:rsid w:val="004303F7"/>
    <w:rsid w:val="0043067B"/>
    <w:rsid w:val="004311FC"/>
    <w:rsid w:val="00442531"/>
    <w:rsid w:val="0045014F"/>
    <w:rsid w:val="004513E6"/>
    <w:rsid w:val="00460608"/>
    <w:rsid w:val="0046135A"/>
    <w:rsid w:val="00475FB1"/>
    <w:rsid w:val="00480CB3"/>
    <w:rsid w:val="00482E2E"/>
    <w:rsid w:val="00485657"/>
    <w:rsid w:val="00486F1F"/>
    <w:rsid w:val="004A4605"/>
    <w:rsid w:val="004A476F"/>
    <w:rsid w:val="004A6F1F"/>
    <w:rsid w:val="004B3C62"/>
    <w:rsid w:val="004B7C64"/>
    <w:rsid w:val="004D51EA"/>
    <w:rsid w:val="004E10D9"/>
    <w:rsid w:val="004E16B1"/>
    <w:rsid w:val="004E20A1"/>
    <w:rsid w:val="004E486E"/>
    <w:rsid w:val="004E4B72"/>
    <w:rsid w:val="004E5C60"/>
    <w:rsid w:val="004E6095"/>
    <w:rsid w:val="0050634C"/>
    <w:rsid w:val="0051079E"/>
    <w:rsid w:val="00514EDE"/>
    <w:rsid w:val="0052425E"/>
    <w:rsid w:val="00533845"/>
    <w:rsid w:val="005338E9"/>
    <w:rsid w:val="00543E48"/>
    <w:rsid w:val="00557A87"/>
    <w:rsid w:val="00561485"/>
    <w:rsid w:val="005653BB"/>
    <w:rsid w:val="005705D8"/>
    <w:rsid w:val="005727D4"/>
    <w:rsid w:val="00576C29"/>
    <w:rsid w:val="0058052E"/>
    <w:rsid w:val="005825F4"/>
    <w:rsid w:val="0059452C"/>
    <w:rsid w:val="005A4082"/>
    <w:rsid w:val="005B56E3"/>
    <w:rsid w:val="005C04DF"/>
    <w:rsid w:val="005C5E78"/>
    <w:rsid w:val="005D336D"/>
    <w:rsid w:val="005E070D"/>
    <w:rsid w:val="005E6BA1"/>
    <w:rsid w:val="005F14D7"/>
    <w:rsid w:val="005F2A8B"/>
    <w:rsid w:val="005F4344"/>
    <w:rsid w:val="006033C3"/>
    <w:rsid w:val="00604187"/>
    <w:rsid w:val="0060529B"/>
    <w:rsid w:val="00612C9A"/>
    <w:rsid w:val="006159E1"/>
    <w:rsid w:val="006236EE"/>
    <w:rsid w:val="00625CF4"/>
    <w:rsid w:val="00625D14"/>
    <w:rsid w:val="006348BC"/>
    <w:rsid w:val="00650498"/>
    <w:rsid w:val="0065500F"/>
    <w:rsid w:val="00657E61"/>
    <w:rsid w:val="00673C89"/>
    <w:rsid w:val="00674112"/>
    <w:rsid w:val="00687AC7"/>
    <w:rsid w:val="00694158"/>
    <w:rsid w:val="006A3DFA"/>
    <w:rsid w:val="006A4484"/>
    <w:rsid w:val="006B0B4F"/>
    <w:rsid w:val="006B2032"/>
    <w:rsid w:val="006B51A2"/>
    <w:rsid w:val="006C1E61"/>
    <w:rsid w:val="006C766D"/>
    <w:rsid w:val="006D341E"/>
    <w:rsid w:val="006D5455"/>
    <w:rsid w:val="006E199D"/>
    <w:rsid w:val="006E4106"/>
    <w:rsid w:val="006E54E0"/>
    <w:rsid w:val="006E671E"/>
    <w:rsid w:val="006E7409"/>
    <w:rsid w:val="006F0112"/>
    <w:rsid w:val="006F513C"/>
    <w:rsid w:val="006F5EE7"/>
    <w:rsid w:val="00700352"/>
    <w:rsid w:val="00701533"/>
    <w:rsid w:val="00703684"/>
    <w:rsid w:val="007274A6"/>
    <w:rsid w:val="00733F5D"/>
    <w:rsid w:val="00736FD2"/>
    <w:rsid w:val="00740E41"/>
    <w:rsid w:val="00751646"/>
    <w:rsid w:val="00753886"/>
    <w:rsid w:val="00753C12"/>
    <w:rsid w:val="0075690B"/>
    <w:rsid w:val="00761296"/>
    <w:rsid w:val="007644BF"/>
    <w:rsid w:val="00771CBC"/>
    <w:rsid w:val="00773080"/>
    <w:rsid w:val="00774E90"/>
    <w:rsid w:val="007778C3"/>
    <w:rsid w:val="00780BD4"/>
    <w:rsid w:val="0078337E"/>
    <w:rsid w:val="00783586"/>
    <w:rsid w:val="007875CE"/>
    <w:rsid w:val="00787F5B"/>
    <w:rsid w:val="00790A8A"/>
    <w:rsid w:val="007A2592"/>
    <w:rsid w:val="007C3539"/>
    <w:rsid w:val="007C4348"/>
    <w:rsid w:val="007C4F0E"/>
    <w:rsid w:val="007D016A"/>
    <w:rsid w:val="007D3694"/>
    <w:rsid w:val="007D3A31"/>
    <w:rsid w:val="007E0BBC"/>
    <w:rsid w:val="007E2B0A"/>
    <w:rsid w:val="007E5A3D"/>
    <w:rsid w:val="00804572"/>
    <w:rsid w:val="0081017A"/>
    <w:rsid w:val="00811E21"/>
    <w:rsid w:val="00817C48"/>
    <w:rsid w:val="00830A0F"/>
    <w:rsid w:val="00855E75"/>
    <w:rsid w:val="0086441C"/>
    <w:rsid w:val="008700E3"/>
    <w:rsid w:val="008727F3"/>
    <w:rsid w:val="008750C9"/>
    <w:rsid w:val="0087555C"/>
    <w:rsid w:val="00875B38"/>
    <w:rsid w:val="008800A0"/>
    <w:rsid w:val="00881F87"/>
    <w:rsid w:val="00883E2D"/>
    <w:rsid w:val="008A06DD"/>
    <w:rsid w:val="008B2D77"/>
    <w:rsid w:val="008B2EC7"/>
    <w:rsid w:val="008B32AB"/>
    <w:rsid w:val="008C1E5E"/>
    <w:rsid w:val="008C2435"/>
    <w:rsid w:val="008C36F7"/>
    <w:rsid w:val="008C3D0A"/>
    <w:rsid w:val="008C6B34"/>
    <w:rsid w:val="008D547F"/>
    <w:rsid w:val="008D6536"/>
    <w:rsid w:val="008D7E6C"/>
    <w:rsid w:val="008E124C"/>
    <w:rsid w:val="008E714D"/>
    <w:rsid w:val="008F0330"/>
    <w:rsid w:val="008F10B5"/>
    <w:rsid w:val="008F2DA8"/>
    <w:rsid w:val="008F39E0"/>
    <w:rsid w:val="008F5D90"/>
    <w:rsid w:val="00912225"/>
    <w:rsid w:val="00915C13"/>
    <w:rsid w:val="00915DCD"/>
    <w:rsid w:val="009162E8"/>
    <w:rsid w:val="00927B62"/>
    <w:rsid w:val="00942D0D"/>
    <w:rsid w:val="00944687"/>
    <w:rsid w:val="009571D5"/>
    <w:rsid w:val="009600D5"/>
    <w:rsid w:val="0096066E"/>
    <w:rsid w:val="0096526B"/>
    <w:rsid w:val="00967D32"/>
    <w:rsid w:val="00972994"/>
    <w:rsid w:val="00974FB6"/>
    <w:rsid w:val="0097636C"/>
    <w:rsid w:val="00980B86"/>
    <w:rsid w:val="0098128F"/>
    <w:rsid w:val="00990D1D"/>
    <w:rsid w:val="009A5021"/>
    <w:rsid w:val="009A6AFB"/>
    <w:rsid w:val="009B024F"/>
    <w:rsid w:val="009B5F9F"/>
    <w:rsid w:val="009B7FAA"/>
    <w:rsid w:val="009C17BF"/>
    <w:rsid w:val="009C199D"/>
    <w:rsid w:val="009C3A4D"/>
    <w:rsid w:val="009C572A"/>
    <w:rsid w:val="009E0951"/>
    <w:rsid w:val="009E3797"/>
    <w:rsid w:val="009F51CD"/>
    <w:rsid w:val="009F66CA"/>
    <w:rsid w:val="00A009BC"/>
    <w:rsid w:val="00A06A05"/>
    <w:rsid w:val="00A13611"/>
    <w:rsid w:val="00A201BF"/>
    <w:rsid w:val="00A2050F"/>
    <w:rsid w:val="00A21AE0"/>
    <w:rsid w:val="00A24D73"/>
    <w:rsid w:val="00A25148"/>
    <w:rsid w:val="00A32DB4"/>
    <w:rsid w:val="00A346AB"/>
    <w:rsid w:val="00A640FA"/>
    <w:rsid w:val="00A67EEF"/>
    <w:rsid w:val="00A7102D"/>
    <w:rsid w:val="00A733E4"/>
    <w:rsid w:val="00A77397"/>
    <w:rsid w:val="00A822A7"/>
    <w:rsid w:val="00A8711A"/>
    <w:rsid w:val="00A9444D"/>
    <w:rsid w:val="00A9567C"/>
    <w:rsid w:val="00AA1F85"/>
    <w:rsid w:val="00AA6AEA"/>
    <w:rsid w:val="00AC2287"/>
    <w:rsid w:val="00AC615A"/>
    <w:rsid w:val="00AD1183"/>
    <w:rsid w:val="00AD5B68"/>
    <w:rsid w:val="00AF5AF4"/>
    <w:rsid w:val="00B022DE"/>
    <w:rsid w:val="00B05104"/>
    <w:rsid w:val="00B05FC6"/>
    <w:rsid w:val="00B102D2"/>
    <w:rsid w:val="00B21FFB"/>
    <w:rsid w:val="00B2316A"/>
    <w:rsid w:val="00B24F75"/>
    <w:rsid w:val="00B2608C"/>
    <w:rsid w:val="00B27BD5"/>
    <w:rsid w:val="00B34AC6"/>
    <w:rsid w:val="00B35669"/>
    <w:rsid w:val="00B47C52"/>
    <w:rsid w:val="00B75CE8"/>
    <w:rsid w:val="00B76380"/>
    <w:rsid w:val="00B84DAD"/>
    <w:rsid w:val="00B91A9C"/>
    <w:rsid w:val="00B9702A"/>
    <w:rsid w:val="00BA3727"/>
    <w:rsid w:val="00BB030D"/>
    <w:rsid w:val="00BB0AD7"/>
    <w:rsid w:val="00BD71F3"/>
    <w:rsid w:val="00BE20DF"/>
    <w:rsid w:val="00BE69B5"/>
    <w:rsid w:val="00BF7658"/>
    <w:rsid w:val="00C01F9B"/>
    <w:rsid w:val="00C038AF"/>
    <w:rsid w:val="00C04FCC"/>
    <w:rsid w:val="00C05472"/>
    <w:rsid w:val="00C16847"/>
    <w:rsid w:val="00C17B85"/>
    <w:rsid w:val="00C3306C"/>
    <w:rsid w:val="00C34D60"/>
    <w:rsid w:val="00C35D79"/>
    <w:rsid w:val="00C3719C"/>
    <w:rsid w:val="00C371CF"/>
    <w:rsid w:val="00C430F2"/>
    <w:rsid w:val="00C52782"/>
    <w:rsid w:val="00C57507"/>
    <w:rsid w:val="00C63121"/>
    <w:rsid w:val="00C70BB9"/>
    <w:rsid w:val="00C716FC"/>
    <w:rsid w:val="00C91896"/>
    <w:rsid w:val="00C945D1"/>
    <w:rsid w:val="00C95C97"/>
    <w:rsid w:val="00C9609A"/>
    <w:rsid w:val="00CB32D8"/>
    <w:rsid w:val="00CD4652"/>
    <w:rsid w:val="00D02198"/>
    <w:rsid w:val="00D06360"/>
    <w:rsid w:val="00D31151"/>
    <w:rsid w:val="00D3569D"/>
    <w:rsid w:val="00D40319"/>
    <w:rsid w:val="00D40C50"/>
    <w:rsid w:val="00D4444C"/>
    <w:rsid w:val="00D453FF"/>
    <w:rsid w:val="00D60E05"/>
    <w:rsid w:val="00D6227B"/>
    <w:rsid w:val="00D63018"/>
    <w:rsid w:val="00D63FCE"/>
    <w:rsid w:val="00D74B63"/>
    <w:rsid w:val="00D752A4"/>
    <w:rsid w:val="00DB4481"/>
    <w:rsid w:val="00DB49BF"/>
    <w:rsid w:val="00DC3AA4"/>
    <w:rsid w:val="00DC5F3D"/>
    <w:rsid w:val="00DE3CBF"/>
    <w:rsid w:val="00DE4468"/>
    <w:rsid w:val="00DE46C6"/>
    <w:rsid w:val="00DF1B9B"/>
    <w:rsid w:val="00E010DE"/>
    <w:rsid w:val="00E07E5C"/>
    <w:rsid w:val="00E12881"/>
    <w:rsid w:val="00E13815"/>
    <w:rsid w:val="00E155CF"/>
    <w:rsid w:val="00E158A1"/>
    <w:rsid w:val="00E21594"/>
    <w:rsid w:val="00E27AB5"/>
    <w:rsid w:val="00E36293"/>
    <w:rsid w:val="00E42215"/>
    <w:rsid w:val="00E5371B"/>
    <w:rsid w:val="00E53962"/>
    <w:rsid w:val="00E56AAA"/>
    <w:rsid w:val="00E637BF"/>
    <w:rsid w:val="00E6781D"/>
    <w:rsid w:val="00E67C22"/>
    <w:rsid w:val="00E67EDF"/>
    <w:rsid w:val="00E71433"/>
    <w:rsid w:val="00E71800"/>
    <w:rsid w:val="00E71E0A"/>
    <w:rsid w:val="00E7337E"/>
    <w:rsid w:val="00E753E2"/>
    <w:rsid w:val="00E7609F"/>
    <w:rsid w:val="00E77C21"/>
    <w:rsid w:val="00E80C23"/>
    <w:rsid w:val="00E87D2B"/>
    <w:rsid w:val="00E935E0"/>
    <w:rsid w:val="00E949F0"/>
    <w:rsid w:val="00E978BC"/>
    <w:rsid w:val="00EA2933"/>
    <w:rsid w:val="00EA2DEE"/>
    <w:rsid w:val="00EA3AD0"/>
    <w:rsid w:val="00EA70A6"/>
    <w:rsid w:val="00EA7F8E"/>
    <w:rsid w:val="00EB187E"/>
    <w:rsid w:val="00EC0494"/>
    <w:rsid w:val="00EC1395"/>
    <w:rsid w:val="00EC560D"/>
    <w:rsid w:val="00EC73B6"/>
    <w:rsid w:val="00ED07E5"/>
    <w:rsid w:val="00ED0C43"/>
    <w:rsid w:val="00EE07E3"/>
    <w:rsid w:val="00EE304D"/>
    <w:rsid w:val="00EF0615"/>
    <w:rsid w:val="00EF0C10"/>
    <w:rsid w:val="00EF197F"/>
    <w:rsid w:val="00EF22FF"/>
    <w:rsid w:val="00EF33A3"/>
    <w:rsid w:val="00EF50B9"/>
    <w:rsid w:val="00F006E1"/>
    <w:rsid w:val="00F03510"/>
    <w:rsid w:val="00F1187B"/>
    <w:rsid w:val="00F12EFB"/>
    <w:rsid w:val="00F223F3"/>
    <w:rsid w:val="00F27A36"/>
    <w:rsid w:val="00F31620"/>
    <w:rsid w:val="00F37451"/>
    <w:rsid w:val="00F44539"/>
    <w:rsid w:val="00F4531B"/>
    <w:rsid w:val="00F519F0"/>
    <w:rsid w:val="00F52BA8"/>
    <w:rsid w:val="00F54283"/>
    <w:rsid w:val="00F628A3"/>
    <w:rsid w:val="00F63E95"/>
    <w:rsid w:val="00F83019"/>
    <w:rsid w:val="00F83847"/>
    <w:rsid w:val="00F86D71"/>
    <w:rsid w:val="00F94085"/>
    <w:rsid w:val="00F9616A"/>
    <w:rsid w:val="00F97603"/>
    <w:rsid w:val="00FA32AB"/>
    <w:rsid w:val="00FA4050"/>
    <w:rsid w:val="00FA4A6E"/>
    <w:rsid w:val="00FA4E6F"/>
    <w:rsid w:val="00FA6794"/>
    <w:rsid w:val="00FB11A7"/>
    <w:rsid w:val="00FB1E4B"/>
    <w:rsid w:val="00FB7174"/>
    <w:rsid w:val="00FB77DA"/>
    <w:rsid w:val="00FC0082"/>
    <w:rsid w:val="00FC32B4"/>
    <w:rsid w:val="00FD59CA"/>
    <w:rsid w:val="00FD72D1"/>
    <w:rsid w:val="00FD7D9E"/>
    <w:rsid w:val="00FE6244"/>
    <w:rsid w:val="00FF1FD3"/>
    <w:rsid w:val="015C41A2"/>
    <w:rsid w:val="018A64B7"/>
    <w:rsid w:val="0194055C"/>
    <w:rsid w:val="01B6221C"/>
    <w:rsid w:val="01FD71E6"/>
    <w:rsid w:val="02027CE4"/>
    <w:rsid w:val="0235122D"/>
    <w:rsid w:val="02663C42"/>
    <w:rsid w:val="02A979E3"/>
    <w:rsid w:val="03332B05"/>
    <w:rsid w:val="034F21C3"/>
    <w:rsid w:val="03882FFD"/>
    <w:rsid w:val="03907D25"/>
    <w:rsid w:val="03B160CA"/>
    <w:rsid w:val="03B76507"/>
    <w:rsid w:val="042D17AC"/>
    <w:rsid w:val="04506335"/>
    <w:rsid w:val="04DF20F2"/>
    <w:rsid w:val="04FB6822"/>
    <w:rsid w:val="052B08C7"/>
    <w:rsid w:val="058676CD"/>
    <w:rsid w:val="06540C94"/>
    <w:rsid w:val="07024528"/>
    <w:rsid w:val="07073765"/>
    <w:rsid w:val="074D4469"/>
    <w:rsid w:val="075449B1"/>
    <w:rsid w:val="0791707F"/>
    <w:rsid w:val="079F7963"/>
    <w:rsid w:val="07AE7DDB"/>
    <w:rsid w:val="07B37F06"/>
    <w:rsid w:val="07D346C5"/>
    <w:rsid w:val="07DF4802"/>
    <w:rsid w:val="0801789B"/>
    <w:rsid w:val="082A649E"/>
    <w:rsid w:val="0858402D"/>
    <w:rsid w:val="08D6378D"/>
    <w:rsid w:val="092A54E7"/>
    <w:rsid w:val="093B4B3F"/>
    <w:rsid w:val="09765058"/>
    <w:rsid w:val="09860B6D"/>
    <w:rsid w:val="09A14BF0"/>
    <w:rsid w:val="09F614AB"/>
    <w:rsid w:val="0A1977EC"/>
    <w:rsid w:val="0A27603E"/>
    <w:rsid w:val="0A4725D6"/>
    <w:rsid w:val="0A5B3FBB"/>
    <w:rsid w:val="0AC24F48"/>
    <w:rsid w:val="0AE0651F"/>
    <w:rsid w:val="0B03497B"/>
    <w:rsid w:val="0B626897"/>
    <w:rsid w:val="0B7F344E"/>
    <w:rsid w:val="0BC81E68"/>
    <w:rsid w:val="0BCD3CB3"/>
    <w:rsid w:val="0C0701CD"/>
    <w:rsid w:val="0CA20E8E"/>
    <w:rsid w:val="0CAE380F"/>
    <w:rsid w:val="0CC23915"/>
    <w:rsid w:val="0D156991"/>
    <w:rsid w:val="0E655D57"/>
    <w:rsid w:val="0EED36A3"/>
    <w:rsid w:val="0F0F2FF7"/>
    <w:rsid w:val="0F230F70"/>
    <w:rsid w:val="0F245223"/>
    <w:rsid w:val="0F245519"/>
    <w:rsid w:val="0F4E618A"/>
    <w:rsid w:val="0F5B00C3"/>
    <w:rsid w:val="0F6239E3"/>
    <w:rsid w:val="0F7756E1"/>
    <w:rsid w:val="0FD454AF"/>
    <w:rsid w:val="0FE4264A"/>
    <w:rsid w:val="0FE66E7E"/>
    <w:rsid w:val="0FFD19F6"/>
    <w:rsid w:val="10E25CD1"/>
    <w:rsid w:val="1107235F"/>
    <w:rsid w:val="111D49F3"/>
    <w:rsid w:val="116E7244"/>
    <w:rsid w:val="1174242F"/>
    <w:rsid w:val="11CC23A2"/>
    <w:rsid w:val="11E85E78"/>
    <w:rsid w:val="12577104"/>
    <w:rsid w:val="12665CCB"/>
    <w:rsid w:val="12FC3F49"/>
    <w:rsid w:val="12FE6844"/>
    <w:rsid w:val="13564524"/>
    <w:rsid w:val="136A749E"/>
    <w:rsid w:val="14B53DB9"/>
    <w:rsid w:val="15400765"/>
    <w:rsid w:val="15690523"/>
    <w:rsid w:val="156F5D50"/>
    <w:rsid w:val="15947F5C"/>
    <w:rsid w:val="170C2D16"/>
    <w:rsid w:val="173A61CF"/>
    <w:rsid w:val="17B7328B"/>
    <w:rsid w:val="17CB6B84"/>
    <w:rsid w:val="17D2722C"/>
    <w:rsid w:val="17EA6DEA"/>
    <w:rsid w:val="1818229D"/>
    <w:rsid w:val="18331B97"/>
    <w:rsid w:val="18570964"/>
    <w:rsid w:val="185A5BA0"/>
    <w:rsid w:val="186036F6"/>
    <w:rsid w:val="186C5F41"/>
    <w:rsid w:val="18A411AF"/>
    <w:rsid w:val="18C112AA"/>
    <w:rsid w:val="19612025"/>
    <w:rsid w:val="1965080A"/>
    <w:rsid w:val="19B076E9"/>
    <w:rsid w:val="19C423E9"/>
    <w:rsid w:val="19F65087"/>
    <w:rsid w:val="1A1F40BF"/>
    <w:rsid w:val="1A2875FE"/>
    <w:rsid w:val="1A307EBA"/>
    <w:rsid w:val="1A4925DD"/>
    <w:rsid w:val="1A77138C"/>
    <w:rsid w:val="1A7B2751"/>
    <w:rsid w:val="1A7C5B51"/>
    <w:rsid w:val="1AAE5D1E"/>
    <w:rsid w:val="1B09527C"/>
    <w:rsid w:val="1B650D9C"/>
    <w:rsid w:val="1B872D57"/>
    <w:rsid w:val="1BB70034"/>
    <w:rsid w:val="1BCD48DA"/>
    <w:rsid w:val="1BDC5724"/>
    <w:rsid w:val="1BDE3A90"/>
    <w:rsid w:val="1BEA12D6"/>
    <w:rsid w:val="1C241E60"/>
    <w:rsid w:val="1CC72184"/>
    <w:rsid w:val="1CC903F7"/>
    <w:rsid w:val="1D04097D"/>
    <w:rsid w:val="1D3775A1"/>
    <w:rsid w:val="1D3A1AFC"/>
    <w:rsid w:val="1D773929"/>
    <w:rsid w:val="1DAF4CFD"/>
    <w:rsid w:val="1DC061F8"/>
    <w:rsid w:val="1DC43CB7"/>
    <w:rsid w:val="1DD135C7"/>
    <w:rsid w:val="1E1F623F"/>
    <w:rsid w:val="1E7A15C0"/>
    <w:rsid w:val="1E8474D2"/>
    <w:rsid w:val="1ED91410"/>
    <w:rsid w:val="1EFF124F"/>
    <w:rsid w:val="1F244798"/>
    <w:rsid w:val="1F9874FF"/>
    <w:rsid w:val="1FB31510"/>
    <w:rsid w:val="20252CC5"/>
    <w:rsid w:val="20AF6F5C"/>
    <w:rsid w:val="20C04657"/>
    <w:rsid w:val="20F27B44"/>
    <w:rsid w:val="2115467B"/>
    <w:rsid w:val="21AF0BC3"/>
    <w:rsid w:val="21DE4C7A"/>
    <w:rsid w:val="221C532F"/>
    <w:rsid w:val="224E48EF"/>
    <w:rsid w:val="2259110D"/>
    <w:rsid w:val="228D6B72"/>
    <w:rsid w:val="22FD25EF"/>
    <w:rsid w:val="239073BD"/>
    <w:rsid w:val="23B8052B"/>
    <w:rsid w:val="23DF41E2"/>
    <w:rsid w:val="24291518"/>
    <w:rsid w:val="246F022B"/>
    <w:rsid w:val="24707C1A"/>
    <w:rsid w:val="24F62B46"/>
    <w:rsid w:val="251065C1"/>
    <w:rsid w:val="252B4E89"/>
    <w:rsid w:val="25675BBE"/>
    <w:rsid w:val="25AC3304"/>
    <w:rsid w:val="25C64874"/>
    <w:rsid w:val="25C92FF9"/>
    <w:rsid w:val="25CF60A4"/>
    <w:rsid w:val="26005FD9"/>
    <w:rsid w:val="26395046"/>
    <w:rsid w:val="2679051E"/>
    <w:rsid w:val="267B5AC6"/>
    <w:rsid w:val="2687768F"/>
    <w:rsid w:val="26E42026"/>
    <w:rsid w:val="270703CB"/>
    <w:rsid w:val="27220A79"/>
    <w:rsid w:val="27727F04"/>
    <w:rsid w:val="27C506B1"/>
    <w:rsid w:val="28237BE6"/>
    <w:rsid w:val="28327F9F"/>
    <w:rsid w:val="286B20D6"/>
    <w:rsid w:val="28DA3860"/>
    <w:rsid w:val="29143AF6"/>
    <w:rsid w:val="29766231"/>
    <w:rsid w:val="29AE7AF9"/>
    <w:rsid w:val="29C10B2E"/>
    <w:rsid w:val="29C572E5"/>
    <w:rsid w:val="29FD638B"/>
    <w:rsid w:val="2A284E64"/>
    <w:rsid w:val="2A4367D8"/>
    <w:rsid w:val="2A6E5785"/>
    <w:rsid w:val="2A7A4BFE"/>
    <w:rsid w:val="2ACD173B"/>
    <w:rsid w:val="2B8D703E"/>
    <w:rsid w:val="2BD7069D"/>
    <w:rsid w:val="2CC6515A"/>
    <w:rsid w:val="2CD662BD"/>
    <w:rsid w:val="2D033C80"/>
    <w:rsid w:val="2D780B50"/>
    <w:rsid w:val="2DAE35E7"/>
    <w:rsid w:val="2DC6525D"/>
    <w:rsid w:val="2E3E5E8A"/>
    <w:rsid w:val="2E653566"/>
    <w:rsid w:val="2E7B3D22"/>
    <w:rsid w:val="2E9542C9"/>
    <w:rsid w:val="2EC53B9F"/>
    <w:rsid w:val="2ED9474D"/>
    <w:rsid w:val="2EDF7E2F"/>
    <w:rsid w:val="2EFC1307"/>
    <w:rsid w:val="2F0D0E1E"/>
    <w:rsid w:val="2F586A27"/>
    <w:rsid w:val="2F5A6DAA"/>
    <w:rsid w:val="2F744788"/>
    <w:rsid w:val="30741036"/>
    <w:rsid w:val="30922C5A"/>
    <w:rsid w:val="309D3D98"/>
    <w:rsid w:val="30BF7788"/>
    <w:rsid w:val="310F2A34"/>
    <w:rsid w:val="3164652A"/>
    <w:rsid w:val="320D0B65"/>
    <w:rsid w:val="3212499D"/>
    <w:rsid w:val="32BF23CB"/>
    <w:rsid w:val="32CA2B82"/>
    <w:rsid w:val="32F26CA9"/>
    <w:rsid w:val="32F9568D"/>
    <w:rsid w:val="330A3ED8"/>
    <w:rsid w:val="337E678E"/>
    <w:rsid w:val="33B5365F"/>
    <w:rsid w:val="34053F1A"/>
    <w:rsid w:val="34144FE4"/>
    <w:rsid w:val="347D590F"/>
    <w:rsid w:val="34A27474"/>
    <w:rsid w:val="34EF18B2"/>
    <w:rsid w:val="35054858"/>
    <w:rsid w:val="35082682"/>
    <w:rsid w:val="351F6BA1"/>
    <w:rsid w:val="358C19C5"/>
    <w:rsid w:val="35AD335B"/>
    <w:rsid w:val="35BF7133"/>
    <w:rsid w:val="35FB40C6"/>
    <w:rsid w:val="36A96398"/>
    <w:rsid w:val="36E3772B"/>
    <w:rsid w:val="37025DBC"/>
    <w:rsid w:val="371814DD"/>
    <w:rsid w:val="3741388A"/>
    <w:rsid w:val="377A54BF"/>
    <w:rsid w:val="377E4FAF"/>
    <w:rsid w:val="378858C8"/>
    <w:rsid w:val="378B76CC"/>
    <w:rsid w:val="37B04B31"/>
    <w:rsid w:val="382D1C15"/>
    <w:rsid w:val="38740537"/>
    <w:rsid w:val="388606F9"/>
    <w:rsid w:val="38C55D5E"/>
    <w:rsid w:val="38E10D19"/>
    <w:rsid w:val="3901429C"/>
    <w:rsid w:val="39130F92"/>
    <w:rsid w:val="395768EF"/>
    <w:rsid w:val="39981C2C"/>
    <w:rsid w:val="399A48D8"/>
    <w:rsid w:val="39E96DBE"/>
    <w:rsid w:val="3A091674"/>
    <w:rsid w:val="3A0A3629"/>
    <w:rsid w:val="3A0A442D"/>
    <w:rsid w:val="3A3B3B69"/>
    <w:rsid w:val="3A712BA9"/>
    <w:rsid w:val="3A751F6D"/>
    <w:rsid w:val="3B155DE1"/>
    <w:rsid w:val="3B1E3A34"/>
    <w:rsid w:val="3B1F5495"/>
    <w:rsid w:val="3B2C4D22"/>
    <w:rsid w:val="3B4427E2"/>
    <w:rsid w:val="3B614CE2"/>
    <w:rsid w:val="3B9F54F4"/>
    <w:rsid w:val="3BEE002A"/>
    <w:rsid w:val="3C1C08F2"/>
    <w:rsid w:val="3C64407F"/>
    <w:rsid w:val="3CA1644A"/>
    <w:rsid w:val="3CC26DB4"/>
    <w:rsid w:val="3D256E7C"/>
    <w:rsid w:val="3D3C5F97"/>
    <w:rsid w:val="3D3D1D7A"/>
    <w:rsid w:val="3D3F568C"/>
    <w:rsid w:val="3D562EC9"/>
    <w:rsid w:val="3D5A6FF6"/>
    <w:rsid w:val="3D9E6D23"/>
    <w:rsid w:val="3DB515B9"/>
    <w:rsid w:val="3E1A70B4"/>
    <w:rsid w:val="3E4279D9"/>
    <w:rsid w:val="3E901EED"/>
    <w:rsid w:val="3E9D4DC9"/>
    <w:rsid w:val="3EE55913"/>
    <w:rsid w:val="3EFB396C"/>
    <w:rsid w:val="3F4831D6"/>
    <w:rsid w:val="3F74046D"/>
    <w:rsid w:val="3FA01E8A"/>
    <w:rsid w:val="3FB672B0"/>
    <w:rsid w:val="3FCC6AD3"/>
    <w:rsid w:val="404A44BE"/>
    <w:rsid w:val="40863599"/>
    <w:rsid w:val="408A6510"/>
    <w:rsid w:val="40BC0AF0"/>
    <w:rsid w:val="40C07F2B"/>
    <w:rsid w:val="40EF1158"/>
    <w:rsid w:val="41114C78"/>
    <w:rsid w:val="412D5350"/>
    <w:rsid w:val="41540B2E"/>
    <w:rsid w:val="416C142E"/>
    <w:rsid w:val="418E13C0"/>
    <w:rsid w:val="41A81F82"/>
    <w:rsid w:val="41B460ED"/>
    <w:rsid w:val="41DD0428"/>
    <w:rsid w:val="42624C6C"/>
    <w:rsid w:val="4263369A"/>
    <w:rsid w:val="42F75C15"/>
    <w:rsid w:val="42FD1BBE"/>
    <w:rsid w:val="430D24FE"/>
    <w:rsid w:val="430F11B1"/>
    <w:rsid w:val="432309A9"/>
    <w:rsid w:val="433D406E"/>
    <w:rsid w:val="43781BDE"/>
    <w:rsid w:val="43856453"/>
    <w:rsid w:val="43867A73"/>
    <w:rsid w:val="43C76D2A"/>
    <w:rsid w:val="43E01E84"/>
    <w:rsid w:val="44257C85"/>
    <w:rsid w:val="443E0679"/>
    <w:rsid w:val="445B3F9D"/>
    <w:rsid w:val="44662AC1"/>
    <w:rsid w:val="44862C6F"/>
    <w:rsid w:val="44BD7BB1"/>
    <w:rsid w:val="44C1361A"/>
    <w:rsid w:val="44E328F5"/>
    <w:rsid w:val="44FB7845"/>
    <w:rsid w:val="454D2C0D"/>
    <w:rsid w:val="45D24AB7"/>
    <w:rsid w:val="45D36A02"/>
    <w:rsid w:val="45E061FF"/>
    <w:rsid w:val="461936BC"/>
    <w:rsid w:val="46296A2D"/>
    <w:rsid w:val="469367E2"/>
    <w:rsid w:val="47532256"/>
    <w:rsid w:val="47AD680E"/>
    <w:rsid w:val="480578C8"/>
    <w:rsid w:val="48194880"/>
    <w:rsid w:val="485F6858"/>
    <w:rsid w:val="494D0887"/>
    <w:rsid w:val="497E0FAF"/>
    <w:rsid w:val="49C36A7A"/>
    <w:rsid w:val="4A061CA0"/>
    <w:rsid w:val="4A8A19D3"/>
    <w:rsid w:val="4A8C30E7"/>
    <w:rsid w:val="4ABF34BD"/>
    <w:rsid w:val="4AEB0785"/>
    <w:rsid w:val="4B0936A4"/>
    <w:rsid w:val="4B467A40"/>
    <w:rsid w:val="4C69449A"/>
    <w:rsid w:val="4CDB489E"/>
    <w:rsid w:val="4CE9176C"/>
    <w:rsid w:val="4D796175"/>
    <w:rsid w:val="4E0A6C2F"/>
    <w:rsid w:val="4E1C7F13"/>
    <w:rsid w:val="4E777472"/>
    <w:rsid w:val="4E807FB7"/>
    <w:rsid w:val="4EDC5022"/>
    <w:rsid w:val="4EE341AF"/>
    <w:rsid w:val="4F10078B"/>
    <w:rsid w:val="4F222B9D"/>
    <w:rsid w:val="4FB30AF7"/>
    <w:rsid w:val="4FD935A4"/>
    <w:rsid w:val="4FE4733E"/>
    <w:rsid w:val="501E2357"/>
    <w:rsid w:val="50307FDF"/>
    <w:rsid w:val="50AD435C"/>
    <w:rsid w:val="510F41E7"/>
    <w:rsid w:val="515A3F3F"/>
    <w:rsid w:val="51DC2AC3"/>
    <w:rsid w:val="51FE5F02"/>
    <w:rsid w:val="52287B99"/>
    <w:rsid w:val="522D5F9F"/>
    <w:rsid w:val="52BD583C"/>
    <w:rsid w:val="52C5188C"/>
    <w:rsid w:val="52D12824"/>
    <w:rsid w:val="52E40A00"/>
    <w:rsid w:val="5312522B"/>
    <w:rsid w:val="53142AA2"/>
    <w:rsid w:val="53245F65"/>
    <w:rsid w:val="532B5264"/>
    <w:rsid w:val="53690469"/>
    <w:rsid w:val="53CD0265"/>
    <w:rsid w:val="542A2E8B"/>
    <w:rsid w:val="54AA6D09"/>
    <w:rsid w:val="555B56F2"/>
    <w:rsid w:val="556041C7"/>
    <w:rsid w:val="556E169B"/>
    <w:rsid w:val="55C65186"/>
    <w:rsid w:val="55CF2799"/>
    <w:rsid w:val="56586607"/>
    <w:rsid w:val="566D7BF8"/>
    <w:rsid w:val="56A318C0"/>
    <w:rsid w:val="56BB57C2"/>
    <w:rsid w:val="56C5275D"/>
    <w:rsid w:val="56D01AD6"/>
    <w:rsid w:val="56F640C1"/>
    <w:rsid w:val="56F70772"/>
    <w:rsid w:val="56FB4180"/>
    <w:rsid w:val="570D5ED5"/>
    <w:rsid w:val="574902DC"/>
    <w:rsid w:val="574D6943"/>
    <w:rsid w:val="57551397"/>
    <w:rsid w:val="5764574C"/>
    <w:rsid w:val="57680A38"/>
    <w:rsid w:val="57DB4848"/>
    <w:rsid w:val="582A1732"/>
    <w:rsid w:val="582E1C82"/>
    <w:rsid w:val="58654F28"/>
    <w:rsid w:val="588B725B"/>
    <w:rsid w:val="59D933DD"/>
    <w:rsid w:val="59EF5441"/>
    <w:rsid w:val="59FD47F4"/>
    <w:rsid w:val="5A5107D6"/>
    <w:rsid w:val="5A576F72"/>
    <w:rsid w:val="5A943FA5"/>
    <w:rsid w:val="5AD312FA"/>
    <w:rsid w:val="5AE20B01"/>
    <w:rsid w:val="5AF768FE"/>
    <w:rsid w:val="5B4B4B28"/>
    <w:rsid w:val="5B557525"/>
    <w:rsid w:val="5B7753BF"/>
    <w:rsid w:val="5BBC36DE"/>
    <w:rsid w:val="5BDF3AD5"/>
    <w:rsid w:val="5C21284A"/>
    <w:rsid w:val="5C3405D8"/>
    <w:rsid w:val="5C5A5C04"/>
    <w:rsid w:val="5C6A0070"/>
    <w:rsid w:val="5C8E27C6"/>
    <w:rsid w:val="5CE154B8"/>
    <w:rsid w:val="5CE43621"/>
    <w:rsid w:val="5D1F7DEB"/>
    <w:rsid w:val="5D484C80"/>
    <w:rsid w:val="5DA64068"/>
    <w:rsid w:val="5E516176"/>
    <w:rsid w:val="5EE47C66"/>
    <w:rsid w:val="5F002AEE"/>
    <w:rsid w:val="5F0E49AD"/>
    <w:rsid w:val="5F294C72"/>
    <w:rsid w:val="5FCB6008"/>
    <w:rsid w:val="60BA6C35"/>
    <w:rsid w:val="612C6341"/>
    <w:rsid w:val="618C17C7"/>
    <w:rsid w:val="61FA71CD"/>
    <w:rsid w:val="61FE15DB"/>
    <w:rsid w:val="622D4BF5"/>
    <w:rsid w:val="62794D5A"/>
    <w:rsid w:val="62D4192F"/>
    <w:rsid w:val="63F975E8"/>
    <w:rsid w:val="64A932E2"/>
    <w:rsid w:val="655045D5"/>
    <w:rsid w:val="65695672"/>
    <w:rsid w:val="659613AB"/>
    <w:rsid w:val="65EE4C68"/>
    <w:rsid w:val="65F939B1"/>
    <w:rsid w:val="663A5C95"/>
    <w:rsid w:val="66476DFB"/>
    <w:rsid w:val="66BB00A3"/>
    <w:rsid w:val="66BB7C56"/>
    <w:rsid w:val="67127473"/>
    <w:rsid w:val="67146B60"/>
    <w:rsid w:val="674566A0"/>
    <w:rsid w:val="67731CA1"/>
    <w:rsid w:val="677509D2"/>
    <w:rsid w:val="67937B4A"/>
    <w:rsid w:val="67AA167A"/>
    <w:rsid w:val="67BD26DA"/>
    <w:rsid w:val="67D24161"/>
    <w:rsid w:val="67EF420A"/>
    <w:rsid w:val="68554B85"/>
    <w:rsid w:val="68827032"/>
    <w:rsid w:val="68B60D74"/>
    <w:rsid w:val="68B82285"/>
    <w:rsid w:val="691F6794"/>
    <w:rsid w:val="692354A2"/>
    <w:rsid w:val="69994701"/>
    <w:rsid w:val="69C904AC"/>
    <w:rsid w:val="6A103222"/>
    <w:rsid w:val="6A341BE0"/>
    <w:rsid w:val="6A44693C"/>
    <w:rsid w:val="6A6D488B"/>
    <w:rsid w:val="6A91127D"/>
    <w:rsid w:val="6A9260A0"/>
    <w:rsid w:val="6AA30267"/>
    <w:rsid w:val="6AC935EF"/>
    <w:rsid w:val="6B0227AC"/>
    <w:rsid w:val="6B0E0BA4"/>
    <w:rsid w:val="6B1D1901"/>
    <w:rsid w:val="6B3128E6"/>
    <w:rsid w:val="6B3566C5"/>
    <w:rsid w:val="6B4E0CC8"/>
    <w:rsid w:val="6B631030"/>
    <w:rsid w:val="6BA950C0"/>
    <w:rsid w:val="6BC24763"/>
    <w:rsid w:val="6BD1461F"/>
    <w:rsid w:val="6C2F5B17"/>
    <w:rsid w:val="6C3715C7"/>
    <w:rsid w:val="6C9D4D3E"/>
    <w:rsid w:val="6CE6684F"/>
    <w:rsid w:val="6D1F1CE2"/>
    <w:rsid w:val="6D6F2155"/>
    <w:rsid w:val="6DDA6D00"/>
    <w:rsid w:val="6DE43AD9"/>
    <w:rsid w:val="6E9879FD"/>
    <w:rsid w:val="6F290612"/>
    <w:rsid w:val="6FD66AF2"/>
    <w:rsid w:val="70513374"/>
    <w:rsid w:val="70776A08"/>
    <w:rsid w:val="70814BED"/>
    <w:rsid w:val="70C44199"/>
    <w:rsid w:val="71157494"/>
    <w:rsid w:val="713F0A11"/>
    <w:rsid w:val="714637B5"/>
    <w:rsid w:val="71523242"/>
    <w:rsid w:val="715F1D76"/>
    <w:rsid w:val="7161099F"/>
    <w:rsid w:val="718D067E"/>
    <w:rsid w:val="71A60E62"/>
    <w:rsid w:val="71F61E2F"/>
    <w:rsid w:val="72820E37"/>
    <w:rsid w:val="728D60AF"/>
    <w:rsid w:val="72A2561B"/>
    <w:rsid w:val="735D2FC3"/>
    <w:rsid w:val="735F0AE9"/>
    <w:rsid w:val="73AA2652"/>
    <w:rsid w:val="73E3171A"/>
    <w:rsid w:val="744454B3"/>
    <w:rsid w:val="74812423"/>
    <w:rsid w:val="748D6FDC"/>
    <w:rsid w:val="74E40210"/>
    <w:rsid w:val="75242825"/>
    <w:rsid w:val="754601B3"/>
    <w:rsid w:val="7589009F"/>
    <w:rsid w:val="759462BA"/>
    <w:rsid w:val="7596163F"/>
    <w:rsid w:val="75B20B64"/>
    <w:rsid w:val="75CF7CCE"/>
    <w:rsid w:val="7691121C"/>
    <w:rsid w:val="76AB4621"/>
    <w:rsid w:val="76E2026D"/>
    <w:rsid w:val="772A1C1B"/>
    <w:rsid w:val="77597A31"/>
    <w:rsid w:val="77E83812"/>
    <w:rsid w:val="78297EA9"/>
    <w:rsid w:val="7837528E"/>
    <w:rsid w:val="783C2F03"/>
    <w:rsid w:val="787F01DD"/>
    <w:rsid w:val="791B40DF"/>
    <w:rsid w:val="794501AA"/>
    <w:rsid w:val="79915078"/>
    <w:rsid w:val="79CD10C1"/>
    <w:rsid w:val="7A4D7CBC"/>
    <w:rsid w:val="7A614E1D"/>
    <w:rsid w:val="7A7764C5"/>
    <w:rsid w:val="7A811C8D"/>
    <w:rsid w:val="7B222CF8"/>
    <w:rsid w:val="7B2670F4"/>
    <w:rsid w:val="7B9D3E6D"/>
    <w:rsid w:val="7C280612"/>
    <w:rsid w:val="7C397120"/>
    <w:rsid w:val="7C6859FD"/>
    <w:rsid w:val="7C7F3FAA"/>
    <w:rsid w:val="7CA0439D"/>
    <w:rsid w:val="7CB2612E"/>
    <w:rsid w:val="7CBB76D8"/>
    <w:rsid w:val="7CE857E6"/>
    <w:rsid w:val="7CF63FFC"/>
    <w:rsid w:val="7D273CD3"/>
    <w:rsid w:val="7EFF9D7C"/>
    <w:rsid w:val="7F2D5F40"/>
    <w:rsid w:val="7F4D590E"/>
    <w:rsid w:val="CFFBFE22"/>
    <w:rsid w:val="F7FF12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6" w:lineRule="auto"/>
      <w:outlineLvl w:val="0"/>
    </w:pPr>
    <w:rPr>
      <w:b/>
      <w:kern w:val="44"/>
      <w:sz w:val="44"/>
      <w:szCs w:val="44"/>
    </w:rPr>
  </w:style>
  <w:style w:type="paragraph" w:styleId="4">
    <w:name w:val="heading 2"/>
    <w:basedOn w:val="1"/>
    <w:next w:val="1"/>
    <w:link w:val="28"/>
    <w:autoRedefine/>
    <w:qFormat/>
    <w:uiPriority w:val="99"/>
    <w:pPr>
      <w:keepNext/>
      <w:keepLines/>
      <w:spacing w:before="260" w:after="260" w:line="416" w:lineRule="auto"/>
      <w:jc w:val="center"/>
      <w:outlineLvl w:val="1"/>
    </w:pPr>
    <w:rPr>
      <w:rFonts w:ascii="Cambria" w:hAnsi="Cambria"/>
      <w:b/>
      <w:bCs/>
      <w:kern w:val="0"/>
      <w:sz w:val="30"/>
      <w:szCs w:val="30"/>
    </w:rPr>
  </w:style>
  <w:style w:type="paragraph" w:styleId="5">
    <w:name w:val="heading 3"/>
    <w:basedOn w:val="1"/>
    <w:next w:val="1"/>
    <w:link w:val="29"/>
    <w:autoRedefine/>
    <w:qFormat/>
    <w:uiPriority w:val="99"/>
    <w:pPr>
      <w:keepNext/>
      <w:keepLines/>
      <w:spacing w:before="260" w:after="260" w:line="416" w:lineRule="auto"/>
      <w:outlineLvl w:val="2"/>
    </w:pPr>
    <w:rPr>
      <w:bCs/>
      <w:kern w:val="0"/>
      <w:sz w:val="20"/>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jc w:val="left"/>
    </w:pPr>
    <w:rPr>
      <w:rFonts w:eastAsia="Calibri"/>
      <w:kern w:val="0"/>
      <w:sz w:val="22"/>
      <w:szCs w:val="22"/>
      <w:lang w:eastAsia="en-US"/>
    </w:rPr>
  </w:style>
  <w:style w:type="paragraph" w:styleId="6">
    <w:name w:val="annotation text"/>
    <w:basedOn w:val="1"/>
    <w:link w:val="30"/>
    <w:autoRedefine/>
    <w:unhideWhenUsed/>
    <w:qFormat/>
    <w:uiPriority w:val="99"/>
    <w:pPr>
      <w:jc w:val="left"/>
    </w:pPr>
  </w:style>
  <w:style w:type="paragraph" w:styleId="7">
    <w:name w:val="Body Text"/>
    <w:basedOn w:val="1"/>
    <w:next w:val="1"/>
    <w:autoRedefine/>
    <w:unhideWhenUsed/>
    <w:qFormat/>
    <w:uiPriority w:val="1"/>
    <w:pPr>
      <w:spacing w:after="120"/>
    </w:pPr>
  </w:style>
  <w:style w:type="paragraph" w:styleId="8">
    <w:name w:val="Body Text Indent"/>
    <w:basedOn w:val="1"/>
    <w:next w:val="9"/>
    <w:autoRedefine/>
    <w:qFormat/>
    <w:uiPriority w:val="99"/>
    <w:pPr>
      <w:ind w:firstLine="570"/>
    </w:pPr>
    <w:rPr>
      <w:kern w:val="0"/>
      <w:sz w:val="28"/>
      <w:szCs w:val="20"/>
    </w:rPr>
  </w:style>
  <w:style w:type="paragraph" w:styleId="9">
    <w:name w:val="envelope return"/>
    <w:basedOn w:val="1"/>
    <w:autoRedefine/>
    <w:qFormat/>
    <w:uiPriority w:val="0"/>
    <w:pPr>
      <w:snapToGrid w:val="0"/>
    </w:pPr>
    <w:rPr>
      <w:rFonts w:ascii="Arial" w:hAnsi="Arial"/>
    </w:rPr>
  </w:style>
  <w:style w:type="paragraph" w:styleId="10">
    <w:name w:val="Plain Text"/>
    <w:basedOn w:val="1"/>
    <w:next w:val="1"/>
    <w:autoRedefine/>
    <w:unhideWhenUsed/>
    <w:qFormat/>
    <w:uiPriority w:val="0"/>
    <w:rPr>
      <w:rFonts w:ascii="宋体" w:hAnsi="Courier New"/>
      <w:kern w:val="0"/>
      <w:sz w:val="20"/>
      <w:szCs w:val="21"/>
    </w:rPr>
  </w:style>
  <w:style w:type="paragraph" w:styleId="11">
    <w:name w:val="Balloon Text"/>
    <w:basedOn w:val="1"/>
    <w:link w:val="31"/>
    <w:autoRedefine/>
    <w:unhideWhenUsed/>
    <w:qFormat/>
    <w:uiPriority w:val="99"/>
    <w:rPr>
      <w:kern w:val="0"/>
      <w:sz w:val="18"/>
      <w:szCs w:val="18"/>
    </w:rPr>
  </w:style>
  <w:style w:type="paragraph" w:styleId="12">
    <w:name w:val="footer"/>
    <w:basedOn w:val="1"/>
    <w:link w:val="32"/>
    <w:autoRedefine/>
    <w:unhideWhenUsed/>
    <w:qFormat/>
    <w:uiPriority w:val="99"/>
    <w:pPr>
      <w:tabs>
        <w:tab w:val="center" w:pos="4153"/>
        <w:tab w:val="right" w:pos="8306"/>
      </w:tabs>
      <w:snapToGrid w:val="0"/>
      <w:jc w:val="left"/>
    </w:pPr>
    <w:rPr>
      <w:kern w:val="0"/>
      <w:sz w:val="18"/>
      <w:szCs w:val="18"/>
    </w:rPr>
  </w:style>
  <w:style w:type="paragraph" w:styleId="13">
    <w:name w:val="header"/>
    <w:basedOn w:val="1"/>
    <w:link w:val="33"/>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autoRedefine/>
    <w:qFormat/>
    <w:uiPriority w:val="39"/>
    <w:pPr>
      <w:jc w:val="left"/>
    </w:pPr>
    <w:rPr>
      <w:rFonts w:ascii="宋体" w:hAnsi="宋体"/>
      <w:kern w:val="0"/>
      <w:szCs w:val="21"/>
      <w:lang w:eastAsia="en-US"/>
    </w:rPr>
  </w:style>
  <w:style w:type="paragraph" w:styleId="15">
    <w:name w:val="annotation subject"/>
    <w:basedOn w:val="6"/>
    <w:next w:val="6"/>
    <w:link w:val="34"/>
    <w:autoRedefine/>
    <w:unhideWhenUsed/>
    <w:qFormat/>
    <w:uiPriority w:val="99"/>
    <w:rPr>
      <w:b/>
      <w:bCs/>
    </w:rPr>
  </w:style>
  <w:style w:type="paragraph" w:styleId="16">
    <w:name w:val="Body Text First Indent"/>
    <w:basedOn w:val="7"/>
    <w:autoRedefine/>
    <w:unhideWhenUsed/>
    <w:qFormat/>
    <w:uiPriority w:val="0"/>
    <w:pPr>
      <w:widowControl/>
      <w:ind w:firstLine="420" w:firstLineChars="100"/>
      <w:jc w:val="left"/>
    </w:pPr>
    <w:rPr>
      <w:kern w:val="0"/>
      <w:sz w:val="20"/>
      <w:szCs w:val="20"/>
    </w:rPr>
  </w:style>
  <w:style w:type="paragraph" w:styleId="17">
    <w:name w:val="Body Text First Indent 2"/>
    <w:basedOn w:val="8"/>
    <w:autoRedefine/>
    <w:qFormat/>
    <w:uiPriority w:val="0"/>
    <w:pPr>
      <w:spacing w:after="120"/>
      <w:ind w:left="200" w:leftChars="200" w:firstLine="200" w:firstLineChars="200"/>
    </w:pPr>
    <w:rPr>
      <w:rFonts w:ascii="Calibri" w:hAnsi="Calibri"/>
      <w:kern w:val="2"/>
      <w:sz w:val="21"/>
      <w:szCs w:val="24"/>
    </w:rPr>
  </w:style>
  <w:style w:type="character" w:styleId="20">
    <w:name w:val="Strong"/>
    <w:autoRedefine/>
    <w:qFormat/>
    <w:uiPriority w:val="0"/>
    <w:rPr>
      <w:b/>
      <w:bCs/>
    </w:rPr>
  </w:style>
  <w:style w:type="character" w:styleId="21">
    <w:name w:val="FollowedHyperlink"/>
    <w:basedOn w:val="19"/>
    <w:autoRedefine/>
    <w:semiHidden/>
    <w:unhideWhenUsed/>
    <w:qFormat/>
    <w:uiPriority w:val="99"/>
    <w:rPr>
      <w:rFonts w:ascii="微软雅黑" w:hAnsi="微软雅黑" w:eastAsia="微软雅黑" w:cs="微软雅黑"/>
      <w:color w:val="337AB7"/>
      <w:u w:val="none"/>
    </w:rPr>
  </w:style>
  <w:style w:type="character" w:styleId="22">
    <w:name w:val="HTML Definition"/>
    <w:basedOn w:val="19"/>
    <w:autoRedefine/>
    <w:semiHidden/>
    <w:unhideWhenUsed/>
    <w:qFormat/>
    <w:uiPriority w:val="99"/>
    <w:rPr>
      <w:i/>
      <w:iCs/>
    </w:rPr>
  </w:style>
  <w:style w:type="character" w:styleId="23">
    <w:name w:val="Hyperlink"/>
    <w:autoRedefine/>
    <w:qFormat/>
    <w:uiPriority w:val="0"/>
    <w:rPr>
      <w:color w:val="000000"/>
      <w:u w:val="none"/>
    </w:rPr>
  </w:style>
  <w:style w:type="character" w:styleId="24">
    <w:name w:val="HTML Code"/>
    <w:basedOn w:val="19"/>
    <w:autoRedefine/>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25">
    <w:name w:val="annotation reference"/>
    <w:autoRedefine/>
    <w:unhideWhenUsed/>
    <w:qFormat/>
    <w:uiPriority w:val="99"/>
    <w:rPr>
      <w:sz w:val="21"/>
      <w:szCs w:val="21"/>
    </w:rPr>
  </w:style>
  <w:style w:type="character" w:styleId="26">
    <w:name w:val="HTML Keyboard"/>
    <w:basedOn w:val="19"/>
    <w:autoRedefine/>
    <w:semiHidden/>
    <w:unhideWhenUsed/>
    <w:qFormat/>
    <w:uiPriority w:val="99"/>
    <w:rPr>
      <w:rFonts w:hint="default" w:ascii="Consolas" w:hAnsi="Consolas" w:eastAsia="Consolas" w:cs="Consolas"/>
      <w:color w:val="FFFFFF"/>
      <w:sz w:val="21"/>
      <w:szCs w:val="21"/>
      <w:shd w:val="clear" w:color="auto" w:fill="333333"/>
    </w:rPr>
  </w:style>
  <w:style w:type="character" w:styleId="27">
    <w:name w:val="HTML Sample"/>
    <w:basedOn w:val="19"/>
    <w:autoRedefine/>
    <w:semiHidden/>
    <w:unhideWhenUsed/>
    <w:qFormat/>
    <w:uiPriority w:val="99"/>
    <w:rPr>
      <w:rFonts w:hint="default" w:ascii="Consolas" w:hAnsi="Consolas" w:eastAsia="Consolas" w:cs="Consolas"/>
      <w:color w:val="555555"/>
      <w:sz w:val="21"/>
      <w:szCs w:val="21"/>
      <w:bdr w:val="single" w:color="E9E9E9" w:sz="6" w:space="0"/>
      <w:shd w:val="clear" w:color="auto" w:fill="FFFFFF"/>
    </w:rPr>
  </w:style>
  <w:style w:type="character" w:customStyle="1" w:styleId="28">
    <w:name w:val="标题 2 Char"/>
    <w:link w:val="4"/>
    <w:autoRedefine/>
    <w:qFormat/>
    <w:uiPriority w:val="99"/>
    <w:rPr>
      <w:rFonts w:ascii="Cambria" w:hAnsi="Cambria" w:eastAsia="宋体" w:cs="Times New Roman"/>
      <w:b/>
      <w:bCs/>
      <w:kern w:val="0"/>
      <w:sz w:val="30"/>
      <w:szCs w:val="30"/>
    </w:rPr>
  </w:style>
  <w:style w:type="character" w:customStyle="1" w:styleId="29">
    <w:name w:val="标题 3 Char"/>
    <w:link w:val="5"/>
    <w:autoRedefine/>
    <w:qFormat/>
    <w:uiPriority w:val="99"/>
    <w:rPr>
      <w:rFonts w:ascii="Times New Roman" w:hAnsi="Times New Roman" w:eastAsia="宋体" w:cs="Times New Roman"/>
      <w:bCs/>
      <w:szCs w:val="32"/>
    </w:rPr>
  </w:style>
  <w:style w:type="character" w:customStyle="1" w:styleId="30">
    <w:name w:val="批注文字 Char"/>
    <w:link w:val="6"/>
    <w:autoRedefine/>
    <w:semiHidden/>
    <w:qFormat/>
    <w:uiPriority w:val="99"/>
    <w:rPr>
      <w:kern w:val="2"/>
      <w:sz w:val="21"/>
      <w:szCs w:val="24"/>
    </w:rPr>
  </w:style>
  <w:style w:type="character" w:customStyle="1" w:styleId="31">
    <w:name w:val="批注框文本 Char"/>
    <w:link w:val="11"/>
    <w:autoRedefine/>
    <w:semiHidden/>
    <w:qFormat/>
    <w:uiPriority w:val="99"/>
    <w:rPr>
      <w:sz w:val="18"/>
      <w:szCs w:val="18"/>
    </w:rPr>
  </w:style>
  <w:style w:type="character" w:customStyle="1" w:styleId="32">
    <w:name w:val="页脚 Char"/>
    <w:link w:val="12"/>
    <w:autoRedefine/>
    <w:qFormat/>
    <w:uiPriority w:val="99"/>
    <w:rPr>
      <w:sz w:val="18"/>
      <w:szCs w:val="18"/>
    </w:rPr>
  </w:style>
  <w:style w:type="character" w:customStyle="1" w:styleId="33">
    <w:name w:val="页眉 Char"/>
    <w:link w:val="13"/>
    <w:autoRedefine/>
    <w:semiHidden/>
    <w:qFormat/>
    <w:uiPriority w:val="99"/>
    <w:rPr>
      <w:sz w:val="18"/>
      <w:szCs w:val="18"/>
    </w:rPr>
  </w:style>
  <w:style w:type="character" w:customStyle="1" w:styleId="34">
    <w:name w:val="批注主题 Char"/>
    <w:link w:val="15"/>
    <w:autoRedefine/>
    <w:semiHidden/>
    <w:qFormat/>
    <w:uiPriority w:val="99"/>
    <w:rPr>
      <w:b/>
      <w:bCs/>
      <w:kern w:val="2"/>
      <w:sz w:val="21"/>
      <w:szCs w:val="24"/>
    </w:rPr>
  </w:style>
  <w:style w:type="character" w:customStyle="1" w:styleId="35">
    <w:name w:val="16"/>
    <w:autoRedefine/>
    <w:qFormat/>
    <w:uiPriority w:val="0"/>
    <w:rPr>
      <w:rFonts w:hint="default" w:ascii="Calibri" w:hAnsi="Calibri" w:cs="Calibri"/>
      <w:color w:val="0000FF"/>
      <w:u w:val="single"/>
    </w:rPr>
  </w:style>
  <w:style w:type="paragraph" w:customStyle="1" w:styleId="36">
    <w:name w:val="_Style 15"/>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37">
    <w:name w:val="公文正文"/>
    <w:autoRedefine/>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38">
    <w:name w:val="修订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39">
    <w:name w:val="title26"/>
    <w:basedOn w:val="19"/>
    <w:autoRedefine/>
    <w:qFormat/>
    <w:uiPriority w:val="0"/>
  </w:style>
  <w:style w:type="character" w:customStyle="1" w:styleId="40">
    <w:name w:val="username"/>
    <w:basedOn w:val="19"/>
    <w:autoRedefine/>
    <w:qFormat/>
    <w:uiPriority w:val="0"/>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13</Pages>
  <Words>3123</Words>
  <Characters>3252</Characters>
  <Lines>79</Lines>
  <Paragraphs>22</Paragraphs>
  <TotalTime>7</TotalTime>
  <ScaleCrop>false</ScaleCrop>
  <LinksUpToDate>false</LinksUpToDate>
  <CharactersWithSpaces>3301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2024-01-21T02:00:00Z</dcterms:created>
  <dc:creator>NTKO</dc:creator>
  <cp:lastModifiedBy>Administrator</cp:lastModifiedBy>
  <cp:lastPrinted>2020-04-09T19:17:00Z</cp:lastPrinted>
  <dcterms:modified xsi:type="dcterms:W3CDTF">2025-03-10T00:57:57Z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50559241A6E34129AFF097D890104271</vt:lpwstr>
  </property>
  <property fmtid="{D5CDD505-2E9C-101B-9397-08002B2CF9AE}" pid="4" name="KSOTemplateDocerSaveRecord">
    <vt:lpwstr>eyJoZGlkIjoiMmNjNDQ4MDQ4YjFlYmEwYWRlYjdkZjk3MjQyNzRhNzMiLCJ1c2VySWQiOiIyMDYzMTExODMifQ==</vt:lpwstr>
  </property>
</Properties>
</file>