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adjustRightInd w:val="0"/>
        <w:spacing w:before="0" w:after="120" w:afterLines="50" w:line="360" w:lineRule="auto"/>
        <w:textAlignment w:val="baseline"/>
        <w:outlineLvl w:val="0"/>
        <w:rPr>
          <w:rFonts w:ascii="宋体" w:hAnsi="宋体"/>
          <w:color w:val="auto"/>
          <w:highlight w:val="none"/>
        </w:rPr>
      </w:pPr>
      <w:bookmarkStart w:id="0" w:name="_Toc8835"/>
      <w:bookmarkStart w:id="1" w:name="_Toc1562"/>
      <w:bookmarkStart w:id="2" w:name="_Toc19059"/>
      <w:bookmarkStart w:id="60" w:name="_GoBack"/>
      <w:r>
        <w:rPr>
          <w:rFonts w:hint="eastAsia" w:ascii="宋体" w:hAnsi="宋体" w:eastAsia="宋体" w:cs="宋体"/>
          <w:color w:val="auto"/>
          <w:sz w:val="44"/>
          <w:szCs w:val="44"/>
          <w:highlight w:val="none"/>
          <w:lang w:eastAsia="zh-CN"/>
        </w:rPr>
        <w:t>中新科技文化艺术中心之智荟塔（高端酒店）项目</w:t>
      </w:r>
      <w:r>
        <w:rPr>
          <w:rFonts w:hint="eastAsia" w:ascii="宋体" w:hAnsi="宋体"/>
          <w:color w:val="auto"/>
          <w:highlight w:val="none"/>
        </w:rPr>
        <w:t>监理合同</w:t>
      </w:r>
    </w:p>
    <w:p>
      <w:pPr>
        <w:spacing w:line="360" w:lineRule="auto"/>
        <w:ind w:firstLine="720" w:firstLineChars="300"/>
        <w:jc w:val="left"/>
        <w:rPr>
          <w:snapToGrid w:val="0"/>
          <w:color w:val="auto"/>
          <w:sz w:val="24"/>
          <w:highlight w:val="none"/>
        </w:rPr>
      </w:pPr>
    </w:p>
    <w:p>
      <w:pPr>
        <w:spacing w:line="360" w:lineRule="auto"/>
        <w:ind w:firstLine="720" w:firstLineChars="300"/>
        <w:jc w:val="left"/>
        <w:rPr>
          <w:rFonts w:hint="eastAsia" w:eastAsia="宋体"/>
          <w:snapToGrid w:val="0"/>
          <w:color w:val="auto"/>
          <w:sz w:val="24"/>
          <w:highlight w:val="none"/>
          <w:u w:val="single"/>
          <w:lang w:val="en-US" w:eastAsia="zh-CN"/>
        </w:rPr>
      </w:pPr>
      <w:r>
        <w:rPr>
          <w:rFonts w:hint="eastAsia"/>
          <w:snapToGrid w:val="0"/>
          <w:color w:val="auto"/>
          <w:sz w:val="24"/>
          <w:highlight w:val="none"/>
        </w:rPr>
        <w:t xml:space="preserve"> 委托人（甲方）：</w:t>
      </w:r>
    </w:p>
    <w:p>
      <w:pPr>
        <w:spacing w:line="360" w:lineRule="auto"/>
        <w:ind w:firstLine="720" w:firstLineChars="300"/>
        <w:rPr>
          <w:snapToGrid w:val="0"/>
          <w:color w:val="auto"/>
          <w:sz w:val="24"/>
          <w:highlight w:val="none"/>
        </w:rPr>
      </w:pPr>
      <w:r>
        <w:rPr>
          <w:rFonts w:hint="eastAsia"/>
          <w:snapToGrid w:val="0"/>
          <w:color w:val="auto"/>
          <w:sz w:val="24"/>
          <w:highlight w:val="none"/>
        </w:rPr>
        <w:t xml:space="preserve"> 监理人（乙方）：</w:t>
      </w:r>
      <w:r>
        <w:rPr>
          <w:snapToGrid w:val="0"/>
          <w:color w:val="auto"/>
          <w:sz w:val="24"/>
          <w:highlight w:val="none"/>
        </w:rPr>
        <w:t xml:space="preserve"> </w:t>
      </w:r>
    </w:p>
    <w:p>
      <w:pPr>
        <w:pStyle w:val="24"/>
        <w:spacing w:before="0" w:after="120" w:afterLines="50" w:line="360" w:lineRule="auto"/>
        <w:jc w:val="both"/>
        <w:rPr>
          <w:rFonts w:ascii="宋体" w:hAnsi="宋体"/>
          <w:color w:val="auto"/>
          <w:highlight w:val="none"/>
        </w:rPr>
      </w:pPr>
    </w:p>
    <w:p>
      <w:pPr>
        <w:spacing w:line="360" w:lineRule="auto"/>
        <w:ind w:firstLine="720" w:firstLineChars="300"/>
        <w:rPr>
          <w:rFonts w:ascii="宋体" w:hAnsi="宋体"/>
          <w:color w:val="auto"/>
          <w:sz w:val="24"/>
          <w:highlight w:val="none"/>
        </w:rPr>
      </w:pPr>
      <w:r>
        <w:rPr>
          <w:rFonts w:hint="eastAsia"/>
          <w:snapToGrid w:val="0"/>
          <w:color w:val="auto"/>
          <w:sz w:val="24"/>
          <w:highlight w:val="none"/>
          <w:u w:val="single"/>
          <w:lang w:eastAsia="zh-CN"/>
        </w:rPr>
        <w:t>广州开投创智荟投资开发有限公司</w:t>
      </w:r>
      <w:r>
        <w:rPr>
          <w:snapToGrid w:val="0"/>
          <w:color w:val="auto"/>
          <w:sz w:val="24"/>
          <w:highlight w:val="none"/>
        </w:rPr>
        <w:t>（以下称甲方）经</w:t>
      </w:r>
      <w:r>
        <w:rPr>
          <w:rFonts w:hint="eastAsia" w:ascii="宋体" w:hAnsi="宋体"/>
          <w:color w:val="auto"/>
          <w:sz w:val="24"/>
          <w:highlight w:val="none"/>
          <w:u w:val="single"/>
        </w:rPr>
        <w:t>公开招标</w:t>
      </w:r>
      <w:r>
        <w:rPr>
          <w:rFonts w:hint="eastAsia"/>
          <w:snapToGrid w:val="0"/>
          <w:color w:val="auto"/>
          <w:sz w:val="24"/>
          <w:highlight w:val="none"/>
        </w:rPr>
        <w:t>，委托</w:t>
      </w:r>
      <w:r>
        <w:rPr>
          <w:rFonts w:hint="eastAsia"/>
          <w:snapToGrid w:val="0"/>
          <w:color w:val="auto"/>
          <w:sz w:val="24"/>
          <w:highlight w:val="none"/>
          <w:u w:val="single"/>
        </w:rPr>
        <w:t xml:space="preserve"> </w:t>
      </w:r>
      <w:r>
        <w:rPr>
          <w:snapToGrid w:val="0"/>
          <w:color w:val="auto"/>
          <w:sz w:val="24"/>
          <w:highlight w:val="none"/>
          <w:u w:val="single"/>
        </w:rPr>
        <w:t xml:space="preserve">          </w:t>
      </w:r>
      <w:r>
        <w:rPr>
          <w:snapToGrid w:val="0"/>
          <w:color w:val="auto"/>
          <w:sz w:val="24"/>
          <w:highlight w:val="none"/>
        </w:rPr>
        <w:t>（以下称乙方）</w:t>
      </w:r>
      <w:r>
        <w:rPr>
          <w:rFonts w:hint="eastAsia"/>
          <w:snapToGrid w:val="0"/>
          <w:color w:val="auto"/>
          <w:sz w:val="24"/>
          <w:highlight w:val="none"/>
        </w:rPr>
        <w:t>承担</w:t>
      </w:r>
      <w:r>
        <w:rPr>
          <w:rFonts w:hint="eastAsia"/>
          <w:snapToGrid w:val="0"/>
          <w:color w:val="auto"/>
          <w:sz w:val="24"/>
          <w:highlight w:val="none"/>
          <w:u w:val="single"/>
        </w:rPr>
        <w:t xml:space="preserve"> </w:t>
      </w:r>
      <w:r>
        <w:rPr>
          <w:snapToGrid w:val="0"/>
          <w:color w:val="auto"/>
          <w:sz w:val="24"/>
          <w:highlight w:val="none"/>
          <w:u w:val="single"/>
        </w:rPr>
        <w:t xml:space="preserve">          </w:t>
      </w:r>
      <w:r>
        <w:rPr>
          <w:rFonts w:hint="eastAsia"/>
          <w:snapToGrid w:val="0"/>
          <w:color w:val="auto"/>
          <w:sz w:val="24"/>
          <w:highlight w:val="none"/>
        </w:rPr>
        <w:t>（中标通知书编号：</w:t>
      </w:r>
      <w:r>
        <w:rPr>
          <w:rFonts w:hint="eastAsia"/>
          <w:snapToGrid w:val="0"/>
          <w:color w:val="auto"/>
          <w:sz w:val="24"/>
          <w:highlight w:val="none"/>
          <w:u w:val="single"/>
        </w:rPr>
        <w:t xml:space="preserve"> </w:t>
      </w:r>
      <w:r>
        <w:rPr>
          <w:snapToGrid w:val="0"/>
          <w:color w:val="auto"/>
          <w:sz w:val="24"/>
          <w:highlight w:val="none"/>
          <w:u w:val="single"/>
        </w:rPr>
        <w:t xml:space="preserve">          </w:t>
      </w:r>
      <w:r>
        <w:rPr>
          <w:rFonts w:hint="eastAsia" w:ascii="宋体" w:hAnsi="宋体"/>
          <w:color w:val="auto"/>
          <w:sz w:val="24"/>
          <w:highlight w:val="none"/>
          <w:u w:val="single"/>
        </w:rPr>
        <w:t>号</w:t>
      </w:r>
      <w:r>
        <w:rPr>
          <w:rFonts w:hint="eastAsia"/>
          <w:snapToGrid w:val="0"/>
          <w:color w:val="auto"/>
          <w:sz w:val="24"/>
          <w:highlight w:val="none"/>
        </w:rPr>
        <w:t>。</w:t>
      </w:r>
      <w:r>
        <w:rPr>
          <w:rFonts w:hint="eastAsia" w:ascii="宋体" w:hAnsi="宋体"/>
          <w:color w:val="auto"/>
          <w:sz w:val="24"/>
          <w:highlight w:val="none"/>
        </w:rPr>
        <w:t>根据《中华人民共和国民法典》《中华人民共和国招标投标法》及相关法律、行政法规，遵循平等、自愿、公平和诚信原则，合同双方就</w:t>
      </w:r>
      <w:r>
        <w:rPr>
          <w:rFonts w:hint="eastAsia"/>
          <w:snapToGrid w:val="0"/>
          <w:color w:val="auto"/>
          <w:sz w:val="24"/>
          <w:highlight w:val="none"/>
          <w:u w:val="single"/>
        </w:rPr>
        <w:t xml:space="preserve"> </w:t>
      </w:r>
      <w:r>
        <w:rPr>
          <w:snapToGrid w:val="0"/>
          <w:color w:val="auto"/>
          <w:sz w:val="24"/>
          <w:highlight w:val="none"/>
          <w:u w:val="single"/>
        </w:rPr>
        <w:t xml:space="preserve">          </w:t>
      </w:r>
      <w:r>
        <w:rPr>
          <w:rFonts w:hint="eastAsia" w:ascii="宋体" w:hAnsi="宋体"/>
          <w:color w:val="auto"/>
          <w:sz w:val="24"/>
          <w:highlight w:val="none"/>
        </w:rPr>
        <w:t>事宜经协商一致，订立本合同。</w:t>
      </w:r>
    </w:p>
    <w:p>
      <w:pPr>
        <w:adjustRightInd w:val="0"/>
        <w:snapToGrid w:val="0"/>
        <w:spacing w:line="360" w:lineRule="auto"/>
        <w:ind w:firstLine="424" w:firstLineChars="177"/>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一、委托人委托监理人监理的工程（以下简称“本工程”）概况如下：</w:t>
      </w:r>
    </w:p>
    <w:p>
      <w:pPr>
        <w:spacing w:line="360" w:lineRule="auto"/>
        <w:ind w:firstLine="480" w:firstLineChars="200"/>
        <w:rPr>
          <w:rFonts w:hint="eastAsia" w:ascii="Times New Roman" w:hAnsi="Times New Roman" w:eastAsia="宋体" w:cs="Times New Roman"/>
          <w:snapToGrid w:val="0"/>
          <w:color w:val="auto"/>
          <w:sz w:val="24"/>
          <w:szCs w:val="24"/>
          <w:highlight w:val="none"/>
          <w:u w:val="single"/>
        </w:rPr>
      </w:pPr>
      <w:r>
        <w:rPr>
          <w:rFonts w:hint="eastAsia" w:ascii="宋体" w:hAnsi="宋体" w:eastAsia="宋体" w:cs="Times New Roman"/>
          <w:color w:val="auto"/>
          <w:sz w:val="24"/>
          <w:szCs w:val="24"/>
          <w:highlight w:val="none"/>
        </w:rPr>
        <w:t>1、本工程名称：</w:t>
      </w:r>
      <w:r>
        <w:rPr>
          <w:rFonts w:hint="eastAsia" w:ascii="Times New Roman" w:hAnsi="Times New Roman" w:eastAsia="宋体" w:cs="Times New Roman"/>
          <w:snapToGrid w:val="0"/>
          <w:color w:val="auto"/>
          <w:sz w:val="24"/>
          <w:szCs w:val="24"/>
          <w:highlight w:val="none"/>
          <w:u w:val="single"/>
          <w:lang w:eastAsia="zh-CN"/>
        </w:rPr>
        <w:t>中新科技文化艺术中心之智荟塔（高端酒店）项目监理服务</w:t>
      </w:r>
    </w:p>
    <w:p>
      <w:pPr>
        <w:adjustRightInd w:val="0"/>
        <w:snapToGrid w:val="0"/>
        <w:spacing w:line="360" w:lineRule="auto"/>
        <w:ind w:firstLine="424" w:firstLineChars="177"/>
        <w:rPr>
          <w:rFonts w:hint="eastAsia" w:ascii="Times New Roman" w:hAnsi="Times New Roman" w:eastAsia="宋体" w:cs="Times New Roman"/>
          <w:snapToGrid w:val="0"/>
          <w:color w:val="auto"/>
          <w:sz w:val="24"/>
          <w:szCs w:val="24"/>
          <w:highlight w:val="none"/>
          <w:u w:val="single"/>
          <w:lang w:eastAsia="zh-CN"/>
        </w:rPr>
      </w:pPr>
      <w:r>
        <w:rPr>
          <w:rFonts w:hint="eastAsia" w:ascii="宋体" w:hAnsi="宋体" w:eastAsia="宋体" w:cs="Times New Roman"/>
          <w:color w:val="auto"/>
          <w:sz w:val="24"/>
          <w:szCs w:val="24"/>
          <w:highlight w:val="none"/>
        </w:rPr>
        <w:t>2、本工程地点：</w:t>
      </w:r>
      <w:r>
        <w:rPr>
          <w:rFonts w:hint="eastAsia" w:ascii="Times New Roman" w:hAnsi="Times New Roman" w:eastAsia="宋体" w:cs="Times New Roman"/>
          <w:snapToGrid w:val="0"/>
          <w:color w:val="auto"/>
          <w:sz w:val="24"/>
          <w:szCs w:val="24"/>
          <w:highlight w:val="none"/>
          <w:u w:val="single"/>
          <w:lang w:eastAsia="zh-CN"/>
        </w:rPr>
        <w:t>广州市黄埔区。</w:t>
      </w:r>
    </w:p>
    <w:p>
      <w:pPr>
        <w:adjustRightInd w:val="0"/>
        <w:snapToGrid w:val="0"/>
        <w:spacing w:line="360" w:lineRule="auto"/>
        <w:ind w:firstLine="424" w:firstLineChars="177"/>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3、本工程费用</w:t>
      </w:r>
      <w:r>
        <w:rPr>
          <w:rFonts w:hint="eastAsia" w:ascii="宋体" w:hAnsi="宋体" w:eastAsia="宋体" w:cs="Times New Roman"/>
          <w:color w:val="auto"/>
          <w:sz w:val="24"/>
          <w:szCs w:val="24"/>
          <w:highlight w:val="none"/>
          <w:shd w:val="clear" w:color="auto" w:fill="FFFFFF"/>
        </w:rPr>
        <w:t>：</w:t>
      </w:r>
      <w:r>
        <w:rPr>
          <w:rFonts w:hint="eastAsia" w:ascii="宋体" w:hAnsi="宋体" w:eastAsia="宋体" w:cs="宋体"/>
          <w:color w:val="auto"/>
          <w:sz w:val="24"/>
          <w:szCs w:val="24"/>
          <w:highlight w:val="none"/>
          <w:u w:val="none"/>
        </w:rPr>
        <w:t>项目总投资为</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shd w:val="clear" w:color="auto" w:fill="auto"/>
        </w:rPr>
        <w:t>万元</w:t>
      </w:r>
      <w:r>
        <w:rPr>
          <w:rFonts w:hint="eastAsia" w:ascii="宋体" w:hAnsi="宋体" w:eastAsia="宋体" w:cs="宋体"/>
          <w:color w:val="auto"/>
          <w:sz w:val="24"/>
          <w:szCs w:val="24"/>
          <w:highlight w:val="none"/>
          <w:u w:val="none"/>
          <w:shd w:val="clear" w:color="auto" w:fill="auto"/>
          <w:lang w:eastAsia="zh-CN"/>
        </w:rPr>
        <w:t>。</w:t>
      </w:r>
    </w:p>
    <w:p>
      <w:pPr>
        <w:adjustRightInd w:val="0"/>
        <w:snapToGrid w:val="0"/>
        <w:spacing w:line="360" w:lineRule="auto"/>
        <w:ind w:firstLine="424" w:firstLineChars="177"/>
        <w:rPr>
          <w:rFonts w:hint="eastAsia" w:ascii="宋体" w:hAnsi="宋体" w:eastAsia="宋体" w:cs="宋体"/>
          <w:color w:val="auto"/>
          <w:sz w:val="24"/>
          <w:szCs w:val="24"/>
          <w:highlight w:val="none"/>
          <w:u w:val="single"/>
          <w:shd w:val="clear" w:color="auto" w:fill="auto"/>
          <w:lang w:eastAsia="zh-CN"/>
        </w:rPr>
      </w:pPr>
      <w:r>
        <w:rPr>
          <w:rFonts w:hint="eastAsia" w:ascii="宋体" w:hAnsi="宋体" w:eastAsia="宋体" w:cs="Times New Roman"/>
          <w:color w:val="auto"/>
          <w:sz w:val="24"/>
          <w:szCs w:val="24"/>
          <w:highlight w:val="none"/>
        </w:rPr>
        <w:t>4、本工程规模：</w:t>
      </w:r>
      <w:r>
        <w:rPr>
          <w:rFonts w:hint="eastAsia" w:ascii="宋体" w:hAnsi="宋体" w:eastAsia="宋体" w:cs="Times New Roman"/>
          <w:color w:val="auto"/>
          <w:sz w:val="24"/>
          <w:szCs w:val="24"/>
          <w:highlight w:val="none"/>
        </w:rPr>
        <w:t>项目总建设面积134286平方米，建筑</w:t>
      </w:r>
      <w:r>
        <w:rPr>
          <w:rFonts w:hint="eastAsia" w:ascii="宋体" w:hAnsi="宋体" w:cs="Times New Roman"/>
          <w:color w:val="auto"/>
          <w:sz w:val="24"/>
          <w:szCs w:val="24"/>
          <w:highlight w:val="none"/>
          <w:lang w:val="en-US" w:eastAsia="zh-CN"/>
        </w:rPr>
        <w:t>结构</w:t>
      </w:r>
      <w:r>
        <w:rPr>
          <w:rFonts w:hint="eastAsia" w:ascii="宋体" w:hAnsi="宋体" w:eastAsia="宋体" w:cs="Times New Roman"/>
          <w:color w:val="auto"/>
          <w:sz w:val="24"/>
          <w:szCs w:val="24"/>
          <w:highlight w:val="none"/>
        </w:rPr>
        <w:t>高度最高约180米，其中计容面积100338平方米（含办公面积60880平方米，酒店32404平方米，商业7053.50平方米）；不计容面积33949平方米（包括地下停车面积32866平方米，地上避难层面积1082.80平方米），此外还包括相关的室外工程等（经有审核权的相关主管部门批复为准）</w:t>
      </w:r>
      <w:r>
        <w:rPr>
          <w:rFonts w:hint="eastAsia" w:ascii="宋体" w:hAnsi="宋体" w:cs="Times New Roman"/>
          <w:color w:val="auto"/>
          <w:sz w:val="24"/>
          <w:szCs w:val="24"/>
          <w:highlight w:val="none"/>
          <w:lang w:eastAsia="zh-CN"/>
        </w:rPr>
        <w:t>。</w:t>
      </w:r>
    </w:p>
    <w:p>
      <w:pPr>
        <w:adjustRightInd w:val="0"/>
        <w:snapToGrid w:val="0"/>
        <w:spacing w:line="360" w:lineRule="auto"/>
        <w:ind w:firstLine="424" w:firstLineChars="177"/>
        <w:rPr>
          <w:rFonts w:ascii="宋体" w:hAnsi="宋体"/>
          <w:color w:val="auto"/>
          <w:sz w:val="24"/>
          <w:highlight w:val="none"/>
        </w:rPr>
      </w:pPr>
      <w:r>
        <w:rPr>
          <w:rFonts w:hint="eastAsia" w:ascii="宋体" w:hAnsi="宋体"/>
          <w:color w:val="auto"/>
          <w:sz w:val="24"/>
          <w:highlight w:val="none"/>
        </w:rPr>
        <w:t>二、监理费用及服务范围</w:t>
      </w:r>
    </w:p>
    <w:p>
      <w:pPr>
        <w:shd w:val="clear" w:color="auto" w:fill="auto"/>
        <w:spacing w:line="360" w:lineRule="auto"/>
        <w:ind w:left="536" w:leftChars="228" w:hanging="57" w:hangingChars="24"/>
        <w:jc w:val="left"/>
        <w:rPr>
          <w:rFonts w:hint="eastAsia"/>
          <w:snapToGrid w:val="0"/>
          <w:color w:val="auto"/>
          <w:sz w:val="24"/>
          <w:highlight w:val="none"/>
          <w:u w:val="single"/>
          <w:lang w:val="en-US" w:eastAsia="zh-CN"/>
        </w:rPr>
      </w:pPr>
      <w:r>
        <w:rPr>
          <w:rFonts w:hint="eastAsia" w:ascii="宋体" w:hAnsi="宋体"/>
          <w:color w:val="auto"/>
          <w:sz w:val="24"/>
          <w:highlight w:val="none"/>
        </w:rPr>
        <w:t>1、本工程</w:t>
      </w:r>
      <w:r>
        <w:rPr>
          <w:rFonts w:hint="eastAsia" w:ascii="宋体" w:hAnsi="宋体"/>
          <w:color w:val="auto"/>
          <w:sz w:val="24"/>
          <w:highlight w:val="none"/>
          <w:lang w:val="en-US" w:eastAsia="zh-CN"/>
        </w:rPr>
        <w:t>以监理投标的中标价为</w:t>
      </w:r>
      <w:r>
        <w:rPr>
          <w:rFonts w:hint="eastAsia" w:ascii="宋体" w:hAnsi="宋体"/>
          <w:color w:val="auto"/>
          <w:sz w:val="24"/>
          <w:highlight w:val="none"/>
        </w:rPr>
        <w:t>监理服务费用（含税）</w:t>
      </w:r>
      <w:r>
        <w:rPr>
          <w:rFonts w:hint="eastAsia" w:ascii="宋体" w:hAnsi="宋体"/>
          <w:color w:val="auto"/>
          <w:sz w:val="24"/>
          <w:highlight w:val="none"/>
          <w:lang w:val="en-US" w:eastAsia="zh-CN"/>
        </w:rPr>
        <w:t>合同暂定价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金额</w:t>
      </w:r>
      <w:r>
        <w:rPr>
          <w:rFonts w:hint="eastAsia" w:ascii="宋体" w:hAnsi="宋体"/>
          <w:color w:val="auto"/>
          <w:sz w:val="24"/>
          <w:highlight w:val="none"/>
        </w:rPr>
        <w:t>为：</w:t>
      </w:r>
      <w:r>
        <w:rPr>
          <w:rFonts w:hint="eastAsia" w:ascii="宋体" w:hAnsi="宋体"/>
          <w:color w:val="auto"/>
          <w:sz w:val="24"/>
          <w:highlight w:val="none"/>
          <w:u w:val="single"/>
        </w:rPr>
        <w:t xml:space="preserve"> </w:t>
      </w:r>
      <w:r>
        <w:rPr>
          <w:rFonts w:hint="eastAsia"/>
          <w:snapToGrid w:val="0"/>
          <w:color w:val="auto"/>
          <w:sz w:val="24"/>
          <w:highlight w:val="none"/>
          <w:u w:val="single"/>
        </w:rPr>
        <w:t xml:space="preserve"> </w:t>
      </w:r>
      <w:r>
        <w:rPr>
          <w:snapToGrid w:val="0"/>
          <w:color w:val="auto"/>
          <w:sz w:val="24"/>
          <w:highlight w:val="none"/>
          <w:u w:val="single"/>
        </w:rPr>
        <w:t xml:space="preserve">      </w:t>
      </w:r>
      <w:r>
        <w:rPr>
          <w:rFonts w:hint="eastAsia"/>
          <w:snapToGrid w:val="0"/>
          <w:color w:val="auto"/>
          <w:sz w:val="24"/>
          <w:highlight w:val="none"/>
          <w:u w:val="single"/>
          <w:lang w:val="en-US" w:eastAsia="zh-CN"/>
        </w:rPr>
        <w:t>元，</w:t>
      </w:r>
    </w:p>
    <w:p>
      <w:pPr>
        <w:shd w:val="clear" w:color="auto" w:fill="auto"/>
        <w:spacing w:line="360" w:lineRule="auto"/>
        <w:ind w:firstLine="480" w:firstLineChars="200"/>
        <w:jc w:val="left"/>
        <w:rPr>
          <w:rFonts w:hint="eastAsia"/>
          <w:snapToGrid w:val="0"/>
          <w:color w:val="auto"/>
          <w:sz w:val="24"/>
          <w:highlight w:val="none"/>
          <w:u w:val="none"/>
          <w:lang w:val="en-US" w:eastAsia="zh-CN"/>
        </w:rPr>
      </w:pPr>
      <w:r>
        <w:rPr>
          <w:rFonts w:hint="eastAsia" w:ascii="宋体" w:hAnsi="宋体"/>
          <w:color w:val="auto"/>
          <w:sz w:val="24"/>
          <w:highlight w:val="none"/>
          <w:u w:val="none"/>
          <w:lang w:val="en-US" w:eastAsia="zh-CN"/>
        </w:rPr>
        <w:t>2</w:t>
      </w:r>
      <w:r>
        <w:rPr>
          <w:rFonts w:hint="eastAsia"/>
          <w:snapToGrid w:val="0"/>
          <w:color w:val="auto"/>
          <w:sz w:val="24"/>
          <w:highlight w:val="none"/>
          <w:u w:val="none"/>
          <w:lang w:val="en-US" w:eastAsia="zh-CN"/>
        </w:rPr>
        <w:t>、</w:t>
      </w:r>
      <w:r>
        <w:rPr>
          <w:rFonts w:hint="eastAsia"/>
          <w:snapToGrid w:val="0"/>
          <w:color w:val="auto"/>
          <w:sz w:val="24"/>
          <w:highlight w:val="none"/>
          <w:u w:val="none"/>
        </w:rPr>
        <w:t>本项目监理服务费</w:t>
      </w:r>
      <w:r>
        <w:rPr>
          <w:rFonts w:hint="eastAsia"/>
          <w:snapToGrid w:val="0"/>
          <w:color w:val="auto"/>
          <w:sz w:val="24"/>
          <w:highlight w:val="none"/>
          <w:u w:val="none"/>
          <w:lang w:val="en-US" w:eastAsia="zh-CN"/>
        </w:rPr>
        <w:t>结算价计算方式如下：</w:t>
      </w:r>
    </w:p>
    <w:p>
      <w:pPr>
        <w:adjustRightInd w:val="0"/>
        <w:snapToGrid w:val="0"/>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工程监理服务费根据关于印发《广州开发区、萝岗区财政投资基本建设财务管理规定》的通知（穗开财字〔2014〕53号）以及国家发展改革委、建设部《关于印发〈建设工程监理与相关服务收费管理规定〉的通知》（发改价格〔2007〕670号）的收费标准计算，编制服务费总价结合现行市场行情下浮30%计取。</w:t>
      </w:r>
    </w:p>
    <w:p>
      <w:pPr>
        <w:adjustRightInd w:val="0"/>
        <w:snapToGrid w:val="0"/>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2）工程监理服务费收费基准价以本项目勘察设计施工总承包</w:t>
      </w:r>
      <w:r>
        <w:rPr>
          <w:rFonts w:hint="eastAsia" w:ascii="宋体" w:hAnsi="宋体"/>
          <w:color w:val="auto"/>
          <w:sz w:val="24"/>
          <w:highlight w:val="none"/>
          <w:lang w:val="en-US" w:eastAsia="zh-CN"/>
        </w:rPr>
        <w:t>概算</w:t>
      </w:r>
      <w:r>
        <w:rPr>
          <w:rFonts w:hint="eastAsia" w:ascii="宋体" w:hAnsi="宋体" w:eastAsia="宋体"/>
          <w:color w:val="auto"/>
          <w:sz w:val="24"/>
          <w:highlight w:val="none"/>
          <w:lang w:val="en-US" w:eastAsia="zh-CN"/>
        </w:rPr>
        <w:t>的建安工程费（不含酒店二次装修）计算。</w:t>
      </w:r>
    </w:p>
    <w:p>
      <w:pPr>
        <w:adjustRightInd w:val="0"/>
        <w:snapToGrid w:val="0"/>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3）调整系数为1.0；工程复杂调整系数为1.0；高程调整系数为1.0。</w:t>
      </w:r>
    </w:p>
    <w:p>
      <w:pPr>
        <w:adjustRightInd w:val="0"/>
        <w:snapToGrid w:val="0"/>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r>
        <w:rPr>
          <w:rFonts w:hint="eastAsia" w:hAnsi="宋体" w:cs="宋体"/>
          <w:color w:val="auto"/>
          <w:kern w:val="2"/>
          <w:sz w:val="24"/>
          <w:szCs w:val="24"/>
          <w:highlight w:val="none"/>
          <w:lang w:val="en-US" w:eastAsia="zh-CN" w:bidi="ar-SA"/>
        </w:rPr>
        <w:t>若</w:t>
      </w:r>
      <w:r>
        <w:rPr>
          <w:rFonts w:hint="eastAsia" w:ascii="宋体" w:hAnsi="宋体" w:eastAsia="宋体" w:cs="宋体"/>
          <w:color w:val="auto"/>
          <w:kern w:val="2"/>
          <w:sz w:val="24"/>
          <w:szCs w:val="24"/>
          <w:highlight w:val="none"/>
          <w:lang w:val="en-US" w:eastAsia="zh-CN" w:bidi="ar-SA"/>
        </w:rPr>
        <w:t>本项目勘察设计施工总承包</w:t>
      </w:r>
      <w:r>
        <w:rPr>
          <w:rFonts w:hint="eastAsia" w:ascii="宋体" w:hAnsi="宋体"/>
          <w:color w:val="auto"/>
          <w:sz w:val="24"/>
          <w:highlight w:val="none"/>
          <w:lang w:val="en-US" w:eastAsia="zh-CN"/>
        </w:rPr>
        <w:t>概算</w:t>
      </w:r>
      <w:r>
        <w:rPr>
          <w:rFonts w:hint="eastAsia" w:ascii="宋体" w:hAnsi="宋体" w:eastAsia="宋体"/>
          <w:color w:val="auto"/>
          <w:sz w:val="24"/>
          <w:highlight w:val="none"/>
          <w:lang w:val="en-US" w:eastAsia="zh-CN"/>
        </w:rPr>
        <w:t>的建安工程费（不含酒店二次装修）</w:t>
      </w:r>
      <w:r>
        <w:rPr>
          <w:rFonts w:hint="eastAsia" w:hAnsi="宋体" w:cs="宋体"/>
          <w:color w:val="auto"/>
          <w:kern w:val="2"/>
          <w:sz w:val="24"/>
          <w:szCs w:val="24"/>
          <w:highlight w:val="none"/>
          <w:lang w:val="en-US" w:eastAsia="zh-CN" w:bidi="ar-SA"/>
        </w:rPr>
        <w:t>在80000万元~</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0000</w:t>
      </w:r>
      <w:r>
        <w:rPr>
          <w:rFonts w:hint="eastAsia" w:hAnsi="宋体" w:cs="宋体"/>
          <w:color w:val="auto"/>
          <w:kern w:val="2"/>
          <w:sz w:val="24"/>
          <w:szCs w:val="24"/>
          <w:highlight w:val="none"/>
          <w:lang w:val="en-US" w:eastAsia="zh-CN" w:bidi="ar-SA"/>
        </w:rPr>
        <w:t>万元之间，</w:t>
      </w:r>
      <w:r>
        <w:rPr>
          <w:rFonts w:hint="eastAsia" w:ascii="宋体" w:hAnsi="宋体" w:eastAsia="宋体"/>
          <w:color w:val="auto"/>
          <w:sz w:val="24"/>
          <w:highlight w:val="none"/>
          <w:lang w:val="en-US" w:eastAsia="zh-CN"/>
        </w:rPr>
        <w:t xml:space="preserve">监理服务费结算价计算式为：   </w:t>
      </w:r>
    </w:p>
    <w:p>
      <w:pPr>
        <w:adjustRightInd w:val="0"/>
        <w:snapToGrid w:val="0"/>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[1255.8+(1507-1255.8)/(100000-80000)*(本项目勘察设计施工总承包</w:t>
      </w:r>
      <w:r>
        <w:rPr>
          <w:rFonts w:hint="eastAsia" w:ascii="宋体" w:hAnsi="宋体"/>
          <w:color w:val="auto"/>
          <w:sz w:val="24"/>
          <w:highlight w:val="none"/>
          <w:lang w:val="en-US" w:eastAsia="zh-CN"/>
        </w:rPr>
        <w:t>概算</w:t>
      </w:r>
      <w:r>
        <w:rPr>
          <w:rFonts w:hint="eastAsia" w:ascii="宋体" w:hAnsi="宋体" w:eastAsia="宋体"/>
          <w:color w:val="auto"/>
          <w:sz w:val="24"/>
          <w:highlight w:val="none"/>
          <w:lang w:val="en-US" w:eastAsia="zh-CN"/>
        </w:rPr>
        <w:t>的建安工程费（不含酒店二次装修）-80000)]*1.0*1.0*1.0*（1-30%）*（1-投标下浮率）。</w:t>
      </w:r>
    </w:p>
    <w:p>
      <w:pPr>
        <w:adjustRightInd w:val="0"/>
        <w:snapToGrid w:val="0"/>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eastAsia="宋体"/>
          <w:color w:val="auto"/>
          <w:sz w:val="24"/>
          <w:highlight w:val="none"/>
          <w:lang w:val="en-US" w:eastAsia="zh-CN"/>
        </w:rPr>
        <w:t>若本项目勘察设计施工总承包</w:t>
      </w:r>
      <w:r>
        <w:rPr>
          <w:rFonts w:hint="eastAsia" w:ascii="宋体" w:hAnsi="宋体"/>
          <w:color w:val="auto"/>
          <w:sz w:val="24"/>
          <w:highlight w:val="none"/>
          <w:lang w:val="en-US" w:eastAsia="zh-CN"/>
        </w:rPr>
        <w:t>概算</w:t>
      </w:r>
      <w:r>
        <w:rPr>
          <w:rFonts w:hint="eastAsia" w:ascii="宋体" w:hAnsi="宋体" w:eastAsia="宋体"/>
          <w:color w:val="auto"/>
          <w:sz w:val="24"/>
          <w:highlight w:val="none"/>
          <w:lang w:val="en-US" w:eastAsia="zh-CN"/>
        </w:rPr>
        <w:t>的建安工程费（不含酒店二次装修）在60000万元~80000万元之间，监理服务费结算价计算式为：</w:t>
      </w:r>
    </w:p>
    <w:p>
      <w:pPr>
        <w:adjustRightInd w:val="0"/>
        <w:snapToGrid w:val="0"/>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[991.4+(1255.8-991.40)/(80000-60000)*(本项目勘察设计施工总承包</w:t>
      </w:r>
      <w:r>
        <w:rPr>
          <w:rFonts w:hint="eastAsia" w:ascii="宋体" w:hAnsi="宋体"/>
          <w:color w:val="auto"/>
          <w:sz w:val="24"/>
          <w:highlight w:val="none"/>
          <w:lang w:val="en-US" w:eastAsia="zh-CN"/>
        </w:rPr>
        <w:t>概算</w:t>
      </w:r>
      <w:r>
        <w:rPr>
          <w:rFonts w:hint="eastAsia" w:ascii="宋体" w:hAnsi="宋体" w:eastAsia="宋体"/>
          <w:color w:val="auto"/>
          <w:sz w:val="24"/>
          <w:highlight w:val="none"/>
          <w:lang w:val="en-US" w:eastAsia="zh-CN"/>
        </w:rPr>
        <w:t xml:space="preserve">的建安工程费（不含酒店二次装修）-60000)]*1.0*1.0*1.0*（1-30%）*（1-投标下浮率）。 </w:t>
      </w:r>
    </w:p>
    <w:p>
      <w:pPr>
        <w:adjustRightInd w:val="0"/>
        <w:snapToGrid w:val="0"/>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6）若本项目勘察设计施工总承包</w:t>
      </w:r>
      <w:r>
        <w:rPr>
          <w:rFonts w:hint="eastAsia" w:ascii="宋体" w:hAnsi="宋体"/>
          <w:color w:val="auto"/>
          <w:sz w:val="24"/>
          <w:highlight w:val="none"/>
          <w:lang w:val="en-US" w:eastAsia="zh-CN"/>
        </w:rPr>
        <w:t>概算</w:t>
      </w:r>
      <w:r>
        <w:rPr>
          <w:rFonts w:hint="eastAsia" w:ascii="宋体" w:hAnsi="宋体" w:eastAsia="宋体"/>
          <w:color w:val="auto"/>
          <w:sz w:val="24"/>
          <w:highlight w:val="none"/>
          <w:lang w:val="en-US" w:eastAsia="zh-CN"/>
        </w:rPr>
        <w:t>的建安工程费（不含酒店二次装修）超出了上述计算公式的价格范围，按国家发展改革委、建设部《关于印发〈建设工程监理与相关服务收费管理规定〉的通知》（发改价格〔2007〕670号）的收费标准计算，再乘上述系数及相关下浮率。</w:t>
      </w:r>
    </w:p>
    <w:p>
      <w:pPr>
        <w:adjustRightInd w:val="0"/>
        <w:snapToGrid w:val="0"/>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7）监理服务费结算价低于合同暂定价按实结算，高于合同暂定价按合同暂定价结算。</w:t>
      </w:r>
    </w:p>
    <w:p>
      <w:pPr>
        <w:adjustRightInd w:val="0"/>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lang w:val="en-US" w:eastAsia="zh-CN"/>
        </w:rPr>
        <w:t>3</w:t>
      </w:r>
      <w:r>
        <w:rPr>
          <w:rFonts w:hint="eastAsia" w:ascii="宋体" w:hAnsi="宋体"/>
          <w:color w:val="auto"/>
          <w:sz w:val="24"/>
          <w:highlight w:val="none"/>
        </w:rPr>
        <w:t>、监理范围：</w:t>
      </w:r>
      <w:r>
        <w:rPr>
          <w:rFonts w:hint="eastAsia" w:ascii="宋体" w:hAnsi="宋体"/>
          <w:color w:val="auto"/>
          <w:sz w:val="24"/>
          <w:highlight w:val="none"/>
          <w:u w:val="single"/>
        </w:rPr>
        <w:t>监理内容包括但不限于以下内容：施工准备阶</w:t>
      </w:r>
      <w:r>
        <w:rPr>
          <w:rFonts w:hint="eastAsia" w:ascii="宋体" w:hAnsi="宋体"/>
          <w:color w:val="auto"/>
          <w:sz w:val="24"/>
          <w:highlight w:val="none"/>
          <w:u w:val="single"/>
        </w:rPr>
        <w:t>段、施工阶段</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含酒店装修工程</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、竣工结算阶段、保修阶段的质量、投资、进度、安全</w:t>
      </w:r>
      <w:r>
        <w:rPr>
          <w:rFonts w:hint="eastAsia" w:ascii="宋体" w:hAnsi="宋体"/>
          <w:color w:val="auto"/>
          <w:sz w:val="24"/>
          <w:highlight w:val="none"/>
          <w:u w:val="single"/>
        </w:rPr>
        <w:t>控制；监督、管理建设工程合同的履行，以及协调建设单位和工程建设有关各方的工作关系，预、结算审核、竣工图审核等。</w:t>
      </w:r>
    </w:p>
    <w:p>
      <w:pPr>
        <w:adjustRightInd w:val="0"/>
        <w:snapToGrid w:val="0"/>
        <w:spacing w:line="360" w:lineRule="auto"/>
        <w:ind w:firstLine="424" w:firstLineChars="177"/>
        <w:rPr>
          <w:rFonts w:ascii="宋体" w:hAnsi="宋体"/>
          <w:color w:val="auto"/>
          <w:sz w:val="24"/>
          <w:highlight w:val="none"/>
        </w:rPr>
      </w:pPr>
      <w:r>
        <w:rPr>
          <w:rFonts w:hint="eastAsia" w:ascii="宋体" w:hAnsi="宋体"/>
          <w:color w:val="auto"/>
          <w:sz w:val="24"/>
          <w:highlight w:val="none"/>
        </w:rPr>
        <w:t>三、本合同中的有关词语含义与本合同第二部分《通用条款》中赋予它们的定义相同。</w:t>
      </w:r>
    </w:p>
    <w:p>
      <w:pPr>
        <w:adjustRightInd w:val="0"/>
        <w:snapToGrid w:val="0"/>
        <w:spacing w:line="360" w:lineRule="auto"/>
        <w:ind w:firstLine="424" w:firstLineChars="177"/>
        <w:rPr>
          <w:rFonts w:ascii="宋体" w:hAnsi="宋体"/>
          <w:color w:val="auto"/>
          <w:sz w:val="24"/>
          <w:highlight w:val="none"/>
        </w:rPr>
      </w:pPr>
      <w:r>
        <w:rPr>
          <w:rFonts w:hint="eastAsia" w:ascii="宋体" w:hAnsi="宋体"/>
          <w:color w:val="auto"/>
          <w:sz w:val="24"/>
          <w:highlight w:val="none"/>
        </w:rPr>
        <w:t>四、下列文件均为本合同的组成部分：</w:t>
      </w:r>
    </w:p>
    <w:p>
      <w:pPr>
        <w:adjustRightInd w:val="0"/>
        <w:snapToGrid w:val="0"/>
        <w:spacing w:line="360" w:lineRule="auto"/>
        <w:ind w:firstLine="424" w:firstLineChars="177"/>
        <w:jc w:val="left"/>
        <w:rPr>
          <w:rFonts w:ascii="宋体" w:hAnsi="宋体"/>
          <w:color w:val="auto"/>
          <w:sz w:val="24"/>
          <w:highlight w:val="none"/>
        </w:rPr>
      </w:pPr>
      <w:r>
        <w:rPr>
          <w:rFonts w:hint="eastAsia" w:ascii="宋体" w:hAnsi="宋体"/>
          <w:color w:val="auto"/>
          <w:sz w:val="24"/>
          <w:highlight w:val="none"/>
        </w:rPr>
        <w:t>1、合同实施期间双方签订的补充或修正文件；（如有则附）</w:t>
      </w:r>
    </w:p>
    <w:p>
      <w:pPr>
        <w:adjustRightInd w:val="0"/>
        <w:snapToGrid w:val="0"/>
        <w:spacing w:line="360" w:lineRule="auto"/>
        <w:ind w:firstLine="424" w:firstLineChars="177"/>
        <w:jc w:val="left"/>
        <w:rPr>
          <w:rFonts w:ascii="宋体" w:hAnsi="宋体"/>
          <w:color w:val="auto"/>
          <w:sz w:val="24"/>
          <w:highlight w:val="none"/>
        </w:rPr>
      </w:pPr>
      <w:r>
        <w:rPr>
          <w:rFonts w:hint="eastAsia" w:ascii="宋体" w:hAnsi="宋体"/>
          <w:color w:val="auto"/>
          <w:sz w:val="24"/>
          <w:highlight w:val="none"/>
        </w:rPr>
        <w:t>2、本合同/协议书；</w:t>
      </w:r>
    </w:p>
    <w:p>
      <w:pPr>
        <w:adjustRightInd w:val="0"/>
        <w:snapToGrid w:val="0"/>
        <w:spacing w:line="360" w:lineRule="auto"/>
        <w:ind w:firstLine="424" w:firstLineChars="177"/>
        <w:jc w:val="left"/>
        <w:rPr>
          <w:rFonts w:ascii="宋体" w:hAnsi="宋体"/>
          <w:color w:val="auto"/>
          <w:sz w:val="24"/>
          <w:highlight w:val="none"/>
        </w:rPr>
      </w:pPr>
      <w:r>
        <w:rPr>
          <w:rFonts w:hint="eastAsia" w:ascii="宋体" w:hAnsi="宋体"/>
          <w:color w:val="auto"/>
          <w:sz w:val="24"/>
          <w:highlight w:val="none"/>
        </w:rPr>
        <w:t>3、中标通知书；</w:t>
      </w:r>
    </w:p>
    <w:p>
      <w:pPr>
        <w:adjustRightInd w:val="0"/>
        <w:snapToGrid w:val="0"/>
        <w:spacing w:line="360" w:lineRule="auto"/>
        <w:ind w:firstLine="424" w:firstLineChars="177"/>
        <w:jc w:val="left"/>
        <w:rPr>
          <w:rFonts w:ascii="宋体" w:hAnsi="宋体"/>
          <w:color w:val="auto"/>
          <w:sz w:val="24"/>
          <w:highlight w:val="none"/>
        </w:rPr>
      </w:pPr>
      <w:r>
        <w:rPr>
          <w:rFonts w:hint="eastAsia" w:ascii="宋体" w:hAnsi="宋体"/>
          <w:color w:val="auto"/>
          <w:sz w:val="24"/>
          <w:highlight w:val="none"/>
        </w:rPr>
        <w:t>4、合同专用条款；</w:t>
      </w:r>
    </w:p>
    <w:p>
      <w:pPr>
        <w:adjustRightInd w:val="0"/>
        <w:snapToGrid w:val="0"/>
        <w:spacing w:line="360" w:lineRule="auto"/>
        <w:ind w:firstLine="424" w:firstLineChars="177"/>
        <w:jc w:val="left"/>
        <w:rPr>
          <w:rFonts w:ascii="宋体" w:hAnsi="宋体"/>
          <w:color w:val="auto"/>
          <w:sz w:val="24"/>
          <w:highlight w:val="none"/>
        </w:rPr>
      </w:pPr>
      <w:r>
        <w:rPr>
          <w:rFonts w:hint="eastAsia" w:ascii="宋体" w:hAnsi="宋体"/>
          <w:color w:val="auto"/>
          <w:sz w:val="24"/>
          <w:highlight w:val="none"/>
        </w:rPr>
        <w:t>5、合同通用条款；</w:t>
      </w:r>
    </w:p>
    <w:p>
      <w:pPr>
        <w:adjustRightInd w:val="0"/>
        <w:snapToGrid w:val="0"/>
        <w:spacing w:line="360" w:lineRule="auto"/>
        <w:ind w:firstLine="424" w:firstLineChars="177"/>
        <w:jc w:val="left"/>
        <w:rPr>
          <w:rFonts w:ascii="宋体" w:hAnsi="宋体"/>
          <w:color w:val="auto"/>
          <w:sz w:val="24"/>
          <w:highlight w:val="none"/>
        </w:rPr>
      </w:pPr>
      <w:r>
        <w:rPr>
          <w:rFonts w:hint="eastAsia" w:ascii="宋体" w:hAnsi="宋体"/>
          <w:color w:val="auto"/>
          <w:sz w:val="24"/>
          <w:highlight w:val="none"/>
        </w:rPr>
        <w:t>6、本合同标准性文件；（如有则附）</w:t>
      </w:r>
    </w:p>
    <w:p>
      <w:pPr>
        <w:adjustRightInd w:val="0"/>
        <w:snapToGrid w:val="0"/>
        <w:spacing w:line="360" w:lineRule="auto"/>
        <w:ind w:firstLine="424" w:firstLineChars="177"/>
        <w:jc w:val="left"/>
        <w:rPr>
          <w:rFonts w:ascii="宋体" w:hAnsi="宋体"/>
          <w:color w:val="auto"/>
          <w:sz w:val="24"/>
          <w:highlight w:val="none"/>
        </w:rPr>
      </w:pPr>
      <w:r>
        <w:rPr>
          <w:rFonts w:hint="eastAsia" w:ascii="宋体" w:hAnsi="宋体"/>
          <w:color w:val="auto"/>
          <w:sz w:val="24"/>
          <w:highlight w:val="none"/>
        </w:rPr>
        <w:t>7、标准规范及有关技术文件、图纸；</w:t>
      </w:r>
    </w:p>
    <w:p>
      <w:pPr>
        <w:adjustRightInd w:val="0"/>
        <w:snapToGrid w:val="0"/>
        <w:spacing w:line="360" w:lineRule="auto"/>
        <w:ind w:firstLine="424" w:firstLineChars="177"/>
        <w:jc w:val="left"/>
        <w:rPr>
          <w:rFonts w:ascii="宋体" w:hAnsi="宋体"/>
          <w:color w:val="auto"/>
          <w:sz w:val="24"/>
          <w:highlight w:val="none"/>
        </w:rPr>
      </w:pPr>
      <w:r>
        <w:rPr>
          <w:rFonts w:hint="eastAsia" w:ascii="宋体" w:hAnsi="宋体"/>
          <w:color w:val="auto"/>
          <w:sz w:val="24"/>
          <w:highlight w:val="none"/>
        </w:rPr>
        <w:t>8、招标文件及有关问题澄清；</w:t>
      </w:r>
    </w:p>
    <w:p>
      <w:pPr>
        <w:adjustRightInd w:val="0"/>
        <w:snapToGrid w:val="0"/>
        <w:spacing w:line="360" w:lineRule="auto"/>
        <w:ind w:firstLine="424" w:firstLineChars="177"/>
        <w:jc w:val="left"/>
        <w:rPr>
          <w:rFonts w:ascii="宋体" w:hAnsi="宋体"/>
          <w:color w:val="auto"/>
          <w:sz w:val="24"/>
          <w:highlight w:val="none"/>
        </w:rPr>
      </w:pPr>
      <w:r>
        <w:rPr>
          <w:rFonts w:hint="eastAsia" w:ascii="宋体" w:hAnsi="宋体"/>
          <w:color w:val="auto"/>
          <w:sz w:val="24"/>
          <w:highlight w:val="none"/>
        </w:rPr>
        <w:t>9、投标文件及投标文件问题澄清；</w:t>
      </w:r>
    </w:p>
    <w:p>
      <w:pPr>
        <w:adjustRightInd w:val="0"/>
        <w:snapToGrid w:val="0"/>
        <w:spacing w:line="360" w:lineRule="auto"/>
        <w:ind w:firstLine="424" w:firstLineChars="177"/>
        <w:jc w:val="left"/>
        <w:rPr>
          <w:rFonts w:ascii="宋体" w:hAnsi="宋体"/>
          <w:color w:val="auto"/>
          <w:sz w:val="24"/>
          <w:highlight w:val="none"/>
        </w:rPr>
      </w:pPr>
      <w:r>
        <w:rPr>
          <w:rFonts w:hint="eastAsia" w:ascii="宋体" w:hAnsi="宋体"/>
          <w:color w:val="auto"/>
          <w:sz w:val="24"/>
          <w:highlight w:val="none"/>
        </w:rPr>
        <w:t>10、合同附件及其他文件。</w:t>
      </w:r>
    </w:p>
    <w:p>
      <w:pPr>
        <w:adjustRightInd w:val="0"/>
        <w:snapToGrid w:val="0"/>
        <w:spacing w:line="360" w:lineRule="auto"/>
        <w:ind w:firstLine="424" w:firstLineChars="177"/>
        <w:jc w:val="left"/>
        <w:rPr>
          <w:rFonts w:ascii="宋体" w:hAnsi="宋体"/>
          <w:color w:val="auto"/>
          <w:sz w:val="24"/>
          <w:highlight w:val="none"/>
        </w:rPr>
      </w:pPr>
      <w:r>
        <w:rPr>
          <w:rFonts w:hint="eastAsia" w:ascii="宋体" w:hAnsi="宋体"/>
          <w:color w:val="auto"/>
          <w:sz w:val="24"/>
          <w:highlight w:val="none"/>
        </w:rPr>
        <w:t>上述文件应被实质上响应招标文件并认为是互为补充和解释的，如上述各部分存在不一致之处，以先后排列次序为准。</w:t>
      </w:r>
    </w:p>
    <w:p>
      <w:pPr>
        <w:adjustRightInd w:val="0"/>
        <w:snapToGrid w:val="0"/>
        <w:spacing w:line="360" w:lineRule="auto"/>
        <w:ind w:firstLine="424" w:firstLineChars="177"/>
        <w:rPr>
          <w:rFonts w:ascii="宋体" w:hAnsi="宋体"/>
          <w:color w:val="auto"/>
          <w:sz w:val="24"/>
          <w:highlight w:val="none"/>
        </w:rPr>
      </w:pPr>
      <w:r>
        <w:rPr>
          <w:rFonts w:hint="eastAsia" w:ascii="宋体" w:hAnsi="宋体"/>
          <w:color w:val="auto"/>
          <w:sz w:val="24"/>
          <w:highlight w:val="none"/>
        </w:rPr>
        <w:t>五、监理人向委托人承诺，按照本合</w:t>
      </w:r>
      <w:r>
        <w:rPr>
          <w:rFonts w:ascii="宋体" w:hAnsi="宋体"/>
          <w:color w:val="auto"/>
          <w:sz w:val="24"/>
          <w:highlight w:val="none"/>
        </w:rPr>
        <w:t>同的规定，承担本合同专用条款</w:t>
      </w:r>
      <w:r>
        <w:rPr>
          <w:rFonts w:hint="eastAsia" w:ascii="宋体" w:hAnsi="宋体"/>
          <w:color w:val="auto"/>
          <w:sz w:val="24"/>
          <w:highlight w:val="none"/>
        </w:rPr>
        <w:t>、通用条款</w:t>
      </w:r>
      <w:r>
        <w:rPr>
          <w:rFonts w:ascii="宋体" w:hAnsi="宋体"/>
          <w:color w:val="auto"/>
          <w:sz w:val="24"/>
          <w:highlight w:val="none"/>
        </w:rPr>
        <w:t>中议定范围内的监理业务。</w:t>
      </w:r>
    </w:p>
    <w:p>
      <w:pPr>
        <w:adjustRightInd w:val="0"/>
        <w:snapToGrid w:val="0"/>
        <w:spacing w:line="360" w:lineRule="auto"/>
        <w:ind w:firstLine="424" w:firstLineChars="177"/>
        <w:rPr>
          <w:rFonts w:ascii="宋体" w:hAnsi="宋体"/>
          <w:color w:val="auto"/>
          <w:sz w:val="24"/>
          <w:highlight w:val="none"/>
        </w:rPr>
      </w:pPr>
      <w:r>
        <w:rPr>
          <w:rFonts w:hint="eastAsia" w:ascii="宋体" w:hAnsi="宋体"/>
          <w:color w:val="auto"/>
          <w:sz w:val="24"/>
          <w:highlight w:val="none"/>
        </w:rPr>
        <w:t>六</w:t>
      </w:r>
      <w:r>
        <w:rPr>
          <w:rFonts w:ascii="宋体" w:hAnsi="宋体"/>
          <w:color w:val="auto"/>
          <w:sz w:val="24"/>
          <w:highlight w:val="none"/>
        </w:rPr>
        <w:t>、委托人向监理人承诺按照本合同注明的期限、方式、币种，向监理人支付酬金。</w:t>
      </w:r>
    </w:p>
    <w:p>
      <w:pPr>
        <w:adjustRightInd w:val="0"/>
        <w:snapToGrid w:val="0"/>
        <w:spacing w:line="360" w:lineRule="auto"/>
        <w:ind w:firstLine="424" w:firstLineChars="177"/>
        <w:rPr>
          <w:rFonts w:ascii="宋体" w:hAnsi="宋体"/>
          <w:color w:val="auto"/>
          <w:sz w:val="24"/>
          <w:highlight w:val="none"/>
        </w:rPr>
      </w:pPr>
      <w:r>
        <w:rPr>
          <w:rFonts w:hint="eastAsia" w:ascii="宋体" w:hAnsi="宋体"/>
          <w:color w:val="auto"/>
          <w:sz w:val="24"/>
          <w:highlight w:val="none"/>
        </w:rPr>
        <w:t>七、</w:t>
      </w:r>
      <w:r>
        <w:rPr>
          <w:rFonts w:ascii="宋体" w:hAnsi="宋体"/>
          <w:color w:val="auto"/>
          <w:sz w:val="24"/>
          <w:highlight w:val="none"/>
        </w:rPr>
        <w:t>本合同监理期限为</w:t>
      </w:r>
      <w:r>
        <w:rPr>
          <w:rFonts w:hint="eastAsia" w:ascii="宋体" w:hAnsi="宋体"/>
          <w:color w:val="auto"/>
          <w:sz w:val="24"/>
          <w:highlight w:val="none"/>
        </w:rPr>
        <w:t>：</w:t>
      </w:r>
      <w:r>
        <w:rPr>
          <w:rFonts w:hint="eastAsia" w:ascii="宋体" w:hAnsi="宋体"/>
          <w:color w:val="auto"/>
          <w:sz w:val="24"/>
          <w:highlight w:val="none"/>
          <w:lang w:val="en-US" w:eastAsia="zh-CN"/>
        </w:rPr>
        <w:t>监理服务期包括但不限于项目的</w:t>
      </w:r>
      <w:r>
        <w:rPr>
          <w:rFonts w:hint="eastAsia" w:ascii="宋体" w:hAnsi="宋体"/>
          <w:color w:val="auto"/>
          <w:sz w:val="24"/>
          <w:highlight w:val="none"/>
          <w:lang w:eastAsia="zh-CN"/>
        </w:rPr>
        <w:t>施工准备阶段、工程施工阶段、工程保修阶段</w:t>
      </w:r>
      <w:r>
        <w:rPr>
          <w:rFonts w:hint="eastAsia" w:hAnsi="宋体"/>
          <w:color w:val="auto"/>
          <w:sz w:val="24"/>
          <w:highlight w:val="none"/>
          <w:lang w:eastAsia="zh-CN"/>
        </w:rPr>
        <w:t>、缺陷责任期</w:t>
      </w:r>
      <w:r>
        <w:rPr>
          <w:rFonts w:hint="eastAsia" w:ascii="宋体" w:hAnsi="宋体"/>
          <w:color w:val="auto"/>
          <w:sz w:val="24"/>
          <w:highlight w:val="none"/>
          <w:lang w:eastAsia="zh-CN"/>
        </w:rPr>
        <w:t>和竣工结算期</w:t>
      </w:r>
      <w:r>
        <w:rPr>
          <w:rFonts w:hint="eastAsia" w:ascii="宋体" w:hAnsi="宋体"/>
          <w:color w:val="auto"/>
          <w:sz w:val="24"/>
          <w:highlight w:val="none"/>
        </w:rPr>
        <w:t>：</w:t>
      </w:r>
    </w:p>
    <w:p>
      <w:pPr>
        <w:adjustRightInd w:val="0"/>
        <w:snapToGrid w:val="0"/>
        <w:spacing w:line="360" w:lineRule="auto"/>
        <w:ind w:firstLine="424" w:firstLineChars="177"/>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（1）施工准备阶段：从中标通知书发出到工程开工之日；</w:t>
      </w:r>
    </w:p>
    <w:p>
      <w:pPr>
        <w:adjustRightInd w:val="0"/>
        <w:snapToGrid w:val="0"/>
        <w:spacing w:line="360" w:lineRule="auto"/>
        <w:ind w:firstLine="424" w:firstLineChars="177"/>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（2）施工阶段监理服务期：从业主下达开工令或开工报告审批之日起至施工项目全部完工并办理竣工验收、竣工结算、备案管理为止；</w:t>
      </w:r>
    </w:p>
    <w:p>
      <w:pPr>
        <w:adjustRightInd w:val="0"/>
        <w:snapToGrid w:val="0"/>
        <w:spacing w:line="360" w:lineRule="auto"/>
        <w:ind w:firstLine="424" w:firstLineChars="177"/>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（3）缺陷责任期阶段监理服务期：从工程竣工验收合格之日起2年。</w:t>
      </w:r>
    </w:p>
    <w:p>
      <w:pPr>
        <w:adjustRightInd w:val="0"/>
        <w:snapToGrid w:val="0"/>
        <w:spacing w:line="360" w:lineRule="auto"/>
        <w:ind w:firstLine="424" w:firstLineChars="177"/>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（4）竣工结算期：从结算送审到终审完毕。</w:t>
      </w:r>
    </w:p>
    <w:p>
      <w:pPr>
        <w:adjustRightInd w:val="0"/>
        <w:snapToGrid w:val="0"/>
        <w:spacing w:line="360" w:lineRule="auto"/>
        <w:ind w:firstLine="424" w:firstLineChars="177"/>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（5）质量保修期：按本项目施工总承包合同附件约定的质量保修期时长。</w:t>
      </w:r>
    </w:p>
    <w:p>
      <w:pPr>
        <w:adjustRightInd w:val="0"/>
        <w:snapToGrid w:val="0"/>
        <w:spacing w:line="360" w:lineRule="auto"/>
        <w:ind w:firstLine="424" w:firstLineChars="177"/>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八、监理人收款单位、开户银行及帐号在合同签订后不得任意变更。</w:t>
      </w:r>
    </w:p>
    <w:p>
      <w:pPr>
        <w:adjustRightInd w:val="0"/>
        <w:snapToGrid w:val="0"/>
        <w:spacing w:line="360" w:lineRule="auto"/>
        <w:ind w:firstLine="424" w:firstLineChars="177"/>
        <w:rPr>
          <w:rFonts w:ascii="宋体" w:hAnsi="宋体"/>
          <w:color w:val="auto"/>
          <w:sz w:val="24"/>
          <w:highlight w:val="none"/>
        </w:rPr>
      </w:pPr>
      <w:r>
        <w:rPr>
          <w:rFonts w:hint="eastAsia" w:ascii="宋体" w:hAnsi="宋体"/>
          <w:color w:val="auto"/>
          <w:sz w:val="24"/>
          <w:highlight w:val="none"/>
        </w:rPr>
        <w:t>九</w:t>
      </w:r>
      <w:r>
        <w:rPr>
          <w:rFonts w:ascii="宋体" w:hAnsi="宋体"/>
          <w:color w:val="auto"/>
          <w:sz w:val="24"/>
          <w:highlight w:val="none"/>
        </w:rPr>
        <w:t>、</w:t>
      </w:r>
      <w:r>
        <w:rPr>
          <w:rFonts w:hint="eastAsia" w:ascii="宋体" w:hAnsi="宋体"/>
          <w:color w:val="auto"/>
          <w:sz w:val="24"/>
          <w:highlight w:val="none"/>
        </w:rPr>
        <w:t>乙方已了解</w:t>
      </w:r>
      <w:r>
        <w:rPr>
          <w:rFonts w:hint="eastAsia" w:ascii="宋体" w:hAnsi="宋体" w:cs="Times New Roman"/>
          <w:color w:val="auto"/>
          <w:sz w:val="24"/>
          <w:highlight w:val="none"/>
          <w:u w:val="single"/>
          <w:lang w:eastAsia="zh-CN"/>
        </w:rPr>
        <w:t>中新科技文化艺术中心之智荟塔（高端酒店）项目监理</w:t>
      </w:r>
      <w:r>
        <w:rPr>
          <w:rFonts w:hint="eastAsia" w:ascii="宋体" w:hAnsi="宋体"/>
          <w:color w:val="auto"/>
          <w:sz w:val="24"/>
          <w:highlight w:val="none"/>
        </w:rPr>
        <w:t>规划实施的具体情况，如政策变化、政府或甲方上级决策、设计变更、投资规模、结构形式、项目名称或者造价等发生调整（或变更，或增减），也可能会新增或减少、甚至取消部分子项工程，监理人已充分理解此风险并无条件接受不得拒绝，且</w:t>
      </w:r>
      <w:r>
        <w:rPr>
          <w:rFonts w:ascii="宋体" w:hAnsi="宋体"/>
          <w:color w:val="auto"/>
          <w:sz w:val="24"/>
          <w:highlight w:val="none"/>
        </w:rPr>
        <w:t>投标</w:t>
      </w:r>
      <w:r>
        <w:rPr>
          <w:rFonts w:hint="eastAsia" w:ascii="宋体" w:hAnsi="宋体"/>
          <w:color w:val="auto"/>
          <w:sz w:val="24"/>
          <w:highlight w:val="none"/>
        </w:rPr>
        <w:t>下浮</w:t>
      </w:r>
      <w:r>
        <w:rPr>
          <w:rFonts w:ascii="宋体" w:hAnsi="宋体"/>
          <w:color w:val="auto"/>
          <w:sz w:val="24"/>
          <w:highlight w:val="none"/>
        </w:rPr>
        <w:t>率固定不变。</w:t>
      </w:r>
      <w:r>
        <w:rPr>
          <w:rFonts w:hint="eastAsia" w:ascii="宋体" w:hAnsi="宋体"/>
          <w:color w:val="auto"/>
          <w:sz w:val="24"/>
          <w:highlight w:val="none"/>
        </w:rPr>
        <w:t>如遇政策变化、政府或甲方上级决策、土地出让等其他承包方的原因取消该全部工程，则甲方有权单方解除本合同，双方互不视为违约。双方以实际完成工作量按本合同确定的计价方式核定价款外，无须再另行进行相关赔偿。监理人已充分知悉上述风险，并且放弃向委托人主张索赔的权利。本项目用地挂牌出让工作正在进行中，经招标人与相关职能部门沟通后，决定提前开展</w:t>
      </w:r>
      <w:r>
        <w:rPr>
          <w:rFonts w:hint="eastAsia" w:ascii="宋体" w:hAnsi="宋体" w:eastAsia="宋体" w:cs="宋体"/>
          <w:b w:val="0"/>
          <w:bCs w:val="0"/>
          <w:i w:val="0"/>
          <w:iCs w:val="0"/>
          <w:caps w:val="0"/>
          <w:color w:val="auto"/>
          <w:spacing w:val="0"/>
          <w:sz w:val="24"/>
          <w:szCs w:val="24"/>
          <w:highlight w:val="none"/>
          <w:u w:val="single"/>
          <w:shd w:val="clear" w:color="auto" w:fill="auto"/>
          <w:lang w:eastAsia="zh-CN"/>
        </w:rPr>
        <w:t>中新科技文化艺术中心之智荟塔（高端酒店）项目监理</w:t>
      </w:r>
      <w:r>
        <w:rPr>
          <w:rFonts w:hint="eastAsia" w:ascii="宋体" w:hAnsi="宋体"/>
          <w:color w:val="auto"/>
          <w:sz w:val="24"/>
          <w:highlight w:val="none"/>
        </w:rPr>
        <w:t>招标工作。</w:t>
      </w:r>
    </w:p>
    <w:p>
      <w:pPr>
        <w:adjustRightInd w:val="0"/>
        <w:snapToGrid w:val="0"/>
        <w:spacing w:line="360" w:lineRule="auto"/>
        <w:ind w:firstLine="424" w:firstLineChars="177"/>
        <w:rPr>
          <w:rFonts w:ascii="宋体" w:hAnsi="宋体"/>
          <w:color w:val="auto"/>
          <w:sz w:val="24"/>
          <w:highlight w:val="none"/>
        </w:rPr>
      </w:pPr>
      <w:r>
        <w:rPr>
          <w:rFonts w:hint="eastAsia" w:ascii="宋体" w:hAnsi="宋体"/>
          <w:color w:val="auto"/>
          <w:sz w:val="24"/>
          <w:highlight w:val="none"/>
        </w:rPr>
        <w:t>十、本合同经甲、乙双方法定代表人签字并经单位盖章后生效，合同生效之后，双方就中标通知书发出之日起至合同生效之日期间按合同约定的履约行为予以追认</w:t>
      </w:r>
      <w:r>
        <w:rPr>
          <w:rFonts w:ascii="宋体" w:hAnsi="宋体"/>
          <w:color w:val="auto"/>
          <w:sz w:val="24"/>
          <w:highlight w:val="none"/>
        </w:rPr>
        <w:t>。</w:t>
      </w:r>
      <w:r>
        <w:rPr>
          <w:rFonts w:hint="eastAsia" w:ascii="宋体" w:hAnsi="宋体"/>
          <w:color w:val="auto"/>
          <w:sz w:val="24"/>
          <w:highlight w:val="none"/>
        </w:rPr>
        <w:t>双方确认本合同中约定的联系方式真实有效，双方依此向对方发出的所有通知、文件、资料视为送达。未尽事宜、经合同当事人协商一致、签订补充协议。</w:t>
      </w:r>
      <w:r>
        <w:rPr>
          <w:rFonts w:ascii="宋体" w:hAnsi="宋体"/>
          <w:color w:val="auto"/>
          <w:sz w:val="24"/>
          <w:highlight w:val="none"/>
        </w:rPr>
        <w:t>本合同正本一式</w:t>
      </w:r>
      <w:r>
        <w:rPr>
          <w:rFonts w:hint="eastAsia" w:ascii="宋体" w:hAnsi="宋体"/>
          <w:color w:val="auto"/>
          <w:sz w:val="24"/>
          <w:highlight w:val="none"/>
        </w:rPr>
        <w:t>肆</w:t>
      </w:r>
      <w:r>
        <w:rPr>
          <w:rFonts w:ascii="宋体" w:hAnsi="宋体"/>
          <w:color w:val="auto"/>
          <w:sz w:val="24"/>
          <w:highlight w:val="none"/>
        </w:rPr>
        <w:t>份，签约方</w:t>
      </w:r>
      <w:r>
        <w:rPr>
          <w:rFonts w:hint="eastAsia" w:ascii="宋体" w:hAnsi="宋体"/>
          <w:color w:val="auto"/>
          <w:sz w:val="24"/>
          <w:highlight w:val="none"/>
        </w:rPr>
        <w:t>各执贰份，</w:t>
      </w:r>
      <w:r>
        <w:rPr>
          <w:rFonts w:ascii="宋体" w:hAnsi="宋体"/>
          <w:color w:val="auto"/>
          <w:sz w:val="24"/>
          <w:highlight w:val="none"/>
        </w:rPr>
        <w:t>副本</w:t>
      </w:r>
      <w:r>
        <w:rPr>
          <w:rFonts w:hint="eastAsia" w:ascii="宋体" w:hAnsi="宋体"/>
          <w:color w:val="auto"/>
          <w:sz w:val="24"/>
          <w:highlight w:val="none"/>
        </w:rPr>
        <w:t>陆</w:t>
      </w:r>
      <w:r>
        <w:rPr>
          <w:rFonts w:ascii="宋体" w:hAnsi="宋体"/>
          <w:color w:val="auto"/>
          <w:sz w:val="24"/>
          <w:highlight w:val="none"/>
        </w:rPr>
        <w:t>份，签约方</w:t>
      </w:r>
      <w:r>
        <w:rPr>
          <w:rFonts w:hint="eastAsia" w:ascii="宋体" w:hAnsi="宋体"/>
          <w:color w:val="auto"/>
          <w:sz w:val="24"/>
          <w:highlight w:val="none"/>
        </w:rPr>
        <w:t>各执叁份，</w:t>
      </w:r>
      <w:r>
        <w:rPr>
          <w:rFonts w:ascii="宋体" w:hAnsi="宋体"/>
          <w:color w:val="auto"/>
          <w:sz w:val="24"/>
          <w:highlight w:val="none"/>
        </w:rPr>
        <w:t>与正本具有同等法律效力。</w:t>
      </w:r>
    </w:p>
    <w:p>
      <w:pPr>
        <w:adjustRightInd w:val="0"/>
        <w:snapToGrid w:val="0"/>
        <w:spacing w:line="360" w:lineRule="auto"/>
        <w:ind w:firstLine="424" w:firstLineChars="177"/>
        <w:rPr>
          <w:rFonts w:ascii="宋体" w:hAnsi="宋体"/>
          <w:color w:val="auto"/>
          <w:sz w:val="24"/>
          <w:highlight w:val="none"/>
        </w:rPr>
      </w:pPr>
    </w:p>
    <w:p>
      <w:pPr>
        <w:pStyle w:val="14"/>
        <w:adjustRightInd w:val="0"/>
        <w:snapToGrid w:val="0"/>
        <w:ind w:left="420"/>
        <w:rPr>
          <w:rFonts w:hAnsi="宋体"/>
          <w:color w:val="auto"/>
          <w:highlight w:val="none"/>
        </w:rPr>
      </w:pPr>
      <w:r>
        <w:rPr>
          <w:rFonts w:hAnsi="宋体"/>
          <w:color w:val="auto"/>
          <w:highlight w:val="none"/>
        </w:rPr>
        <w:br w:type="page"/>
      </w:r>
      <w:r>
        <w:rPr>
          <w:rFonts w:hAnsi="宋体"/>
          <w:color w:val="auto"/>
          <w:highlight w:val="none"/>
        </w:rPr>
        <w:t>（此页无正文）</w:t>
      </w:r>
    </w:p>
    <w:tbl>
      <w:tblPr>
        <w:tblStyle w:val="28"/>
        <w:tblW w:w="0" w:type="auto"/>
        <w:jc w:val="center"/>
        <w:tblLayout w:type="fixed"/>
        <w:tblCellMar>
          <w:top w:w="0" w:type="dxa"/>
          <w:left w:w="108" w:type="dxa"/>
          <w:bottom w:w="0" w:type="dxa"/>
          <w:right w:w="108" w:type="dxa"/>
        </w:tblCellMar>
      </w:tblPr>
      <w:tblGrid>
        <w:gridCol w:w="4442"/>
        <w:gridCol w:w="269"/>
        <w:gridCol w:w="4253"/>
        <w:gridCol w:w="216"/>
      </w:tblGrid>
      <w:tr>
        <w:tblPrEx>
          <w:tblCellMar>
            <w:top w:w="0" w:type="dxa"/>
            <w:left w:w="108" w:type="dxa"/>
            <w:bottom w:w="0" w:type="dxa"/>
            <w:right w:w="108" w:type="dxa"/>
          </w:tblCellMar>
        </w:tblPrEx>
        <w:trPr>
          <w:gridAfter w:val="1"/>
          <w:wAfter w:w="216" w:type="dxa"/>
          <w:jc w:val="center"/>
        </w:trPr>
        <w:tc>
          <w:tcPr>
            <w:tcW w:w="8964" w:type="dxa"/>
            <w:gridSpan w:val="3"/>
            <w:noWrap w:val="0"/>
            <w:vAlign w:val="top"/>
          </w:tcPr>
          <w:p>
            <w:pPr>
              <w:pStyle w:val="14"/>
              <w:adjustRightInd w:val="0"/>
              <w:ind w:left="420"/>
              <w:rPr>
                <w:rFonts w:hAnsi="宋体"/>
                <w:color w:val="auto"/>
                <w:szCs w:val="21"/>
                <w:highlight w:val="none"/>
              </w:rPr>
            </w:pPr>
            <w:bookmarkStart w:id="3" w:name="_Hlk511135686"/>
          </w:p>
          <w:p>
            <w:pPr>
              <w:pStyle w:val="14"/>
              <w:adjustRightInd w:val="0"/>
              <w:ind w:left="420"/>
              <w:rPr>
                <w:rFonts w:hAnsi="宋体"/>
                <w:color w:val="auto"/>
                <w:szCs w:val="21"/>
                <w:highlight w:val="none"/>
              </w:rPr>
            </w:pPr>
          </w:p>
          <w:p>
            <w:pPr>
              <w:pStyle w:val="14"/>
              <w:adjustRightInd w:val="0"/>
              <w:rPr>
                <w:rFonts w:hint="eastAsia" w:hAnsi="宋体" w:eastAsia="宋体"/>
                <w:color w:val="auto"/>
                <w:spacing w:val="-6"/>
                <w:szCs w:val="21"/>
                <w:highlight w:val="none"/>
                <w:lang w:eastAsia="zh-CN"/>
              </w:rPr>
            </w:pPr>
            <w:r>
              <w:rPr>
                <w:rFonts w:hint="eastAsia" w:hAnsi="宋体"/>
                <w:color w:val="auto"/>
                <w:szCs w:val="21"/>
                <w:highlight w:val="none"/>
              </w:rPr>
              <w:t>委托人（甲方）：</w:t>
            </w:r>
            <w:r>
              <w:rPr>
                <w:rFonts w:hint="eastAsia" w:hAnsi="宋体"/>
                <w:color w:val="auto"/>
                <w:szCs w:val="21"/>
                <w:highlight w:val="none"/>
                <w:lang w:eastAsia="zh-CN"/>
              </w:rPr>
              <w:t>广州开投创智荟投资开发有限公司</w:t>
            </w:r>
          </w:p>
        </w:tc>
      </w:tr>
      <w:tr>
        <w:tblPrEx>
          <w:tblCellMar>
            <w:top w:w="0" w:type="dxa"/>
            <w:left w:w="108" w:type="dxa"/>
            <w:bottom w:w="0" w:type="dxa"/>
            <w:right w:w="108" w:type="dxa"/>
          </w:tblCellMar>
        </w:tblPrEx>
        <w:trPr>
          <w:gridAfter w:val="1"/>
          <w:wAfter w:w="216" w:type="dxa"/>
          <w:jc w:val="center"/>
        </w:trPr>
        <w:tc>
          <w:tcPr>
            <w:tcW w:w="4442" w:type="dxa"/>
            <w:noWrap w:val="0"/>
            <w:vAlign w:val="top"/>
          </w:tcPr>
          <w:p>
            <w:pPr>
              <w:snapToGrid w:val="0"/>
              <w:spacing w:line="360" w:lineRule="auto"/>
              <w:ind w:firstLine="1920" w:firstLineChars="800"/>
              <w:jc w:val="left"/>
              <w:rPr>
                <w:rFonts w:ascii="宋体" w:hAnsi="宋体"/>
                <w:color w:val="auto"/>
                <w:sz w:val="24"/>
                <w:highlight w:val="none"/>
              </w:rPr>
            </w:pPr>
            <w:r>
              <w:rPr>
                <w:rFonts w:hint="eastAsia" w:ascii="宋体" w:hAnsi="宋体"/>
                <w:color w:val="auto"/>
                <w:sz w:val="24"/>
                <w:highlight w:val="none"/>
              </w:rPr>
              <w:t>（公章）</w:t>
            </w:r>
          </w:p>
        </w:tc>
        <w:tc>
          <w:tcPr>
            <w:tcW w:w="269" w:type="dxa"/>
            <w:noWrap w:val="0"/>
            <w:vAlign w:val="top"/>
          </w:tcPr>
          <w:p>
            <w:pPr>
              <w:snapToGrid w:val="0"/>
              <w:spacing w:line="360" w:lineRule="auto"/>
              <w:jc w:val="left"/>
              <w:rPr>
                <w:rFonts w:ascii="宋体" w:hAnsi="宋体"/>
                <w:color w:val="auto"/>
                <w:sz w:val="24"/>
                <w:highlight w:val="none"/>
              </w:rPr>
            </w:pPr>
          </w:p>
        </w:tc>
        <w:tc>
          <w:tcPr>
            <w:tcW w:w="4253" w:type="dxa"/>
            <w:noWrap w:val="0"/>
            <w:vAlign w:val="top"/>
          </w:tcPr>
          <w:p>
            <w:pPr>
              <w:snapToGrid w:val="0"/>
              <w:spacing w:line="360" w:lineRule="auto"/>
              <w:ind w:firstLine="1440" w:firstLineChars="600"/>
              <w:jc w:val="left"/>
              <w:rPr>
                <w:rFonts w:ascii="宋体" w:hAnsi="宋体"/>
                <w:color w:val="auto"/>
                <w:sz w:val="24"/>
                <w:highlight w:val="none"/>
              </w:rPr>
            </w:pPr>
          </w:p>
        </w:tc>
      </w:tr>
      <w:tr>
        <w:tblPrEx>
          <w:tblCellMar>
            <w:top w:w="0" w:type="dxa"/>
            <w:left w:w="108" w:type="dxa"/>
            <w:bottom w:w="0" w:type="dxa"/>
            <w:right w:w="108" w:type="dxa"/>
          </w:tblCellMar>
        </w:tblPrEx>
        <w:trPr>
          <w:gridAfter w:val="1"/>
          <w:wAfter w:w="216" w:type="dxa"/>
          <w:jc w:val="center"/>
        </w:trPr>
        <w:tc>
          <w:tcPr>
            <w:tcW w:w="4442" w:type="dxa"/>
            <w:noWrap w:val="0"/>
            <w:vAlign w:val="top"/>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法定代表人：</w:t>
            </w:r>
          </w:p>
          <w:p>
            <w:pPr>
              <w:snapToGrid w:val="0"/>
              <w:spacing w:line="360" w:lineRule="auto"/>
              <w:jc w:val="left"/>
              <w:rPr>
                <w:color w:val="auto"/>
                <w:highlight w:val="none"/>
              </w:rPr>
            </w:pPr>
            <w:r>
              <w:rPr>
                <w:rFonts w:hint="eastAsia" w:ascii="宋体" w:hAnsi="宋体"/>
                <w:color w:val="auto"/>
                <w:sz w:val="24"/>
                <w:highlight w:val="none"/>
              </w:rPr>
              <w:t>委托代理人：</w:t>
            </w:r>
          </w:p>
        </w:tc>
        <w:tc>
          <w:tcPr>
            <w:tcW w:w="269" w:type="dxa"/>
            <w:noWrap w:val="0"/>
            <w:vAlign w:val="top"/>
          </w:tcPr>
          <w:p>
            <w:pPr>
              <w:snapToGrid w:val="0"/>
              <w:spacing w:line="360" w:lineRule="auto"/>
              <w:jc w:val="left"/>
              <w:rPr>
                <w:rFonts w:ascii="宋体" w:hAnsi="宋体"/>
                <w:color w:val="auto"/>
                <w:sz w:val="24"/>
                <w:highlight w:val="none"/>
              </w:rPr>
            </w:pPr>
          </w:p>
        </w:tc>
        <w:tc>
          <w:tcPr>
            <w:tcW w:w="4253" w:type="dxa"/>
            <w:noWrap w:val="0"/>
            <w:vAlign w:val="top"/>
          </w:tcPr>
          <w:p>
            <w:pPr>
              <w:snapToGrid w:val="0"/>
              <w:spacing w:line="360" w:lineRule="auto"/>
              <w:jc w:val="left"/>
              <w:rPr>
                <w:rFonts w:ascii="宋体" w:hAnsi="宋体"/>
                <w:color w:val="auto"/>
                <w:sz w:val="24"/>
                <w:highlight w:val="none"/>
              </w:rPr>
            </w:pPr>
          </w:p>
        </w:tc>
      </w:tr>
      <w:tr>
        <w:tblPrEx>
          <w:tblCellMar>
            <w:top w:w="0" w:type="dxa"/>
            <w:left w:w="108" w:type="dxa"/>
            <w:bottom w:w="0" w:type="dxa"/>
            <w:right w:w="108" w:type="dxa"/>
          </w:tblCellMar>
        </w:tblPrEx>
        <w:trPr>
          <w:gridAfter w:val="1"/>
          <w:wAfter w:w="216" w:type="dxa"/>
          <w:jc w:val="center"/>
        </w:trPr>
        <w:tc>
          <w:tcPr>
            <w:tcW w:w="8964" w:type="dxa"/>
            <w:gridSpan w:val="3"/>
            <w:noWrap w:val="0"/>
            <w:vAlign w:val="top"/>
          </w:tcPr>
          <w:p>
            <w:pPr>
              <w:tabs>
                <w:tab w:val="left" w:pos="4536"/>
              </w:tabs>
              <w:adjustRightInd w:val="0"/>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联系地址：</w:t>
            </w:r>
            <w:r>
              <w:rPr>
                <w:rFonts w:hint="eastAsia" w:ascii="宋体" w:hAnsi="宋体"/>
                <w:color w:val="auto"/>
                <w:sz w:val="24"/>
                <w:highlight w:val="none"/>
                <w:lang w:eastAsia="zh-CN"/>
              </w:rPr>
              <w:t>广州市黄埔区云创街3号512房</w:t>
            </w:r>
          </w:p>
        </w:tc>
      </w:tr>
      <w:tr>
        <w:tblPrEx>
          <w:tblCellMar>
            <w:top w:w="0" w:type="dxa"/>
            <w:left w:w="108" w:type="dxa"/>
            <w:bottom w:w="0" w:type="dxa"/>
            <w:right w:w="108" w:type="dxa"/>
          </w:tblCellMar>
        </w:tblPrEx>
        <w:trPr>
          <w:gridAfter w:val="1"/>
          <w:wAfter w:w="216" w:type="dxa"/>
          <w:jc w:val="center"/>
        </w:trPr>
        <w:tc>
          <w:tcPr>
            <w:tcW w:w="4442" w:type="dxa"/>
            <w:noWrap w:val="0"/>
            <w:vAlign w:val="top"/>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邮政编码：</w:t>
            </w:r>
          </w:p>
        </w:tc>
        <w:tc>
          <w:tcPr>
            <w:tcW w:w="269" w:type="dxa"/>
            <w:noWrap w:val="0"/>
            <w:vAlign w:val="top"/>
          </w:tcPr>
          <w:p>
            <w:pPr>
              <w:snapToGrid w:val="0"/>
              <w:spacing w:line="360" w:lineRule="auto"/>
              <w:jc w:val="left"/>
              <w:rPr>
                <w:rFonts w:ascii="宋体" w:hAnsi="宋体"/>
                <w:color w:val="auto"/>
                <w:sz w:val="24"/>
                <w:highlight w:val="none"/>
              </w:rPr>
            </w:pPr>
          </w:p>
        </w:tc>
        <w:tc>
          <w:tcPr>
            <w:tcW w:w="4253" w:type="dxa"/>
            <w:noWrap w:val="0"/>
            <w:vAlign w:val="top"/>
          </w:tcPr>
          <w:p>
            <w:pPr>
              <w:snapToGrid w:val="0"/>
              <w:spacing w:line="360" w:lineRule="auto"/>
              <w:jc w:val="left"/>
              <w:rPr>
                <w:rFonts w:ascii="宋体" w:hAnsi="宋体"/>
                <w:color w:val="auto"/>
                <w:sz w:val="24"/>
                <w:highlight w:val="none"/>
              </w:rPr>
            </w:pPr>
          </w:p>
        </w:tc>
      </w:tr>
      <w:tr>
        <w:tblPrEx>
          <w:tblCellMar>
            <w:top w:w="0" w:type="dxa"/>
            <w:left w:w="108" w:type="dxa"/>
            <w:bottom w:w="0" w:type="dxa"/>
            <w:right w:w="108" w:type="dxa"/>
          </w:tblCellMar>
        </w:tblPrEx>
        <w:trPr>
          <w:gridAfter w:val="1"/>
          <w:wAfter w:w="216" w:type="dxa"/>
          <w:jc w:val="center"/>
        </w:trPr>
        <w:tc>
          <w:tcPr>
            <w:tcW w:w="4442" w:type="dxa"/>
            <w:noWrap w:val="0"/>
            <w:vAlign w:val="top"/>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电    话：</w:t>
            </w:r>
          </w:p>
        </w:tc>
        <w:tc>
          <w:tcPr>
            <w:tcW w:w="269" w:type="dxa"/>
            <w:noWrap w:val="0"/>
            <w:vAlign w:val="top"/>
          </w:tcPr>
          <w:p>
            <w:pPr>
              <w:snapToGrid w:val="0"/>
              <w:spacing w:line="360" w:lineRule="auto"/>
              <w:jc w:val="left"/>
              <w:rPr>
                <w:rFonts w:ascii="宋体" w:hAnsi="宋体"/>
                <w:color w:val="auto"/>
                <w:sz w:val="24"/>
                <w:highlight w:val="none"/>
              </w:rPr>
            </w:pPr>
          </w:p>
        </w:tc>
        <w:tc>
          <w:tcPr>
            <w:tcW w:w="4253" w:type="dxa"/>
            <w:noWrap w:val="0"/>
            <w:vAlign w:val="top"/>
          </w:tcPr>
          <w:p>
            <w:pPr>
              <w:snapToGrid w:val="0"/>
              <w:spacing w:line="360" w:lineRule="auto"/>
              <w:jc w:val="left"/>
              <w:rPr>
                <w:rFonts w:ascii="宋体" w:hAnsi="宋体"/>
                <w:color w:val="auto"/>
                <w:sz w:val="24"/>
                <w:highlight w:val="none"/>
              </w:rPr>
            </w:pPr>
          </w:p>
        </w:tc>
      </w:tr>
      <w:tr>
        <w:tblPrEx>
          <w:tblCellMar>
            <w:top w:w="0" w:type="dxa"/>
            <w:left w:w="108" w:type="dxa"/>
            <w:bottom w:w="0" w:type="dxa"/>
            <w:right w:w="108" w:type="dxa"/>
          </w:tblCellMar>
        </w:tblPrEx>
        <w:trPr>
          <w:gridAfter w:val="1"/>
          <w:wAfter w:w="216" w:type="dxa"/>
          <w:jc w:val="center"/>
        </w:trPr>
        <w:tc>
          <w:tcPr>
            <w:tcW w:w="4442" w:type="dxa"/>
            <w:noWrap w:val="0"/>
            <w:vAlign w:val="top"/>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传    真：</w:t>
            </w:r>
          </w:p>
        </w:tc>
        <w:tc>
          <w:tcPr>
            <w:tcW w:w="269" w:type="dxa"/>
            <w:noWrap w:val="0"/>
            <w:vAlign w:val="top"/>
          </w:tcPr>
          <w:p>
            <w:pPr>
              <w:snapToGrid w:val="0"/>
              <w:spacing w:line="360" w:lineRule="auto"/>
              <w:jc w:val="left"/>
              <w:rPr>
                <w:rFonts w:ascii="宋体" w:hAnsi="宋体"/>
                <w:color w:val="auto"/>
                <w:sz w:val="24"/>
                <w:highlight w:val="none"/>
              </w:rPr>
            </w:pPr>
          </w:p>
        </w:tc>
        <w:tc>
          <w:tcPr>
            <w:tcW w:w="4253" w:type="dxa"/>
            <w:noWrap w:val="0"/>
            <w:vAlign w:val="top"/>
          </w:tcPr>
          <w:p>
            <w:pPr>
              <w:snapToGrid w:val="0"/>
              <w:spacing w:line="360" w:lineRule="auto"/>
              <w:jc w:val="left"/>
              <w:rPr>
                <w:rFonts w:ascii="宋体" w:hAnsi="宋体"/>
                <w:color w:val="auto"/>
                <w:sz w:val="24"/>
                <w:highlight w:val="none"/>
              </w:rPr>
            </w:pPr>
          </w:p>
        </w:tc>
      </w:tr>
      <w:tr>
        <w:tblPrEx>
          <w:tblCellMar>
            <w:top w:w="0" w:type="dxa"/>
            <w:left w:w="108" w:type="dxa"/>
            <w:bottom w:w="0" w:type="dxa"/>
            <w:right w:w="108" w:type="dxa"/>
          </w:tblCellMar>
        </w:tblPrEx>
        <w:trPr>
          <w:gridAfter w:val="1"/>
          <w:wAfter w:w="216" w:type="dxa"/>
          <w:jc w:val="center"/>
        </w:trPr>
        <w:tc>
          <w:tcPr>
            <w:tcW w:w="4442" w:type="dxa"/>
            <w:noWrap w:val="0"/>
            <w:vAlign w:val="top"/>
          </w:tcPr>
          <w:p>
            <w:pPr>
              <w:snapToGrid w:val="0"/>
              <w:spacing w:line="360" w:lineRule="auto"/>
              <w:jc w:val="left"/>
              <w:rPr>
                <w:rFonts w:ascii="宋体" w:hAnsi="宋体"/>
                <w:color w:val="auto"/>
                <w:sz w:val="24"/>
                <w:highlight w:val="none"/>
              </w:rPr>
            </w:pPr>
          </w:p>
        </w:tc>
        <w:tc>
          <w:tcPr>
            <w:tcW w:w="269" w:type="dxa"/>
            <w:noWrap w:val="0"/>
            <w:vAlign w:val="top"/>
          </w:tcPr>
          <w:p>
            <w:pPr>
              <w:snapToGrid w:val="0"/>
              <w:spacing w:line="360" w:lineRule="auto"/>
              <w:jc w:val="left"/>
              <w:rPr>
                <w:rFonts w:ascii="宋体" w:hAnsi="宋体"/>
                <w:color w:val="auto"/>
                <w:sz w:val="24"/>
                <w:highlight w:val="none"/>
              </w:rPr>
            </w:pPr>
          </w:p>
        </w:tc>
        <w:tc>
          <w:tcPr>
            <w:tcW w:w="4253" w:type="dxa"/>
            <w:noWrap w:val="0"/>
            <w:vAlign w:val="top"/>
          </w:tcPr>
          <w:p>
            <w:pPr>
              <w:snapToGrid w:val="0"/>
              <w:spacing w:line="360" w:lineRule="auto"/>
              <w:jc w:val="left"/>
              <w:rPr>
                <w:rFonts w:ascii="宋体" w:hAnsi="宋体"/>
                <w:color w:val="auto"/>
                <w:sz w:val="24"/>
                <w:highlight w:val="none"/>
              </w:rPr>
            </w:pPr>
          </w:p>
        </w:tc>
      </w:tr>
      <w:tr>
        <w:tblPrEx>
          <w:tblCellMar>
            <w:top w:w="0" w:type="dxa"/>
            <w:left w:w="108" w:type="dxa"/>
            <w:bottom w:w="0" w:type="dxa"/>
            <w:right w:w="108" w:type="dxa"/>
          </w:tblCellMar>
        </w:tblPrEx>
        <w:trPr>
          <w:jc w:val="center"/>
        </w:trPr>
        <w:tc>
          <w:tcPr>
            <w:tcW w:w="9180" w:type="dxa"/>
            <w:gridSpan w:val="4"/>
            <w:noWrap w:val="0"/>
            <w:vAlign w:val="top"/>
          </w:tcPr>
          <w:p>
            <w:pPr>
              <w:snapToGrid w:val="0"/>
              <w:spacing w:line="360" w:lineRule="auto"/>
              <w:jc w:val="left"/>
              <w:rPr>
                <w:rFonts w:ascii="宋体" w:hAnsi="宋体"/>
                <w:color w:val="auto"/>
                <w:spacing w:val="-6"/>
                <w:sz w:val="24"/>
                <w:highlight w:val="none"/>
              </w:rPr>
            </w:pPr>
            <w:r>
              <w:rPr>
                <w:rFonts w:hint="eastAsia" w:ascii="宋体" w:hAnsi="宋体"/>
                <w:color w:val="auto"/>
                <w:spacing w:val="-10"/>
                <w:sz w:val="24"/>
                <w:highlight w:val="none"/>
              </w:rPr>
              <w:t>监理人（乙方）：</w:t>
            </w:r>
            <w:r>
              <w:rPr>
                <w:rFonts w:hint="eastAsia" w:ascii="宋体" w:hAnsi="宋体"/>
                <w:color w:val="auto"/>
                <w:highlight w:val="none"/>
              </w:rPr>
              <w:t>X</w:t>
            </w:r>
            <w:r>
              <w:rPr>
                <w:rFonts w:ascii="宋体" w:hAnsi="宋体"/>
                <w:color w:val="auto"/>
                <w:highlight w:val="none"/>
              </w:rPr>
              <w:t>XXXXXX</w:t>
            </w:r>
          </w:p>
        </w:tc>
      </w:tr>
      <w:tr>
        <w:tblPrEx>
          <w:tblCellMar>
            <w:top w:w="0" w:type="dxa"/>
            <w:left w:w="108" w:type="dxa"/>
            <w:bottom w:w="0" w:type="dxa"/>
            <w:right w:w="108" w:type="dxa"/>
          </w:tblCellMar>
        </w:tblPrEx>
        <w:trPr>
          <w:gridAfter w:val="1"/>
          <w:wAfter w:w="216" w:type="dxa"/>
          <w:jc w:val="center"/>
        </w:trPr>
        <w:tc>
          <w:tcPr>
            <w:tcW w:w="4442" w:type="dxa"/>
            <w:noWrap w:val="0"/>
            <w:vAlign w:val="top"/>
          </w:tcPr>
          <w:p>
            <w:pPr>
              <w:snapToGrid w:val="0"/>
              <w:spacing w:line="360" w:lineRule="auto"/>
              <w:ind w:firstLine="1440" w:firstLineChars="600"/>
              <w:jc w:val="left"/>
              <w:rPr>
                <w:rFonts w:ascii="宋体" w:hAnsi="宋体"/>
                <w:color w:val="auto"/>
                <w:sz w:val="24"/>
                <w:highlight w:val="none"/>
              </w:rPr>
            </w:pPr>
            <w:r>
              <w:rPr>
                <w:rFonts w:hint="eastAsia" w:ascii="宋体" w:hAnsi="宋体"/>
                <w:color w:val="auto"/>
                <w:sz w:val="24"/>
                <w:highlight w:val="none"/>
              </w:rPr>
              <w:t>（公章）</w:t>
            </w:r>
          </w:p>
        </w:tc>
        <w:tc>
          <w:tcPr>
            <w:tcW w:w="269" w:type="dxa"/>
            <w:noWrap w:val="0"/>
            <w:vAlign w:val="top"/>
          </w:tcPr>
          <w:p>
            <w:pPr>
              <w:snapToGrid w:val="0"/>
              <w:spacing w:line="360" w:lineRule="auto"/>
              <w:jc w:val="left"/>
              <w:rPr>
                <w:rFonts w:ascii="宋体" w:hAnsi="宋体"/>
                <w:color w:val="auto"/>
                <w:sz w:val="24"/>
                <w:highlight w:val="none"/>
              </w:rPr>
            </w:pPr>
          </w:p>
        </w:tc>
        <w:tc>
          <w:tcPr>
            <w:tcW w:w="4253" w:type="dxa"/>
            <w:noWrap w:val="0"/>
            <w:vAlign w:val="top"/>
          </w:tcPr>
          <w:p>
            <w:pPr>
              <w:snapToGrid w:val="0"/>
              <w:spacing w:line="360" w:lineRule="auto"/>
              <w:ind w:firstLine="1680" w:firstLineChars="700"/>
              <w:jc w:val="left"/>
              <w:rPr>
                <w:rFonts w:ascii="宋体" w:hAnsi="宋体"/>
                <w:color w:val="auto"/>
                <w:sz w:val="24"/>
                <w:highlight w:val="none"/>
              </w:rPr>
            </w:pPr>
          </w:p>
        </w:tc>
      </w:tr>
      <w:tr>
        <w:tblPrEx>
          <w:tblCellMar>
            <w:top w:w="0" w:type="dxa"/>
            <w:left w:w="108" w:type="dxa"/>
            <w:bottom w:w="0" w:type="dxa"/>
            <w:right w:w="108" w:type="dxa"/>
          </w:tblCellMar>
        </w:tblPrEx>
        <w:trPr>
          <w:gridAfter w:val="1"/>
          <w:wAfter w:w="216" w:type="dxa"/>
          <w:jc w:val="center"/>
        </w:trPr>
        <w:tc>
          <w:tcPr>
            <w:tcW w:w="4442" w:type="dxa"/>
            <w:noWrap w:val="0"/>
            <w:vAlign w:val="top"/>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法定代表人：</w:t>
            </w:r>
          </w:p>
        </w:tc>
        <w:tc>
          <w:tcPr>
            <w:tcW w:w="269" w:type="dxa"/>
            <w:noWrap w:val="0"/>
            <w:vAlign w:val="top"/>
          </w:tcPr>
          <w:p>
            <w:pPr>
              <w:snapToGrid w:val="0"/>
              <w:spacing w:line="360" w:lineRule="auto"/>
              <w:jc w:val="left"/>
              <w:rPr>
                <w:rFonts w:ascii="宋体" w:hAnsi="宋体"/>
                <w:color w:val="auto"/>
                <w:sz w:val="24"/>
                <w:highlight w:val="none"/>
              </w:rPr>
            </w:pPr>
          </w:p>
        </w:tc>
        <w:tc>
          <w:tcPr>
            <w:tcW w:w="4253" w:type="dxa"/>
            <w:noWrap w:val="0"/>
            <w:vAlign w:val="top"/>
          </w:tcPr>
          <w:p>
            <w:pPr>
              <w:snapToGrid w:val="0"/>
              <w:spacing w:line="360" w:lineRule="auto"/>
              <w:jc w:val="left"/>
              <w:rPr>
                <w:rFonts w:ascii="宋体" w:hAnsi="宋体"/>
                <w:color w:val="auto"/>
                <w:sz w:val="24"/>
                <w:highlight w:val="none"/>
              </w:rPr>
            </w:pPr>
          </w:p>
        </w:tc>
      </w:tr>
      <w:tr>
        <w:tblPrEx>
          <w:tblCellMar>
            <w:top w:w="0" w:type="dxa"/>
            <w:left w:w="108" w:type="dxa"/>
            <w:bottom w:w="0" w:type="dxa"/>
            <w:right w:w="108" w:type="dxa"/>
          </w:tblCellMar>
        </w:tblPrEx>
        <w:trPr>
          <w:gridAfter w:val="1"/>
          <w:wAfter w:w="216" w:type="dxa"/>
          <w:jc w:val="center"/>
        </w:trPr>
        <w:tc>
          <w:tcPr>
            <w:tcW w:w="4442" w:type="dxa"/>
            <w:noWrap w:val="0"/>
            <w:vAlign w:val="top"/>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委托代理人：</w:t>
            </w:r>
          </w:p>
        </w:tc>
        <w:tc>
          <w:tcPr>
            <w:tcW w:w="269" w:type="dxa"/>
            <w:noWrap w:val="0"/>
            <w:vAlign w:val="top"/>
          </w:tcPr>
          <w:p>
            <w:pPr>
              <w:snapToGrid w:val="0"/>
              <w:spacing w:line="360" w:lineRule="auto"/>
              <w:jc w:val="left"/>
              <w:rPr>
                <w:rFonts w:ascii="宋体" w:hAnsi="宋体"/>
                <w:color w:val="auto"/>
                <w:sz w:val="24"/>
                <w:highlight w:val="none"/>
              </w:rPr>
            </w:pPr>
          </w:p>
        </w:tc>
        <w:tc>
          <w:tcPr>
            <w:tcW w:w="4253" w:type="dxa"/>
            <w:noWrap w:val="0"/>
            <w:vAlign w:val="top"/>
          </w:tcPr>
          <w:p>
            <w:pPr>
              <w:snapToGrid w:val="0"/>
              <w:spacing w:line="360" w:lineRule="auto"/>
              <w:jc w:val="left"/>
              <w:rPr>
                <w:rFonts w:ascii="宋体" w:hAnsi="宋体"/>
                <w:color w:val="auto"/>
                <w:sz w:val="24"/>
                <w:highlight w:val="none"/>
              </w:rPr>
            </w:pPr>
          </w:p>
        </w:tc>
      </w:tr>
      <w:tr>
        <w:tblPrEx>
          <w:tblCellMar>
            <w:top w:w="0" w:type="dxa"/>
            <w:left w:w="108" w:type="dxa"/>
            <w:bottom w:w="0" w:type="dxa"/>
            <w:right w:w="108" w:type="dxa"/>
          </w:tblCellMar>
        </w:tblPrEx>
        <w:trPr>
          <w:gridAfter w:val="1"/>
          <w:wAfter w:w="216" w:type="dxa"/>
          <w:jc w:val="center"/>
        </w:trPr>
        <w:tc>
          <w:tcPr>
            <w:tcW w:w="8964" w:type="dxa"/>
            <w:gridSpan w:val="3"/>
            <w:noWrap w:val="0"/>
            <w:vAlign w:val="top"/>
          </w:tcPr>
          <w:p>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olor w:val="auto"/>
                <w:sz w:val="24"/>
                <w:highlight w:val="none"/>
                <w:lang w:val="en-US" w:eastAsia="zh-CN"/>
              </w:rPr>
              <w:t xml:space="preserve"> </w:t>
            </w:r>
          </w:p>
        </w:tc>
      </w:tr>
      <w:tr>
        <w:tblPrEx>
          <w:tblCellMar>
            <w:top w:w="0" w:type="dxa"/>
            <w:left w:w="108" w:type="dxa"/>
            <w:bottom w:w="0" w:type="dxa"/>
            <w:right w:w="108" w:type="dxa"/>
          </w:tblCellMar>
        </w:tblPrEx>
        <w:trPr>
          <w:gridAfter w:val="1"/>
          <w:wAfter w:w="216" w:type="dxa"/>
          <w:jc w:val="center"/>
        </w:trPr>
        <w:tc>
          <w:tcPr>
            <w:tcW w:w="4442" w:type="dxa"/>
            <w:noWrap w:val="0"/>
            <w:vAlign w:val="top"/>
          </w:tcPr>
          <w:p>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邮政编码：</w:t>
            </w:r>
            <w:r>
              <w:rPr>
                <w:rFonts w:hint="eastAsia" w:ascii="宋体" w:hAnsi="宋体"/>
                <w:color w:val="auto"/>
                <w:sz w:val="24"/>
                <w:highlight w:val="none"/>
                <w:lang w:val="en-US" w:eastAsia="zh-CN"/>
              </w:rPr>
              <w:t xml:space="preserve"> </w:t>
            </w:r>
          </w:p>
        </w:tc>
        <w:tc>
          <w:tcPr>
            <w:tcW w:w="269" w:type="dxa"/>
            <w:noWrap w:val="0"/>
            <w:vAlign w:val="top"/>
          </w:tcPr>
          <w:p>
            <w:pPr>
              <w:snapToGrid w:val="0"/>
              <w:spacing w:line="360" w:lineRule="auto"/>
              <w:jc w:val="left"/>
              <w:rPr>
                <w:rFonts w:ascii="宋体" w:hAnsi="宋体"/>
                <w:color w:val="auto"/>
                <w:sz w:val="24"/>
                <w:highlight w:val="none"/>
              </w:rPr>
            </w:pPr>
          </w:p>
        </w:tc>
        <w:tc>
          <w:tcPr>
            <w:tcW w:w="4253" w:type="dxa"/>
            <w:noWrap w:val="0"/>
            <w:vAlign w:val="top"/>
          </w:tcPr>
          <w:p>
            <w:pPr>
              <w:snapToGrid w:val="0"/>
              <w:spacing w:line="360" w:lineRule="auto"/>
              <w:jc w:val="left"/>
              <w:rPr>
                <w:rFonts w:ascii="宋体" w:hAnsi="宋体"/>
                <w:color w:val="auto"/>
                <w:sz w:val="24"/>
                <w:highlight w:val="none"/>
              </w:rPr>
            </w:pPr>
          </w:p>
        </w:tc>
      </w:tr>
      <w:tr>
        <w:tblPrEx>
          <w:tblCellMar>
            <w:top w:w="0" w:type="dxa"/>
            <w:left w:w="108" w:type="dxa"/>
            <w:bottom w:w="0" w:type="dxa"/>
            <w:right w:w="108" w:type="dxa"/>
          </w:tblCellMar>
        </w:tblPrEx>
        <w:trPr>
          <w:gridAfter w:val="1"/>
          <w:wAfter w:w="216" w:type="dxa"/>
          <w:jc w:val="center"/>
        </w:trPr>
        <w:tc>
          <w:tcPr>
            <w:tcW w:w="4442" w:type="dxa"/>
            <w:noWrap w:val="0"/>
            <w:vAlign w:val="top"/>
          </w:tcPr>
          <w:p>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 xml:space="preserve"> </w:t>
            </w:r>
          </w:p>
        </w:tc>
        <w:tc>
          <w:tcPr>
            <w:tcW w:w="269" w:type="dxa"/>
            <w:noWrap w:val="0"/>
            <w:vAlign w:val="top"/>
          </w:tcPr>
          <w:p>
            <w:pPr>
              <w:snapToGrid w:val="0"/>
              <w:spacing w:line="360" w:lineRule="auto"/>
              <w:jc w:val="left"/>
              <w:rPr>
                <w:rFonts w:ascii="宋体" w:hAnsi="宋体"/>
                <w:color w:val="auto"/>
                <w:sz w:val="24"/>
                <w:highlight w:val="none"/>
              </w:rPr>
            </w:pPr>
          </w:p>
        </w:tc>
        <w:tc>
          <w:tcPr>
            <w:tcW w:w="4253" w:type="dxa"/>
            <w:noWrap w:val="0"/>
            <w:vAlign w:val="top"/>
          </w:tcPr>
          <w:p>
            <w:pPr>
              <w:snapToGrid w:val="0"/>
              <w:spacing w:line="360" w:lineRule="auto"/>
              <w:jc w:val="left"/>
              <w:rPr>
                <w:rFonts w:ascii="宋体" w:hAnsi="宋体"/>
                <w:color w:val="auto"/>
                <w:sz w:val="24"/>
                <w:highlight w:val="none"/>
              </w:rPr>
            </w:pPr>
          </w:p>
        </w:tc>
      </w:tr>
      <w:tr>
        <w:tblPrEx>
          <w:tblCellMar>
            <w:top w:w="0" w:type="dxa"/>
            <w:left w:w="108" w:type="dxa"/>
            <w:bottom w:w="0" w:type="dxa"/>
            <w:right w:w="108" w:type="dxa"/>
          </w:tblCellMar>
        </w:tblPrEx>
        <w:trPr>
          <w:gridAfter w:val="1"/>
          <w:wAfter w:w="216" w:type="dxa"/>
          <w:jc w:val="center"/>
        </w:trPr>
        <w:tc>
          <w:tcPr>
            <w:tcW w:w="4442" w:type="dxa"/>
            <w:noWrap w:val="0"/>
            <w:vAlign w:val="top"/>
          </w:tcPr>
          <w:p>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传    真：</w:t>
            </w:r>
            <w:r>
              <w:rPr>
                <w:rFonts w:hint="eastAsia" w:ascii="宋体" w:hAnsi="宋体"/>
                <w:color w:val="auto"/>
                <w:sz w:val="24"/>
                <w:highlight w:val="none"/>
                <w:lang w:val="en-US" w:eastAsia="zh-CN"/>
              </w:rPr>
              <w:t xml:space="preserve"> </w:t>
            </w:r>
          </w:p>
        </w:tc>
        <w:tc>
          <w:tcPr>
            <w:tcW w:w="269" w:type="dxa"/>
            <w:noWrap w:val="0"/>
            <w:vAlign w:val="top"/>
          </w:tcPr>
          <w:p>
            <w:pPr>
              <w:snapToGrid w:val="0"/>
              <w:spacing w:line="360" w:lineRule="auto"/>
              <w:jc w:val="left"/>
              <w:rPr>
                <w:rFonts w:ascii="宋体" w:hAnsi="宋体"/>
                <w:color w:val="auto"/>
                <w:sz w:val="24"/>
                <w:highlight w:val="none"/>
              </w:rPr>
            </w:pPr>
          </w:p>
        </w:tc>
        <w:tc>
          <w:tcPr>
            <w:tcW w:w="4253" w:type="dxa"/>
            <w:noWrap w:val="0"/>
            <w:vAlign w:val="top"/>
          </w:tcPr>
          <w:p>
            <w:pPr>
              <w:snapToGrid w:val="0"/>
              <w:spacing w:line="360" w:lineRule="auto"/>
              <w:jc w:val="left"/>
              <w:rPr>
                <w:rFonts w:ascii="宋体" w:hAnsi="宋体"/>
                <w:color w:val="auto"/>
                <w:sz w:val="24"/>
                <w:highlight w:val="none"/>
              </w:rPr>
            </w:pPr>
          </w:p>
        </w:tc>
      </w:tr>
      <w:tr>
        <w:tblPrEx>
          <w:tblCellMar>
            <w:top w:w="0" w:type="dxa"/>
            <w:left w:w="108" w:type="dxa"/>
            <w:bottom w:w="0" w:type="dxa"/>
            <w:right w:w="108" w:type="dxa"/>
          </w:tblCellMar>
        </w:tblPrEx>
        <w:trPr>
          <w:gridAfter w:val="1"/>
          <w:wAfter w:w="216" w:type="dxa"/>
          <w:jc w:val="center"/>
        </w:trPr>
        <w:tc>
          <w:tcPr>
            <w:tcW w:w="4442" w:type="dxa"/>
            <w:noWrap w:val="0"/>
            <w:vAlign w:val="top"/>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账户名称：  </w:t>
            </w:r>
          </w:p>
        </w:tc>
        <w:tc>
          <w:tcPr>
            <w:tcW w:w="269" w:type="dxa"/>
            <w:noWrap w:val="0"/>
            <w:vAlign w:val="top"/>
          </w:tcPr>
          <w:p>
            <w:pPr>
              <w:snapToGrid w:val="0"/>
              <w:spacing w:line="360" w:lineRule="auto"/>
              <w:jc w:val="left"/>
              <w:rPr>
                <w:rFonts w:ascii="宋体" w:hAnsi="宋体"/>
                <w:color w:val="auto"/>
                <w:sz w:val="24"/>
                <w:highlight w:val="none"/>
              </w:rPr>
            </w:pPr>
          </w:p>
        </w:tc>
        <w:tc>
          <w:tcPr>
            <w:tcW w:w="4253" w:type="dxa"/>
            <w:noWrap w:val="0"/>
            <w:vAlign w:val="top"/>
          </w:tcPr>
          <w:p>
            <w:pPr>
              <w:snapToGrid w:val="0"/>
              <w:spacing w:line="360" w:lineRule="auto"/>
              <w:jc w:val="left"/>
              <w:rPr>
                <w:rFonts w:ascii="宋体" w:hAnsi="宋体"/>
                <w:color w:val="auto"/>
                <w:sz w:val="24"/>
                <w:highlight w:val="none"/>
              </w:rPr>
            </w:pPr>
          </w:p>
        </w:tc>
      </w:tr>
      <w:tr>
        <w:tblPrEx>
          <w:tblCellMar>
            <w:top w:w="0" w:type="dxa"/>
            <w:left w:w="108" w:type="dxa"/>
            <w:bottom w:w="0" w:type="dxa"/>
            <w:right w:w="108" w:type="dxa"/>
          </w:tblCellMar>
        </w:tblPrEx>
        <w:trPr>
          <w:gridAfter w:val="1"/>
          <w:wAfter w:w="216" w:type="dxa"/>
          <w:jc w:val="center"/>
        </w:trPr>
        <w:tc>
          <w:tcPr>
            <w:tcW w:w="4442" w:type="dxa"/>
            <w:noWrap w:val="0"/>
            <w:vAlign w:val="top"/>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开户银行： </w:t>
            </w:r>
          </w:p>
        </w:tc>
        <w:tc>
          <w:tcPr>
            <w:tcW w:w="269" w:type="dxa"/>
            <w:noWrap w:val="0"/>
            <w:vAlign w:val="top"/>
          </w:tcPr>
          <w:p>
            <w:pPr>
              <w:snapToGrid w:val="0"/>
              <w:spacing w:line="360" w:lineRule="auto"/>
              <w:jc w:val="left"/>
              <w:rPr>
                <w:rFonts w:ascii="宋体" w:hAnsi="宋体"/>
                <w:color w:val="auto"/>
                <w:sz w:val="24"/>
                <w:highlight w:val="none"/>
              </w:rPr>
            </w:pPr>
          </w:p>
        </w:tc>
        <w:tc>
          <w:tcPr>
            <w:tcW w:w="4253" w:type="dxa"/>
            <w:noWrap w:val="0"/>
            <w:vAlign w:val="top"/>
          </w:tcPr>
          <w:p>
            <w:pPr>
              <w:snapToGrid w:val="0"/>
              <w:spacing w:line="360" w:lineRule="auto"/>
              <w:jc w:val="left"/>
              <w:rPr>
                <w:rFonts w:ascii="宋体" w:hAnsi="宋体"/>
                <w:color w:val="auto"/>
                <w:sz w:val="24"/>
                <w:highlight w:val="none"/>
              </w:rPr>
            </w:pPr>
          </w:p>
        </w:tc>
      </w:tr>
      <w:bookmarkEnd w:id="3"/>
    </w:tbl>
    <w:p>
      <w:pPr>
        <w:pStyle w:val="14"/>
        <w:adjustRightInd w:val="0"/>
        <w:snapToGrid w:val="0"/>
        <w:rPr>
          <w:rFonts w:hAnsi="宋体"/>
          <w:color w:val="auto"/>
          <w:highlight w:val="none"/>
        </w:rPr>
      </w:pPr>
      <w:bookmarkStart w:id="4" w:name="_Hlk506198314"/>
      <w:r>
        <w:rPr>
          <w:rFonts w:hint="eastAsia" w:hAnsi="宋体"/>
          <w:color w:val="auto"/>
          <w:highlight w:val="none"/>
        </w:rPr>
        <w:t>银行帐户：</w:t>
      </w:r>
      <w:r>
        <w:rPr>
          <w:rFonts w:hAnsi="宋体"/>
          <w:color w:val="auto"/>
          <w:highlight w:val="none"/>
        </w:rPr>
        <w:t xml:space="preserve"> </w:t>
      </w:r>
    </w:p>
    <w:p>
      <w:pPr>
        <w:pStyle w:val="14"/>
        <w:adjustRightInd w:val="0"/>
        <w:snapToGrid w:val="0"/>
        <w:rPr>
          <w:rFonts w:hAnsi="宋体" w:cs="宋体"/>
          <w:b/>
          <w:color w:val="auto"/>
          <w:highlight w:val="none"/>
        </w:rPr>
      </w:pPr>
      <w:r>
        <w:rPr>
          <w:rFonts w:hAnsi="宋体"/>
          <w:color w:val="auto"/>
          <w:highlight w:val="none"/>
        </w:rPr>
        <w:t>本合同签订</w:t>
      </w:r>
      <w:r>
        <w:rPr>
          <w:rFonts w:hint="eastAsia" w:hAnsi="宋体"/>
          <w:color w:val="auto"/>
          <w:highlight w:val="none"/>
        </w:rPr>
        <w:t>日期</w:t>
      </w:r>
      <w:r>
        <w:rPr>
          <w:rFonts w:hAnsi="宋体"/>
          <w:color w:val="auto"/>
          <w:highlight w:val="none"/>
        </w:rPr>
        <w:t>：</w:t>
      </w:r>
      <w:bookmarkEnd w:id="4"/>
      <w:r>
        <w:rPr>
          <w:rFonts w:hint="eastAsia" w:hAnsi="宋体"/>
          <w:color w:val="auto"/>
          <w:highlight w:val="none"/>
        </w:rPr>
        <w:t xml:space="preserve">  年   月  日</w:t>
      </w:r>
    </w:p>
    <w:p>
      <w:pPr>
        <w:pStyle w:val="24"/>
        <w:spacing w:before="0" w:after="120" w:afterLines="50" w:line="360" w:lineRule="auto"/>
        <w:rPr>
          <w:rFonts w:ascii="宋体" w:hAnsi="宋体"/>
          <w:color w:val="auto"/>
          <w:highlight w:val="none"/>
        </w:rPr>
      </w:pPr>
      <w:bookmarkStart w:id="5" w:name="_Toc383534207"/>
      <w:r>
        <w:rPr>
          <w:rFonts w:ascii="宋体" w:hAnsi="宋体"/>
          <w:color w:val="auto"/>
          <w:sz w:val="24"/>
          <w:szCs w:val="24"/>
          <w:highlight w:val="none"/>
        </w:rPr>
        <w:br w:type="page"/>
      </w:r>
      <w:bookmarkStart w:id="6" w:name="_Toc529863658"/>
      <w:bookmarkStart w:id="7" w:name="_Toc6323"/>
      <w:bookmarkStart w:id="8" w:name="_Toc529863703"/>
      <w:bookmarkStart w:id="9" w:name="_Toc529800441"/>
      <w:bookmarkStart w:id="10" w:name="_Toc19625233"/>
      <w:r>
        <w:rPr>
          <w:rFonts w:ascii="宋体" w:hAnsi="宋体"/>
          <w:color w:val="auto"/>
          <w:highlight w:val="none"/>
        </w:rPr>
        <w:t xml:space="preserve">第二部分 </w:t>
      </w:r>
      <w:bookmarkEnd w:id="5"/>
      <w:r>
        <w:rPr>
          <w:rFonts w:ascii="宋体" w:hAnsi="宋体"/>
          <w:color w:val="auto"/>
          <w:highlight w:val="none"/>
        </w:rPr>
        <w:t>通用条款</w:t>
      </w:r>
      <w:bookmarkEnd w:id="6"/>
      <w:bookmarkEnd w:id="7"/>
      <w:bookmarkEnd w:id="8"/>
      <w:bookmarkEnd w:id="9"/>
      <w:bookmarkEnd w:id="10"/>
    </w:p>
    <w:p>
      <w:pPr>
        <w:spacing w:line="360" w:lineRule="auto"/>
        <w:jc w:val="center"/>
        <w:rPr>
          <w:rFonts w:ascii="宋体" w:hAnsi="宋体"/>
          <w:b/>
          <w:color w:val="auto"/>
          <w:sz w:val="24"/>
          <w:highlight w:val="none"/>
        </w:rPr>
      </w:pPr>
      <w:r>
        <w:rPr>
          <w:rFonts w:ascii="宋体" w:hAnsi="宋体"/>
          <w:b/>
          <w:color w:val="auto"/>
          <w:sz w:val="24"/>
          <w:highlight w:val="none"/>
        </w:rPr>
        <w:t>词语定义、适用范围和法规</w:t>
      </w:r>
    </w:p>
    <w:p>
      <w:pPr>
        <w:pStyle w:val="14"/>
        <w:adjustRightInd w:val="0"/>
        <w:snapToGrid w:val="0"/>
        <w:ind w:firstLine="424" w:firstLineChars="177"/>
        <w:rPr>
          <w:rFonts w:hAnsi="宋体" w:cs="宋体"/>
          <w:color w:val="auto"/>
          <w:highlight w:val="none"/>
        </w:rPr>
      </w:pPr>
      <w:r>
        <w:rPr>
          <w:rFonts w:hAnsi="宋体" w:cs="宋体"/>
          <w:color w:val="auto"/>
          <w:highlight w:val="none"/>
        </w:rPr>
        <w:t>第一条  下列名词和用语，除上下文另有规定外，有如下含义：</w:t>
      </w:r>
    </w:p>
    <w:p>
      <w:pPr>
        <w:pStyle w:val="14"/>
        <w:adjustRightInd w:val="0"/>
        <w:snapToGrid w:val="0"/>
        <w:ind w:firstLine="424" w:firstLineChars="177"/>
        <w:rPr>
          <w:rFonts w:hAnsi="宋体"/>
          <w:color w:val="auto"/>
          <w:highlight w:val="none"/>
        </w:rPr>
      </w:pPr>
      <w:r>
        <w:rPr>
          <w:rFonts w:hAnsi="宋体"/>
          <w:color w:val="auto"/>
          <w:highlight w:val="none"/>
        </w:rPr>
        <w:t>（１）“工程”是指委托人委托实施监理的工程。</w:t>
      </w:r>
    </w:p>
    <w:p>
      <w:pPr>
        <w:pStyle w:val="14"/>
        <w:adjustRightInd w:val="0"/>
        <w:snapToGrid w:val="0"/>
        <w:ind w:firstLine="424" w:firstLineChars="177"/>
        <w:rPr>
          <w:rFonts w:hAnsi="宋体"/>
          <w:color w:val="auto"/>
          <w:highlight w:val="none"/>
        </w:rPr>
      </w:pPr>
      <w:r>
        <w:rPr>
          <w:rFonts w:hAnsi="宋体"/>
          <w:color w:val="auto"/>
          <w:highlight w:val="none"/>
        </w:rPr>
        <w:t>（２）“委托人”是指承担直接投资责任和委托监理业务的一方以及其合法继承人。</w:t>
      </w:r>
    </w:p>
    <w:p>
      <w:pPr>
        <w:pStyle w:val="14"/>
        <w:adjustRightInd w:val="0"/>
        <w:snapToGrid w:val="0"/>
        <w:ind w:firstLine="424" w:firstLineChars="177"/>
        <w:rPr>
          <w:rFonts w:hAnsi="宋体"/>
          <w:color w:val="auto"/>
          <w:highlight w:val="none"/>
        </w:rPr>
      </w:pPr>
      <w:r>
        <w:rPr>
          <w:rFonts w:hAnsi="宋体"/>
          <w:color w:val="auto"/>
          <w:highlight w:val="none"/>
        </w:rPr>
        <w:t>（３）“监理人”是指承担监理业务和监理责任的一方，以及其合法继承人。</w:t>
      </w:r>
    </w:p>
    <w:p>
      <w:pPr>
        <w:pStyle w:val="14"/>
        <w:adjustRightInd w:val="0"/>
        <w:snapToGrid w:val="0"/>
        <w:ind w:firstLine="424" w:firstLineChars="177"/>
        <w:rPr>
          <w:rFonts w:hAnsi="宋体"/>
          <w:color w:val="auto"/>
          <w:highlight w:val="none"/>
        </w:rPr>
      </w:pPr>
      <w:r>
        <w:rPr>
          <w:rFonts w:hAnsi="宋体"/>
          <w:color w:val="auto"/>
          <w:highlight w:val="none"/>
        </w:rPr>
        <w:t>（４）“监理机构”是指监理人派驻本工程现场实施监理业务的组织。</w:t>
      </w:r>
    </w:p>
    <w:p>
      <w:pPr>
        <w:pStyle w:val="14"/>
        <w:adjustRightInd w:val="0"/>
        <w:snapToGrid w:val="0"/>
        <w:ind w:firstLine="424" w:firstLineChars="177"/>
        <w:rPr>
          <w:rFonts w:hAnsi="宋体"/>
          <w:color w:val="auto"/>
          <w:highlight w:val="none"/>
        </w:rPr>
      </w:pPr>
      <w:r>
        <w:rPr>
          <w:rFonts w:hAnsi="宋体"/>
          <w:color w:val="auto"/>
          <w:highlight w:val="none"/>
        </w:rPr>
        <w:t>（５）“总监理工程师”是指经委托人同意，监理人派到监理机构全面履行本合同的全权负责人。</w:t>
      </w:r>
    </w:p>
    <w:p>
      <w:pPr>
        <w:pStyle w:val="14"/>
        <w:adjustRightInd w:val="0"/>
        <w:snapToGrid w:val="0"/>
        <w:ind w:firstLine="424" w:firstLineChars="177"/>
        <w:rPr>
          <w:rFonts w:hAnsi="宋体"/>
          <w:color w:val="auto"/>
          <w:highlight w:val="none"/>
        </w:rPr>
      </w:pPr>
      <w:r>
        <w:rPr>
          <w:rFonts w:hAnsi="宋体"/>
          <w:color w:val="auto"/>
          <w:highlight w:val="none"/>
        </w:rPr>
        <w:t>（６）“承包人”是指除监理人以外，委托人就工程建设有关事宜签订合同的当事人。</w:t>
      </w:r>
    </w:p>
    <w:p>
      <w:pPr>
        <w:pStyle w:val="14"/>
        <w:adjustRightInd w:val="0"/>
        <w:snapToGrid w:val="0"/>
        <w:ind w:firstLine="424" w:firstLineChars="177"/>
        <w:rPr>
          <w:rFonts w:hAnsi="宋体"/>
          <w:color w:val="auto"/>
          <w:highlight w:val="none"/>
        </w:rPr>
      </w:pPr>
      <w:r>
        <w:rPr>
          <w:rFonts w:hAnsi="宋体"/>
          <w:color w:val="auto"/>
          <w:highlight w:val="none"/>
        </w:rPr>
        <w:t>（７）“工程监理的正常工作”是指双方在专用条款中约定，委托人委托的监理工作范围和内容。</w:t>
      </w:r>
    </w:p>
    <w:p>
      <w:pPr>
        <w:pStyle w:val="14"/>
        <w:adjustRightInd w:val="0"/>
        <w:snapToGrid w:val="0"/>
        <w:ind w:firstLine="424" w:firstLineChars="177"/>
        <w:rPr>
          <w:rFonts w:hAnsi="宋体"/>
          <w:color w:val="auto"/>
          <w:highlight w:val="none"/>
        </w:rPr>
      </w:pPr>
      <w:r>
        <w:rPr>
          <w:rFonts w:hAnsi="宋体"/>
          <w:color w:val="auto"/>
          <w:highlight w:val="none"/>
        </w:rPr>
        <w:t>（８）“工程监理的附加工作”是指：</w:t>
      </w:r>
      <w:r>
        <w:rPr>
          <w:rFonts w:hint="eastAsia" w:hAnsi="宋体"/>
          <w:color w:val="auto"/>
          <w:highlight w:val="none"/>
        </w:rPr>
        <w:t>①</w:t>
      </w:r>
      <w:r>
        <w:rPr>
          <w:rFonts w:hAnsi="宋体"/>
          <w:color w:val="auto"/>
          <w:highlight w:val="none"/>
        </w:rPr>
        <w:t>委托人委托监理范围以外，通过双方书面协议另外增加的工作内容；</w:t>
      </w:r>
      <w:r>
        <w:rPr>
          <w:rFonts w:hint="eastAsia" w:hAnsi="宋体"/>
          <w:color w:val="auto"/>
          <w:highlight w:val="none"/>
        </w:rPr>
        <w:t>②</w:t>
      </w:r>
      <w:r>
        <w:rPr>
          <w:rFonts w:hAnsi="宋体"/>
          <w:color w:val="auto"/>
          <w:highlight w:val="none"/>
        </w:rPr>
        <w:t>由于委托人或承包人原因，使监理工作受到阻碍或延误，因增加工作量或持续时间而增加的工作。</w:t>
      </w:r>
    </w:p>
    <w:p>
      <w:pPr>
        <w:pStyle w:val="14"/>
        <w:adjustRightInd w:val="0"/>
        <w:snapToGrid w:val="0"/>
        <w:ind w:firstLine="424" w:firstLineChars="177"/>
        <w:rPr>
          <w:rFonts w:hAnsi="宋体"/>
          <w:color w:val="auto"/>
          <w:highlight w:val="none"/>
        </w:rPr>
      </w:pPr>
      <w:r>
        <w:rPr>
          <w:rFonts w:hAnsi="宋体"/>
          <w:color w:val="auto"/>
          <w:highlight w:val="none"/>
        </w:rPr>
        <w:t>（９）“工程监理的额外工作”是指正常工作和附加工作以外或非监理人自己的原因而暂停或终止监理业务，其善后工作及恢复监理业务的工作。</w:t>
      </w:r>
    </w:p>
    <w:p>
      <w:pPr>
        <w:pStyle w:val="14"/>
        <w:adjustRightInd w:val="0"/>
        <w:snapToGrid w:val="0"/>
        <w:ind w:firstLine="424" w:firstLineChars="177"/>
        <w:rPr>
          <w:rFonts w:hAnsi="宋体"/>
          <w:color w:val="auto"/>
          <w:highlight w:val="none"/>
        </w:rPr>
      </w:pPr>
      <w:r>
        <w:rPr>
          <w:rFonts w:hAnsi="宋体"/>
          <w:color w:val="auto"/>
          <w:highlight w:val="none"/>
        </w:rPr>
        <w:t>（</w:t>
      </w:r>
      <w:r>
        <w:rPr>
          <w:rFonts w:hint="eastAsia" w:hAnsi="宋体"/>
          <w:color w:val="auto"/>
          <w:highlight w:val="none"/>
        </w:rPr>
        <w:t>10</w:t>
      </w:r>
      <w:r>
        <w:rPr>
          <w:rFonts w:hAnsi="宋体"/>
          <w:color w:val="auto"/>
          <w:highlight w:val="none"/>
        </w:rPr>
        <w:t>）</w:t>
      </w:r>
      <w:r>
        <w:rPr>
          <w:rFonts w:hint="eastAsia" w:hAnsi="宋体"/>
          <w:color w:val="auto"/>
          <w:highlight w:val="none"/>
        </w:rPr>
        <w:t>“日”</w:t>
      </w:r>
      <w:r>
        <w:rPr>
          <w:rFonts w:hAnsi="宋体"/>
          <w:color w:val="auto"/>
          <w:highlight w:val="none"/>
        </w:rPr>
        <w:t>是指任何一天零时至第二天零时的时间段。</w:t>
      </w:r>
    </w:p>
    <w:p>
      <w:pPr>
        <w:pStyle w:val="14"/>
        <w:adjustRightInd w:val="0"/>
        <w:snapToGrid w:val="0"/>
        <w:ind w:firstLine="424" w:firstLineChars="177"/>
        <w:rPr>
          <w:rFonts w:hAnsi="宋体" w:cs="宋体"/>
          <w:color w:val="auto"/>
          <w:highlight w:val="none"/>
        </w:rPr>
      </w:pPr>
      <w:r>
        <w:rPr>
          <w:rFonts w:hAnsi="宋体"/>
          <w:color w:val="auto"/>
          <w:highlight w:val="none"/>
        </w:rPr>
        <w:t>（</w:t>
      </w:r>
      <w:r>
        <w:rPr>
          <w:rFonts w:hint="eastAsia" w:hAnsi="宋体"/>
          <w:color w:val="auto"/>
          <w:highlight w:val="none"/>
        </w:rPr>
        <w:t>11</w:t>
      </w:r>
      <w:r>
        <w:rPr>
          <w:rFonts w:hAnsi="宋体"/>
          <w:color w:val="auto"/>
          <w:highlight w:val="none"/>
        </w:rPr>
        <w:t>）“月”是指根据公历从一个月份中任何一天开始到下一个月相应日期的前一天的时间段。</w:t>
      </w:r>
    </w:p>
    <w:p>
      <w:pPr>
        <w:pStyle w:val="14"/>
        <w:adjustRightInd w:val="0"/>
        <w:snapToGrid w:val="0"/>
        <w:ind w:firstLine="424" w:firstLineChars="177"/>
        <w:rPr>
          <w:rFonts w:hAnsi="宋体" w:cs="宋体"/>
          <w:color w:val="auto"/>
          <w:highlight w:val="none"/>
        </w:rPr>
      </w:pPr>
      <w:r>
        <w:rPr>
          <w:rFonts w:hAnsi="宋体" w:cs="宋体"/>
          <w:color w:val="auto"/>
          <w:highlight w:val="none"/>
        </w:rPr>
        <w:t>第二条  建设工程委托监理合同适用的法律是指国家的法律、行政法规，以及专用条款中议定的部门规章或工程所在地的地方法规、地方规章。</w:t>
      </w:r>
    </w:p>
    <w:p>
      <w:pPr>
        <w:pStyle w:val="14"/>
        <w:adjustRightInd w:val="0"/>
        <w:snapToGrid w:val="0"/>
        <w:ind w:firstLine="424" w:firstLineChars="177"/>
        <w:rPr>
          <w:rFonts w:hAnsi="宋体" w:cs="宋体"/>
          <w:color w:val="auto"/>
          <w:highlight w:val="none"/>
        </w:rPr>
      </w:pPr>
      <w:r>
        <w:rPr>
          <w:rFonts w:hAnsi="宋体" w:cs="宋体"/>
          <w:color w:val="auto"/>
          <w:highlight w:val="none"/>
        </w:rPr>
        <w:t>第三条  本合同文件使用汉语语言文字书写、解释和说明。如专用条款约定使用两种以上（含两种）语言文字时，汉语应为解释和说明本合同的标准语言文字。</w:t>
      </w:r>
    </w:p>
    <w:p>
      <w:pPr>
        <w:pStyle w:val="14"/>
        <w:adjustRightInd w:val="0"/>
        <w:snapToGrid w:val="0"/>
        <w:ind w:left="420" w:firstLine="480" w:firstLineChars="200"/>
        <w:rPr>
          <w:rFonts w:hAnsi="宋体" w:cs="宋体"/>
          <w:color w:val="auto"/>
          <w:highlight w:val="none"/>
        </w:rPr>
      </w:pPr>
      <w:r>
        <w:rPr>
          <w:rFonts w:hAnsi="宋体" w:cs="宋体"/>
          <w:color w:val="auto"/>
          <w:highlight w:val="none"/>
        </w:rPr>
        <w:t xml:space="preserve">  </w:t>
      </w:r>
    </w:p>
    <w:p>
      <w:pPr>
        <w:pStyle w:val="14"/>
        <w:adjustRightInd w:val="0"/>
        <w:snapToGrid w:val="0"/>
        <w:ind w:left="420" w:firstLine="480" w:firstLineChars="200"/>
        <w:rPr>
          <w:rFonts w:hAnsi="宋体" w:cs="宋体"/>
          <w:color w:val="auto"/>
          <w:highlight w:val="none"/>
        </w:rPr>
      </w:pPr>
    </w:p>
    <w:p>
      <w:pPr>
        <w:pStyle w:val="14"/>
        <w:adjustRightInd w:val="0"/>
        <w:snapToGrid w:val="0"/>
        <w:ind w:left="420" w:firstLine="482" w:firstLineChars="200"/>
        <w:jc w:val="center"/>
        <w:rPr>
          <w:rFonts w:hAnsi="宋体" w:cs="宋体"/>
          <w:b/>
          <w:bCs/>
          <w:color w:val="auto"/>
          <w:highlight w:val="none"/>
        </w:rPr>
      </w:pPr>
      <w:r>
        <w:rPr>
          <w:rFonts w:hAnsi="宋体" w:cs="宋体"/>
          <w:b/>
          <w:bCs/>
          <w:color w:val="auto"/>
          <w:highlight w:val="none"/>
        </w:rPr>
        <w:t>监理人义务</w:t>
      </w:r>
    </w:p>
    <w:p>
      <w:pPr>
        <w:pStyle w:val="14"/>
        <w:adjustRightInd w:val="0"/>
        <w:snapToGrid w:val="0"/>
        <w:ind w:firstLine="424" w:firstLineChars="177"/>
        <w:rPr>
          <w:rFonts w:hAnsi="宋体" w:cs="宋体"/>
          <w:color w:val="auto"/>
          <w:highlight w:val="none"/>
        </w:rPr>
      </w:pPr>
      <w:r>
        <w:rPr>
          <w:rFonts w:hAnsi="宋体" w:cs="宋体"/>
          <w:color w:val="auto"/>
          <w:highlight w:val="none"/>
        </w:rPr>
        <w:t>第四条  监理人按合同约定派出监理工作需要的监理机构及监理人员，向委托人报送委派的总监理工程师及其监理机构主要成员名单、监理规划，完成监理合同专用条款中约定的监理工程范围内的监理业务。在履行合同义务期间，应按合同约定定期向委托人报告监理工作。</w:t>
      </w:r>
    </w:p>
    <w:p>
      <w:pPr>
        <w:pStyle w:val="14"/>
        <w:adjustRightInd w:val="0"/>
        <w:snapToGrid w:val="0"/>
        <w:ind w:firstLine="424" w:firstLineChars="177"/>
        <w:rPr>
          <w:rFonts w:hAnsi="宋体" w:cs="宋体"/>
          <w:color w:val="auto"/>
          <w:highlight w:val="none"/>
        </w:rPr>
      </w:pPr>
      <w:r>
        <w:rPr>
          <w:rFonts w:hAnsi="宋体" w:cs="宋体"/>
          <w:color w:val="auto"/>
          <w:highlight w:val="none"/>
        </w:rPr>
        <w:t>第五条  监理人在履行本合同的义务期间，应认真、勤奋地工作，为委托人提供与其水平相适应的咨询意见，公正维护各方面的合法权益。</w:t>
      </w:r>
    </w:p>
    <w:p>
      <w:pPr>
        <w:pStyle w:val="14"/>
        <w:adjustRightInd w:val="0"/>
        <w:snapToGrid w:val="0"/>
        <w:ind w:firstLine="424" w:firstLineChars="177"/>
        <w:rPr>
          <w:rFonts w:hAnsi="宋体" w:cs="宋体"/>
          <w:color w:val="auto"/>
          <w:highlight w:val="none"/>
        </w:rPr>
      </w:pPr>
      <w:r>
        <w:rPr>
          <w:rFonts w:hAnsi="宋体" w:cs="宋体"/>
          <w:color w:val="auto"/>
          <w:highlight w:val="none"/>
        </w:rPr>
        <w:t xml:space="preserve">第六条  </w:t>
      </w:r>
      <w:r>
        <w:rPr>
          <w:rFonts w:hint="eastAsia" w:hAnsi="宋体" w:cs="宋体"/>
          <w:color w:val="auto"/>
          <w:highlight w:val="none"/>
        </w:rPr>
        <w:t>监理人自行解决监理工作过程中办公、交通、通信、居住、用餐及其他办公生活设施等，</w:t>
      </w:r>
      <w:r>
        <w:rPr>
          <w:rFonts w:hAnsi="宋体" w:cs="宋体"/>
          <w:color w:val="auto"/>
          <w:highlight w:val="none"/>
        </w:rPr>
        <w:t>监理人使用委托人提供的设施和物品属委托人的财产。在监理工作完成或中止时，应将其设施和剩余的物品按合同约定的时间和方式移交给委托人。</w:t>
      </w:r>
    </w:p>
    <w:p>
      <w:pPr>
        <w:pStyle w:val="14"/>
        <w:adjustRightInd w:val="0"/>
        <w:snapToGrid w:val="0"/>
        <w:ind w:firstLine="424" w:firstLineChars="177"/>
        <w:rPr>
          <w:rFonts w:hAnsi="宋体" w:cs="宋体"/>
          <w:color w:val="auto"/>
          <w:highlight w:val="none"/>
        </w:rPr>
      </w:pPr>
      <w:r>
        <w:rPr>
          <w:rFonts w:hAnsi="宋体" w:cs="宋体"/>
          <w:color w:val="auto"/>
          <w:highlight w:val="none"/>
        </w:rPr>
        <w:t>第七条  在合同期内或合同终止后，未征得有关方同意，不得泄露与本工程、本合同业务有关的保密资料。</w:t>
      </w:r>
    </w:p>
    <w:p>
      <w:pPr>
        <w:pStyle w:val="14"/>
        <w:adjustRightInd w:val="0"/>
        <w:snapToGrid w:val="0"/>
        <w:ind w:left="420" w:firstLine="480" w:firstLineChars="200"/>
        <w:rPr>
          <w:rFonts w:hAnsi="宋体" w:cs="宋体"/>
          <w:color w:val="auto"/>
          <w:highlight w:val="none"/>
        </w:rPr>
      </w:pPr>
      <w:r>
        <w:rPr>
          <w:rFonts w:hAnsi="宋体" w:cs="宋体"/>
          <w:color w:val="auto"/>
          <w:highlight w:val="none"/>
        </w:rPr>
        <w:t xml:space="preserve">  </w:t>
      </w:r>
    </w:p>
    <w:p>
      <w:pPr>
        <w:pStyle w:val="14"/>
        <w:adjustRightInd w:val="0"/>
        <w:snapToGrid w:val="0"/>
        <w:ind w:left="420" w:firstLine="482" w:firstLineChars="200"/>
        <w:jc w:val="center"/>
        <w:rPr>
          <w:rFonts w:hAnsi="宋体" w:cs="宋体"/>
          <w:b/>
          <w:bCs/>
          <w:color w:val="auto"/>
          <w:highlight w:val="none"/>
        </w:rPr>
      </w:pPr>
      <w:r>
        <w:rPr>
          <w:rFonts w:hAnsi="宋体" w:cs="宋体"/>
          <w:b/>
          <w:bCs/>
          <w:color w:val="auto"/>
          <w:highlight w:val="none"/>
        </w:rPr>
        <w:t>委托人义务</w:t>
      </w:r>
    </w:p>
    <w:p>
      <w:pPr>
        <w:pStyle w:val="14"/>
        <w:adjustRightInd w:val="0"/>
        <w:snapToGrid w:val="0"/>
        <w:ind w:firstLine="424" w:firstLineChars="177"/>
        <w:rPr>
          <w:rFonts w:hAnsi="宋体" w:cs="宋体"/>
          <w:color w:val="auto"/>
          <w:highlight w:val="none"/>
        </w:rPr>
      </w:pPr>
      <w:r>
        <w:rPr>
          <w:rFonts w:hAnsi="宋体" w:cs="宋体"/>
          <w:color w:val="auto"/>
          <w:highlight w:val="none"/>
        </w:rPr>
        <w:t>第八条  委托人在监理人开展监理业务</w:t>
      </w:r>
      <w:r>
        <w:rPr>
          <w:rFonts w:hint="eastAsia" w:hAnsi="宋体" w:cs="宋体"/>
          <w:color w:val="auto"/>
          <w:highlight w:val="none"/>
        </w:rPr>
        <w:t>后</w:t>
      </w:r>
      <w:r>
        <w:rPr>
          <w:rFonts w:hAnsi="宋体" w:cs="宋体"/>
          <w:color w:val="auto"/>
          <w:highlight w:val="none"/>
        </w:rPr>
        <w:t>向监理人支付</w:t>
      </w:r>
      <w:r>
        <w:rPr>
          <w:rFonts w:hint="eastAsia" w:hAnsi="宋体" w:cs="宋体"/>
          <w:color w:val="auto"/>
          <w:highlight w:val="none"/>
        </w:rPr>
        <w:t>服务费</w:t>
      </w:r>
      <w:r>
        <w:rPr>
          <w:rFonts w:hAnsi="宋体" w:cs="宋体"/>
          <w:color w:val="auto"/>
          <w:highlight w:val="none"/>
        </w:rPr>
        <w:t>。</w:t>
      </w:r>
    </w:p>
    <w:p>
      <w:pPr>
        <w:pStyle w:val="14"/>
        <w:adjustRightInd w:val="0"/>
        <w:snapToGrid w:val="0"/>
        <w:ind w:firstLine="424" w:firstLineChars="177"/>
        <w:rPr>
          <w:rFonts w:hAnsi="宋体" w:cs="宋体"/>
          <w:color w:val="auto"/>
          <w:highlight w:val="none"/>
        </w:rPr>
      </w:pPr>
      <w:r>
        <w:rPr>
          <w:rFonts w:hAnsi="宋体" w:cs="宋体"/>
          <w:color w:val="auto"/>
          <w:highlight w:val="none"/>
        </w:rPr>
        <w:t>第九条  委托人应当</w:t>
      </w:r>
      <w:r>
        <w:rPr>
          <w:rFonts w:hint="eastAsia" w:hAnsi="宋体" w:cs="宋体"/>
          <w:color w:val="auto"/>
          <w:highlight w:val="none"/>
        </w:rPr>
        <w:t>协助监理人协调</w:t>
      </w:r>
      <w:r>
        <w:rPr>
          <w:rFonts w:hAnsi="宋体" w:cs="宋体"/>
          <w:color w:val="auto"/>
          <w:highlight w:val="none"/>
        </w:rPr>
        <w:t>工程建设的外部关系，为监理工作提供外部条件。根据需要，如将部分或全部协调工作委托监理人承担，则应在专用条款中明确委托的工作和相应的报酬。</w:t>
      </w:r>
    </w:p>
    <w:p>
      <w:pPr>
        <w:pStyle w:val="14"/>
        <w:adjustRightInd w:val="0"/>
        <w:snapToGrid w:val="0"/>
        <w:ind w:firstLine="424" w:firstLineChars="177"/>
        <w:rPr>
          <w:rFonts w:hAnsi="宋体" w:cs="宋体"/>
          <w:color w:val="auto"/>
          <w:highlight w:val="none"/>
        </w:rPr>
      </w:pPr>
      <w:r>
        <w:rPr>
          <w:rFonts w:hAnsi="宋体" w:cs="宋体"/>
          <w:color w:val="auto"/>
          <w:highlight w:val="none"/>
        </w:rPr>
        <w:t>第十条  委托人应当在双方约定的时间内免费向监理人提供与工程有关的为监理工作所需要的工程资料。</w:t>
      </w:r>
    </w:p>
    <w:p>
      <w:pPr>
        <w:pStyle w:val="14"/>
        <w:adjustRightInd w:val="0"/>
        <w:snapToGrid w:val="0"/>
        <w:ind w:firstLine="424" w:firstLineChars="177"/>
        <w:rPr>
          <w:rFonts w:hAnsi="宋体" w:cs="宋体"/>
          <w:color w:val="auto"/>
          <w:highlight w:val="none"/>
        </w:rPr>
      </w:pPr>
      <w:r>
        <w:rPr>
          <w:rFonts w:hAnsi="宋体" w:cs="宋体"/>
          <w:color w:val="auto"/>
          <w:highlight w:val="none"/>
        </w:rPr>
        <w:t>第十一条  委托人应当在专用条款约定的时间内就监理人书面提交并要求</w:t>
      </w:r>
      <w:r>
        <w:rPr>
          <w:rFonts w:hint="eastAsia" w:hAnsi="宋体" w:cs="宋体"/>
          <w:color w:val="auto"/>
          <w:highlight w:val="none"/>
        </w:rPr>
        <w:t>做出</w:t>
      </w:r>
      <w:r>
        <w:rPr>
          <w:rFonts w:hAnsi="宋体" w:cs="宋体"/>
          <w:color w:val="auto"/>
          <w:highlight w:val="none"/>
        </w:rPr>
        <w:t>决定的一切事宜作出书面决定。</w:t>
      </w:r>
    </w:p>
    <w:p>
      <w:pPr>
        <w:pStyle w:val="14"/>
        <w:adjustRightInd w:val="0"/>
        <w:snapToGrid w:val="0"/>
        <w:ind w:firstLine="424" w:firstLineChars="177"/>
        <w:rPr>
          <w:rFonts w:hAnsi="宋体" w:cs="宋体"/>
          <w:color w:val="auto"/>
          <w:highlight w:val="none"/>
        </w:rPr>
      </w:pPr>
      <w:r>
        <w:rPr>
          <w:rFonts w:hAnsi="宋体" w:cs="宋体"/>
          <w:color w:val="auto"/>
          <w:highlight w:val="none"/>
        </w:rPr>
        <w:t>第十二条  委托人应当授权</w:t>
      </w:r>
      <w:r>
        <w:rPr>
          <w:rFonts w:hint="eastAsia" w:hAnsi="宋体" w:cs="宋体"/>
          <w:color w:val="auto"/>
          <w:highlight w:val="none"/>
        </w:rPr>
        <w:t>1</w:t>
      </w:r>
      <w:r>
        <w:rPr>
          <w:rFonts w:hAnsi="宋体" w:cs="宋体"/>
          <w:color w:val="auto"/>
          <w:highlight w:val="none"/>
        </w:rPr>
        <w:t>-2名熟悉工程情况、能在规定时间内</w:t>
      </w:r>
      <w:r>
        <w:rPr>
          <w:rFonts w:hint="eastAsia" w:hAnsi="宋体" w:cs="宋体"/>
          <w:color w:val="auto"/>
          <w:highlight w:val="none"/>
        </w:rPr>
        <w:t>做出</w:t>
      </w:r>
      <w:r>
        <w:rPr>
          <w:rFonts w:hAnsi="宋体" w:cs="宋体"/>
          <w:color w:val="auto"/>
          <w:highlight w:val="none"/>
        </w:rPr>
        <w:t>决定的常驻代表（在专用条款中约定），负责与监理人联系。更换常驻代表，要提前通知监理人。</w:t>
      </w:r>
    </w:p>
    <w:p>
      <w:pPr>
        <w:pStyle w:val="14"/>
        <w:adjustRightInd w:val="0"/>
        <w:snapToGrid w:val="0"/>
        <w:ind w:firstLine="424" w:firstLineChars="177"/>
        <w:rPr>
          <w:rFonts w:hAnsi="宋体" w:cs="宋体"/>
          <w:color w:val="auto"/>
          <w:highlight w:val="none"/>
        </w:rPr>
      </w:pPr>
      <w:r>
        <w:rPr>
          <w:rFonts w:hAnsi="宋体" w:cs="宋体"/>
          <w:color w:val="auto"/>
          <w:highlight w:val="none"/>
        </w:rPr>
        <w:t>第十三条  委托人应当将授予监理人的监理权利，以及监理人主要成员的职能分工、监理权限及时书面通知已选定的承包合同的承包人，并在与第三人签订的合同中予以明确。</w:t>
      </w:r>
    </w:p>
    <w:p>
      <w:pPr>
        <w:pStyle w:val="14"/>
        <w:adjustRightInd w:val="0"/>
        <w:snapToGrid w:val="0"/>
        <w:ind w:firstLine="424" w:firstLineChars="177"/>
        <w:rPr>
          <w:rFonts w:hAnsi="宋体" w:cs="宋体"/>
          <w:color w:val="auto"/>
          <w:highlight w:val="none"/>
        </w:rPr>
      </w:pPr>
      <w:r>
        <w:rPr>
          <w:rFonts w:hAnsi="宋体" w:cs="宋体"/>
          <w:color w:val="auto"/>
          <w:highlight w:val="none"/>
        </w:rPr>
        <w:t>第十四条  委托人应在不影响监理人开展监理工作的时间内提供如下资料：</w:t>
      </w:r>
    </w:p>
    <w:p>
      <w:pPr>
        <w:pStyle w:val="14"/>
        <w:adjustRightInd w:val="0"/>
        <w:snapToGrid w:val="0"/>
        <w:ind w:firstLine="424" w:firstLineChars="177"/>
        <w:rPr>
          <w:rFonts w:hAnsi="宋体"/>
          <w:color w:val="auto"/>
          <w:highlight w:val="none"/>
        </w:rPr>
      </w:pPr>
      <w:r>
        <w:rPr>
          <w:rFonts w:hAnsi="宋体"/>
          <w:color w:val="auto"/>
          <w:highlight w:val="none"/>
        </w:rPr>
        <w:t>（１）与本工程合作的原材料、构配件、设备等生产厂家名录。</w:t>
      </w:r>
    </w:p>
    <w:p>
      <w:pPr>
        <w:pStyle w:val="14"/>
        <w:adjustRightInd w:val="0"/>
        <w:snapToGrid w:val="0"/>
        <w:ind w:firstLine="424" w:firstLineChars="177"/>
        <w:rPr>
          <w:rFonts w:hAnsi="宋体"/>
          <w:color w:val="auto"/>
          <w:highlight w:val="none"/>
        </w:rPr>
      </w:pPr>
      <w:r>
        <w:rPr>
          <w:rFonts w:hAnsi="宋体"/>
          <w:color w:val="auto"/>
          <w:highlight w:val="none"/>
        </w:rPr>
        <w:t>（２）提供与本工程有关的协作单位、配合单位的名录。</w:t>
      </w:r>
    </w:p>
    <w:p>
      <w:pPr>
        <w:pStyle w:val="14"/>
        <w:adjustRightInd w:val="0"/>
        <w:snapToGrid w:val="0"/>
        <w:ind w:firstLine="424" w:firstLineChars="177"/>
        <w:rPr>
          <w:rFonts w:hAnsi="宋体" w:cs="宋体"/>
          <w:color w:val="auto"/>
          <w:highlight w:val="none"/>
        </w:rPr>
      </w:pPr>
      <w:r>
        <w:rPr>
          <w:rFonts w:hAnsi="宋体" w:cs="宋体"/>
          <w:color w:val="auto"/>
          <w:highlight w:val="none"/>
        </w:rPr>
        <w:t>第十五条  委托人</w:t>
      </w:r>
      <w:r>
        <w:rPr>
          <w:rFonts w:hint="eastAsia" w:hAnsi="宋体" w:cs="宋体"/>
          <w:color w:val="auto"/>
          <w:highlight w:val="none"/>
        </w:rPr>
        <w:t>不提供监理办公及生活等设施</w:t>
      </w:r>
      <w:r>
        <w:rPr>
          <w:rFonts w:hAnsi="宋体" w:cs="宋体"/>
          <w:color w:val="auto"/>
          <w:highlight w:val="none"/>
        </w:rPr>
        <w:t>。</w:t>
      </w:r>
    </w:p>
    <w:p>
      <w:pPr>
        <w:pStyle w:val="14"/>
        <w:adjustRightInd w:val="0"/>
        <w:snapToGrid w:val="0"/>
        <w:ind w:firstLine="424" w:firstLineChars="177"/>
        <w:rPr>
          <w:rFonts w:hAnsi="宋体" w:cs="宋体"/>
          <w:color w:val="auto"/>
          <w:highlight w:val="none"/>
        </w:rPr>
      </w:pPr>
      <w:r>
        <w:rPr>
          <w:rFonts w:hAnsi="宋体" w:cs="宋体"/>
          <w:color w:val="auto"/>
          <w:highlight w:val="none"/>
        </w:rPr>
        <w:t>第十六条  根据情况需要，如果双方约定，由委托人免费向监理人提供其他人员，应在监理合同专用条款中予以明确。</w:t>
      </w:r>
    </w:p>
    <w:p>
      <w:pPr>
        <w:pStyle w:val="14"/>
        <w:adjustRightInd w:val="0"/>
        <w:snapToGrid w:val="0"/>
        <w:ind w:left="420" w:firstLine="482" w:firstLineChars="200"/>
        <w:jc w:val="center"/>
        <w:rPr>
          <w:rFonts w:hAnsi="宋体" w:cs="宋体"/>
          <w:b/>
          <w:bCs/>
          <w:color w:val="auto"/>
          <w:highlight w:val="none"/>
        </w:rPr>
      </w:pPr>
    </w:p>
    <w:p>
      <w:pPr>
        <w:pStyle w:val="14"/>
        <w:adjustRightInd w:val="0"/>
        <w:snapToGrid w:val="0"/>
        <w:ind w:left="420" w:firstLine="482" w:firstLineChars="200"/>
        <w:jc w:val="center"/>
        <w:rPr>
          <w:rFonts w:hAnsi="宋体" w:cs="宋体"/>
          <w:b/>
          <w:bCs/>
          <w:color w:val="auto"/>
          <w:highlight w:val="none"/>
        </w:rPr>
      </w:pPr>
      <w:r>
        <w:rPr>
          <w:rFonts w:hAnsi="宋体" w:cs="宋体"/>
          <w:b/>
          <w:bCs/>
          <w:color w:val="auto"/>
          <w:highlight w:val="none"/>
        </w:rPr>
        <w:t>监理人权利</w:t>
      </w:r>
    </w:p>
    <w:p>
      <w:pPr>
        <w:pStyle w:val="14"/>
        <w:adjustRightInd w:val="0"/>
        <w:snapToGrid w:val="0"/>
        <w:ind w:firstLine="424" w:firstLineChars="177"/>
        <w:rPr>
          <w:rFonts w:hAnsi="宋体" w:cs="宋体"/>
          <w:color w:val="auto"/>
          <w:highlight w:val="none"/>
        </w:rPr>
      </w:pPr>
      <w:r>
        <w:rPr>
          <w:rFonts w:hAnsi="宋体" w:cs="宋体"/>
          <w:color w:val="auto"/>
          <w:highlight w:val="none"/>
        </w:rPr>
        <w:t>第十七条  监理人在委托人委托的工程范围内，享有以下权利：</w:t>
      </w:r>
    </w:p>
    <w:p>
      <w:pPr>
        <w:pStyle w:val="14"/>
        <w:adjustRightInd w:val="0"/>
        <w:snapToGrid w:val="0"/>
        <w:ind w:firstLine="424" w:firstLineChars="177"/>
        <w:rPr>
          <w:rFonts w:hAnsi="宋体"/>
          <w:color w:val="auto"/>
          <w:highlight w:val="none"/>
        </w:rPr>
      </w:pPr>
      <w:r>
        <w:rPr>
          <w:rFonts w:hAnsi="宋体"/>
          <w:color w:val="auto"/>
          <w:highlight w:val="none"/>
        </w:rPr>
        <w:t>（１）选择工程总承包人的建议权。</w:t>
      </w:r>
    </w:p>
    <w:p>
      <w:pPr>
        <w:pStyle w:val="14"/>
        <w:adjustRightInd w:val="0"/>
        <w:snapToGrid w:val="0"/>
        <w:ind w:firstLine="424" w:firstLineChars="177"/>
        <w:rPr>
          <w:rFonts w:hAnsi="宋体"/>
          <w:color w:val="auto"/>
          <w:highlight w:val="none"/>
        </w:rPr>
      </w:pPr>
      <w:r>
        <w:rPr>
          <w:rFonts w:hAnsi="宋体"/>
          <w:color w:val="auto"/>
          <w:highlight w:val="none"/>
        </w:rPr>
        <w:t>（２）选择工程分包人的认可权。</w:t>
      </w:r>
    </w:p>
    <w:p>
      <w:pPr>
        <w:pStyle w:val="14"/>
        <w:adjustRightInd w:val="0"/>
        <w:snapToGrid w:val="0"/>
        <w:ind w:firstLine="424" w:firstLineChars="177"/>
        <w:rPr>
          <w:rFonts w:hAnsi="宋体"/>
          <w:color w:val="auto"/>
          <w:highlight w:val="none"/>
        </w:rPr>
      </w:pPr>
      <w:r>
        <w:rPr>
          <w:rFonts w:hAnsi="宋体"/>
          <w:color w:val="auto"/>
          <w:highlight w:val="none"/>
        </w:rPr>
        <w:t>（３）对工程建设有关事项包括工程规模、设计标准、规划设计、生产工艺设计和使用功能要求，向委托人的建议权。</w:t>
      </w:r>
    </w:p>
    <w:p>
      <w:pPr>
        <w:pStyle w:val="14"/>
        <w:adjustRightInd w:val="0"/>
        <w:snapToGrid w:val="0"/>
        <w:ind w:firstLine="424" w:firstLineChars="177"/>
        <w:rPr>
          <w:rFonts w:hAnsi="宋体"/>
          <w:color w:val="auto"/>
          <w:highlight w:val="none"/>
        </w:rPr>
      </w:pPr>
      <w:r>
        <w:rPr>
          <w:rFonts w:hAnsi="宋体"/>
          <w:color w:val="auto"/>
          <w:highlight w:val="none"/>
        </w:rPr>
        <w:t>（４）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pStyle w:val="14"/>
        <w:adjustRightInd w:val="0"/>
        <w:snapToGrid w:val="0"/>
        <w:ind w:firstLine="424" w:firstLineChars="177"/>
        <w:rPr>
          <w:rFonts w:hAnsi="宋体"/>
          <w:color w:val="auto"/>
          <w:highlight w:val="none"/>
        </w:rPr>
      </w:pPr>
      <w:r>
        <w:rPr>
          <w:rFonts w:hAnsi="宋体"/>
          <w:color w:val="auto"/>
          <w:highlight w:val="none"/>
        </w:rPr>
        <w:t>（５）审批工程施工组织设计和技术方案，按照保质量、保工期和降低成本的原则，向承包人提出建议，并向委托人提出书面报告。</w:t>
      </w:r>
    </w:p>
    <w:p>
      <w:pPr>
        <w:pStyle w:val="14"/>
        <w:adjustRightInd w:val="0"/>
        <w:snapToGrid w:val="0"/>
        <w:ind w:firstLine="424" w:firstLineChars="177"/>
        <w:rPr>
          <w:rFonts w:hAnsi="宋体"/>
          <w:color w:val="auto"/>
          <w:highlight w:val="none"/>
        </w:rPr>
      </w:pPr>
      <w:r>
        <w:rPr>
          <w:rFonts w:hAnsi="宋体"/>
          <w:color w:val="auto"/>
          <w:highlight w:val="none"/>
        </w:rPr>
        <w:t>（６）主持工程建设有关协作单位的组织协调，重要协调事项应当事先向委托人报告。</w:t>
      </w:r>
    </w:p>
    <w:p>
      <w:pPr>
        <w:pStyle w:val="14"/>
        <w:adjustRightInd w:val="0"/>
        <w:snapToGrid w:val="0"/>
        <w:ind w:firstLine="424" w:firstLineChars="177"/>
        <w:rPr>
          <w:rFonts w:hAnsi="宋体"/>
          <w:color w:val="auto"/>
          <w:highlight w:val="none"/>
        </w:rPr>
      </w:pPr>
      <w:r>
        <w:rPr>
          <w:rFonts w:hAnsi="宋体"/>
          <w:color w:val="auto"/>
          <w:highlight w:val="none"/>
        </w:rPr>
        <w:t>（７）征得委托人同意，监理人有权发布开工令、停工令、复工令，但应当事先向委托人报告。如在紧急情况下未能事先报告时，则应在２４小时内向委托人</w:t>
      </w:r>
      <w:r>
        <w:rPr>
          <w:rFonts w:hint="eastAsia" w:hAnsi="宋体"/>
          <w:color w:val="auto"/>
          <w:highlight w:val="none"/>
        </w:rPr>
        <w:t>做出</w:t>
      </w:r>
      <w:r>
        <w:rPr>
          <w:rFonts w:hAnsi="宋体"/>
          <w:color w:val="auto"/>
          <w:highlight w:val="none"/>
        </w:rPr>
        <w:t>书面报告。</w:t>
      </w:r>
    </w:p>
    <w:p>
      <w:pPr>
        <w:pStyle w:val="14"/>
        <w:adjustRightInd w:val="0"/>
        <w:snapToGrid w:val="0"/>
        <w:ind w:firstLine="424" w:firstLineChars="177"/>
        <w:rPr>
          <w:rFonts w:hAnsi="宋体"/>
          <w:color w:val="auto"/>
          <w:highlight w:val="none"/>
        </w:rPr>
      </w:pPr>
      <w:r>
        <w:rPr>
          <w:rFonts w:hAnsi="宋体"/>
          <w:color w:val="auto"/>
          <w:highlight w:val="none"/>
        </w:rPr>
        <w:t>（８）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pStyle w:val="14"/>
        <w:adjustRightInd w:val="0"/>
        <w:snapToGrid w:val="0"/>
        <w:ind w:firstLine="424" w:firstLineChars="177"/>
        <w:rPr>
          <w:rFonts w:hAnsi="宋体"/>
          <w:color w:val="auto"/>
          <w:highlight w:val="none"/>
        </w:rPr>
      </w:pPr>
      <w:r>
        <w:rPr>
          <w:rFonts w:hAnsi="宋体"/>
          <w:color w:val="auto"/>
          <w:highlight w:val="none"/>
        </w:rPr>
        <w:t>（９）工程施工进度的检查、监督权，以及工程实际竣工日期提前或超过工程施工合同规定的竣工期限的签认权。</w:t>
      </w:r>
    </w:p>
    <w:p>
      <w:pPr>
        <w:pStyle w:val="14"/>
        <w:adjustRightInd w:val="0"/>
        <w:snapToGrid w:val="0"/>
        <w:ind w:firstLine="424" w:firstLineChars="177"/>
        <w:rPr>
          <w:rFonts w:hAnsi="宋体"/>
          <w:color w:val="auto"/>
          <w:highlight w:val="none"/>
        </w:rPr>
      </w:pPr>
      <w:r>
        <w:rPr>
          <w:rFonts w:hAnsi="宋体"/>
          <w:color w:val="auto"/>
          <w:highlight w:val="none"/>
        </w:rPr>
        <w:t>（</w:t>
      </w:r>
      <w:r>
        <w:rPr>
          <w:rFonts w:hint="eastAsia" w:hAnsi="宋体"/>
          <w:color w:val="auto"/>
          <w:highlight w:val="none"/>
        </w:rPr>
        <w:t>10</w:t>
      </w:r>
      <w:r>
        <w:rPr>
          <w:rFonts w:hAnsi="宋体"/>
          <w:color w:val="auto"/>
          <w:highlight w:val="none"/>
        </w:rPr>
        <w:t>）在工程施工合同约定的工程价格范围内，工程款支付的审核和签认权，以及工程结算的复核确认权与否决权。未经总监理工程师签字确认，委托人不支付工程款。</w:t>
      </w:r>
    </w:p>
    <w:p>
      <w:pPr>
        <w:pStyle w:val="14"/>
        <w:adjustRightInd w:val="0"/>
        <w:snapToGrid w:val="0"/>
        <w:ind w:firstLine="424" w:firstLineChars="177"/>
        <w:rPr>
          <w:rFonts w:hAnsi="宋体" w:cs="宋体"/>
          <w:color w:val="auto"/>
          <w:highlight w:val="none"/>
        </w:rPr>
      </w:pPr>
      <w:r>
        <w:rPr>
          <w:rFonts w:hAnsi="宋体" w:cs="宋体"/>
          <w:color w:val="auto"/>
          <w:highlight w:val="none"/>
        </w:rPr>
        <w:t>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pStyle w:val="14"/>
        <w:adjustRightInd w:val="0"/>
        <w:snapToGrid w:val="0"/>
        <w:ind w:firstLine="424" w:firstLineChars="177"/>
        <w:rPr>
          <w:rFonts w:hAnsi="宋体" w:cs="宋体"/>
          <w:color w:val="auto"/>
          <w:highlight w:val="none"/>
        </w:rPr>
      </w:pPr>
      <w:r>
        <w:rPr>
          <w:rFonts w:hAnsi="宋体" w:cs="宋体"/>
          <w:color w:val="auto"/>
          <w:highlight w:val="none"/>
        </w:rPr>
        <w:t>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pPr>
        <w:pStyle w:val="14"/>
        <w:adjustRightInd w:val="0"/>
        <w:snapToGrid w:val="0"/>
        <w:ind w:left="420" w:firstLine="480" w:firstLineChars="200"/>
        <w:rPr>
          <w:rFonts w:hAnsi="宋体" w:cs="宋体"/>
          <w:color w:val="auto"/>
          <w:highlight w:val="none"/>
        </w:rPr>
      </w:pPr>
      <w:r>
        <w:rPr>
          <w:rFonts w:hAnsi="宋体" w:cs="宋体"/>
          <w:color w:val="auto"/>
          <w:highlight w:val="none"/>
        </w:rPr>
        <w:t xml:space="preserve">  </w:t>
      </w:r>
    </w:p>
    <w:p>
      <w:pPr>
        <w:pStyle w:val="14"/>
        <w:adjustRightInd w:val="0"/>
        <w:snapToGrid w:val="0"/>
        <w:ind w:left="420" w:firstLine="482" w:firstLineChars="200"/>
        <w:jc w:val="center"/>
        <w:rPr>
          <w:rFonts w:hAnsi="宋体" w:cs="宋体"/>
          <w:b/>
          <w:bCs/>
          <w:color w:val="auto"/>
          <w:highlight w:val="none"/>
        </w:rPr>
      </w:pPr>
      <w:r>
        <w:rPr>
          <w:rFonts w:hAnsi="宋体" w:cs="宋体"/>
          <w:b/>
          <w:bCs/>
          <w:color w:val="auto"/>
          <w:highlight w:val="none"/>
        </w:rPr>
        <w:t>委托人权利</w:t>
      </w:r>
    </w:p>
    <w:p>
      <w:pPr>
        <w:pStyle w:val="14"/>
        <w:adjustRightInd w:val="0"/>
        <w:snapToGrid w:val="0"/>
        <w:ind w:firstLine="424" w:firstLineChars="177"/>
        <w:rPr>
          <w:rFonts w:hAnsi="宋体" w:cs="宋体"/>
          <w:color w:val="auto"/>
          <w:highlight w:val="none"/>
        </w:rPr>
      </w:pPr>
      <w:r>
        <w:rPr>
          <w:rFonts w:hAnsi="宋体" w:cs="宋体"/>
          <w:color w:val="auto"/>
          <w:highlight w:val="none"/>
        </w:rPr>
        <w:t>第二十条  委托人有选定工程总承包人，以及与其订立合同的权利。</w:t>
      </w:r>
    </w:p>
    <w:p>
      <w:pPr>
        <w:pStyle w:val="14"/>
        <w:adjustRightInd w:val="0"/>
        <w:snapToGrid w:val="0"/>
        <w:ind w:firstLine="424" w:firstLineChars="177"/>
        <w:rPr>
          <w:rFonts w:hAnsi="宋体" w:cs="宋体"/>
          <w:color w:val="auto"/>
          <w:highlight w:val="none"/>
        </w:rPr>
      </w:pPr>
      <w:r>
        <w:rPr>
          <w:rFonts w:hAnsi="宋体" w:cs="宋体"/>
          <w:color w:val="auto"/>
          <w:highlight w:val="none"/>
        </w:rPr>
        <w:t>第二十一条  委托人有对工程规模、设计标准、规划设计、生产工艺设计和设计使用功能要求的认定权，以及对工程设计变更的审批权。</w:t>
      </w:r>
    </w:p>
    <w:p>
      <w:pPr>
        <w:pStyle w:val="14"/>
        <w:adjustRightInd w:val="0"/>
        <w:snapToGrid w:val="0"/>
        <w:ind w:firstLine="424" w:firstLineChars="177"/>
        <w:rPr>
          <w:rFonts w:hAnsi="宋体" w:cs="宋体"/>
          <w:color w:val="auto"/>
          <w:highlight w:val="none"/>
        </w:rPr>
      </w:pPr>
      <w:r>
        <w:rPr>
          <w:rFonts w:hAnsi="宋体" w:cs="宋体"/>
          <w:color w:val="auto"/>
          <w:highlight w:val="none"/>
        </w:rPr>
        <w:t>第二十二条  监理人调换总监理工程师须事先经委托人同意。</w:t>
      </w:r>
    </w:p>
    <w:p>
      <w:pPr>
        <w:pStyle w:val="14"/>
        <w:adjustRightInd w:val="0"/>
        <w:snapToGrid w:val="0"/>
        <w:ind w:firstLine="424" w:firstLineChars="177"/>
        <w:rPr>
          <w:rFonts w:hAnsi="宋体" w:cs="宋体"/>
          <w:color w:val="auto"/>
          <w:highlight w:val="none"/>
        </w:rPr>
      </w:pPr>
      <w:r>
        <w:rPr>
          <w:rFonts w:hAnsi="宋体" w:cs="宋体"/>
          <w:color w:val="auto"/>
          <w:highlight w:val="none"/>
        </w:rPr>
        <w:t>第二十三条  委托人有权要求监理人提交监理工作月报及监理业务范围内的专项报告。</w:t>
      </w:r>
    </w:p>
    <w:p>
      <w:pPr>
        <w:pStyle w:val="14"/>
        <w:adjustRightInd w:val="0"/>
        <w:snapToGrid w:val="0"/>
        <w:ind w:firstLine="424" w:firstLineChars="177"/>
        <w:rPr>
          <w:rFonts w:hAnsi="宋体" w:cs="宋体"/>
          <w:color w:val="auto"/>
          <w:highlight w:val="none"/>
        </w:rPr>
      </w:pPr>
      <w:r>
        <w:rPr>
          <w:rFonts w:hAnsi="宋体" w:cs="宋体"/>
          <w:color w:val="auto"/>
          <w:highlight w:val="none"/>
        </w:rPr>
        <w:t>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14"/>
        <w:adjustRightInd w:val="0"/>
        <w:snapToGrid w:val="0"/>
        <w:ind w:left="420" w:firstLine="480" w:firstLineChars="200"/>
        <w:rPr>
          <w:rFonts w:hAnsi="宋体" w:cs="宋体"/>
          <w:color w:val="auto"/>
          <w:highlight w:val="none"/>
        </w:rPr>
      </w:pPr>
      <w:r>
        <w:rPr>
          <w:rFonts w:hAnsi="宋体" w:cs="宋体"/>
          <w:color w:val="auto"/>
          <w:highlight w:val="none"/>
        </w:rPr>
        <w:t xml:space="preserve">  </w:t>
      </w:r>
    </w:p>
    <w:p>
      <w:pPr>
        <w:pStyle w:val="14"/>
        <w:adjustRightInd w:val="0"/>
        <w:snapToGrid w:val="0"/>
        <w:ind w:left="420" w:firstLine="482" w:firstLineChars="200"/>
        <w:jc w:val="center"/>
        <w:rPr>
          <w:rFonts w:hAnsi="宋体" w:cs="宋体"/>
          <w:b/>
          <w:bCs/>
          <w:color w:val="auto"/>
          <w:highlight w:val="none"/>
        </w:rPr>
      </w:pPr>
      <w:r>
        <w:rPr>
          <w:rFonts w:hAnsi="宋体" w:cs="宋体"/>
          <w:b/>
          <w:bCs/>
          <w:color w:val="auto"/>
          <w:highlight w:val="none"/>
        </w:rPr>
        <w:t>监理人责任</w:t>
      </w:r>
    </w:p>
    <w:p>
      <w:pPr>
        <w:pStyle w:val="14"/>
        <w:adjustRightInd w:val="0"/>
        <w:snapToGrid w:val="0"/>
        <w:ind w:firstLine="424" w:firstLineChars="177"/>
        <w:rPr>
          <w:rFonts w:hAnsi="宋体" w:cs="宋体"/>
          <w:color w:val="auto"/>
          <w:highlight w:val="none"/>
        </w:rPr>
      </w:pPr>
      <w:r>
        <w:rPr>
          <w:rFonts w:hAnsi="宋体" w:cs="宋体"/>
          <w:color w:val="auto"/>
          <w:highlight w:val="none"/>
        </w:rPr>
        <w:t>第二十五条  监理人的责任期即委托监理合同有效期。在监理过程中，如果因工程建设进度的推迟或延误而超过书面约定的日期，双方应进一步约定相应延长的合同期。</w:t>
      </w:r>
    </w:p>
    <w:p>
      <w:pPr>
        <w:pStyle w:val="14"/>
        <w:adjustRightInd w:val="0"/>
        <w:snapToGrid w:val="0"/>
        <w:ind w:firstLine="424" w:firstLineChars="177"/>
        <w:rPr>
          <w:rFonts w:hAnsi="宋体" w:cs="宋体"/>
          <w:color w:val="auto"/>
          <w:highlight w:val="none"/>
        </w:rPr>
      </w:pPr>
      <w:r>
        <w:rPr>
          <w:rFonts w:hAnsi="宋体" w:cs="宋体"/>
          <w:color w:val="auto"/>
          <w:highlight w:val="none"/>
        </w:rPr>
        <w:t>第二十六条  监理人在责任期内，应当履行约定的义务。如果因监理人过</w:t>
      </w:r>
      <w:r>
        <w:rPr>
          <w:rFonts w:hint="eastAsia" w:hAnsi="宋体" w:cs="宋体"/>
          <w:color w:val="auto"/>
          <w:highlight w:val="none"/>
        </w:rPr>
        <w:t>错</w:t>
      </w:r>
      <w:r>
        <w:rPr>
          <w:rFonts w:hAnsi="宋体" w:cs="宋体"/>
          <w:color w:val="auto"/>
          <w:highlight w:val="none"/>
        </w:rPr>
        <w:t>而造成了委托人的经济损失，应当向委托人赔偿。</w:t>
      </w:r>
    </w:p>
    <w:p>
      <w:pPr>
        <w:pStyle w:val="14"/>
        <w:adjustRightInd w:val="0"/>
        <w:snapToGrid w:val="0"/>
        <w:ind w:firstLine="424" w:firstLineChars="177"/>
        <w:rPr>
          <w:rFonts w:hAnsi="宋体" w:cs="宋体"/>
          <w:color w:val="auto"/>
          <w:highlight w:val="none"/>
        </w:rPr>
      </w:pPr>
      <w:r>
        <w:rPr>
          <w:rFonts w:hAnsi="宋体" w:cs="宋体"/>
          <w:color w:val="auto"/>
          <w:highlight w:val="none"/>
        </w:rPr>
        <w:t>第二十七条  因不可抗力导致委托监理合同不能全部或部分履行，监理人不承担责任。但对违反第五条规定引起的与之有关的事宜，向委托人承担赔偿责任。</w:t>
      </w:r>
    </w:p>
    <w:p>
      <w:pPr>
        <w:pStyle w:val="14"/>
        <w:adjustRightInd w:val="0"/>
        <w:snapToGrid w:val="0"/>
        <w:ind w:firstLine="424" w:firstLineChars="177"/>
        <w:rPr>
          <w:rFonts w:hAnsi="宋体" w:cs="宋体"/>
          <w:color w:val="auto"/>
          <w:highlight w:val="none"/>
        </w:rPr>
      </w:pPr>
      <w:r>
        <w:rPr>
          <w:rFonts w:hAnsi="宋体" w:cs="宋体"/>
          <w:color w:val="auto"/>
          <w:highlight w:val="none"/>
        </w:rPr>
        <w:t>第二十八条  监理人向委托人提出赔偿要求不能成立时，监理人应当补偿由于该索赔所导致委托人的各种费用支出。</w:t>
      </w:r>
    </w:p>
    <w:p>
      <w:pPr>
        <w:pStyle w:val="14"/>
        <w:adjustRightInd w:val="0"/>
        <w:snapToGrid w:val="0"/>
        <w:ind w:left="420" w:firstLine="480" w:firstLineChars="200"/>
        <w:rPr>
          <w:rFonts w:hAnsi="宋体" w:cs="宋体"/>
          <w:color w:val="auto"/>
          <w:highlight w:val="none"/>
        </w:rPr>
      </w:pPr>
      <w:r>
        <w:rPr>
          <w:rFonts w:hAnsi="宋体" w:cs="宋体"/>
          <w:color w:val="auto"/>
          <w:highlight w:val="none"/>
        </w:rPr>
        <w:t xml:space="preserve">  </w:t>
      </w:r>
    </w:p>
    <w:p>
      <w:pPr>
        <w:pStyle w:val="14"/>
        <w:adjustRightInd w:val="0"/>
        <w:snapToGrid w:val="0"/>
        <w:ind w:left="420" w:firstLine="482" w:firstLineChars="200"/>
        <w:jc w:val="center"/>
        <w:rPr>
          <w:rFonts w:hAnsi="宋体" w:cs="宋体"/>
          <w:b/>
          <w:bCs/>
          <w:color w:val="auto"/>
          <w:highlight w:val="none"/>
        </w:rPr>
      </w:pPr>
      <w:r>
        <w:rPr>
          <w:rFonts w:hAnsi="宋体" w:cs="宋体"/>
          <w:b/>
          <w:bCs/>
          <w:color w:val="auto"/>
          <w:highlight w:val="none"/>
        </w:rPr>
        <w:t>委托人责任</w:t>
      </w:r>
    </w:p>
    <w:p>
      <w:pPr>
        <w:pStyle w:val="14"/>
        <w:adjustRightInd w:val="0"/>
        <w:snapToGrid w:val="0"/>
        <w:ind w:firstLine="424" w:firstLineChars="177"/>
        <w:rPr>
          <w:rFonts w:hAnsi="宋体" w:cs="宋体"/>
          <w:color w:val="auto"/>
          <w:highlight w:val="none"/>
        </w:rPr>
      </w:pPr>
      <w:r>
        <w:rPr>
          <w:rFonts w:hAnsi="宋体" w:cs="宋体"/>
          <w:color w:val="auto"/>
          <w:highlight w:val="none"/>
        </w:rPr>
        <w:t>第二十九条  委托人应当履行委托监理合同约定的义务，如有违反则应当承担违约责任，赔偿给监理人造成的经济损失。</w:t>
      </w:r>
    </w:p>
    <w:p>
      <w:pPr>
        <w:pStyle w:val="14"/>
        <w:adjustRightInd w:val="0"/>
        <w:snapToGrid w:val="0"/>
        <w:ind w:firstLine="424" w:firstLineChars="177"/>
        <w:rPr>
          <w:rFonts w:hAnsi="宋体" w:cs="宋体"/>
          <w:color w:val="auto"/>
          <w:highlight w:val="none"/>
        </w:rPr>
      </w:pPr>
      <w:r>
        <w:rPr>
          <w:rFonts w:hAnsi="宋体" w:cs="宋体"/>
          <w:color w:val="auto"/>
          <w:highlight w:val="none"/>
        </w:rPr>
        <w:t>第三十条  委托人如果向监理人提出赔偿的要求不能成立，则应当补偿由该索赔所引起的监理人的各种费用支出。</w:t>
      </w:r>
    </w:p>
    <w:p>
      <w:pPr>
        <w:pStyle w:val="14"/>
        <w:adjustRightInd w:val="0"/>
        <w:snapToGrid w:val="0"/>
        <w:ind w:left="420" w:firstLine="482" w:firstLineChars="200"/>
        <w:jc w:val="center"/>
        <w:rPr>
          <w:rFonts w:hAnsi="宋体" w:cs="宋体"/>
          <w:b/>
          <w:bCs/>
          <w:color w:val="auto"/>
          <w:highlight w:val="none"/>
        </w:rPr>
      </w:pPr>
    </w:p>
    <w:p>
      <w:pPr>
        <w:pStyle w:val="14"/>
        <w:adjustRightInd w:val="0"/>
        <w:snapToGrid w:val="0"/>
        <w:ind w:left="420" w:firstLine="482" w:firstLineChars="200"/>
        <w:jc w:val="center"/>
        <w:rPr>
          <w:rFonts w:hAnsi="宋体" w:cs="宋体"/>
          <w:b/>
          <w:bCs/>
          <w:color w:val="auto"/>
          <w:highlight w:val="none"/>
        </w:rPr>
      </w:pPr>
      <w:r>
        <w:rPr>
          <w:rFonts w:hAnsi="宋体" w:cs="宋体"/>
          <w:b/>
          <w:bCs/>
          <w:color w:val="auto"/>
          <w:highlight w:val="none"/>
        </w:rPr>
        <w:t>合同生效、变更与终止</w:t>
      </w:r>
    </w:p>
    <w:p>
      <w:pPr>
        <w:pStyle w:val="14"/>
        <w:adjustRightInd w:val="0"/>
        <w:snapToGrid w:val="0"/>
        <w:ind w:firstLine="424" w:firstLineChars="177"/>
        <w:rPr>
          <w:rFonts w:hAnsi="宋体" w:cs="宋体"/>
          <w:color w:val="auto"/>
          <w:highlight w:val="none"/>
        </w:rPr>
      </w:pPr>
      <w:r>
        <w:rPr>
          <w:rFonts w:hAnsi="宋体" w:cs="宋体"/>
          <w:color w:val="auto"/>
          <w:highlight w:val="none"/>
        </w:rPr>
        <w:t>第三十一条  由于委托人或承包人的原因使监理工作受到阻碍或延误，以致发生了附加工作或延长了持续时间，则监理人应当将此情况与可能产生的影响及时通知委托人。</w:t>
      </w:r>
    </w:p>
    <w:p>
      <w:pPr>
        <w:pStyle w:val="14"/>
        <w:adjustRightInd w:val="0"/>
        <w:snapToGrid w:val="0"/>
        <w:ind w:firstLine="424" w:firstLineChars="177"/>
        <w:rPr>
          <w:rFonts w:hAnsi="宋体" w:cs="宋体"/>
          <w:color w:val="auto"/>
          <w:highlight w:val="none"/>
        </w:rPr>
      </w:pPr>
      <w:r>
        <w:rPr>
          <w:rFonts w:hAnsi="宋体" w:cs="宋体"/>
          <w:color w:val="auto"/>
          <w:highlight w:val="none"/>
        </w:rPr>
        <w:t>第三十二条  在委托监理合同签订后，实际情况发生变化，使得监理人不能全部或部分执行监理业务时，监理人应当立即通知委托人。该监理业务的完成时间应予延长。当恢复执行监理业务时，应当增加不超过４２日的时间用于恢复执行监理业务。</w:t>
      </w:r>
    </w:p>
    <w:p>
      <w:pPr>
        <w:pStyle w:val="14"/>
        <w:adjustRightInd w:val="0"/>
        <w:snapToGrid w:val="0"/>
        <w:ind w:firstLine="424" w:firstLineChars="177"/>
        <w:rPr>
          <w:rFonts w:hAnsi="宋体" w:cs="宋体"/>
          <w:color w:val="auto"/>
          <w:highlight w:val="none"/>
        </w:rPr>
      </w:pPr>
      <w:r>
        <w:rPr>
          <w:rFonts w:hAnsi="宋体" w:cs="宋体"/>
          <w:color w:val="auto"/>
          <w:highlight w:val="none"/>
        </w:rPr>
        <w:t>第三十三条  监理人向委托人办理完竣工验收或工程移交手续，承包人和委托人已签订工程保修责任书，</w:t>
      </w:r>
      <w:r>
        <w:rPr>
          <w:rFonts w:hint="eastAsia" w:hAnsi="宋体" w:cs="宋体"/>
          <w:color w:val="auto"/>
          <w:highlight w:val="none"/>
        </w:rPr>
        <w:t>且质量保修期满</w:t>
      </w:r>
      <w:r>
        <w:rPr>
          <w:rFonts w:hAnsi="宋体" w:cs="宋体"/>
          <w:color w:val="auto"/>
          <w:highlight w:val="none"/>
        </w:rPr>
        <w:t>监理人收到监理报酬尾款，本合同即终止。保修期间的责任，双方在专用条款中约定。</w:t>
      </w:r>
    </w:p>
    <w:p>
      <w:pPr>
        <w:pStyle w:val="14"/>
        <w:adjustRightInd w:val="0"/>
        <w:snapToGrid w:val="0"/>
        <w:ind w:firstLine="424" w:firstLineChars="177"/>
        <w:rPr>
          <w:rFonts w:hAnsi="宋体" w:cs="宋体"/>
          <w:color w:val="auto"/>
          <w:highlight w:val="none"/>
        </w:rPr>
      </w:pPr>
      <w:r>
        <w:rPr>
          <w:rFonts w:hAnsi="宋体" w:cs="宋体"/>
          <w:color w:val="auto"/>
          <w:highlight w:val="none"/>
        </w:rPr>
        <w:t>第三十四条  当事人一方要求变更或解除合同时，应当在４２日前通知对方，因解除合同使一方遭受损失的，除依法可以免除责任外，应由责任方负责赔偿。</w:t>
      </w:r>
    </w:p>
    <w:p>
      <w:pPr>
        <w:pStyle w:val="14"/>
        <w:adjustRightInd w:val="0"/>
        <w:snapToGrid w:val="0"/>
        <w:ind w:firstLine="424" w:firstLineChars="177"/>
        <w:rPr>
          <w:rFonts w:hAnsi="宋体" w:cs="宋体"/>
          <w:color w:val="auto"/>
          <w:highlight w:val="none"/>
        </w:rPr>
      </w:pPr>
      <w:r>
        <w:rPr>
          <w:rFonts w:hAnsi="宋体" w:cs="宋体"/>
          <w:color w:val="auto"/>
          <w:highlight w:val="none"/>
        </w:rPr>
        <w:t>变更或解除合同的通知或协议必须采取书面形式，协议未达成之前，原合同仍然有效。</w:t>
      </w:r>
    </w:p>
    <w:p>
      <w:pPr>
        <w:pStyle w:val="14"/>
        <w:adjustRightInd w:val="0"/>
        <w:snapToGrid w:val="0"/>
        <w:ind w:firstLine="424" w:firstLineChars="177"/>
        <w:rPr>
          <w:rFonts w:hAnsi="宋体" w:cs="宋体"/>
          <w:color w:val="auto"/>
          <w:highlight w:val="none"/>
        </w:rPr>
      </w:pPr>
      <w:r>
        <w:rPr>
          <w:rFonts w:hAnsi="宋体" w:cs="宋体"/>
          <w:color w:val="auto"/>
          <w:highlight w:val="none"/>
        </w:rPr>
        <w:t>第三十五条  监理人在应当获得监理报酬之日起３</w:t>
      </w:r>
      <w:r>
        <w:rPr>
          <w:rFonts w:hint="eastAsia" w:hAnsi="宋体" w:cs="宋体"/>
          <w:color w:val="auto"/>
          <w:highlight w:val="none"/>
        </w:rPr>
        <w:t>0</w:t>
      </w:r>
      <w:r>
        <w:rPr>
          <w:rFonts w:hAnsi="宋体" w:cs="宋体"/>
          <w:color w:val="auto"/>
          <w:highlight w:val="none"/>
        </w:rPr>
        <w:t>日内仍未收到支付单据，而委托人又未对监理人提出任何书面解释时，或根据第三十一条及第三十二条已暂停执行监理业务时限超过六个月的，监理人可向委托人发出终止合同的通知，发出通知后１４日内仍未得到委托人答复，可进一步发出终止合同的通知，如果第二份通知发出后４２日内仍未得到委托人答复，可终止合同或自行暂停或继续暂停执行全部或部分监理业务。委托人承担违约责任。</w:t>
      </w:r>
    </w:p>
    <w:p>
      <w:pPr>
        <w:pStyle w:val="14"/>
        <w:adjustRightInd w:val="0"/>
        <w:snapToGrid w:val="0"/>
        <w:ind w:firstLine="424" w:firstLineChars="177"/>
        <w:rPr>
          <w:rFonts w:hAnsi="宋体" w:cs="宋体"/>
          <w:color w:val="auto"/>
          <w:highlight w:val="none"/>
        </w:rPr>
      </w:pPr>
      <w:r>
        <w:rPr>
          <w:rFonts w:hAnsi="宋体" w:cs="宋体"/>
          <w:color w:val="auto"/>
          <w:highlight w:val="none"/>
        </w:rPr>
        <w:t>第三十</w:t>
      </w:r>
      <w:r>
        <w:rPr>
          <w:rFonts w:hint="eastAsia" w:hAnsi="宋体" w:cs="宋体"/>
          <w:color w:val="auto"/>
          <w:highlight w:val="none"/>
        </w:rPr>
        <w:t>六</w:t>
      </w:r>
      <w:r>
        <w:rPr>
          <w:rFonts w:hAnsi="宋体" w:cs="宋体"/>
          <w:color w:val="auto"/>
          <w:highlight w:val="none"/>
        </w:rPr>
        <w:t>条  当委托人认为监理人无正当理由而又未履行监理义务时，可向监理人发出指明其未履行义务的通知。若委托人发出通知后２１日内没有收到答复，可在第一个通知发出后３５日内发出终止委托监理合同的通知，合同即行终止。监理人承担违约责任。</w:t>
      </w:r>
    </w:p>
    <w:p>
      <w:pPr>
        <w:pStyle w:val="14"/>
        <w:adjustRightInd w:val="0"/>
        <w:snapToGrid w:val="0"/>
        <w:ind w:firstLine="424" w:firstLineChars="177"/>
        <w:rPr>
          <w:rFonts w:hAnsi="宋体" w:cs="宋体"/>
          <w:color w:val="auto"/>
          <w:highlight w:val="none"/>
        </w:rPr>
      </w:pPr>
      <w:r>
        <w:rPr>
          <w:rFonts w:hAnsi="宋体" w:cs="宋体"/>
          <w:color w:val="auto"/>
          <w:highlight w:val="none"/>
        </w:rPr>
        <w:t>第三十</w:t>
      </w:r>
      <w:r>
        <w:rPr>
          <w:rFonts w:hint="eastAsia" w:hAnsi="宋体" w:cs="宋体"/>
          <w:color w:val="auto"/>
          <w:highlight w:val="none"/>
        </w:rPr>
        <w:t>七</w:t>
      </w:r>
      <w:r>
        <w:rPr>
          <w:rFonts w:hAnsi="宋体" w:cs="宋体"/>
          <w:color w:val="auto"/>
          <w:highlight w:val="none"/>
        </w:rPr>
        <w:t>条  合同协议的终止并不影响各方应有的权利和应当承担的责任。</w:t>
      </w:r>
    </w:p>
    <w:p>
      <w:pPr>
        <w:pStyle w:val="14"/>
        <w:adjustRightInd w:val="0"/>
        <w:snapToGrid w:val="0"/>
        <w:ind w:left="420" w:firstLine="480" w:firstLineChars="200"/>
        <w:rPr>
          <w:rFonts w:hAnsi="宋体" w:cs="宋体"/>
          <w:color w:val="auto"/>
          <w:highlight w:val="none"/>
        </w:rPr>
      </w:pPr>
      <w:r>
        <w:rPr>
          <w:rFonts w:hAnsi="宋体" w:cs="宋体"/>
          <w:color w:val="auto"/>
          <w:highlight w:val="none"/>
        </w:rPr>
        <w:t xml:space="preserve">  </w:t>
      </w:r>
    </w:p>
    <w:p>
      <w:pPr>
        <w:pStyle w:val="14"/>
        <w:adjustRightInd w:val="0"/>
        <w:snapToGrid w:val="0"/>
        <w:ind w:left="420" w:firstLine="482" w:firstLineChars="200"/>
        <w:jc w:val="center"/>
        <w:rPr>
          <w:rFonts w:hAnsi="宋体" w:cs="宋体"/>
          <w:b/>
          <w:bCs/>
          <w:color w:val="auto"/>
          <w:highlight w:val="none"/>
        </w:rPr>
      </w:pPr>
      <w:r>
        <w:rPr>
          <w:rFonts w:hAnsi="宋体" w:cs="宋体"/>
          <w:b/>
          <w:bCs/>
          <w:color w:val="auto"/>
          <w:highlight w:val="none"/>
        </w:rPr>
        <w:t>监理报酬</w:t>
      </w:r>
    </w:p>
    <w:p>
      <w:pPr>
        <w:pStyle w:val="14"/>
        <w:adjustRightInd w:val="0"/>
        <w:snapToGrid w:val="0"/>
        <w:ind w:firstLine="424" w:firstLineChars="177"/>
        <w:rPr>
          <w:rFonts w:hAnsi="宋体" w:cs="宋体"/>
          <w:color w:val="auto"/>
          <w:highlight w:val="none"/>
        </w:rPr>
      </w:pPr>
      <w:r>
        <w:rPr>
          <w:rFonts w:hAnsi="宋体" w:cs="宋体"/>
          <w:color w:val="auto"/>
          <w:highlight w:val="none"/>
        </w:rPr>
        <w:t>第三十</w:t>
      </w:r>
      <w:r>
        <w:rPr>
          <w:rFonts w:hint="eastAsia" w:hAnsi="宋体" w:cs="宋体"/>
          <w:color w:val="auto"/>
          <w:highlight w:val="none"/>
        </w:rPr>
        <w:t>八</w:t>
      </w:r>
      <w:r>
        <w:rPr>
          <w:rFonts w:hAnsi="宋体" w:cs="宋体"/>
          <w:color w:val="auto"/>
          <w:highlight w:val="none"/>
        </w:rPr>
        <w:t>条  正常的监理工作</w:t>
      </w:r>
      <w:r>
        <w:rPr>
          <w:rFonts w:hint="eastAsia" w:hAnsi="宋体" w:cs="宋体"/>
          <w:color w:val="auto"/>
          <w:highlight w:val="none"/>
        </w:rPr>
        <w:t>和</w:t>
      </w:r>
      <w:r>
        <w:rPr>
          <w:rFonts w:hAnsi="宋体" w:cs="宋体"/>
          <w:color w:val="auto"/>
          <w:highlight w:val="none"/>
        </w:rPr>
        <w:t>附加工作，按照监理合同专用条款中约定的方法计算，并按约定的时间和数额支付。</w:t>
      </w:r>
    </w:p>
    <w:p>
      <w:pPr>
        <w:pStyle w:val="14"/>
        <w:adjustRightInd w:val="0"/>
        <w:snapToGrid w:val="0"/>
        <w:ind w:firstLine="424" w:firstLineChars="177"/>
        <w:rPr>
          <w:rFonts w:hAnsi="宋体" w:cs="宋体"/>
          <w:color w:val="auto"/>
          <w:highlight w:val="none"/>
        </w:rPr>
      </w:pPr>
      <w:r>
        <w:rPr>
          <w:rFonts w:hAnsi="宋体" w:cs="宋体"/>
          <w:color w:val="auto"/>
          <w:highlight w:val="none"/>
        </w:rPr>
        <w:t>第</w:t>
      </w:r>
      <w:r>
        <w:rPr>
          <w:rFonts w:hint="eastAsia" w:hAnsi="宋体" w:cs="宋体"/>
          <w:color w:val="auto"/>
          <w:highlight w:val="none"/>
        </w:rPr>
        <w:t>三十九</w:t>
      </w:r>
      <w:r>
        <w:rPr>
          <w:rFonts w:hAnsi="宋体" w:cs="宋体"/>
          <w:color w:val="auto"/>
          <w:highlight w:val="none"/>
        </w:rPr>
        <w:t>条  委托人</w:t>
      </w:r>
      <w:r>
        <w:rPr>
          <w:rFonts w:hint="eastAsia" w:hAnsi="宋体" w:cs="宋体"/>
          <w:color w:val="auto"/>
          <w:highlight w:val="none"/>
        </w:rPr>
        <w:t>应</w:t>
      </w:r>
      <w:r>
        <w:rPr>
          <w:rFonts w:hAnsi="宋体" w:cs="宋体"/>
          <w:color w:val="auto"/>
          <w:highlight w:val="none"/>
        </w:rPr>
        <w:t>在规定的支付期限内支付监理报酬。</w:t>
      </w:r>
    </w:p>
    <w:p>
      <w:pPr>
        <w:pStyle w:val="14"/>
        <w:adjustRightInd w:val="0"/>
        <w:snapToGrid w:val="0"/>
        <w:ind w:firstLine="424" w:firstLineChars="177"/>
        <w:rPr>
          <w:rFonts w:hAnsi="宋体" w:cs="宋体"/>
          <w:color w:val="auto"/>
          <w:highlight w:val="none"/>
        </w:rPr>
      </w:pPr>
      <w:r>
        <w:rPr>
          <w:rFonts w:hAnsi="宋体" w:cs="宋体"/>
          <w:color w:val="auto"/>
          <w:highlight w:val="none"/>
        </w:rPr>
        <w:t>第四十条  支付监理报酬所采取的货币币种、汇率由合同专用条款约定。</w:t>
      </w:r>
    </w:p>
    <w:p>
      <w:pPr>
        <w:pStyle w:val="14"/>
        <w:adjustRightInd w:val="0"/>
        <w:snapToGrid w:val="0"/>
        <w:ind w:firstLine="424" w:firstLineChars="177"/>
        <w:rPr>
          <w:rFonts w:hAnsi="宋体" w:cs="宋体"/>
          <w:color w:val="auto"/>
          <w:highlight w:val="none"/>
        </w:rPr>
      </w:pPr>
      <w:r>
        <w:rPr>
          <w:rFonts w:hAnsi="宋体" w:cs="宋体"/>
          <w:color w:val="auto"/>
          <w:highlight w:val="none"/>
        </w:rPr>
        <w:t>第四十</w:t>
      </w:r>
      <w:r>
        <w:rPr>
          <w:rFonts w:hint="eastAsia" w:hAnsi="宋体" w:cs="宋体"/>
          <w:color w:val="auto"/>
          <w:highlight w:val="none"/>
        </w:rPr>
        <w:t>一</w:t>
      </w:r>
      <w:r>
        <w:rPr>
          <w:rFonts w:hAnsi="宋体" w:cs="宋体"/>
          <w:color w:val="auto"/>
          <w:highlight w:val="none"/>
        </w:rPr>
        <w:t>条  如果委托人对监理人提交的支付通知中报酬或部分报酬项目提出异议，应当在收到支付通知书</w:t>
      </w:r>
      <w:r>
        <w:rPr>
          <w:rFonts w:hint="eastAsia" w:hAnsi="宋体" w:cs="宋体"/>
          <w:color w:val="auto"/>
          <w:highlight w:val="none"/>
        </w:rPr>
        <w:t>2</w:t>
      </w:r>
      <w:r>
        <w:rPr>
          <w:rFonts w:hAnsi="宋体" w:cs="宋体"/>
          <w:color w:val="auto"/>
          <w:highlight w:val="none"/>
        </w:rPr>
        <w:t>４小时内向监理人发出表示异议的通知，但委托人不得拖延其他无异议报酬项目的支付。</w:t>
      </w:r>
    </w:p>
    <w:p>
      <w:pPr>
        <w:pStyle w:val="14"/>
        <w:adjustRightInd w:val="0"/>
        <w:snapToGrid w:val="0"/>
        <w:ind w:left="420" w:firstLine="482" w:firstLineChars="200"/>
        <w:jc w:val="center"/>
        <w:rPr>
          <w:rFonts w:hAnsi="宋体" w:cs="宋体"/>
          <w:b/>
          <w:bCs/>
          <w:color w:val="auto"/>
          <w:highlight w:val="none"/>
        </w:rPr>
      </w:pPr>
    </w:p>
    <w:p>
      <w:pPr>
        <w:pStyle w:val="14"/>
        <w:adjustRightInd w:val="0"/>
        <w:snapToGrid w:val="0"/>
        <w:ind w:left="420" w:firstLine="482" w:firstLineChars="200"/>
        <w:jc w:val="center"/>
        <w:rPr>
          <w:rFonts w:hAnsi="宋体" w:cs="宋体"/>
          <w:b/>
          <w:bCs/>
          <w:color w:val="auto"/>
          <w:highlight w:val="none"/>
        </w:rPr>
      </w:pPr>
      <w:r>
        <w:rPr>
          <w:rFonts w:hAnsi="宋体" w:cs="宋体"/>
          <w:b/>
          <w:bCs/>
          <w:color w:val="auto"/>
          <w:highlight w:val="none"/>
        </w:rPr>
        <w:t>其   他</w:t>
      </w:r>
    </w:p>
    <w:p>
      <w:pPr>
        <w:pStyle w:val="14"/>
        <w:adjustRightInd w:val="0"/>
        <w:snapToGrid w:val="0"/>
        <w:ind w:firstLine="424" w:firstLineChars="177"/>
        <w:rPr>
          <w:rFonts w:hAnsi="宋体" w:cs="宋体"/>
          <w:color w:val="auto"/>
          <w:highlight w:val="none"/>
        </w:rPr>
      </w:pPr>
      <w:r>
        <w:rPr>
          <w:rFonts w:hAnsi="宋体" w:cs="宋体"/>
          <w:color w:val="auto"/>
          <w:highlight w:val="none"/>
        </w:rPr>
        <w:t>第四十</w:t>
      </w:r>
      <w:r>
        <w:rPr>
          <w:rFonts w:hint="eastAsia" w:hAnsi="宋体" w:cs="宋体"/>
          <w:color w:val="auto"/>
          <w:highlight w:val="none"/>
        </w:rPr>
        <w:t>二</w:t>
      </w:r>
      <w:r>
        <w:rPr>
          <w:rFonts w:hAnsi="宋体" w:cs="宋体"/>
          <w:color w:val="auto"/>
          <w:highlight w:val="none"/>
        </w:rPr>
        <w:t>条  委托的建设工程监理所必要的监理人员出外考察、材料、设备复试，其费用支出经委托人同意的，在预算范围内向委托人实报实销。</w:t>
      </w:r>
    </w:p>
    <w:p>
      <w:pPr>
        <w:pStyle w:val="14"/>
        <w:adjustRightInd w:val="0"/>
        <w:snapToGrid w:val="0"/>
        <w:ind w:firstLine="424" w:firstLineChars="177"/>
        <w:rPr>
          <w:rFonts w:hAnsi="宋体" w:cs="宋体"/>
          <w:color w:val="auto"/>
          <w:highlight w:val="none"/>
        </w:rPr>
      </w:pPr>
      <w:r>
        <w:rPr>
          <w:rFonts w:hAnsi="宋体" w:cs="宋体"/>
          <w:color w:val="auto"/>
          <w:highlight w:val="none"/>
        </w:rPr>
        <w:t>第四十</w:t>
      </w:r>
      <w:r>
        <w:rPr>
          <w:rFonts w:hint="eastAsia" w:hAnsi="宋体" w:cs="宋体"/>
          <w:color w:val="auto"/>
          <w:highlight w:val="none"/>
        </w:rPr>
        <w:t>三</w:t>
      </w:r>
      <w:r>
        <w:rPr>
          <w:rFonts w:hAnsi="宋体" w:cs="宋体"/>
          <w:color w:val="auto"/>
          <w:highlight w:val="none"/>
        </w:rPr>
        <w:t>条  在监理业务范围内，如需聘用专家咨询或协助，由监理人聘用的，其费用由监理人承担；由委托人聘用的，其费用由委托人承担。</w:t>
      </w:r>
    </w:p>
    <w:p>
      <w:pPr>
        <w:pStyle w:val="14"/>
        <w:adjustRightInd w:val="0"/>
        <w:snapToGrid w:val="0"/>
        <w:ind w:firstLine="424" w:firstLineChars="177"/>
        <w:rPr>
          <w:rFonts w:hAnsi="宋体" w:cs="宋体"/>
          <w:color w:val="auto"/>
          <w:highlight w:val="none"/>
        </w:rPr>
      </w:pPr>
      <w:r>
        <w:rPr>
          <w:rFonts w:hAnsi="宋体" w:cs="宋体"/>
          <w:color w:val="auto"/>
          <w:highlight w:val="none"/>
        </w:rPr>
        <w:t>第四十</w:t>
      </w:r>
      <w:r>
        <w:rPr>
          <w:rFonts w:hint="eastAsia" w:hAnsi="宋体" w:cs="宋体"/>
          <w:color w:val="auto"/>
          <w:highlight w:val="none"/>
        </w:rPr>
        <w:t>四</w:t>
      </w:r>
      <w:r>
        <w:rPr>
          <w:rFonts w:hAnsi="宋体" w:cs="宋体"/>
          <w:color w:val="auto"/>
          <w:highlight w:val="none"/>
        </w:rPr>
        <w:t>条  监理人在监理工作过程中提出的合理化建议，使委托人得到了经济效益，委托人应按专用条款中的约定给予经济奖励。</w:t>
      </w:r>
    </w:p>
    <w:p>
      <w:pPr>
        <w:pStyle w:val="14"/>
        <w:adjustRightInd w:val="0"/>
        <w:snapToGrid w:val="0"/>
        <w:ind w:firstLine="424" w:firstLineChars="177"/>
        <w:rPr>
          <w:rFonts w:hAnsi="宋体" w:cs="宋体"/>
          <w:color w:val="auto"/>
          <w:highlight w:val="none"/>
        </w:rPr>
      </w:pPr>
      <w:r>
        <w:rPr>
          <w:rFonts w:hAnsi="宋体" w:cs="宋体"/>
          <w:color w:val="auto"/>
          <w:highlight w:val="none"/>
        </w:rPr>
        <w:t>第四十</w:t>
      </w:r>
      <w:r>
        <w:rPr>
          <w:rFonts w:hint="eastAsia" w:hAnsi="宋体" w:cs="宋体"/>
          <w:color w:val="auto"/>
          <w:highlight w:val="none"/>
        </w:rPr>
        <w:t>五</w:t>
      </w:r>
      <w:r>
        <w:rPr>
          <w:rFonts w:hAnsi="宋体" w:cs="宋体"/>
          <w:color w:val="auto"/>
          <w:highlight w:val="none"/>
        </w:rPr>
        <w:t>条  监理人驻地监理机构及其职员不得接受监理工程项目施工承包人的任何报酬或者经济利益。</w:t>
      </w:r>
    </w:p>
    <w:p>
      <w:pPr>
        <w:pStyle w:val="14"/>
        <w:adjustRightInd w:val="0"/>
        <w:snapToGrid w:val="0"/>
        <w:ind w:firstLine="424" w:firstLineChars="177"/>
        <w:rPr>
          <w:rFonts w:hAnsi="宋体" w:cs="宋体"/>
          <w:color w:val="auto"/>
          <w:highlight w:val="none"/>
        </w:rPr>
      </w:pPr>
      <w:r>
        <w:rPr>
          <w:rFonts w:hAnsi="宋体" w:cs="宋体"/>
          <w:color w:val="auto"/>
          <w:highlight w:val="none"/>
        </w:rPr>
        <w:t>监理人不得参与可能与合同规定的与委托人的利益相冲突的任何活动。</w:t>
      </w:r>
    </w:p>
    <w:p>
      <w:pPr>
        <w:pStyle w:val="14"/>
        <w:adjustRightInd w:val="0"/>
        <w:snapToGrid w:val="0"/>
        <w:ind w:firstLine="424" w:firstLineChars="177"/>
        <w:rPr>
          <w:rFonts w:hAnsi="宋体" w:cs="宋体"/>
          <w:color w:val="auto"/>
          <w:highlight w:val="none"/>
        </w:rPr>
      </w:pPr>
      <w:r>
        <w:rPr>
          <w:rFonts w:hAnsi="宋体" w:cs="宋体"/>
          <w:color w:val="auto"/>
          <w:highlight w:val="none"/>
        </w:rPr>
        <w:t>第四十</w:t>
      </w:r>
      <w:r>
        <w:rPr>
          <w:rFonts w:hint="eastAsia" w:hAnsi="宋体" w:cs="宋体"/>
          <w:color w:val="auto"/>
          <w:highlight w:val="none"/>
        </w:rPr>
        <w:t>六</w:t>
      </w:r>
      <w:r>
        <w:rPr>
          <w:rFonts w:hAnsi="宋体" w:cs="宋体"/>
          <w:color w:val="auto"/>
          <w:highlight w:val="none"/>
        </w:rPr>
        <w:t>条  监理人在监理过程中，不得泄露委托人申明的秘密，监理人亦不得泄露设计人、承包人等提供并申明的秘密。</w:t>
      </w:r>
    </w:p>
    <w:p>
      <w:pPr>
        <w:pStyle w:val="14"/>
        <w:adjustRightInd w:val="0"/>
        <w:snapToGrid w:val="0"/>
        <w:ind w:firstLine="424" w:firstLineChars="177"/>
        <w:rPr>
          <w:rFonts w:hAnsi="宋体" w:cs="宋体"/>
          <w:color w:val="auto"/>
          <w:highlight w:val="none"/>
        </w:rPr>
      </w:pPr>
      <w:r>
        <w:rPr>
          <w:rFonts w:hAnsi="宋体" w:cs="宋体"/>
          <w:color w:val="auto"/>
          <w:highlight w:val="none"/>
        </w:rPr>
        <w:t>第四十</w:t>
      </w:r>
      <w:r>
        <w:rPr>
          <w:rFonts w:hint="eastAsia" w:hAnsi="宋体" w:cs="宋体"/>
          <w:color w:val="auto"/>
          <w:highlight w:val="none"/>
        </w:rPr>
        <w:t>七</w:t>
      </w:r>
      <w:r>
        <w:rPr>
          <w:rFonts w:hAnsi="宋体" w:cs="宋体"/>
          <w:color w:val="auto"/>
          <w:highlight w:val="none"/>
        </w:rPr>
        <w:t>条  监理人对于由其编制的所有文件拥有版权，委托人仅有权为本工程使用或复制此类文件。</w:t>
      </w:r>
    </w:p>
    <w:p>
      <w:pPr>
        <w:pStyle w:val="14"/>
        <w:adjustRightInd w:val="0"/>
        <w:snapToGrid w:val="0"/>
        <w:ind w:firstLine="424" w:firstLineChars="177"/>
        <w:rPr>
          <w:rFonts w:hAnsi="宋体" w:cs="宋体"/>
          <w:color w:val="auto"/>
          <w:highlight w:val="none"/>
        </w:rPr>
      </w:pPr>
      <w:r>
        <w:rPr>
          <w:rFonts w:hint="eastAsia" w:hAnsi="宋体" w:cs="宋体"/>
          <w:color w:val="auto"/>
          <w:highlight w:val="none"/>
        </w:rPr>
        <w:t>第四十八条  监理人对本项目使用的设备及其他投入（包括但不限于以下内容）：五座以上小汽车2辆以上，监理部用房按项目实际情况自行配备，水准仪2台以上，全站仪不少于1台，常用简易测量工具2套以上，办公电脑及电话，工作场地网络、打印机、复印机等设备。</w:t>
      </w:r>
    </w:p>
    <w:p>
      <w:pPr>
        <w:pStyle w:val="14"/>
        <w:adjustRightInd w:val="0"/>
        <w:snapToGrid w:val="0"/>
        <w:ind w:left="420" w:firstLine="480" w:firstLineChars="200"/>
        <w:rPr>
          <w:rFonts w:hAnsi="宋体" w:cs="宋体"/>
          <w:color w:val="auto"/>
          <w:highlight w:val="none"/>
        </w:rPr>
      </w:pPr>
      <w:r>
        <w:rPr>
          <w:rFonts w:hAnsi="宋体" w:cs="宋体"/>
          <w:color w:val="auto"/>
          <w:highlight w:val="none"/>
        </w:rPr>
        <w:t xml:space="preserve">  </w:t>
      </w:r>
    </w:p>
    <w:p>
      <w:pPr>
        <w:pStyle w:val="14"/>
        <w:adjustRightInd w:val="0"/>
        <w:snapToGrid w:val="0"/>
        <w:ind w:left="420" w:firstLine="482" w:firstLineChars="200"/>
        <w:jc w:val="center"/>
        <w:rPr>
          <w:rFonts w:hAnsi="宋体" w:cs="宋体"/>
          <w:b/>
          <w:bCs/>
          <w:color w:val="auto"/>
          <w:highlight w:val="none"/>
        </w:rPr>
      </w:pPr>
      <w:r>
        <w:rPr>
          <w:rFonts w:hAnsi="宋体" w:cs="宋体"/>
          <w:b/>
          <w:bCs/>
          <w:color w:val="auto"/>
          <w:highlight w:val="none"/>
        </w:rPr>
        <w:t>争议的解决</w:t>
      </w:r>
    </w:p>
    <w:p>
      <w:pPr>
        <w:pStyle w:val="14"/>
        <w:adjustRightInd w:val="0"/>
        <w:snapToGrid w:val="0"/>
        <w:ind w:firstLine="424" w:firstLineChars="177"/>
        <w:rPr>
          <w:rFonts w:hAnsi="宋体" w:cs="宋体"/>
          <w:color w:val="auto"/>
          <w:highlight w:val="none"/>
        </w:rPr>
      </w:pPr>
      <w:r>
        <w:rPr>
          <w:rFonts w:hAnsi="宋体" w:cs="宋体"/>
          <w:color w:val="auto"/>
          <w:highlight w:val="none"/>
        </w:rPr>
        <w:t>第</w:t>
      </w:r>
      <w:r>
        <w:rPr>
          <w:rFonts w:hint="eastAsia" w:hAnsi="宋体" w:cs="宋体"/>
          <w:color w:val="auto"/>
          <w:highlight w:val="none"/>
        </w:rPr>
        <w:t>四十九</w:t>
      </w:r>
      <w:r>
        <w:rPr>
          <w:rFonts w:hAnsi="宋体" w:cs="宋体"/>
          <w:color w:val="auto"/>
          <w:highlight w:val="none"/>
        </w:rPr>
        <w:t>条  因违反或终止合同而引起的对对方损失和损害的赔偿，双方应当协商解决，如未能达成一致，可提交主管部门协调，如仍未能达成一致时，</w:t>
      </w:r>
      <w:r>
        <w:rPr>
          <w:rFonts w:hint="eastAsia" w:hAnsi="宋体" w:cs="宋体"/>
          <w:color w:val="auto"/>
          <w:highlight w:val="none"/>
        </w:rPr>
        <w:t>均提请中国广州仲裁委员会按照《中国广州仲裁委员会仲裁规则》进行仲裁。仲裁裁决是终局的，对双方均有约束力。</w:t>
      </w:r>
    </w:p>
    <w:p>
      <w:pPr>
        <w:pStyle w:val="14"/>
        <w:adjustRightInd w:val="0"/>
        <w:snapToGrid w:val="0"/>
        <w:ind w:left="420" w:firstLine="482" w:firstLineChars="200"/>
        <w:jc w:val="center"/>
        <w:rPr>
          <w:rFonts w:hAnsi="宋体" w:cs="宋体"/>
          <w:b/>
          <w:bCs/>
          <w:color w:val="auto"/>
          <w:highlight w:val="none"/>
        </w:rPr>
      </w:pPr>
    </w:p>
    <w:p>
      <w:pPr>
        <w:pStyle w:val="14"/>
        <w:adjustRightInd w:val="0"/>
        <w:snapToGrid w:val="0"/>
        <w:ind w:left="420" w:firstLine="482" w:firstLineChars="200"/>
        <w:jc w:val="center"/>
        <w:rPr>
          <w:rFonts w:hAnsi="宋体" w:cs="宋体"/>
          <w:b/>
          <w:bCs/>
          <w:color w:val="auto"/>
          <w:highlight w:val="none"/>
        </w:rPr>
      </w:pPr>
    </w:p>
    <w:p>
      <w:pPr>
        <w:pStyle w:val="14"/>
        <w:adjustRightInd w:val="0"/>
        <w:snapToGrid w:val="0"/>
        <w:ind w:left="420" w:firstLine="482" w:firstLineChars="200"/>
        <w:jc w:val="center"/>
        <w:rPr>
          <w:rFonts w:hAnsi="宋体" w:cs="宋体"/>
          <w:b/>
          <w:bCs/>
          <w:color w:val="auto"/>
          <w:highlight w:val="none"/>
        </w:rPr>
        <w:sectPr>
          <w:headerReference r:id="rId4" w:type="first"/>
          <w:footerReference r:id="rId6" w:type="first"/>
          <w:headerReference r:id="rId3" w:type="default"/>
          <w:footerReference r:id="rId5" w:type="default"/>
          <w:pgSz w:w="11906" w:h="16838"/>
          <w:pgMar w:top="1531" w:right="1463" w:bottom="1531" w:left="1531" w:header="851" w:footer="992" w:gutter="0"/>
          <w:pgNumType w:fmt="decimal"/>
          <w:cols w:space="720" w:num="1"/>
          <w:docGrid w:linePitch="312" w:charSpace="0"/>
        </w:sectPr>
      </w:pPr>
    </w:p>
    <w:p>
      <w:pPr>
        <w:pStyle w:val="24"/>
        <w:spacing w:before="0" w:after="120" w:afterLines="50" w:line="360" w:lineRule="auto"/>
        <w:rPr>
          <w:rFonts w:ascii="宋体" w:hAnsi="宋体"/>
          <w:color w:val="auto"/>
          <w:highlight w:val="none"/>
        </w:rPr>
      </w:pPr>
      <w:bookmarkStart w:id="11" w:name="_Toc383534208"/>
      <w:bookmarkStart w:id="12" w:name="_Toc529800442"/>
      <w:bookmarkStart w:id="13" w:name="_Toc19625234"/>
      <w:bookmarkStart w:id="14" w:name="_Toc529863659"/>
      <w:bookmarkStart w:id="15" w:name="_Toc19839"/>
      <w:bookmarkStart w:id="16" w:name="_Toc529863704"/>
      <w:r>
        <w:rPr>
          <w:rFonts w:ascii="宋体" w:hAnsi="宋体"/>
          <w:color w:val="auto"/>
          <w:highlight w:val="none"/>
        </w:rPr>
        <w:t>第三部分 专用</w:t>
      </w:r>
      <w:bookmarkEnd w:id="11"/>
      <w:r>
        <w:rPr>
          <w:rFonts w:hint="eastAsia" w:ascii="宋体" w:hAnsi="宋体"/>
          <w:color w:val="auto"/>
          <w:highlight w:val="none"/>
        </w:rPr>
        <w:t>条款</w:t>
      </w:r>
      <w:bookmarkEnd w:id="12"/>
      <w:bookmarkEnd w:id="13"/>
      <w:bookmarkEnd w:id="14"/>
      <w:bookmarkEnd w:id="15"/>
      <w:bookmarkEnd w:id="16"/>
    </w:p>
    <w:p>
      <w:pPr>
        <w:pStyle w:val="14"/>
        <w:adjustRightInd w:val="0"/>
        <w:snapToGrid w:val="0"/>
        <w:ind w:firstLine="424" w:firstLineChars="177"/>
        <w:rPr>
          <w:rFonts w:hAnsi="宋体" w:cs="宋体"/>
          <w:color w:val="auto"/>
          <w:highlight w:val="none"/>
        </w:rPr>
      </w:pPr>
      <w:r>
        <w:rPr>
          <w:rFonts w:hAnsi="宋体" w:cs="宋体"/>
          <w:color w:val="auto"/>
          <w:highlight w:val="none"/>
        </w:rPr>
        <w:t>本专用条款对本合同通用条款中有需要进行定义、解释或具体约定的条款内容进行补充、删除或修改，其条款序号与通用条款中的一一对应，并且专用条款较通用条款具优先解释权。专用条款中缺号的条款表示按通用条款中对应的条款执行。</w:t>
      </w:r>
    </w:p>
    <w:p>
      <w:pPr>
        <w:pStyle w:val="14"/>
        <w:adjustRightInd w:val="0"/>
        <w:snapToGrid w:val="0"/>
        <w:ind w:firstLine="424" w:firstLineChars="177"/>
        <w:rPr>
          <w:rFonts w:hAnsi="宋体" w:cs="宋体"/>
          <w:color w:val="auto"/>
          <w:highlight w:val="none"/>
        </w:rPr>
      </w:pPr>
      <w:r>
        <w:rPr>
          <w:rFonts w:hint="eastAsia" w:hAnsi="宋体" w:cs="宋体"/>
          <w:color w:val="auto"/>
          <w:highlight w:val="none"/>
        </w:rPr>
        <w:t>第一条</w:t>
      </w:r>
      <w:r>
        <w:rPr>
          <w:rFonts w:hAnsi="宋体" w:cs="宋体"/>
          <w:color w:val="auto"/>
          <w:highlight w:val="none"/>
        </w:rPr>
        <w:t xml:space="preserve"> 下列名词和用语，除上下文另有规定外，有如下含义</w:t>
      </w:r>
    </w:p>
    <w:p>
      <w:pPr>
        <w:pStyle w:val="14"/>
        <w:adjustRightInd w:val="0"/>
        <w:snapToGrid w:val="0"/>
        <w:ind w:firstLine="424" w:firstLineChars="177"/>
        <w:rPr>
          <w:rFonts w:hAnsi="宋体" w:cs="宋体"/>
          <w:color w:val="auto"/>
          <w:highlight w:val="none"/>
        </w:rPr>
      </w:pPr>
      <w:r>
        <w:rPr>
          <w:rFonts w:hint="eastAsia" w:hAnsi="宋体" w:cs="宋体"/>
          <w:color w:val="auto"/>
          <w:highlight w:val="none"/>
        </w:rPr>
        <w:t>增加以下两条</w:t>
      </w:r>
    </w:p>
    <w:p>
      <w:pPr>
        <w:pStyle w:val="14"/>
        <w:adjustRightInd w:val="0"/>
        <w:snapToGrid w:val="0"/>
        <w:ind w:firstLine="424" w:firstLineChars="177"/>
        <w:rPr>
          <w:rFonts w:hAnsi="宋体" w:cs="宋体"/>
          <w:color w:val="auto"/>
          <w:highlight w:val="none"/>
        </w:rPr>
      </w:pPr>
      <w:r>
        <w:rPr>
          <w:rFonts w:hint="eastAsia" w:hAnsi="宋体" w:cs="宋体"/>
          <w:color w:val="auto"/>
          <w:highlight w:val="none"/>
        </w:rPr>
        <w:t>（1</w:t>
      </w:r>
      <w:r>
        <w:rPr>
          <w:rFonts w:hAnsi="宋体" w:cs="宋体"/>
          <w:color w:val="auto"/>
          <w:highlight w:val="none"/>
        </w:rPr>
        <w:t>2</w:t>
      </w:r>
      <w:r>
        <w:rPr>
          <w:rFonts w:hint="eastAsia" w:hAnsi="宋体" w:cs="宋体"/>
          <w:color w:val="auto"/>
          <w:highlight w:val="none"/>
        </w:rPr>
        <w:t>）</w:t>
      </w:r>
      <w:r>
        <w:rPr>
          <w:rFonts w:hAnsi="宋体" w:cs="宋体"/>
          <w:color w:val="auto"/>
          <w:highlight w:val="none"/>
        </w:rPr>
        <w:t>“监理期限”是指</w:t>
      </w:r>
      <w:r>
        <w:rPr>
          <w:rFonts w:hint="eastAsia" w:ascii="宋体" w:hAnsi="宋体"/>
          <w:color w:val="auto"/>
          <w:sz w:val="24"/>
          <w:highlight w:val="none"/>
          <w:lang w:val="en-US" w:eastAsia="zh-CN"/>
        </w:rPr>
        <w:t>监理服务期包括但不限于项目的</w:t>
      </w:r>
      <w:r>
        <w:rPr>
          <w:rFonts w:hint="eastAsia" w:ascii="宋体" w:hAnsi="宋体"/>
          <w:color w:val="auto"/>
          <w:sz w:val="24"/>
          <w:highlight w:val="none"/>
          <w:lang w:eastAsia="zh-CN"/>
        </w:rPr>
        <w:t>施工准备阶段、工程施工阶段、工程保修阶段</w:t>
      </w:r>
      <w:r>
        <w:rPr>
          <w:rFonts w:hint="eastAsia" w:hAnsi="宋体"/>
          <w:color w:val="auto"/>
          <w:sz w:val="24"/>
          <w:highlight w:val="none"/>
          <w:lang w:eastAsia="zh-CN"/>
        </w:rPr>
        <w:t>、缺陷责任期</w:t>
      </w:r>
      <w:r>
        <w:rPr>
          <w:rFonts w:hint="eastAsia" w:ascii="宋体" w:hAnsi="宋体"/>
          <w:color w:val="auto"/>
          <w:sz w:val="24"/>
          <w:highlight w:val="none"/>
          <w:lang w:eastAsia="zh-CN"/>
        </w:rPr>
        <w:t>和竣工结算期</w:t>
      </w:r>
      <w:r>
        <w:rPr>
          <w:rFonts w:hAnsi="宋体" w:cs="宋体"/>
          <w:color w:val="auto"/>
          <w:highlight w:val="none"/>
        </w:rPr>
        <w:t>：</w:t>
      </w:r>
      <w:r>
        <w:rPr>
          <w:rFonts w:hint="eastAsia" w:hAnsi="宋体" w:cs="宋体"/>
          <w:color w:val="auto"/>
          <w:highlight w:val="none"/>
        </w:rPr>
        <w:t>施工准备阶段：从中标通知书发出到工程开工之日；</w:t>
      </w:r>
    </w:p>
    <w:p>
      <w:pPr>
        <w:pStyle w:val="14"/>
        <w:adjustRightInd w:val="0"/>
        <w:snapToGrid w:val="0"/>
        <w:ind w:firstLine="424" w:firstLineChars="177"/>
        <w:rPr>
          <w:rFonts w:hAnsi="宋体" w:cs="宋体"/>
          <w:color w:val="auto"/>
          <w:highlight w:val="none"/>
        </w:rPr>
      </w:pPr>
      <w:r>
        <w:rPr>
          <w:rFonts w:hint="eastAsia" w:hAnsi="宋体" w:cs="宋体"/>
          <w:color w:val="auto"/>
          <w:highlight w:val="none"/>
        </w:rPr>
        <w:t>施工阶段监理服务期：从业主下达开工令或开工报告审批之日起至施工项目全部完工并办理竣工验收、竣工结算、备案管理为止；</w:t>
      </w:r>
    </w:p>
    <w:p>
      <w:pPr>
        <w:pStyle w:val="14"/>
        <w:shd w:val="clear" w:color="auto" w:fill="auto"/>
        <w:adjustRightInd w:val="0"/>
        <w:snapToGrid w:val="0"/>
        <w:ind w:firstLine="424" w:firstLineChars="177"/>
        <w:rPr>
          <w:rFonts w:hAnsi="宋体" w:cs="宋体"/>
          <w:color w:val="auto"/>
          <w:highlight w:val="none"/>
        </w:rPr>
      </w:pPr>
      <w:r>
        <w:rPr>
          <w:rFonts w:hint="eastAsia" w:hAnsi="宋体" w:cs="宋体"/>
          <w:color w:val="auto"/>
          <w:highlight w:val="none"/>
        </w:rPr>
        <w:t>缺陷责任期阶段监理服务期：从工程竣工验收合格之日起2年。</w:t>
      </w:r>
    </w:p>
    <w:p>
      <w:pPr>
        <w:pStyle w:val="14"/>
        <w:shd w:val="clear" w:color="auto" w:fill="auto"/>
        <w:adjustRightInd w:val="0"/>
        <w:snapToGrid w:val="0"/>
        <w:ind w:firstLine="424" w:firstLineChars="177"/>
        <w:rPr>
          <w:rFonts w:hAnsi="宋体" w:cs="宋体"/>
          <w:color w:val="auto"/>
          <w:highlight w:val="none"/>
        </w:rPr>
      </w:pPr>
      <w:r>
        <w:rPr>
          <w:rFonts w:hint="eastAsia" w:hAnsi="宋体" w:cs="宋体"/>
          <w:color w:val="auto"/>
          <w:highlight w:val="none"/>
        </w:rPr>
        <w:t>竣工结算期：从结算送审到终审。</w:t>
      </w:r>
    </w:p>
    <w:p>
      <w:pPr>
        <w:pStyle w:val="14"/>
        <w:adjustRightInd w:val="0"/>
        <w:snapToGrid w:val="0"/>
        <w:ind w:firstLine="424" w:firstLineChars="177"/>
        <w:rPr>
          <w:rFonts w:hAnsi="宋体" w:cs="宋体"/>
          <w:color w:val="auto"/>
          <w:highlight w:val="none"/>
        </w:rPr>
      </w:pPr>
      <w:r>
        <w:rPr>
          <w:rFonts w:hint="eastAsia" w:hAnsi="宋体" w:cs="宋体"/>
          <w:color w:val="auto"/>
          <w:highlight w:val="none"/>
        </w:rPr>
        <w:t>质量保修期：按本项目施工总承包合同附件约定的质量保修期时长。</w:t>
      </w:r>
    </w:p>
    <w:p>
      <w:pPr>
        <w:pStyle w:val="14"/>
        <w:adjustRightInd w:val="0"/>
        <w:snapToGrid w:val="0"/>
        <w:ind w:firstLine="424" w:firstLineChars="177"/>
        <w:rPr>
          <w:rFonts w:hAnsi="宋体" w:cs="宋体"/>
          <w:color w:val="auto"/>
          <w:highlight w:val="none"/>
        </w:rPr>
      </w:pPr>
      <w:r>
        <w:rPr>
          <w:rFonts w:hint="eastAsia" w:hAnsi="宋体" w:cs="宋体"/>
          <w:color w:val="auto"/>
          <w:highlight w:val="none"/>
        </w:rPr>
        <w:t>（1</w:t>
      </w:r>
      <w:r>
        <w:rPr>
          <w:rFonts w:hAnsi="宋体" w:cs="宋体"/>
          <w:color w:val="auto"/>
          <w:highlight w:val="none"/>
        </w:rPr>
        <w:t>3</w:t>
      </w:r>
      <w:r>
        <w:rPr>
          <w:rFonts w:hint="eastAsia" w:hAnsi="宋体" w:cs="宋体"/>
          <w:color w:val="auto"/>
          <w:highlight w:val="none"/>
        </w:rPr>
        <w:t>）</w:t>
      </w:r>
      <w:r>
        <w:rPr>
          <w:rFonts w:hAnsi="宋体" w:cs="宋体"/>
          <w:color w:val="auto"/>
          <w:highlight w:val="none"/>
        </w:rPr>
        <w:t>“合同有效期”是指合同生效之日起至合同终止之日止。</w:t>
      </w:r>
    </w:p>
    <w:p>
      <w:pPr>
        <w:pStyle w:val="14"/>
        <w:adjustRightInd w:val="0"/>
        <w:snapToGrid w:val="0"/>
        <w:ind w:firstLine="424" w:firstLineChars="177"/>
        <w:rPr>
          <w:rFonts w:hAnsi="宋体" w:cs="宋体"/>
          <w:color w:val="auto"/>
          <w:highlight w:val="none"/>
        </w:rPr>
      </w:pPr>
      <w:r>
        <w:rPr>
          <w:rFonts w:hAnsi="宋体" w:cs="宋体"/>
          <w:color w:val="auto"/>
          <w:highlight w:val="none"/>
        </w:rPr>
        <w:t>第二条 本合同适用的法律及监理依据：</w:t>
      </w:r>
    </w:p>
    <w:p>
      <w:pPr>
        <w:adjustRightInd w:val="0"/>
        <w:snapToGrid w:val="0"/>
        <w:spacing w:line="360" w:lineRule="auto"/>
        <w:ind w:firstLine="424" w:firstLineChars="177"/>
        <w:rPr>
          <w:rFonts w:hAnsi="宋体" w:cs="宋体"/>
          <w:color w:val="auto"/>
          <w:highlight w:val="none"/>
        </w:rPr>
      </w:pPr>
      <w:bookmarkStart w:id="17" w:name="_Toc354434576"/>
      <w:bookmarkStart w:id="18" w:name="_Toc383534209"/>
      <w:bookmarkStart w:id="19" w:name="_Toc354434417"/>
      <w:r>
        <w:rPr>
          <w:rFonts w:ascii="宋体" w:hAnsi="宋体"/>
          <w:color w:val="auto"/>
          <w:sz w:val="24"/>
          <w:highlight w:val="none"/>
        </w:rPr>
        <w:t>一、适用法规</w:t>
      </w:r>
      <w:bookmarkEnd w:id="17"/>
      <w:bookmarkEnd w:id="18"/>
      <w:bookmarkEnd w:id="19"/>
      <w:r>
        <w:rPr>
          <w:rFonts w:ascii="宋体" w:hAnsi="宋体"/>
          <w:color w:val="auto"/>
          <w:sz w:val="24"/>
          <w:highlight w:val="none"/>
        </w:rPr>
        <w:t xml:space="preserve">  </w:t>
      </w:r>
      <w:r>
        <w:rPr>
          <w:rFonts w:hAnsi="宋体" w:cs="宋体"/>
          <w:color w:val="auto"/>
          <w:highlight w:val="none"/>
        </w:rPr>
        <w:t xml:space="preserve"> </w:t>
      </w:r>
    </w:p>
    <w:p>
      <w:pPr>
        <w:pStyle w:val="14"/>
        <w:adjustRightInd w:val="0"/>
        <w:snapToGrid w:val="0"/>
        <w:ind w:firstLine="424" w:firstLineChars="177"/>
        <w:rPr>
          <w:rFonts w:hAnsi="宋体" w:cs="宋体"/>
          <w:color w:val="auto"/>
          <w:highlight w:val="none"/>
        </w:rPr>
      </w:pPr>
      <w:r>
        <w:rPr>
          <w:rFonts w:hAnsi="宋体" w:cs="宋体"/>
          <w:color w:val="auto"/>
          <w:highlight w:val="none"/>
        </w:rPr>
        <w:t>1、国家及地方有关工程建设的相关法律、法规和管理条例。如：《中华人民共和国建筑法》《建设工程质量管理条例》《中华人民共和国</w:t>
      </w:r>
      <w:r>
        <w:rPr>
          <w:rFonts w:hint="eastAsia" w:hAnsi="宋体" w:cs="宋体"/>
          <w:color w:val="auto"/>
          <w:highlight w:val="none"/>
        </w:rPr>
        <w:t>民法典</w:t>
      </w:r>
      <w:r>
        <w:rPr>
          <w:rFonts w:hAnsi="宋体" w:cs="宋体"/>
          <w:color w:val="auto"/>
          <w:highlight w:val="none"/>
        </w:rPr>
        <w:t xml:space="preserve">》等；  </w:t>
      </w:r>
    </w:p>
    <w:p>
      <w:pPr>
        <w:pStyle w:val="14"/>
        <w:adjustRightInd w:val="0"/>
        <w:snapToGrid w:val="0"/>
        <w:ind w:firstLine="424" w:firstLineChars="177"/>
        <w:rPr>
          <w:rFonts w:hAnsi="宋体" w:cs="宋体"/>
          <w:color w:val="auto"/>
          <w:highlight w:val="none"/>
        </w:rPr>
      </w:pPr>
      <w:r>
        <w:rPr>
          <w:rFonts w:hAnsi="宋体" w:cs="宋体"/>
          <w:color w:val="auto"/>
          <w:highlight w:val="none"/>
        </w:rPr>
        <w:t>2、广东省广州市有关工程建设管理方面的规定和办法；</w:t>
      </w:r>
    </w:p>
    <w:p>
      <w:pPr>
        <w:pStyle w:val="14"/>
        <w:adjustRightInd w:val="0"/>
        <w:snapToGrid w:val="0"/>
        <w:ind w:firstLine="424" w:firstLineChars="177"/>
        <w:rPr>
          <w:rFonts w:hAnsi="宋体" w:cs="宋体"/>
          <w:color w:val="auto"/>
          <w:highlight w:val="none"/>
        </w:rPr>
      </w:pPr>
      <w:r>
        <w:rPr>
          <w:rFonts w:hAnsi="宋体" w:cs="宋体"/>
          <w:color w:val="auto"/>
          <w:highlight w:val="none"/>
        </w:rPr>
        <w:t>3</w:t>
      </w:r>
      <w:r>
        <w:rPr>
          <w:rFonts w:hint="eastAsia" w:hAnsi="宋体" w:cs="宋体"/>
          <w:color w:val="auto"/>
          <w:highlight w:val="none"/>
        </w:rPr>
        <w:t>、现行的工程建设规范和质量检验评定标准。</w:t>
      </w:r>
    </w:p>
    <w:p>
      <w:pPr>
        <w:adjustRightInd w:val="0"/>
        <w:snapToGrid w:val="0"/>
        <w:spacing w:line="360" w:lineRule="auto"/>
        <w:ind w:firstLine="424" w:firstLineChars="177"/>
        <w:rPr>
          <w:rFonts w:ascii="宋体" w:hAnsi="宋体"/>
          <w:color w:val="auto"/>
          <w:sz w:val="24"/>
          <w:highlight w:val="none"/>
        </w:rPr>
      </w:pPr>
      <w:bookmarkStart w:id="20" w:name="_Toc383534210"/>
      <w:bookmarkStart w:id="21" w:name="_Toc354434577"/>
      <w:bookmarkStart w:id="22" w:name="_Toc354434418"/>
      <w:r>
        <w:rPr>
          <w:rFonts w:ascii="宋体" w:hAnsi="宋体"/>
          <w:color w:val="auto"/>
          <w:sz w:val="24"/>
          <w:highlight w:val="none"/>
        </w:rPr>
        <w:t>二、监理工作依据</w:t>
      </w:r>
      <w:bookmarkEnd w:id="20"/>
      <w:bookmarkEnd w:id="21"/>
      <w:bookmarkEnd w:id="22"/>
    </w:p>
    <w:p>
      <w:pPr>
        <w:pStyle w:val="14"/>
        <w:adjustRightInd w:val="0"/>
        <w:snapToGrid w:val="0"/>
        <w:ind w:firstLine="424" w:firstLineChars="177"/>
        <w:rPr>
          <w:rFonts w:hAnsi="宋体" w:cs="宋体"/>
          <w:color w:val="auto"/>
          <w:highlight w:val="none"/>
        </w:rPr>
      </w:pPr>
      <w:bookmarkStart w:id="23" w:name="_Toc383534211"/>
      <w:bookmarkStart w:id="24" w:name="_Toc354434419"/>
      <w:bookmarkStart w:id="25" w:name="_Toc354434578"/>
      <w:r>
        <w:rPr>
          <w:rFonts w:hAnsi="宋体" w:cs="宋体"/>
          <w:color w:val="auto"/>
          <w:highlight w:val="none"/>
        </w:rPr>
        <w:t>1、国家及地方现行的有关工程建设的操作规程、技术标准和验收规范；</w:t>
      </w:r>
      <w:bookmarkEnd w:id="23"/>
      <w:bookmarkEnd w:id="24"/>
      <w:bookmarkEnd w:id="25"/>
    </w:p>
    <w:p>
      <w:pPr>
        <w:pStyle w:val="14"/>
        <w:adjustRightInd w:val="0"/>
        <w:snapToGrid w:val="0"/>
        <w:ind w:firstLine="424" w:firstLineChars="177"/>
        <w:rPr>
          <w:rFonts w:hAnsi="宋体" w:cs="宋体"/>
          <w:color w:val="auto"/>
          <w:highlight w:val="none"/>
        </w:rPr>
      </w:pPr>
      <w:bookmarkStart w:id="26" w:name="_Toc354434420"/>
      <w:bookmarkStart w:id="27" w:name="_Toc354434579"/>
      <w:bookmarkStart w:id="28" w:name="_Toc383534212"/>
      <w:r>
        <w:rPr>
          <w:rFonts w:hAnsi="宋体" w:cs="宋体"/>
          <w:color w:val="auto"/>
          <w:highlight w:val="none"/>
        </w:rPr>
        <w:t>2、建设工程监理规范GB50319-20</w:t>
      </w:r>
      <w:r>
        <w:rPr>
          <w:rFonts w:hint="eastAsia" w:hAnsi="宋体" w:cs="宋体"/>
          <w:color w:val="auto"/>
          <w:highlight w:val="none"/>
        </w:rPr>
        <w:t>13</w:t>
      </w:r>
      <w:r>
        <w:rPr>
          <w:rFonts w:hAnsi="宋体" w:cs="宋体"/>
          <w:color w:val="auto"/>
          <w:highlight w:val="none"/>
        </w:rPr>
        <w:t>；</w:t>
      </w:r>
      <w:bookmarkEnd w:id="26"/>
      <w:bookmarkEnd w:id="27"/>
      <w:bookmarkEnd w:id="28"/>
    </w:p>
    <w:p>
      <w:pPr>
        <w:pStyle w:val="14"/>
        <w:adjustRightInd w:val="0"/>
        <w:snapToGrid w:val="0"/>
        <w:ind w:firstLine="424" w:firstLineChars="177"/>
        <w:rPr>
          <w:rFonts w:hAnsi="宋体" w:cs="宋体"/>
          <w:color w:val="auto"/>
          <w:highlight w:val="none"/>
        </w:rPr>
      </w:pPr>
      <w:bookmarkStart w:id="29" w:name="_Toc354434421"/>
      <w:bookmarkStart w:id="30" w:name="_Toc354434580"/>
      <w:bookmarkStart w:id="31" w:name="_Toc383534213"/>
      <w:r>
        <w:rPr>
          <w:rFonts w:hAnsi="宋体" w:cs="宋体"/>
          <w:color w:val="auto"/>
          <w:highlight w:val="none"/>
        </w:rPr>
        <w:t>3、委托监理合同及相关补充协议；</w:t>
      </w:r>
      <w:bookmarkEnd w:id="29"/>
      <w:bookmarkEnd w:id="30"/>
      <w:bookmarkEnd w:id="31"/>
    </w:p>
    <w:p>
      <w:pPr>
        <w:pStyle w:val="14"/>
        <w:adjustRightInd w:val="0"/>
        <w:snapToGrid w:val="0"/>
        <w:ind w:firstLine="424" w:firstLineChars="177"/>
        <w:rPr>
          <w:rFonts w:hAnsi="宋体" w:cs="宋体"/>
          <w:color w:val="auto"/>
          <w:highlight w:val="none"/>
        </w:rPr>
      </w:pPr>
      <w:bookmarkStart w:id="32" w:name="_Toc354434581"/>
      <w:bookmarkStart w:id="33" w:name="_Toc354434422"/>
      <w:bookmarkStart w:id="34" w:name="_Toc383534214"/>
      <w:r>
        <w:rPr>
          <w:rFonts w:hAnsi="宋体" w:cs="宋体"/>
          <w:color w:val="auto"/>
          <w:highlight w:val="none"/>
        </w:rPr>
        <w:t>4、委托人与承包人签订的建设工程施工合同及相关补充协议，委托人与其他方签订的有关本工程项目的协议书、合同、备忘录等等；</w:t>
      </w:r>
      <w:bookmarkEnd w:id="32"/>
      <w:bookmarkEnd w:id="33"/>
      <w:bookmarkEnd w:id="34"/>
    </w:p>
    <w:p>
      <w:pPr>
        <w:pStyle w:val="14"/>
        <w:adjustRightInd w:val="0"/>
        <w:snapToGrid w:val="0"/>
        <w:ind w:firstLine="424" w:firstLineChars="177"/>
        <w:rPr>
          <w:rFonts w:hAnsi="宋体" w:cs="宋体"/>
          <w:color w:val="auto"/>
          <w:highlight w:val="none"/>
        </w:rPr>
      </w:pPr>
      <w:r>
        <w:rPr>
          <w:rFonts w:hAnsi="宋体" w:cs="宋体"/>
          <w:color w:val="auto"/>
          <w:highlight w:val="none"/>
        </w:rPr>
        <w:t>5、委托人确认的本工程的工程地质勘察报告、施工图纸、设计说明以及施工图纸会审记录、有关工程建设的洽商记录、工程变更文件</w:t>
      </w:r>
      <w:r>
        <w:rPr>
          <w:rFonts w:hint="eastAsia" w:hAnsi="宋体" w:cs="宋体"/>
          <w:color w:val="auto"/>
          <w:highlight w:val="none"/>
        </w:rPr>
        <w:t>、</w:t>
      </w:r>
      <w:r>
        <w:rPr>
          <w:rFonts w:hAnsi="宋体" w:cs="宋体"/>
          <w:color w:val="auto"/>
          <w:highlight w:val="none"/>
        </w:rPr>
        <w:t>会议纪要；</w:t>
      </w:r>
    </w:p>
    <w:p>
      <w:pPr>
        <w:pStyle w:val="14"/>
        <w:adjustRightInd w:val="0"/>
        <w:snapToGrid w:val="0"/>
        <w:ind w:firstLine="424" w:firstLineChars="177"/>
        <w:rPr>
          <w:rFonts w:hAnsi="宋体" w:cs="宋体"/>
          <w:color w:val="auto"/>
          <w:highlight w:val="none"/>
        </w:rPr>
      </w:pPr>
      <w:r>
        <w:rPr>
          <w:rFonts w:hint="eastAsia" w:hAnsi="宋体" w:cs="宋体"/>
          <w:color w:val="auto"/>
          <w:highlight w:val="none"/>
        </w:rPr>
        <w:t>6、</w:t>
      </w:r>
      <w:r>
        <w:rPr>
          <w:rFonts w:hAnsi="宋体" w:cs="宋体"/>
          <w:color w:val="auto"/>
          <w:highlight w:val="none"/>
        </w:rPr>
        <w:t>监理人编制审批的经委托人确认的监理规划；</w:t>
      </w:r>
    </w:p>
    <w:p>
      <w:pPr>
        <w:pStyle w:val="14"/>
        <w:adjustRightInd w:val="0"/>
        <w:snapToGrid w:val="0"/>
        <w:ind w:firstLine="424" w:firstLineChars="177"/>
        <w:rPr>
          <w:rFonts w:hAnsi="宋体" w:cs="宋体"/>
          <w:color w:val="auto"/>
          <w:highlight w:val="none"/>
        </w:rPr>
      </w:pPr>
      <w:r>
        <w:rPr>
          <w:rFonts w:hint="eastAsia" w:hAnsi="宋体" w:cs="宋体"/>
          <w:color w:val="auto"/>
          <w:highlight w:val="none"/>
        </w:rPr>
        <w:t>7、</w:t>
      </w:r>
      <w:r>
        <w:rPr>
          <w:rFonts w:hAnsi="宋体" w:cs="宋体"/>
          <w:color w:val="auto"/>
          <w:highlight w:val="none"/>
        </w:rPr>
        <w:t>广州地区现行的有关工程预结算定额和文件；</w:t>
      </w:r>
    </w:p>
    <w:p>
      <w:pPr>
        <w:pStyle w:val="14"/>
        <w:adjustRightInd w:val="0"/>
        <w:snapToGrid w:val="0"/>
        <w:ind w:firstLine="420"/>
        <w:rPr>
          <w:rFonts w:hAnsi="宋体" w:cs="宋体"/>
          <w:color w:val="auto"/>
          <w:highlight w:val="none"/>
        </w:rPr>
      </w:pPr>
      <w:r>
        <w:rPr>
          <w:rFonts w:hint="eastAsia" w:hAnsi="宋体" w:cs="宋体"/>
          <w:color w:val="auto"/>
          <w:highlight w:val="none"/>
        </w:rPr>
        <w:t>8、委托人发出的指令；</w:t>
      </w:r>
    </w:p>
    <w:p>
      <w:pPr>
        <w:spacing w:line="360" w:lineRule="auto"/>
        <w:ind w:firstLine="420"/>
        <w:rPr>
          <w:rFonts w:ascii="宋体" w:hAnsi="宋体" w:cs="宋体"/>
          <w:color w:val="auto"/>
          <w:sz w:val="24"/>
          <w:highlight w:val="none"/>
        </w:rPr>
      </w:pPr>
      <w:bookmarkStart w:id="35" w:name="_Toc354434423"/>
      <w:bookmarkStart w:id="36" w:name="_Toc383534215"/>
      <w:bookmarkStart w:id="37" w:name="_Toc354434582"/>
      <w:r>
        <w:rPr>
          <w:rFonts w:hint="eastAsia" w:ascii="宋体" w:hAnsi="宋体" w:cs="宋体"/>
          <w:color w:val="auto"/>
          <w:sz w:val="24"/>
          <w:highlight w:val="none"/>
        </w:rPr>
        <w:t>9、本合同中所有涉及法律、法规相关部门等有关规定的，如有修订或变更，按最新规定执行。</w:t>
      </w:r>
    </w:p>
    <w:p>
      <w:pPr>
        <w:pStyle w:val="14"/>
        <w:adjustRightInd w:val="0"/>
        <w:snapToGrid w:val="0"/>
        <w:ind w:firstLine="424" w:firstLineChars="177"/>
        <w:rPr>
          <w:rFonts w:hAnsi="宋体" w:cs="宋体"/>
          <w:color w:val="auto"/>
          <w:highlight w:val="none"/>
        </w:rPr>
      </w:pPr>
      <w:r>
        <w:rPr>
          <w:rFonts w:hAnsi="宋体" w:cs="宋体"/>
          <w:color w:val="auto"/>
          <w:highlight w:val="none"/>
        </w:rPr>
        <w:t>第</w:t>
      </w:r>
      <w:r>
        <w:rPr>
          <w:rFonts w:hint="eastAsia" w:hAnsi="宋体" w:cs="宋体"/>
          <w:color w:val="auto"/>
          <w:highlight w:val="none"/>
        </w:rPr>
        <w:t>四</w:t>
      </w:r>
      <w:r>
        <w:rPr>
          <w:rFonts w:hAnsi="宋体" w:cs="宋体"/>
          <w:color w:val="auto"/>
          <w:highlight w:val="none"/>
        </w:rPr>
        <w:t xml:space="preserve">条  </w:t>
      </w:r>
      <w:r>
        <w:rPr>
          <w:rFonts w:hint="eastAsia" w:hAnsi="宋体" w:cs="宋体"/>
          <w:color w:val="auto"/>
          <w:highlight w:val="none"/>
        </w:rPr>
        <w:t>监理人员、</w:t>
      </w:r>
      <w:r>
        <w:rPr>
          <w:rFonts w:hAnsi="宋体" w:cs="宋体"/>
          <w:color w:val="auto"/>
          <w:highlight w:val="none"/>
        </w:rPr>
        <w:t>监理工作范围、监理工作内容</w:t>
      </w:r>
      <w:r>
        <w:rPr>
          <w:rFonts w:hint="eastAsia" w:hAnsi="宋体" w:cs="宋体"/>
          <w:color w:val="auto"/>
          <w:highlight w:val="none"/>
        </w:rPr>
        <w:t>、监理目标等</w:t>
      </w:r>
      <w:r>
        <w:rPr>
          <w:rFonts w:hAnsi="宋体" w:cs="宋体"/>
          <w:color w:val="auto"/>
          <w:highlight w:val="none"/>
        </w:rPr>
        <w:t>：</w:t>
      </w:r>
      <w:bookmarkEnd w:id="35"/>
      <w:bookmarkEnd w:id="36"/>
      <w:bookmarkEnd w:id="37"/>
    </w:p>
    <w:p>
      <w:pPr>
        <w:pStyle w:val="14"/>
        <w:adjustRightInd w:val="0"/>
        <w:snapToGrid w:val="0"/>
        <w:ind w:firstLine="420"/>
        <w:rPr>
          <w:rFonts w:hAnsi="宋体" w:cs="宋体"/>
          <w:color w:val="auto"/>
          <w:highlight w:val="none"/>
        </w:rPr>
      </w:pPr>
      <w:r>
        <w:rPr>
          <w:rFonts w:hint="eastAsia" w:hAnsi="宋体" w:cs="宋体"/>
          <w:color w:val="auto"/>
          <w:highlight w:val="none"/>
        </w:rPr>
        <w:t>一、监理人员</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1、监理人派驻到工程所在地履行监理服务的监理人员，必须能够适应监理合同规定的监理服务工作。并按招标文件、投标文件及本合同约定提供监理人员的资质、配额，且须经委托人审核同意。</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2、监理人必须严格按照</w:t>
      </w:r>
      <w:r>
        <w:rPr>
          <w:rFonts w:hint="eastAsia" w:ascii="宋体" w:hAnsi="宋体" w:cs="宋体"/>
          <w:color w:val="auto"/>
          <w:sz w:val="24"/>
          <w:highlight w:val="none"/>
          <w:u w:val="single"/>
        </w:rPr>
        <w:t>投标承诺投入监理机构和监理人员，在合同中附上监理人员总架构表，全部监理人员名单和资格报委托人备案后，未经委托人同意，监理人不得擅自调换人员。</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3、委托人有权以书面形式要求监理人更换不能按照本监理合同的规定履行监理服务的派驻人员。</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4、为了履行监理服务，监理人应在监理规划中指定一名授权代表与建设单位的授权代表建立工作联系。</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5、即使是委托人要求或同意更换的监理人员，其代替人员的资质仍应得到委托人的认可，因此而产生的费用由监理人承担。</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6、监理人派驻项目</w:t>
      </w:r>
      <w:r>
        <w:rPr>
          <w:rFonts w:hint="eastAsia" w:ascii="宋体" w:hAnsi="宋体" w:cs="宋体"/>
          <w:color w:val="auto"/>
          <w:sz w:val="24"/>
          <w:highlight w:val="none"/>
          <w:u w:val="single"/>
        </w:rPr>
        <w:t>履行监理服务的总监理工程师、总监代表、安全员及主要监理人员</w:t>
      </w:r>
      <w:r>
        <w:rPr>
          <w:rFonts w:hint="eastAsia" w:ascii="宋体" w:hAnsi="宋体" w:cs="宋体"/>
          <w:color w:val="auto"/>
          <w:sz w:val="24"/>
          <w:highlight w:val="none"/>
        </w:rPr>
        <w:t>，必须常驻现场。</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7、监理工程师在本监理合同授权范围内行使合同规定的权利，履行相应的职责。当委托人发现监理人员不按监理合同履行监理职责，或与承包人串通给委托人或工程造成损失的，委托人有权要求监理人更换监理人员，或终止合同，并要求监理人承担相当的赔偿责任或连带赔偿责任。</w:t>
      </w:r>
    </w:p>
    <w:p>
      <w:pPr>
        <w:pStyle w:val="14"/>
        <w:adjustRightInd w:val="0"/>
        <w:snapToGrid w:val="0"/>
        <w:ind w:firstLine="420"/>
        <w:rPr>
          <w:rFonts w:hAnsi="宋体" w:cs="宋体"/>
          <w:color w:val="auto"/>
          <w:highlight w:val="none"/>
          <w:u w:val="single"/>
        </w:rPr>
      </w:pPr>
      <w:r>
        <w:rPr>
          <w:rFonts w:hint="eastAsia" w:hAnsi="宋体" w:cs="宋体"/>
          <w:color w:val="auto"/>
          <w:highlight w:val="none"/>
        </w:rPr>
        <w:t>二、监理工作范围：</w:t>
      </w:r>
      <w:r>
        <w:rPr>
          <w:rFonts w:hint="eastAsia" w:hAnsi="宋体" w:cs="宋体"/>
          <w:color w:val="auto"/>
          <w:highlight w:val="none"/>
          <w:u w:val="single"/>
        </w:rPr>
        <w:t>监理内容包括但不限于以</w:t>
      </w:r>
      <w:r>
        <w:rPr>
          <w:rFonts w:hint="eastAsia" w:hAnsi="宋体" w:cs="宋体"/>
          <w:color w:val="auto"/>
          <w:highlight w:val="none"/>
          <w:u w:val="single"/>
        </w:rPr>
        <w:t>下内容：施工准备阶段、</w:t>
      </w:r>
      <w:r>
        <w:rPr>
          <w:rFonts w:hint="eastAsia" w:ascii="宋体" w:hAnsi="宋体"/>
          <w:color w:val="auto"/>
          <w:sz w:val="24"/>
          <w:highlight w:val="none"/>
          <w:u w:val="single"/>
        </w:rPr>
        <w:t>施工阶段</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含酒店装修</w:t>
      </w:r>
      <w:r>
        <w:rPr>
          <w:rFonts w:hint="eastAsia" w:ascii="宋体" w:hAnsi="宋体"/>
          <w:color w:val="auto"/>
          <w:sz w:val="24"/>
          <w:highlight w:val="none"/>
          <w:u w:val="single"/>
          <w:lang w:eastAsia="zh-CN"/>
        </w:rPr>
        <w:t>）</w:t>
      </w:r>
      <w:r>
        <w:rPr>
          <w:rFonts w:hint="eastAsia" w:hAnsi="宋体" w:cs="宋体"/>
          <w:color w:val="auto"/>
          <w:highlight w:val="none"/>
          <w:u w:val="single"/>
        </w:rPr>
        <w:t>、竣工结算阶段、保修阶段的质量</w:t>
      </w:r>
      <w:r>
        <w:rPr>
          <w:rFonts w:hint="eastAsia" w:hAnsi="宋体" w:cs="宋体"/>
          <w:color w:val="auto"/>
          <w:highlight w:val="none"/>
          <w:u w:val="single"/>
        </w:rPr>
        <w:t>、投资、进度、安全控制；监督、管理建设工程合同的履行，以及协调建设单位和工程建设有关各方的工作关系，预、结算审核、竣工图审核等。</w:t>
      </w:r>
    </w:p>
    <w:p>
      <w:pPr>
        <w:pStyle w:val="14"/>
        <w:adjustRightInd w:val="0"/>
        <w:snapToGrid w:val="0"/>
        <w:ind w:firstLine="420"/>
        <w:rPr>
          <w:rFonts w:hAnsi="宋体" w:cs="宋体"/>
          <w:color w:val="auto"/>
          <w:highlight w:val="none"/>
        </w:rPr>
      </w:pPr>
      <w:r>
        <w:rPr>
          <w:rFonts w:hint="eastAsia" w:hAnsi="宋体" w:cs="宋体"/>
          <w:color w:val="auto"/>
          <w:highlight w:val="none"/>
        </w:rPr>
        <w:t>三</w:t>
      </w:r>
      <w:r>
        <w:rPr>
          <w:rFonts w:hAnsi="宋体" w:cs="宋体"/>
          <w:color w:val="auto"/>
          <w:highlight w:val="none"/>
        </w:rPr>
        <w:t>、监理工作内容</w:t>
      </w:r>
    </w:p>
    <w:p>
      <w:pPr>
        <w:spacing w:line="360" w:lineRule="auto"/>
        <w:ind w:firstLine="426"/>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中标单位（监理人）以监理人名义用银行履约保函方式在合同生效10个工作日内提交经委托人认可的银行保函作为履约保证金，履约保证金为中标价的10%，采用银行履约保函的模式，履约保函由中国境内注册的商业银行开具，是不可撤销的保函</w:t>
      </w:r>
      <w:r>
        <w:rPr>
          <w:rFonts w:hint="eastAsia" w:ascii="宋体" w:hAnsi="宋体" w:cs="宋体"/>
          <w:color w:val="auto"/>
          <w:sz w:val="24"/>
          <w:highlight w:val="none"/>
        </w:rPr>
        <w:t>。上述履约保函作为本合同的组成文件之一。</w:t>
      </w:r>
    </w:p>
    <w:p>
      <w:pPr>
        <w:spacing w:line="360" w:lineRule="auto"/>
        <w:ind w:firstLine="426"/>
        <w:rPr>
          <w:rFonts w:ascii="宋体" w:hAnsi="宋体"/>
          <w:color w:val="auto"/>
          <w:sz w:val="24"/>
          <w:highlight w:val="none"/>
          <w:u w:val="single"/>
        </w:rPr>
      </w:pPr>
      <w:r>
        <w:rPr>
          <w:rFonts w:hint="eastAsia" w:ascii="宋体" w:hAnsi="宋体" w:cs="宋体"/>
          <w:color w:val="auto"/>
          <w:sz w:val="24"/>
          <w:highlight w:val="none"/>
        </w:rPr>
        <w:t>履约保函</w:t>
      </w:r>
      <w:r>
        <w:rPr>
          <w:rFonts w:hint="eastAsia" w:ascii="宋体" w:hAnsi="宋体"/>
          <w:color w:val="auto"/>
          <w:sz w:val="24"/>
          <w:highlight w:val="none"/>
        </w:rPr>
        <w:t>按委托人要求办理。如发现监理人提供虚假银行保函，委托人将取消其中标资格，并追究法律责任。履约保证金的有效期从</w:t>
      </w:r>
      <w:r>
        <w:rPr>
          <w:rFonts w:hint="eastAsia" w:ascii="宋体" w:hAnsi="宋体"/>
          <w:color w:val="auto"/>
          <w:sz w:val="24"/>
          <w:highlight w:val="none"/>
          <w:u w:val="single"/>
        </w:rPr>
        <w:t>合同签订直至项目竣工验收合格，竣工结算完成且工程质量保修期满之日止</w:t>
      </w:r>
      <w:r>
        <w:rPr>
          <w:rFonts w:hint="eastAsia" w:ascii="宋体" w:hAnsi="宋体"/>
          <w:color w:val="auto"/>
          <w:sz w:val="24"/>
          <w:highlight w:val="none"/>
        </w:rPr>
        <w:t>。</w:t>
      </w:r>
      <w:r>
        <w:rPr>
          <w:rFonts w:hint="eastAsia" w:ascii="宋体" w:hAnsi="宋体"/>
          <w:color w:val="auto"/>
          <w:sz w:val="24"/>
          <w:highlight w:val="none"/>
          <w:u w:val="single"/>
        </w:rPr>
        <w:t>若无法开具无固定期限的银行保函，则需开具有效期不低于3年的固定期限银行保函；并承诺每当保函的有效期已满达2 年但项目未完工或未完成竣工验收时，不挑剔、不争辩，也不要求甲方出具证明或说明理由，主动办理新保函续保，且新保函有效期不低于3年。</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2、监理人在独立、公正、科学地提供监理服务的过程中，严格监理、热情服务，力求本工程项目目标的圆满实现；在项目施工全过程中，负责协调参建各方的工作。</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、审查分包人资质，并提出审查意见；</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4、监理人应在受委托的监理业务范围内向委托人负责，在执行和遵守国家有关建设法规的前提下，维护委托人的正当权益。</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审查承包人编制审批的施工组织设计、各专项施工方案及施工进度计划，分别提出审查意见并跟踪检查实施情况，审批各单项工程开工报告，参加设计交底和施工图纸的会审；</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审查承包人编制审批的安全施工技术方案及相应预案，检查承包人安全施工管理制度，督促承包人安全防护措施和设施的落实</w:t>
      </w:r>
      <w:r>
        <w:rPr>
          <w:rFonts w:hint="eastAsia" w:ascii="宋体" w:hAnsi="宋体" w:cs="宋体"/>
          <w:color w:val="auto"/>
          <w:sz w:val="24"/>
          <w:highlight w:val="none"/>
        </w:rPr>
        <w:t>。</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定期主持召开工地例会，主持或者参与相关专题会议；</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8、编写并向委托人提交监理周报、监理月报、监理工作阶段报告、专题报告和项目监理工作总结；</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9、根据合同的规定并经批准的工程进度计划，签收检查承包人填报的旬、月、季等报表，并随时提出监理意见，控制工程造价。</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10、验收承包人或者委托人提供的材料并见证取样送检；</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11、检查本工程采用的主要设备及关键材料是否符合设计文件或招、投标文件所规定的厂家、型号、规格、数量以及质量标准，在承包人或委托人订货前，视需要并经委托人同意可对生产厂家进行了解考察，但所发生的费用由采购方负担。</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12、督促承包人严格执行合同和严格按照国家技术规范、标准、地方建筑安装规程以及设计图纸文件的要求进行施工、安装，并检查其实施情况；核查施工过程中的主要部位、环节以及隐蔽工程的施工验收签证，对于关键部位工序和隐蔽工程进行全过程旁站管理，控制工程质量。</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13、合理、公正地协调委托人与承包人的合同争议和索赔（费用、工期）事宜；</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14、</w:t>
      </w:r>
      <w:r>
        <w:rPr>
          <w:rFonts w:ascii="宋体" w:hAnsi="宋体" w:cs="宋体"/>
          <w:color w:val="auto"/>
          <w:sz w:val="24"/>
          <w:highlight w:val="none"/>
        </w:rPr>
        <w:t>严格按照监理相关程序处理工程变更事宜，并及时将工程变更对工期的影响和对费用的增减</w:t>
      </w:r>
      <w:r>
        <w:rPr>
          <w:rFonts w:hint="eastAsia" w:ascii="宋体" w:hAnsi="宋体" w:cs="宋体"/>
          <w:color w:val="auto"/>
          <w:sz w:val="24"/>
          <w:highlight w:val="none"/>
        </w:rPr>
        <w:t>做出</w:t>
      </w:r>
      <w:r>
        <w:rPr>
          <w:rFonts w:ascii="宋体" w:hAnsi="宋体" w:cs="宋体"/>
          <w:color w:val="auto"/>
          <w:sz w:val="24"/>
          <w:highlight w:val="none"/>
        </w:rPr>
        <w:t>评估，提交委托人决策；</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15、根据施工总承包合同以及国家、省、市、地方的计价规定，对施工图预算、工程变更价款等技术经济变更文件提出合理化建议。</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16、审查承包人的预、结算文件和进度产值报表。</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17、审查承包人的中期请款申请并签署支付意见。工程竣工后，审查工程结算价款，并配合结算部门的审核工作。</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18、根据承包人提出的阶段、部位、环节、各系统的分段工程检验、验收以及整体工程竣工验收申请报告，负责组织初验，签署由承包人提出的全部工程竣工验收报告，参加委托人组织的最终验收。</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19、根据有关文件规定，督促检查承包人完成各阶段及全套竣工图的工作和整理各种必须归档的资料，交委托人归档。</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 xml:space="preserve">20、安全生产监理： </w:t>
      </w:r>
    </w:p>
    <w:p>
      <w:pPr>
        <w:spacing w:line="360" w:lineRule="auto"/>
        <w:ind w:firstLine="420"/>
        <w:rPr>
          <w:rFonts w:ascii="宋体" w:hAnsi="宋体" w:cs="宋体"/>
          <w:color w:val="auto"/>
          <w:sz w:val="24"/>
          <w:highlight w:val="none"/>
        </w:rPr>
      </w:pPr>
      <w:r>
        <w:rPr>
          <w:rFonts w:ascii="宋体" w:hAnsi="宋体" w:cs="宋体"/>
          <w:color w:val="auto"/>
          <w:sz w:val="24"/>
          <w:highlight w:val="none"/>
        </w:rPr>
        <w:t>1）监理单位应当审查施工组织设计中的安全技术措施或者专项施工方案是否符合工程建设强制性标准。</w:t>
      </w:r>
    </w:p>
    <w:p>
      <w:pPr>
        <w:spacing w:line="360" w:lineRule="auto"/>
        <w:ind w:firstLine="420"/>
        <w:rPr>
          <w:rFonts w:ascii="宋体" w:hAnsi="宋体" w:cs="宋体"/>
          <w:color w:val="auto"/>
          <w:sz w:val="24"/>
          <w:highlight w:val="none"/>
        </w:rPr>
      </w:pPr>
      <w:r>
        <w:rPr>
          <w:rFonts w:ascii="宋体" w:hAnsi="宋体" w:cs="宋体"/>
          <w:color w:val="auto"/>
          <w:sz w:val="24"/>
          <w:highlight w:val="none"/>
        </w:rPr>
        <w:t>2）监理单位在实施监理过程中，发现存在安全事故隐患的，应当要求施工单位整改；情况严重的，应当要求施工单位暂时停止施工，并及时报告建设单位。</w:t>
      </w:r>
    </w:p>
    <w:p>
      <w:pPr>
        <w:spacing w:line="360" w:lineRule="auto"/>
        <w:ind w:firstLine="420"/>
        <w:rPr>
          <w:rFonts w:ascii="宋体" w:hAnsi="宋体" w:cs="宋体"/>
          <w:color w:val="auto"/>
          <w:sz w:val="24"/>
          <w:highlight w:val="none"/>
        </w:rPr>
      </w:pPr>
      <w:r>
        <w:rPr>
          <w:rFonts w:ascii="宋体" w:hAnsi="宋体" w:cs="宋体"/>
          <w:color w:val="auto"/>
          <w:sz w:val="24"/>
          <w:highlight w:val="none"/>
        </w:rPr>
        <w:t>3）施工单位拒不整改或者不停止施工的，监理单位应当及时向有关主管部门报告。</w:t>
      </w:r>
    </w:p>
    <w:p>
      <w:pPr>
        <w:spacing w:line="360" w:lineRule="auto"/>
        <w:ind w:firstLine="420"/>
        <w:rPr>
          <w:rFonts w:ascii="宋体" w:hAnsi="宋体" w:cs="宋体"/>
          <w:color w:val="auto"/>
          <w:sz w:val="24"/>
          <w:highlight w:val="none"/>
        </w:rPr>
      </w:pPr>
      <w:r>
        <w:rPr>
          <w:rFonts w:ascii="宋体" w:hAnsi="宋体" w:cs="宋体"/>
          <w:color w:val="auto"/>
          <w:sz w:val="24"/>
          <w:highlight w:val="none"/>
        </w:rPr>
        <w:t>4）监理单位和监理工程师应当按照法律、法规和工程建设强制性标准实施监理，</w:t>
      </w:r>
      <w:r>
        <w:rPr>
          <w:rFonts w:hint="eastAsia" w:ascii="宋体" w:hAnsi="宋体" w:cs="宋体"/>
          <w:color w:val="auto"/>
          <w:sz w:val="24"/>
          <w:highlight w:val="none"/>
        </w:rPr>
        <w:t>并对建设工程安全生产承担监理责任。</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21、协助、主持、处理工程中出现的质量事故，提出处理意见，所发生的费用由责任方负担。</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22、检查工程状况，组织鉴定质量问题责任，保修期内督促承包人进行保修。</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23、根据有关文件规定，向委托人提交工程监理备案资料。监理人应在工程竣工验收后提供一套监理过程资料以及监理日记供委托人查证使用。</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24、法律、法规规定的监理人应履行的其他工程监督管理工作。</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25、负责本工程检测、监测方案的编制，并报委托人审核。负责协调、监督管理工程检测、监测过程，并审查检测、检测报告。</w:t>
      </w:r>
    </w:p>
    <w:p>
      <w:pPr>
        <w:pStyle w:val="14"/>
        <w:adjustRightInd w:val="0"/>
        <w:snapToGrid w:val="0"/>
        <w:ind w:firstLine="420"/>
        <w:jc w:val="left"/>
        <w:rPr>
          <w:rFonts w:hAnsi="宋体" w:cs="宋体"/>
          <w:color w:val="auto"/>
          <w:highlight w:val="none"/>
        </w:rPr>
      </w:pPr>
      <w:r>
        <w:rPr>
          <w:rFonts w:hint="eastAsia" w:hAnsi="宋体" w:cs="宋体"/>
          <w:color w:val="auto"/>
          <w:highlight w:val="none"/>
        </w:rPr>
        <w:t>四、</w:t>
      </w:r>
      <w:r>
        <w:rPr>
          <w:rFonts w:hAnsi="宋体" w:cs="宋体"/>
          <w:color w:val="auto"/>
          <w:highlight w:val="none"/>
        </w:rPr>
        <w:t>监理人派驻本项目工程的总</w:t>
      </w:r>
      <w:r>
        <w:rPr>
          <w:rFonts w:hint="eastAsia" w:hAnsi="宋体" w:cs="宋体"/>
          <w:color w:val="auto"/>
          <w:highlight w:val="none"/>
        </w:rPr>
        <w:t>监理工程师</w:t>
      </w:r>
      <w:r>
        <w:rPr>
          <w:rFonts w:hAnsi="宋体" w:cs="宋体"/>
          <w:color w:val="auto"/>
          <w:highlight w:val="none"/>
        </w:rPr>
        <w:t>是</w:t>
      </w:r>
      <w:r>
        <w:rPr>
          <w:rFonts w:hint="eastAsia"/>
          <w:snapToGrid w:val="0"/>
          <w:color w:val="auto"/>
          <w:highlight w:val="none"/>
          <w:u w:val="single"/>
        </w:rPr>
        <w:t xml:space="preserve"> </w:t>
      </w:r>
      <w:r>
        <w:rPr>
          <w:snapToGrid w:val="0"/>
          <w:color w:val="auto"/>
          <w:highlight w:val="none"/>
          <w:u w:val="single"/>
        </w:rPr>
        <w:t xml:space="preserve">          </w:t>
      </w:r>
      <w:r>
        <w:rPr>
          <w:rFonts w:hint="eastAsia" w:hAnsi="宋体" w:cs="宋体"/>
          <w:color w:val="auto"/>
          <w:highlight w:val="none"/>
        </w:rPr>
        <w:t>（身份证号：</w:t>
      </w:r>
      <w:r>
        <w:rPr>
          <w:rFonts w:hint="eastAsia"/>
          <w:snapToGrid w:val="0"/>
          <w:color w:val="auto"/>
          <w:highlight w:val="none"/>
          <w:u w:val="single"/>
        </w:rPr>
        <w:t xml:space="preserve"> </w:t>
      </w:r>
      <w:r>
        <w:rPr>
          <w:snapToGrid w:val="0"/>
          <w:color w:val="auto"/>
          <w:highlight w:val="none"/>
          <w:u w:val="single"/>
        </w:rPr>
        <w:t xml:space="preserve">          </w:t>
      </w:r>
      <w:r>
        <w:rPr>
          <w:rFonts w:hint="eastAsia" w:hAnsi="宋体" w:cs="宋体"/>
          <w:color w:val="auto"/>
          <w:highlight w:val="none"/>
        </w:rPr>
        <w:t xml:space="preserve">），总监代表是 </w:t>
      </w:r>
      <w:r>
        <w:rPr>
          <w:rFonts w:hint="eastAsia"/>
          <w:snapToGrid w:val="0"/>
          <w:color w:val="auto"/>
          <w:highlight w:val="none"/>
          <w:u w:val="single"/>
        </w:rPr>
        <w:t xml:space="preserve"> </w:t>
      </w:r>
      <w:r>
        <w:rPr>
          <w:snapToGrid w:val="0"/>
          <w:color w:val="auto"/>
          <w:highlight w:val="none"/>
          <w:u w:val="single"/>
        </w:rPr>
        <w:t xml:space="preserve">          </w:t>
      </w:r>
      <w:r>
        <w:rPr>
          <w:rFonts w:hint="eastAsia" w:hAnsi="宋体" w:cs="宋体"/>
          <w:color w:val="auto"/>
          <w:highlight w:val="none"/>
        </w:rPr>
        <w:t>（身份证号：</w:t>
      </w:r>
      <w:r>
        <w:rPr>
          <w:rFonts w:hint="eastAsia"/>
          <w:snapToGrid w:val="0"/>
          <w:color w:val="auto"/>
          <w:highlight w:val="none"/>
          <w:u w:val="single"/>
        </w:rPr>
        <w:t xml:space="preserve"> </w:t>
      </w:r>
      <w:r>
        <w:rPr>
          <w:snapToGrid w:val="0"/>
          <w:color w:val="auto"/>
          <w:highlight w:val="none"/>
          <w:u w:val="single"/>
        </w:rPr>
        <w:t xml:space="preserve">          </w:t>
      </w:r>
      <w:r>
        <w:rPr>
          <w:rFonts w:hint="eastAsia" w:hAnsi="宋体" w:cs="宋体"/>
          <w:color w:val="auto"/>
          <w:highlight w:val="none"/>
        </w:rPr>
        <w:t xml:space="preserve">），安全员是 </w:t>
      </w:r>
      <w:r>
        <w:rPr>
          <w:rFonts w:hint="eastAsia" w:hAnsi="宋体" w:cs="宋体"/>
          <w:color w:val="auto"/>
          <w:highlight w:val="none"/>
          <w:u w:val="single"/>
          <w:lang w:val="en-US" w:eastAsia="zh-CN"/>
        </w:rPr>
        <w:t xml:space="preserve">    </w:t>
      </w:r>
      <w:r>
        <w:rPr>
          <w:rFonts w:hint="eastAsia" w:hAnsi="宋体" w:cs="宋体"/>
          <w:color w:val="auto"/>
          <w:highlight w:val="none"/>
        </w:rPr>
        <w:t>（身份证号：</w:t>
      </w:r>
      <w:r>
        <w:rPr>
          <w:rFonts w:hint="eastAsia"/>
          <w:snapToGrid w:val="0"/>
          <w:color w:val="auto"/>
          <w:highlight w:val="none"/>
          <w:u w:val="single"/>
        </w:rPr>
        <w:t xml:space="preserve"> </w:t>
      </w:r>
      <w:r>
        <w:rPr>
          <w:snapToGrid w:val="0"/>
          <w:color w:val="auto"/>
          <w:highlight w:val="none"/>
          <w:u w:val="single"/>
        </w:rPr>
        <w:t xml:space="preserve">          </w:t>
      </w:r>
      <w:r>
        <w:rPr>
          <w:rFonts w:hint="eastAsia" w:hAnsi="宋体" w:cs="宋体"/>
          <w:color w:val="auto"/>
          <w:highlight w:val="none"/>
        </w:rPr>
        <w:t>）、</w:t>
      </w:r>
      <w:r>
        <w:rPr>
          <w:rFonts w:hint="eastAsia"/>
          <w:snapToGrid w:val="0"/>
          <w:color w:val="auto"/>
          <w:highlight w:val="none"/>
          <w:u w:val="single"/>
        </w:rPr>
        <w:t xml:space="preserve"> </w:t>
      </w:r>
      <w:r>
        <w:rPr>
          <w:snapToGrid w:val="0"/>
          <w:color w:val="auto"/>
          <w:highlight w:val="none"/>
          <w:u w:val="single"/>
        </w:rPr>
        <w:t xml:space="preserve">          </w:t>
      </w:r>
      <w:r>
        <w:rPr>
          <w:rFonts w:hint="eastAsia" w:hAnsi="宋体" w:cs="宋体"/>
          <w:color w:val="auto"/>
          <w:highlight w:val="none"/>
        </w:rPr>
        <w:t>（身份证号：</w:t>
      </w:r>
      <w:r>
        <w:rPr>
          <w:rFonts w:hint="eastAsia"/>
          <w:snapToGrid w:val="0"/>
          <w:color w:val="auto"/>
          <w:highlight w:val="none"/>
          <w:u w:val="single"/>
        </w:rPr>
        <w:t xml:space="preserve"> </w:t>
      </w:r>
      <w:r>
        <w:rPr>
          <w:snapToGrid w:val="0"/>
          <w:color w:val="auto"/>
          <w:highlight w:val="none"/>
          <w:u w:val="single"/>
        </w:rPr>
        <w:t xml:space="preserve">          </w:t>
      </w:r>
      <w:r>
        <w:rPr>
          <w:rFonts w:hint="eastAsia" w:hAnsi="宋体" w:cs="宋体"/>
          <w:color w:val="auto"/>
          <w:highlight w:val="none"/>
        </w:rPr>
        <w:t>）；</w:t>
      </w:r>
      <w:r>
        <w:rPr>
          <w:rFonts w:hint="eastAsia" w:hAnsi="宋体" w:cs="宋体"/>
          <w:color w:val="auto"/>
          <w:highlight w:val="none"/>
          <w:u w:val="single"/>
          <w:lang w:val="en-US" w:eastAsia="zh-CN"/>
        </w:rPr>
        <w:t xml:space="preserve">   </w:t>
      </w:r>
      <w:r>
        <w:rPr>
          <w:rFonts w:hint="eastAsia" w:hAnsi="宋体" w:cs="宋体"/>
          <w:color w:val="auto"/>
          <w:highlight w:val="none"/>
        </w:rPr>
        <w:t>（身份证号：</w:t>
      </w:r>
      <w:r>
        <w:rPr>
          <w:rFonts w:hint="eastAsia"/>
          <w:snapToGrid w:val="0"/>
          <w:color w:val="auto"/>
          <w:highlight w:val="none"/>
          <w:u w:val="single"/>
        </w:rPr>
        <w:t xml:space="preserve"> </w:t>
      </w:r>
      <w:r>
        <w:rPr>
          <w:snapToGrid w:val="0"/>
          <w:color w:val="auto"/>
          <w:highlight w:val="none"/>
          <w:u w:val="single"/>
        </w:rPr>
        <w:t xml:space="preserve">          </w:t>
      </w:r>
      <w:r>
        <w:rPr>
          <w:rFonts w:hint="eastAsia" w:hAnsi="宋体" w:cs="宋体"/>
          <w:color w:val="auto"/>
          <w:highlight w:val="none"/>
        </w:rPr>
        <w:t>）。</w:t>
      </w:r>
    </w:p>
    <w:p>
      <w:pPr>
        <w:pStyle w:val="14"/>
        <w:adjustRightInd w:val="0"/>
        <w:snapToGrid w:val="0"/>
        <w:ind w:firstLine="420"/>
        <w:rPr>
          <w:rFonts w:hAnsi="宋体" w:cs="宋体"/>
          <w:color w:val="auto"/>
          <w:highlight w:val="none"/>
        </w:rPr>
      </w:pPr>
      <w:r>
        <w:rPr>
          <w:rFonts w:hint="eastAsia" w:hAnsi="宋体" w:cs="宋体"/>
          <w:color w:val="auto"/>
          <w:highlight w:val="none"/>
        </w:rPr>
        <w:t>五、监理目标</w:t>
      </w:r>
    </w:p>
    <w:p>
      <w:pPr>
        <w:pStyle w:val="14"/>
        <w:adjustRightInd w:val="0"/>
        <w:snapToGrid w:val="0"/>
        <w:ind w:firstLine="420"/>
        <w:rPr>
          <w:rFonts w:hAnsi="宋体" w:cs="宋体"/>
          <w:color w:val="auto"/>
          <w:highlight w:val="none"/>
        </w:rPr>
      </w:pPr>
      <w:r>
        <w:rPr>
          <w:rFonts w:hint="eastAsia" w:hAnsi="宋体" w:cs="宋体"/>
          <w:color w:val="auto"/>
          <w:highlight w:val="none"/>
        </w:rPr>
        <w:t>本项目监理工作目标明确为：</w:t>
      </w:r>
    </w:p>
    <w:p>
      <w:pPr>
        <w:shd w:val="clear" w:color="auto" w:fill="auto"/>
        <w:adjustRightInd w:val="0"/>
        <w:snapToGrid w:val="0"/>
        <w:spacing w:line="360" w:lineRule="auto"/>
        <w:ind w:firstLine="424" w:firstLineChars="177"/>
        <w:rPr>
          <w:rFonts w:hint="eastAsia" w:ascii="宋体" w:hAnsi="宋体" w:eastAsia="宋体" w:cs="Times New Roman"/>
          <w:color w:val="auto"/>
          <w:sz w:val="24"/>
          <w:highlight w:val="none"/>
          <w:u w:val="single"/>
        </w:rPr>
      </w:pPr>
      <w:r>
        <w:rPr>
          <w:rFonts w:hint="eastAsia" w:ascii="宋体" w:hAnsi="宋体"/>
          <w:color w:val="auto"/>
          <w:sz w:val="24"/>
          <w:highlight w:val="none"/>
        </w:rPr>
        <w:t>1、</w:t>
      </w:r>
      <w:r>
        <w:rPr>
          <w:rFonts w:hint="eastAsia" w:ascii="宋体" w:hAnsi="宋体"/>
          <w:color w:val="auto"/>
          <w:sz w:val="24"/>
          <w:highlight w:val="none"/>
        </w:rPr>
        <w:t>质量标准：</w:t>
      </w:r>
      <w:r>
        <w:rPr>
          <w:rFonts w:hint="eastAsia" w:ascii="宋体" w:hAnsi="宋体" w:eastAsia="宋体" w:cs="Times New Roman"/>
          <w:color w:val="auto"/>
          <w:sz w:val="24"/>
          <w:szCs w:val="24"/>
          <w:highlight w:val="none"/>
          <w:u w:val="single"/>
          <w:shd w:val="clear" w:color="auto" w:fill="auto"/>
          <w:lang w:val="en-US" w:eastAsia="zh-CN"/>
        </w:rPr>
        <w:t>达到国家或行业质量检验评定的合格标准</w:t>
      </w:r>
    </w:p>
    <w:p>
      <w:pPr>
        <w:shd w:val="clear" w:color="auto" w:fill="auto"/>
        <w:adjustRightInd w:val="0"/>
        <w:snapToGrid w:val="0"/>
        <w:spacing w:line="360" w:lineRule="auto"/>
        <w:ind w:firstLine="424" w:firstLineChars="177"/>
        <w:rPr>
          <w:rFonts w:hint="eastAsia" w:ascii="宋体" w:hAnsi="宋体" w:eastAsia="宋体" w:cs="Times New Roman"/>
          <w:color w:val="auto"/>
          <w:sz w:val="24"/>
          <w:highlight w:val="none"/>
          <w:u w:val="single"/>
          <w:lang w:eastAsia="zh-CN"/>
        </w:rPr>
      </w:pPr>
      <w:r>
        <w:rPr>
          <w:rFonts w:ascii="宋体" w:hAnsi="宋体"/>
          <w:color w:val="auto"/>
          <w:sz w:val="24"/>
          <w:highlight w:val="none"/>
        </w:rPr>
        <w:t>2</w:t>
      </w:r>
      <w:r>
        <w:rPr>
          <w:rFonts w:hint="eastAsia" w:ascii="宋体" w:hAnsi="宋体"/>
          <w:color w:val="auto"/>
          <w:sz w:val="24"/>
          <w:highlight w:val="none"/>
        </w:rPr>
        <w:t>、质量目标：</w:t>
      </w:r>
      <w:r>
        <w:rPr>
          <w:rFonts w:hint="eastAsia" w:ascii="宋体" w:hAnsi="宋体"/>
          <w:color w:val="auto"/>
          <w:sz w:val="24"/>
          <w:highlight w:val="none"/>
          <w:u w:val="single"/>
          <w:lang w:val="en-US" w:eastAsia="zh-CN"/>
        </w:rPr>
        <w:t>一次竣工验收合格</w:t>
      </w:r>
      <w:r>
        <w:rPr>
          <w:rFonts w:hint="eastAsia" w:ascii="宋体" w:hAnsi="宋体"/>
          <w:color w:val="auto"/>
          <w:sz w:val="24"/>
          <w:highlight w:val="none"/>
          <w:u w:val="single"/>
        </w:rPr>
        <w:t>，并确保获得广东省建设工程优质奖，争创鲁班奖（国家优质工程）</w:t>
      </w:r>
      <w:r>
        <w:rPr>
          <w:rFonts w:hint="eastAsia" w:ascii="宋体" w:hAnsi="宋体" w:eastAsia="宋体" w:cs="Times New Roman"/>
          <w:color w:val="auto"/>
          <w:sz w:val="24"/>
          <w:highlight w:val="none"/>
          <w:u w:val="single"/>
          <w:lang w:eastAsia="zh-CN"/>
        </w:rPr>
        <w:t>。</w:t>
      </w:r>
    </w:p>
    <w:p>
      <w:pPr>
        <w:shd w:val="clear" w:color="auto" w:fill="auto"/>
        <w:adjustRightInd w:val="0"/>
        <w:snapToGrid w:val="0"/>
        <w:spacing w:line="360" w:lineRule="auto"/>
        <w:ind w:firstLine="424" w:firstLineChars="177"/>
        <w:rPr>
          <w:rFonts w:hint="eastAsia" w:ascii="宋体" w:hAnsi="宋体" w:cs="Times New Roman"/>
          <w:color w:val="auto"/>
          <w:sz w:val="24"/>
          <w:highlight w:val="none"/>
          <w:u w:val="single"/>
        </w:rPr>
      </w:pPr>
      <w:r>
        <w:rPr>
          <w:rFonts w:hint="eastAsia" w:ascii="宋体" w:hAnsi="宋体"/>
          <w:color w:val="auto"/>
          <w:sz w:val="24"/>
          <w:highlight w:val="none"/>
        </w:rPr>
        <w:t>3、</w:t>
      </w:r>
      <w:r>
        <w:rPr>
          <w:rFonts w:hint="eastAsia" w:ascii="宋体" w:hAnsi="宋体" w:eastAsia="宋体" w:cs="宋体"/>
          <w:color w:val="auto"/>
          <w:kern w:val="2"/>
          <w:sz w:val="24"/>
          <w:szCs w:val="24"/>
          <w:highlight w:val="none"/>
          <w:lang w:val="en-US" w:eastAsia="zh-CN" w:bidi="ar-SA"/>
        </w:rPr>
        <w:t>职业健康安全管理目标：</w:t>
      </w:r>
      <w:r>
        <w:rPr>
          <w:rFonts w:hint="eastAsia" w:ascii="宋体" w:hAnsi="宋体" w:cs="Times New Roman"/>
          <w:color w:val="auto"/>
          <w:sz w:val="24"/>
          <w:highlight w:val="none"/>
          <w:u w:val="single"/>
        </w:rPr>
        <w:t>杜绝发生一般事故等级及以上的伤亡事故且工伤责任事故死亡人数为零。</w:t>
      </w:r>
    </w:p>
    <w:p>
      <w:pPr>
        <w:shd w:val="clear" w:color="auto" w:fill="auto"/>
        <w:adjustRightInd w:val="0"/>
        <w:snapToGrid w:val="0"/>
        <w:spacing w:line="360" w:lineRule="auto"/>
        <w:ind w:firstLine="424" w:firstLineChars="177"/>
        <w:rPr>
          <w:rFonts w:hint="eastAsia" w:ascii="宋体" w:hAnsi="宋体" w:cs="Times New Roman"/>
          <w:color w:val="auto"/>
          <w:sz w:val="24"/>
          <w:highlight w:val="none"/>
          <w:u w:val="single"/>
        </w:rPr>
      </w:pPr>
      <w:r>
        <w:rPr>
          <w:rFonts w:hint="eastAsia" w:ascii="宋体" w:hAnsi="宋体"/>
          <w:color w:val="auto"/>
          <w:sz w:val="24"/>
          <w:highlight w:val="none"/>
        </w:rPr>
        <w:t>4</w:t>
      </w:r>
      <w:r>
        <w:rPr>
          <w:rFonts w:hint="eastAsia" w:ascii="宋体" w:hAnsi="宋体" w:eastAsia="宋体" w:cs="宋体"/>
          <w:color w:val="auto"/>
          <w:kern w:val="2"/>
          <w:sz w:val="24"/>
          <w:szCs w:val="24"/>
          <w:highlight w:val="none"/>
          <w:lang w:val="en-US" w:eastAsia="zh-CN" w:bidi="ar-SA"/>
        </w:rPr>
        <w:t>、环境管理目标：</w:t>
      </w:r>
      <w:r>
        <w:rPr>
          <w:rFonts w:hint="eastAsia" w:ascii="宋体" w:hAnsi="宋体" w:cs="Times New Roman"/>
          <w:color w:val="auto"/>
          <w:sz w:val="24"/>
          <w:highlight w:val="none"/>
          <w:u w:val="single"/>
        </w:rPr>
        <w:t>严格执行《广州市建设工程现场文明施工管理办法》（穗建质[2018]937号、《广州市建设工程文明管理规定（广州市人民政府第62号令）、《关于进一步规范建设工程施工现场围闭的通知》（穗建质[2008]1008号），如有更新文件则执行最新文件。</w:t>
      </w:r>
    </w:p>
    <w:p>
      <w:pPr>
        <w:adjustRightInd w:val="0"/>
        <w:snapToGrid w:val="0"/>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5、投资控制目标：</w:t>
      </w:r>
      <w:r>
        <w:rPr>
          <w:rFonts w:hint="eastAsia" w:ascii="宋体" w:hAnsi="宋体"/>
          <w:color w:val="auto"/>
          <w:sz w:val="24"/>
          <w:highlight w:val="none"/>
          <w:u w:val="single"/>
        </w:rPr>
        <w:t>所监理项目结算的建安工程费不超过本项目概算批复中对应的建安工程费。</w:t>
      </w:r>
    </w:p>
    <w:p>
      <w:pPr>
        <w:adjustRightInd w:val="0"/>
        <w:snapToGrid w:val="0"/>
        <w:spacing w:line="360" w:lineRule="auto"/>
        <w:ind w:firstLine="424" w:firstLineChars="177"/>
        <w:rPr>
          <w:rFonts w:ascii="宋体" w:hAnsi="宋体"/>
          <w:color w:val="auto"/>
          <w:sz w:val="24"/>
          <w:highlight w:val="none"/>
        </w:rPr>
      </w:pPr>
      <w:r>
        <w:rPr>
          <w:rFonts w:hint="eastAsia" w:ascii="宋体" w:hAnsi="宋体"/>
          <w:color w:val="auto"/>
          <w:sz w:val="24"/>
          <w:highlight w:val="none"/>
        </w:rPr>
        <w:t>6、进度控制目标：</w:t>
      </w:r>
      <w:r>
        <w:rPr>
          <w:rFonts w:hint="eastAsia" w:ascii="宋体" w:hAnsi="宋体"/>
          <w:color w:val="auto"/>
          <w:sz w:val="24"/>
          <w:highlight w:val="none"/>
          <w:u w:val="single"/>
        </w:rPr>
        <w:t>施工工期为委托人下达开工令或开工报告审批之日起按施工进度要求控制（按本工程工期目标）。</w:t>
      </w:r>
    </w:p>
    <w:p>
      <w:pPr>
        <w:pStyle w:val="14"/>
        <w:adjustRightInd w:val="0"/>
        <w:snapToGrid w:val="0"/>
        <w:ind w:firstLine="424" w:firstLineChars="177"/>
        <w:rPr>
          <w:rFonts w:hAnsi="宋体" w:cs="宋体"/>
          <w:color w:val="auto"/>
          <w:highlight w:val="none"/>
        </w:rPr>
      </w:pPr>
      <w:r>
        <w:rPr>
          <w:rFonts w:hAnsi="宋体" w:cs="宋体"/>
          <w:color w:val="auto"/>
          <w:highlight w:val="none"/>
        </w:rPr>
        <w:t>第</w:t>
      </w:r>
      <w:r>
        <w:rPr>
          <w:rFonts w:hint="eastAsia" w:hAnsi="宋体" w:cs="宋体"/>
          <w:color w:val="auto"/>
          <w:highlight w:val="none"/>
        </w:rPr>
        <w:t>七</w:t>
      </w:r>
      <w:r>
        <w:rPr>
          <w:rFonts w:hAnsi="宋体" w:cs="宋体"/>
          <w:color w:val="auto"/>
          <w:highlight w:val="none"/>
        </w:rPr>
        <w:t xml:space="preserve">条  </w:t>
      </w:r>
      <w:r>
        <w:rPr>
          <w:rFonts w:hint="eastAsia" w:hAnsi="宋体" w:cs="宋体"/>
          <w:color w:val="auto"/>
          <w:highlight w:val="none"/>
        </w:rPr>
        <w:t>合同双方对履行合同过程中获得的对方的商业秘密或其他对方申明的秘密负有保密义务，如发生泄密，由泄密方承担责任。</w:t>
      </w:r>
    </w:p>
    <w:p>
      <w:pPr>
        <w:pStyle w:val="14"/>
        <w:adjustRightInd w:val="0"/>
        <w:snapToGrid w:val="0"/>
        <w:ind w:firstLine="424" w:firstLineChars="177"/>
        <w:rPr>
          <w:rFonts w:hAnsi="宋体" w:cs="宋体"/>
          <w:color w:val="auto"/>
          <w:highlight w:val="none"/>
        </w:rPr>
      </w:pPr>
      <w:r>
        <w:rPr>
          <w:rFonts w:hAnsi="宋体" w:cs="宋体"/>
          <w:color w:val="auto"/>
          <w:highlight w:val="none"/>
        </w:rPr>
        <w:t>第</w:t>
      </w:r>
      <w:r>
        <w:rPr>
          <w:rFonts w:hint="eastAsia" w:hAnsi="宋体" w:cs="宋体"/>
          <w:color w:val="auto"/>
          <w:highlight w:val="none"/>
        </w:rPr>
        <w:t>九</w:t>
      </w:r>
      <w:r>
        <w:rPr>
          <w:rFonts w:hAnsi="宋体" w:cs="宋体"/>
          <w:color w:val="auto"/>
          <w:highlight w:val="none"/>
        </w:rPr>
        <w:t xml:space="preserve">条  外部条件包括： /  </w:t>
      </w:r>
    </w:p>
    <w:p>
      <w:pPr>
        <w:pStyle w:val="14"/>
        <w:adjustRightInd w:val="0"/>
        <w:snapToGrid w:val="0"/>
        <w:ind w:firstLine="420"/>
        <w:rPr>
          <w:rFonts w:hAnsi="宋体" w:cs="宋体"/>
          <w:color w:val="auto"/>
          <w:highlight w:val="none"/>
        </w:rPr>
      </w:pPr>
      <w:r>
        <w:rPr>
          <w:rFonts w:hAnsi="宋体" w:cs="宋体"/>
          <w:color w:val="auto"/>
          <w:highlight w:val="none"/>
        </w:rPr>
        <w:t>一、由委托人负责完善工程开工的前期条件，并办理施工许可证；</w:t>
      </w:r>
    </w:p>
    <w:p>
      <w:pPr>
        <w:pStyle w:val="14"/>
        <w:adjustRightInd w:val="0"/>
        <w:snapToGrid w:val="0"/>
        <w:ind w:firstLine="420"/>
        <w:rPr>
          <w:rFonts w:hAnsi="宋体" w:cs="宋体"/>
          <w:color w:val="auto"/>
          <w:highlight w:val="none"/>
        </w:rPr>
      </w:pPr>
      <w:r>
        <w:rPr>
          <w:rFonts w:hAnsi="宋体" w:cs="宋体"/>
          <w:color w:val="auto"/>
          <w:highlight w:val="none"/>
        </w:rPr>
        <w:t>二、施工阶段前期委托人应完善以下工作：</w:t>
      </w:r>
    </w:p>
    <w:p>
      <w:pPr>
        <w:adjustRightInd w:val="0"/>
        <w:snapToGrid w:val="0"/>
        <w:spacing w:line="360" w:lineRule="auto"/>
        <w:ind w:firstLine="424" w:firstLineChars="177"/>
        <w:rPr>
          <w:rFonts w:ascii="宋体" w:hAnsi="宋体"/>
          <w:color w:val="auto"/>
          <w:sz w:val="24"/>
          <w:highlight w:val="none"/>
        </w:rPr>
      </w:pPr>
      <w:r>
        <w:rPr>
          <w:rFonts w:ascii="宋体" w:hAnsi="宋体"/>
          <w:color w:val="auto"/>
          <w:sz w:val="24"/>
          <w:highlight w:val="none"/>
        </w:rPr>
        <w:t>1、选定承包人，并签订建设工程施工合同；</w:t>
      </w:r>
    </w:p>
    <w:p>
      <w:pPr>
        <w:adjustRightInd w:val="0"/>
        <w:snapToGrid w:val="0"/>
        <w:spacing w:line="360" w:lineRule="auto"/>
        <w:ind w:firstLine="424" w:firstLineChars="177"/>
        <w:rPr>
          <w:rFonts w:ascii="宋体" w:hAnsi="宋体"/>
          <w:color w:val="auto"/>
          <w:sz w:val="24"/>
          <w:highlight w:val="none"/>
        </w:rPr>
      </w:pPr>
      <w:r>
        <w:rPr>
          <w:rFonts w:ascii="宋体" w:hAnsi="宋体"/>
          <w:color w:val="auto"/>
          <w:sz w:val="24"/>
          <w:highlight w:val="none"/>
        </w:rPr>
        <w:t>2、用书面形式通知有关外部各方，明确监理人在工程建设监理过程中的责权；</w:t>
      </w:r>
    </w:p>
    <w:p>
      <w:pPr>
        <w:adjustRightInd w:val="0"/>
        <w:snapToGrid w:val="0"/>
        <w:spacing w:line="360" w:lineRule="auto"/>
        <w:ind w:firstLine="424" w:firstLineChars="177"/>
        <w:rPr>
          <w:rFonts w:ascii="宋体" w:hAnsi="宋体"/>
          <w:color w:val="auto"/>
          <w:sz w:val="24"/>
          <w:highlight w:val="none"/>
        </w:rPr>
      </w:pPr>
      <w:r>
        <w:rPr>
          <w:rFonts w:ascii="宋体" w:hAnsi="宋体"/>
          <w:color w:val="auto"/>
          <w:sz w:val="24"/>
          <w:highlight w:val="none"/>
        </w:rPr>
        <w:t>3、向有关部门申请供水、供电等专业报装工作，并按时交纳有关费用。</w:t>
      </w:r>
    </w:p>
    <w:p>
      <w:pPr>
        <w:pStyle w:val="14"/>
        <w:adjustRightInd w:val="0"/>
        <w:snapToGrid w:val="0"/>
        <w:ind w:firstLine="420"/>
        <w:rPr>
          <w:rFonts w:hAnsi="宋体" w:cs="宋体"/>
          <w:color w:val="auto"/>
          <w:highlight w:val="none"/>
        </w:rPr>
      </w:pPr>
      <w:r>
        <w:rPr>
          <w:rFonts w:hAnsi="宋体" w:cs="宋体"/>
          <w:color w:val="auto"/>
          <w:highlight w:val="none"/>
        </w:rPr>
        <w:t>三、及时组织工程竣工验收和办理工程移交；</w:t>
      </w:r>
    </w:p>
    <w:p>
      <w:pPr>
        <w:pStyle w:val="14"/>
        <w:adjustRightInd w:val="0"/>
        <w:snapToGrid w:val="0"/>
        <w:ind w:firstLine="420"/>
        <w:rPr>
          <w:rFonts w:hAnsi="宋体" w:cs="宋体"/>
          <w:color w:val="auto"/>
          <w:highlight w:val="none"/>
        </w:rPr>
      </w:pPr>
      <w:r>
        <w:rPr>
          <w:rFonts w:hAnsi="宋体" w:cs="宋体"/>
          <w:color w:val="auto"/>
          <w:highlight w:val="none"/>
        </w:rPr>
        <w:t>四、若委托人不能按合同要求完成前期条件造成工期延误或其他损失，委托人应承担责任。</w:t>
      </w:r>
    </w:p>
    <w:p>
      <w:pPr>
        <w:pStyle w:val="14"/>
        <w:adjustRightInd w:val="0"/>
        <w:snapToGrid w:val="0"/>
        <w:ind w:firstLine="424" w:firstLineChars="177"/>
        <w:rPr>
          <w:rFonts w:hAnsi="宋体" w:cs="宋体"/>
          <w:color w:val="auto"/>
          <w:highlight w:val="none"/>
        </w:rPr>
      </w:pPr>
      <w:r>
        <w:rPr>
          <w:rFonts w:hAnsi="宋体" w:cs="宋体"/>
          <w:color w:val="auto"/>
          <w:highlight w:val="none"/>
        </w:rPr>
        <w:t>第</w:t>
      </w:r>
      <w:r>
        <w:rPr>
          <w:rFonts w:hint="eastAsia" w:hAnsi="宋体" w:cs="宋体"/>
          <w:color w:val="auto"/>
          <w:highlight w:val="none"/>
        </w:rPr>
        <w:t>十</w:t>
      </w:r>
      <w:r>
        <w:rPr>
          <w:rFonts w:hAnsi="宋体" w:cs="宋体"/>
          <w:color w:val="auto"/>
          <w:highlight w:val="none"/>
        </w:rPr>
        <w:t>条  双方约定，委托人按下述时间提供工程资料：</w:t>
      </w:r>
    </w:p>
    <w:p>
      <w:pPr>
        <w:pStyle w:val="14"/>
        <w:adjustRightInd w:val="0"/>
        <w:snapToGrid w:val="0"/>
        <w:ind w:firstLine="424" w:firstLineChars="177"/>
        <w:rPr>
          <w:rFonts w:hAnsi="宋体" w:cs="宋体"/>
          <w:color w:val="auto"/>
          <w:highlight w:val="none"/>
        </w:rPr>
      </w:pPr>
      <w:r>
        <w:rPr>
          <w:rFonts w:hAnsi="宋体" w:cs="宋体"/>
          <w:color w:val="auto"/>
          <w:highlight w:val="none"/>
        </w:rPr>
        <w:t>委托人应在本合同</w:t>
      </w:r>
      <w:r>
        <w:rPr>
          <w:rFonts w:hint="eastAsia" w:hAnsi="宋体" w:cs="宋体"/>
          <w:color w:val="auto"/>
          <w:highlight w:val="none"/>
        </w:rPr>
        <w:t>签订</w:t>
      </w:r>
      <w:r>
        <w:rPr>
          <w:rFonts w:hAnsi="宋体" w:cs="宋体"/>
          <w:color w:val="auto"/>
          <w:highlight w:val="none"/>
        </w:rPr>
        <w:t>后提供一份建设工程施工合同副本和</w:t>
      </w:r>
      <w:r>
        <w:rPr>
          <w:rFonts w:hint="eastAsia" w:hAnsi="宋体" w:cs="宋体"/>
          <w:color w:val="auto"/>
          <w:highlight w:val="none"/>
        </w:rPr>
        <w:t>二</w:t>
      </w:r>
      <w:r>
        <w:rPr>
          <w:rFonts w:hAnsi="宋体" w:cs="宋体"/>
          <w:color w:val="auto"/>
          <w:highlight w:val="none"/>
        </w:rPr>
        <w:t>套施工图纸给监理人</w:t>
      </w:r>
      <w:r>
        <w:rPr>
          <w:rFonts w:hint="eastAsia" w:hAnsi="宋体" w:cs="宋体"/>
          <w:color w:val="auto"/>
          <w:highlight w:val="none"/>
        </w:rPr>
        <w:t>，</w:t>
      </w:r>
      <w:r>
        <w:rPr>
          <w:rFonts w:hAnsi="宋体" w:cs="宋体"/>
          <w:color w:val="auto"/>
          <w:highlight w:val="none"/>
        </w:rPr>
        <w:t>其中一套作为存档。不全的资料，在委托人收到资料后</w:t>
      </w:r>
      <w:r>
        <w:rPr>
          <w:rFonts w:hint="eastAsia" w:hAnsi="宋体" w:cs="宋体"/>
          <w:color w:val="auto"/>
          <w:highlight w:val="none"/>
        </w:rPr>
        <w:t>一周</w:t>
      </w:r>
      <w:r>
        <w:rPr>
          <w:rFonts w:hAnsi="宋体" w:cs="宋体"/>
          <w:color w:val="auto"/>
          <w:highlight w:val="none"/>
        </w:rPr>
        <w:t>内及时向监理人提供。</w:t>
      </w:r>
    </w:p>
    <w:p>
      <w:pPr>
        <w:pStyle w:val="14"/>
        <w:adjustRightInd w:val="0"/>
        <w:snapToGrid w:val="0"/>
        <w:ind w:firstLine="424" w:firstLineChars="177"/>
        <w:rPr>
          <w:rFonts w:hAnsi="宋体" w:cs="宋体"/>
          <w:color w:val="auto"/>
          <w:highlight w:val="none"/>
        </w:rPr>
      </w:pPr>
      <w:r>
        <w:rPr>
          <w:rFonts w:hAnsi="宋体" w:cs="宋体"/>
          <w:color w:val="auto"/>
          <w:highlight w:val="none"/>
        </w:rPr>
        <w:t>第十一条  委托人应在</w:t>
      </w:r>
      <w:r>
        <w:rPr>
          <w:rFonts w:hint="eastAsia" w:hAnsi="宋体" w:cs="宋体"/>
          <w:color w:val="auto"/>
          <w:highlight w:val="none"/>
        </w:rPr>
        <w:t xml:space="preserve"> 10 </w:t>
      </w:r>
      <w:r>
        <w:rPr>
          <w:rFonts w:hAnsi="宋体" w:cs="宋体"/>
          <w:color w:val="auto"/>
          <w:highlight w:val="none"/>
        </w:rPr>
        <w:t>天内对监理人书面提交并要求</w:t>
      </w:r>
      <w:r>
        <w:rPr>
          <w:rFonts w:hint="eastAsia" w:hAnsi="宋体" w:cs="宋体"/>
          <w:color w:val="auto"/>
          <w:highlight w:val="none"/>
        </w:rPr>
        <w:t>做出</w:t>
      </w:r>
      <w:r>
        <w:rPr>
          <w:rFonts w:hAnsi="宋体" w:cs="宋体"/>
          <w:color w:val="auto"/>
          <w:highlight w:val="none"/>
        </w:rPr>
        <w:t>决定的事宜</w:t>
      </w:r>
      <w:r>
        <w:rPr>
          <w:rFonts w:hint="eastAsia" w:hAnsi="宋体" w:cs="宋体"/>
          <w:color w:val="auto"/>
          <w:highlight w:val="none"/>
        </w:rPr>
        <w:t>做出</w:t>
      </w:r>
      <w:r>
        <w:rPr>
          <w:rFonts w:hAnsi="宋体" w:cs="宋体"/>
          <w:color w:val="auto"/>
          <w:highlight w:val="none"/>
        </w:rPr>
        <w:t>书面答复，重大事件回复时间可以适当延长。若在特殊情况下在特殊时间要求的，委托人应根据情况按监理人要求的时间及时答复。</w:t>
      </w:r>
    </w:p>
    <w:p>
      <w:pPr>
        <w:pStyle w:val="14"/>
        <w:adjustRightInd w:val="0"/>
        <w:snapToGrid w:val="0"/>
        <w:ind w:firstLine="424" w:firstLineChars="177"/>
        <w:rPr>
          <w:rFonts w:hAnsi="宋体" w:cs="宋体"/>
          <w:color w:val="auto"/>
          <w:highlight w:val="none"/>
        </w:rPr>
      </w:pPr>
      <w:r>
        <w:rPr>
          <w:rFonts w:hAnsi="宋体" w:cs="宋体"/>
          <w:color w:val="auto"/>
          <w:highlight w:val="none"/>
        </w:rPr>
        <w:t>第十二条  委托人的常驻代表</w:t>
      </w:r>
      <w:r>
        <w:rPr>
          <w:rFonts w:hint="eastAsia" w:hAnsi="宋体" w:cs="宋体"/>
          <w:color w:val="auto"/>
          <w:highlight w:val="none"/>
        </w:rPr>
        <w:t>由委托人另行指定。</w:t>
      </w:r>
    </w:p>
    <w:p>
      <w:pPr>
        <w:pStyle w:val="14"/>
        <w:adjustRightInd w:val="0"/>
        <w:snapToGrid w:val="0"/>
        <w:ind w:firstLine="424" w:firstLineChars="177"/>
        <w:rPr>
          <w:rFonts w:hAnsi="宋体" w:cs="宋体"/>
          <w:color w:val="auto"/>
          <w:highlight w:val="none"/>
        </w:rPr>
      </w:pPr>
      <w:r>
        <w:rPr>
          <w:rFonts w:hAnsi="宋体" w:cs="宋体"/>
          <w:color w:val="auto"/>
          <w:highlight w:val="none"/>
        </w:rPr>
        <w:t>第二十九条  若委托人未履行第九条和第十条约定的内容而导致的一切不良后果，其责任由委托人承担。</w:t>
      </w:r>
    </w:p>
    <w:p>
      <w:pPr>
        <w:pStyle w:val="14"/>
        <w:adjustRightInd w:val="0"/>
        <w:snapToGrid w:val="0"/>
        <w:ind w:firstLine="424" w:firstLineChars="177"/>
        <w:rPr>
          <w:rFonts w:hAnsi="宋体" w:cs="宋体"/>
          <w:color w:val="auto"/>
          <w:highlight w:val="none"/>
        </w:rPr>
      </w:pPr>
      <w:r>
        <w:rPr>
          <w:rFonts w:hAnsi="宋体" w:cs="宋体"/>
          <w:color w:val="auto"/>
          <w:highlight w:val="none"/>
        </w:rPr>
        <w:t>第三十三条  本合同</w:t>
      </w:r>
      <w:r>
        <w:rPr>
          <w:rFonts w:hint="eastAsia" w:hAnsi="宋体" w:cs="宋体"/>
          <w:color w:val="auto"/>
          <w:highlight w:val="none"/>
        </w:rPr>
        <w:t>自各方</w:t>
      </w:r>
      <w:r>
        <w:rPr>
          <w:rFonts w:hAnsi="宋体" w:cs="宋体"/>
          <w:color w:val="auto"/>
          <w:highlight w:val="none"/>
        </w:rPr>
        <w:t>签字盖章之日起生效</w:t>
      </w:r>
      <w:r>
        <w:rPr>
          <w:rFonts w:hint="eastAsia" w:hAnsi="宋体" w:cs="宋体"/>
          <w:color w:val="auto"/>
          <w:highlight w:val="none"/>
        </w:rPr>
        <w:t>，合同生效之后，各方就中标通知书发出次日起至合同生效之日期间按合同约定的履约行为予以追认</w:t>
      </w:r>
      <w:r>
        <w:rPr>
          <w:rFonts w:hAnsi="宋体" w:cs="宋体"/>
          <w:color w:val="auto"/>
          <w:highlight w:val="none"/>
        </w:rPr>
        <w:t>。监理人组织办理完竣工预验收或工程移交手续，缺陷责任期满，监理人收到监理报酬尾款后，本合同即终止。</w:t>
      </w:r>
    </w:p>
    <w:p>
      <w:pPr>
        <w:pStyle w:val="14"/>
        <w:adjustRightInd w:val="0"/>
        <w:snapToGrid w:val="0"/>
        <w:ind w:firstLine="424" w:firstLineChars="177"/>
        <w:rPr>
          <w:rFonts w:hAnsi="宋体" w:cs="宋体"/>
          <w:color w:val="auto"/>
          <w:highlight w:val="none"/>
        </w:rPr>
      </w:pPr>
      <w:r>
        <w:rPr>
          <w:rFonts w:hint="eastAsia" w:hAnsi="宋体" w:cs="宋体"/>
          <w:color w:val="auto"/>
          <w:highlight w:val="none"/>
        </w:rPr>
        <w:t>第三十七条  违约责任</w:t>
      </w:r>
    </w:p>
    <w:p>
      <w:pPr>
        <w:pStyle w:val="14"/>
        <w:adjustRightInd w:val="0"/>
        <w:snapToGrid w:val="0"/>
        <w:ind w:firstLine="424" w:firstLineChars="177"/>
        <w:rPr>
          <w:rFonts w:hAnsi="宋体" w:cs="宋体"/>
          <w:color w:val="auto"/>
          <w:highlight w:val="none"/>
        </w:rPr>
      </w:pPr>
      <w:r>
        <w:rPr>
          <w:rFonts w:hint="eastAsia" w:hAnsi="宋体" w:cs="宋体"/>
          <w:color w:val="auto"/>
          <w:highlight w:val="none"/>
        </w:rPr>
        <w:t>合同协议的终止并不影响各方应有的权利和应承担的责任。另外，造成违约的需承担相应的法律、经济等责任，具体违约方式、责任认定如下：</w:t>
      </w:r>
    </w:p>
    <w:p>
      <w:pPr>
        <w:pStyle w:val="14"/>
        <w:adjustRightInd w:val="0"/>
        <w:snapToGrid w:val="0"/>
        <w:ind w:firstLine="420"/>
        <w:rPr>
          <w:rFonts w:hAnsi="宋体" w:cs="宋体"/>
          <w:color w:val="auto"/>
          <w:highlight w:val="none"/>
        </w:rPr>
      </w:pPr>
      <w:r>
        <w:rPr>
          <w:rFonts w:hint="eastAsia" w:hAnsi="宋体" w:cs="宋体"/>
          <w:color w:val="auto"/>
          <w:highlight w:val="none"/>
        </w:rPr>
        <w:t>一、违约责任的方式：</w:t>
      </w:r>
    </w:p>
    <w:p>
      <w:pPr>
        <w:pStyle w:val="14"/>
        <w:adjustRightInd w:val="0"/>
        <w:snapToGrid w:val="0"/>
        <w:ind w:firstLine="420"/>
        <w:rPr>
          <w:rFonts w:hAnsi="宋体" w:cs="宋体"/>
          <w:color w:val="auto"/>
          <w:highlight w:val="none"/>
        </w:rPr>
      </w:pPr>
      <w:r>
        <w:rPr>
          <w:rFonts w:hint="eastAsia" w:hAnsi="宋体" w:cs="宋体"/>
          <w:color w:val="auto"/>
          <w:highlight w:val="none"/>
        </w:rPr>
        <w:t>（一）监理人在责任期内如果失职而造成委托人的经济损失，同意按以下办法承担责任，赔偿损失：</w:t>
      </w:r>
    </w:p>
    <w:p>
      <w:pPr>
        <w:pStyle w:val="14"/>
        <w:adjustRightInd w:val="0"/>
        <w:snapToGrid w:val="0"/>
        <w:ind w:firstLine="420"/>
        <w:rPr>
          <w:rFonts w:hAnsi="宋体" w:cs="宋体"/>
          <w:color w:val="auto"/>
          <w:highlight w:val="none"/>
        </w:rPr>
      </w:pPr>
      <w:r>
        <w:rPr>
          <w:rFonts w:hint="eastAsia" w:hAnsi="宋体" w:cs="宋体"/>
          <w:color w:val="auto"/>
          <w:highlight w:val="none"/>
        </w:rPr>
        <w:t>1、当施工方未按合同约定履行义务或工程出现质量缺陷时，监理人应及时上报委托人，否则因此所造成的一切损失由监理人承担。</w:t>
      </w:r>
    </w:p>
    <w:p>
      <w:pPr>
        <w:pStyle w:val="14"/>
        <w:adjustRightInd w:val="0"/>
        <w:snapToGrid w:val="0"/>
        <w:ind w:firstLine="420"/>
        <w:rPr>
          <w:rFonts w:hAnsi="宋体" w:cs="宋体"/>
          <w:color w:val="auto"/>
          <w:highlight w:val="none"/>
        </w:rPr>
      </w:pPr>
      <w:r>
        <w:rPr>
          <w:rFonts w:hint="eastAsia" w:hAnsi="宋体" w:cs="宋体"/>
          <w:color w:val="auto"/>
          <w:highlight w:val="none"/>
        </w:rPr>
        <w:t>2、监理人在责任期内如果失职，应按受损工程相应监理费的1～3倍向委托人赔偿，不足以弥补委托人损失的，应继续承担相应法律责任。</w:t>
      </w:r>
    </w:p>
    <w:p>
      <w:pPr>
        <w:pStyle w:val="14"/>
        <w:adjustRightInd w:val="0"/>
        <w:snapToGrid w:val="0"/>
        <w:ind w:firstLine="420"/>
        <w:rPr>
          <w:rFonts w:hAnsi="宋体" w:cs="宋体"/>
          <w:color w:val="auto"/>
          <w:highlight w:val="none"/>
        </w:rPr>
      </w:pPr>
      <w:r>
        <w:rPr>
          <w:rFonts w:hint="eastAsia" w:hAnsi="宋体" w:cs="宋体"/>
          <w:color w:val="auto"/>
          <w:highlight w:val="none"/>
        </w:rPr>
        <w:t>3、监理人擅自转包或分包本合同标的，委托人有权解除合同，并要求监理人支付违约金，违约金金额为合同暂定价的20%，还要求监理人对造成委托人的损失另行进行赔偿。</w:t>
      </w:r>
    </w:p>
    <w:p>
      <w:pPr>
        <w:pStyle w:val="14"/>
        <w:adjustRightInd w:val="0"/>
        <w:snapToGrid w:val="0"/>
        <w:ind w:firstLine="420"/>
        <w:rPr>
          <w:rFonts w:hAnsi="宋体" w:cs="宋体"/>
          <w:color w:val="auto"/>
          <w:highlight w:val="none"/>
        </w:rPr>
      </w:pPr>
      <w:r>
        <w:rPr>
          <w:rFonts w:hint="eastAsia" w:hAnsi="宋体" w:cs="宋体"/>
          <w:color w:val="auto"/>
          <w:highlight w:val="none"/>
        </w:rPr>
        <w:t>4、合同签订后，委托人无故或因故提前终止合同，须按经委托人审核的监理人实际完成量支付监理费；监理人无故或因故提前终止合同，委托人有权要求监理人支付违约金，违约金金额为合同暂定价的20%，还要求监理人对造成委托人的损失另行进行赔偿。</w:t>
      </w:r>
    </w:p>
    <w:p>
      <w:pPr>
        <w:pStyle w:val="14"/>
        <w:adjustRightInd w:val="0"/>
        <w:snapToGrid w:val="0"/>
        <w:ind w:firstLine="420"/>
        <w:rPr>
          <w:rFonts w:hAnsi="宋体" w:cs="宋体"/>
          <w:color w:val="auto"/>
          <w:highlight w:val="none"/>
        </w:rPr>
      </w:pPr>
      <w:r>
        <w:rPr>
          <w:rFonts w:hint="eastAsia" w:hAnsi="宋体" w:cs="宋体"/>
          <w:color w:val="auto"/>
          <w:highlight w:val="none"/>
        </w:rPr>
        <w:t>5、监理人提供伪造、变造资料、文件的，委托人有权解除合同、不予支付任何费用、追回已支付费用，并保留追究监理人行为导致工期延误等一切法律责任的权利。</w:t>
      </w:r>
    </w:p>
    <w:p>
      <w:pPr>
        <w:pStyle w:val="14"/>
        <w:adjustRightInd w:val="0"/>
        <w:snapToGrid w:val="0"/>
        <w:ind w:firstLine="420"/>
        <w:rPr>
          <w:rFonts w:hAnsi="宋体" w:cs="宋体"/>
          <w:color w:val="auto"/>
          <w:highlight w:val="none"/>
        </w:rPr>
      </w:pPr>
      <w:r>
        <w:rPr>
          <w:rFonts w:hint="eastAsia" w:hAnsi="宋体" w:cs="宋体"/>
          <w:color w:val="auto"/>
          <w:highlight w:val="none"/>
        </w:rPr>
        <w:t>（二）监理人违反本合同的约定，应当按约定向委托人承担相应的违约责任，承担违约责任方式包括但不限于：</w:t>
      </w:r>
    </w:p>
    <w:p>
      <w:pPr>
        <w:pStyle w:val="14"/>
        <w:adjustRightInd w:val="0"/>
        <w:snapToGrid w:val="0"/>
        <w:ind w:firstLine="420"/>
        <w:rPr>
          <w:rFonts w:hAnsi="宋体" w:cs="宋体"/>
          <w:color w:val="auto"/>
          <w:highlight w:val="none"/>
        </w:rPr>
      </w:pPr>
      <w:r>
        <w:rPr>
          <w:rFonts w:hint="eastAsia" w:hAnsi="宋体" w:cs="宋体"/>
          <w:color w:val="auto"/>
          <w:highlight w:val="none"/>
        </w:rPr>
        <w:t>1、书面警告。监理人未履行或未适当履行义务或不执行委托人（含主管人员）的</w:t>
      </w:r>
      <w:r>
        <w:rPr>
          <w:rFonts w:hint="eastAsia" w:hAnsi="宋体" w:cs="宋体"/>
          <w:color w:val="auto"/>
          <w:highlight w:val="none"/>
        </w:rPr>
        <w:t>指令时，委托人有权向监理人发出书面警告，每一次书面警告，监理人必须向委托人支付违约金</w:t>
      </w:r>
      <w:r>
        <w:rPr>
          <w:rFonts w:hint="eastAsia" w:hAnsi="宋体" w:cs="宋体"/>
          <w:color w:val="auto"/>
          <w:highlight w:val="none"/>
          <w:lang w:val="en-US" w:eastAsia="zh-CN"/>
        </w:rPr>
        <w:t>2000</w:t>
      </w:r>
      <w:r>
        <w:rPr>
          <w:rFonts w:hint="eastAsia" w:hAnsi="宋体" w:cs="宋体"/>
          <w:color w:val="auto"/>
          <w:highlight w:val="none"/>
        </w:rPr>
        <w:t>元，且监理人必须在书面警告限定的时间内履行义务，否则应承担1次一般违约责任。</w:t>
      </w:r>
    </w:p>
    <w:p>
      <w:pPr>
        <w:pStyle w:val="14"/>
        <w:adjustRightInd w:val="0"/>
        <w:snapToGrid w:val="0"/>
        <w:ind w:firstLine="420"/>
        <w:rPr>
          <w:rFonts w:hAnsi="宋体" w:cs="宋体"/>
          <w:color w:val="auto"/>
          <w:highlight w:val="none"/>
        </w:rPr>
      </w:pPr>
      <w:r>
        <w:rPr>
          <w:rFonts w:hint="eastAsia" w:hAnsi="宋体" w:cs="宋体"/>
          <w:color w:val="auto"/>
          <w:highlight w:val="none"/>
        </w:rPr>
        <w:t>2、一般违约责任。监理人按本合同约定应当承担一般违约责任时，每一次必须向委托人支付违约金</w:t>
      </w:r>
      <w:r>
        <w:rPr>
          <w:rFonts w:hint="eastAsia" w:hAnsi="宋体" w:cs="宋体"/>
          <w:color w:val="auto"/>
          <w:highlight w:val="none"/>
          <w:lang w:val="en-US" w:eastAsia="zh-CN"/>
        </w:rPr>
        <w:t>1万</w:t>
      </w:r>
      <w:r>
        <w:rPr>
          <w:rFonts w:hint="eastAsia" w:hAnsi="宋体" w:cs="宋体"/>
          <w:color w:val="auto"/>
          <w:highlight w:val="none"/>
        </w:rPr>
        <w:t>元/次。</w:t>
      </w:r>
    </w:p>
    <w:p>
      <w:pPr>
        <w:pStyle w:val="14"/>
        <w:adjustRightInd w:val="0"/>
        <w:snapToGrid w:val="0"/>
        <w:ind w:firstLine="420"/>
        <w:rPr>
          <w:rFonts w:hAnsi="宋体" w:cs="宋体"/>
          <w:color w:val="auto"/>
          <w:highlight w:val="none"/>
        </w:rPr>
      </w:pPr>
      <w:r>
        <w:rPr>
          <w:rFonts w:hint="eastAsia" w:hAnsi="宋体" w:cs="宋体"/>
          <w:color w:val="auto"/>
          <w:highlight w:val="none"/>
        </w:rPr>
        <w:t>3、严重违约责任。监理人按本合同约定应当承担严重违约责任时，每一次必须向委托人支付违约金</w:t>
      </w:r>
      <w:r>
        <w:rPr>
          <w:rFonts w:hint="eastAsia" w:hAnsi="宋体" w:cs="宋体"/>
          <w:color w:val="auto"/>
          <w:highlight w:val="none"/>
          <w:lang w:val="en-US" w:eastAsia="zh-CN"/>
        </w:rPr>
        <w:t>3</w:t>
      </w:r>
      <w:r>
        <w:rPr>
          <w:rFonts w:hint="eastAsia" w:hAnsi="宋体" w:cs="宋体"/>
          <w:color w:val="auto"/>
          <w:highlight w:val="none"/>
        </w:rPr>
        <w:t>万元/次。</w:t>
      </w:r>
    </w:p>
    <w:p>
      <w:pPr>
        <w:pStyle w:val="14"/>
        <w:adjustRightInd w:val="0"/>
        <w:snapToGrid w:val="0"/>
        <w:ind w:firstLine="420"/>
        <w:rPr>
          <w:rFonts w:hAnsi="宋体" w:cs="宋体"/>
          <w:color w:val="auto"/>
          <w:highlight w:val="none"/>
        </w:rPr>
      </w:pPr>
      <w:r>
        <w:rPr>
          <w:rFonts w:hint="eastAsia" w:hAnsi="宋体" w:cs="宋体"/>
          <w:color w:val="auto"/>
          <w:highlight w:val="none"/>
        </w:rPr>
        <w:t>4、部分解除合同。委托人向监理人发出部分解除合同的通知后，本合同部分解除即生效，监理人支付解除合同部分监理费20%的违约金，并必须在3日内停止被解除部分的工作，5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pPr>
        <w:pStyle w:val="14"/>
        <w:adjustRightInd w:val="0"/>
        <w:snapToGrid w:val="0"/>
        <w:ind w:firstLine="420"/>
        <w:rPr>
          <w:rFonts w:hAnsi="宋体" w:cs="宋体"/>
          <w:color w:val="auto"/>
          <w:highlight w:val="none"/>
        </w:rPr>
      </w:pPr>
      <w:r>
        <w:rPr>
          <w:rFonts w:hint="eastAsia" w:hAnsi="宋体" w:cs="宋体"/>
          <w:color w:val="auto"/>
          <w:highlight w:val="none"/>
        </w:rPr>
        <w:t>5、解除合同。委托人向监理人发出解除合同的通知后，本合同即解除，监理人支付本合同监理费20%的违约金，并必须在3日内停止全部工作，5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pPr>
        <w:pStyle w:val="14"/>
        <w:adjustRightInd w:val="0"/>
        <w:snapToGrid w:val="0"/>
        <w:ind w:firstLine="420"/>
        <w:rPr>
          <w:rFonts w:hAnsi="宋体" w:cs="宋体"/>
          <w:color w:val="auto"/>
          <w:highlight w:val="none"/>
        </w:rPr>
      </w:pPr>
      <w:r>
        <w:rPr>
          <w:rFonts w:hint="eastAsia" w:hAnsi="宋体" w:cs="宋体"/>
          <w:color w:val="auto"/>
          <w:highlight w:val="none"/>
        </w:rPr>
        <w:t>6、因监理人违约或工作失误给委托人造成损失的，监理人应向委托人赔偿与违约有直接或间接因果关系的所有损失，损失赔偿总额不应超过监理报酬总额，但如果损失是由于监理人故意或严重渎职造成的，监理人应承担全部损失的赔偿责任。</w:t>
      </w:r>
    </w:p>
    <w:p>
      <w:pPr>
        <w:pStyle w:val="14"/>
        <w:adjustRightInd w:val="0"/>
        <w:snapToGrid w:val="0"/>
        <w:ind w:firstLine="420"/>
        <w:rPr>
          <w:rFonts w:hAnsi="宋体" w:cs="宋体"/>
          <w:color w:val="auto"/>
          <w:highlight w:val="none"/>
        </w:rPr>
      </w:pPr>
      <w:r>
        <w:rPr>
          <w:rFonts w:hint="eastAsia" w:hAnsi="宋体" w:cs="宋体"/>
          <w:color w:val="auto"/>
          <w:highlight w:val="none"/>
        </w:rPr>
        <w:t>7、每三次书面警告则另行追加一次一般违约责任，每三次一般违约责任则另行追加一次严重违约责任。</w:t>
      </w:r>
    </w:p>
    <w:p>
      <w:pPr>
        <w:pStyle w:val="14"/>
        <w:adjustRightInd w:val="0"/>
        <w:snapToGrid w:val="0"/>
        <w:ind w:firstLine="420"/>
        <w:rPr>
          <w:rFonts w:hAnsi="宋体" w:cs="宋体"/>
          <w:color w:val="auto"/>
          <w:highlight w:val="none"/>
        </w:rPr>
      </w:pPr>
      <w:r>
        <w:rPr>
          <w:rFonts w:hint="eastAsia" w:hAnsi="宋体" w:cs="宋体"/>
          <w:color w:val="auto"/>
          <w:highlight w:val="none"/>
        </w:rPr>
        <w:t>8、当监理人无正当理由不履行或没有充分履行其相关承诺及监理义务时，除应承担前述约定的违约责任外，委托人还可给予其通报批评、作不良记录及报相关主管部门处理等处罚措施。</w:t>
      </w:r>
    </w:p>
    <w:p>
      <w:pPr>
        <w:pStyle w:val="14"/>
        <w:adjustRightInd w:val="0"/>
        <w:snapToGrid w:val="0"/>
        <w:ind w:firstLine="420"/>
        <w:rPr>
          <w:rFonts w:hAnsi="宋体" w:cs="宋体"/>
          <w:color w:val="auto"/>
          <w:highlight w:val="none"/>
        </w:rPr>
      </w:pPr>
      <w:r>
        <w:rPr>
          <w:rFonts w:hint="eastAsia" w:hAnsi="宋体" w:cs="宋体"/>
          <w:color w:val="auto"/>
          <w:highlight w:val="none"/>
        </w:rPr>
        <w:t>9、当监理人出现严重违约时，委托人可给予其通报批评；当累计出现三次严重违约或者关键节点工期滞后20天以上时，委托人有权要求监理人的法定代表人或其授权代表人驻场办公，直至其监理工作达到委托人满意时方可离场；累计出现四次严重违约时，委托人可给予其不良记录并报相关主管部门处理等处罚措施；累计出现五次严重违约时，委托人可单方面解除合同；</w:t>
      </w:r>
    </w:p>
    <w:p>
      <w:pPr>
        <w:pStyle w:val="14"/>
        <w:adjustRightInd w:val="0"/>
        <w:snapToGrid w:val="0"/>
        <w:ind w:firstLine="420"/>
        <w:rPr>
          <w:rFonts w:hAnsi="宋体" w:cs="宋体"/>
          <w:color w:val="auto"/>
          <w:highlight w:val="none"/>
        </w:rPr>
      </w:pPr>
      <w:r>
        <w:rPr>
          <w:rFonts w:hint="eastAsia" w:hAnsi="宋体" w:cs="宋体"/>
          <w:color w:val="auto"/>
          <w:highlight w:val="none"/>
        </w:rPr>
        <w:t>（三）监理组织管理方面的违约责任：</w:t>
      </w:r>
    </w:p>
    <w:p>
      <w:pPr>
        <w:pStyle w:val="14"/>
        <w:adjustRightInd w:val="0"/>
        <w:snapToGrid w:val="0"/>
        <w:ind w:firstLine="420"/>
        <w:rPr>
          <w:rFonts w:hAnsi="宋体" w:cs="宋体"/>
          <w:color w:val="auto"/>
          <w:highlight w:val="none"/>
        </w:rPr>
      </w:pPr>
      <w:r>
        <w:rPr>
          <w:rFonts w:hint="eastAsia" w:hAnsi="宋体" w:cs="宋体"/>
          <w:color w:val="auto"/>
          <w:highlight w:val="none"/>
        </w:rPr>
        <w:t>1、监理人承诺主动支持委托人的工作，对委托人的指令和书面通知，若无正当理由又未提前报告、得到认可，而公开或变相拒不执行的，第一次按一般违约处理；第二次以后，每违反一次按一次严重违约处理；同时，监理人还要承担由此造成的一切经济损失。</w:t>
      </w:r>
    </w:p>
    <w:p>
      <w:pPr>
        <w:pStyle w:val="14"/>
        <w:adjustRightInd w:val="0"/>
        <w:snapToGrid w:val="0"/>
        <w:ind w:firstLine="420"/>
        <w:rPr>
          <w:rFonts w:hAnsi="宋体" w:cs="宋体"/>
          <w:color w:val="auto"/>
          <w:highlight w:val="none"/>
        </w:rPr>
      </w:pPr>
      <w:r>
        <w:rPr>
          <w:rFonts w:hint="eastAsia" w:hAnsi="宋体" w:cs="宋体"/>
          <w:color w:val="auto"/>
          <w:highlight w:val="none"/>
        </w:rPr>
        <w:t>2、监理人不遵守委托人所制订的各项制度、规定的，由监理人按所触犯制度、规定的有关规定承担违约责任。所触犯制度、规定没有明确规定的，由委托人参照前款的约定处理。</w:t>
      </w:r>
    </w:p>
    <w:p>
      <w:pPr>
        <w:pStyle w:val="14"/>
        <w:adjustRightInd w:val="0"/>
        <w:snapToGrid w:val="0"/>
        <w:ind w:firstLine="420"/>
        <w:rPr>
          <w:rFonts w:hAnsi="宋体" w:cs="宋体"/>
          <w:color w:val="auto"/>
          <w:highlight w:val="none"/>
        </w:rPr>
      </w:pPr>
      <w:r>
        <w:rPr>
          <w:rFonts w:hint="eastAsia" w:hAnsi="宋体" w:cs="宋体"/>
          <w:color w:val="auto"/>
          <w:highlight w:val="none"/>
        </w:rPr>
        <w:t>（四）监理人未按投标书及承诺建立组织架构、派驻监理人员和投入设备，监理人必须按委托人要求限期整改，并承担相应违约责任。派驻监理人员需提供身份证复印件（原件核对）以及其属监理人单位员工的社保证明原件，报委托人审核、备案。具体约定为：</w:t>
      </w:r>
    </w:p>
    <w:p>
      <w:pPr>
        <w:pStyle w:val="14"/>
        <w:adjustRightInd w:val="0"/>
        <w:snapToGrid w:val="0"/>
        <w:ind w:firstLine="420"/>
        <w:rPr>
          <w:rFonts w:hAnsi="宋体" w:cs="宋体"/>
          <w:color w:val="auto"/>
          <w:highlight w:val="none"/>
        </w:rPr>
      </w:pPr>
      <w:r>
        <w:rPr>
          <w:rFonts w:hint="eastAsia" w:hAnsi="宋体" w:cs="宋体"/>
          <w:color w:val="auto"/>
          <w:highlight w:val="none"/>
        </w:rPr>
        <w:t>1、在委托人书面通知监理人进场后3日内，监理人的主要监理人员（指投标书承诺的监理机构所配备的项目总监、专业监理工程师、造价工程师及同等级别以上的监理人员）未能足额到位，或到位后又离开，造成该岗位空缺。委托人一旦发现，将要求监理人做出书面解释并保证人员限期到位，同时监理人每岗位承担一般违约责任1次；如果监理人拒不配合，未在委托人提出限期改正的期限内进行整改的，监理人应每岗位承担严重违约责任1次，直至解除合同，并要求监理人承担由此造成的委托人损失。</w:t>
      </w:r>
    </w:p>
    <w:p>
      <w:pPr>
        <w:pStyle w:val="14"/>
        <w:adjustRightInd w:val="0"/>
        <w:snapToGrid w:val="0"/>
        <w:ind w:firstLine="420"/>
        <w:rPr>
          <w:rFonts w:hAnsi="宋体" w:cs="宋体"/>
          <w:color w:val="auto"/>
          <w:highlight w:val="none"/>
        </w:rPr>
      </w:pPr>
      <w:r>
        <w:rPr>
          <w:rFonts w:hint="eastAsia" w:hAnsi="宋体" w:cs="宋体"/>
          <w:color w:val="auto"/>
          <w:highlight w:val="none"/>
        </w:rPr>
        <w:t>2、监理人必须严格按照投标书与承诺投入监理人员，调换监理人员必须提出书面报告并附上替代人员的所有证明资料，经委托人审核书面同意后才能调换，但监理人仍需按下表承担对应减半违约责任(被调换监理人员因重大疾病不能胜任工作及离职者除外)。委托人要求监理人更换个别监理人员时，监理人在接到委托人通知后三天内安排更换到位，否则，监理人应按下表的约定承担违约责任。</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295"/>
        <w:gridCol w:w="3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93" w:type="dxa"/>
            <w:noWrap w:val="0"/>
            <w:vAlign w:val="center"/>
          </w:tcPr>
          <w:p>
            <w:pPr>
              <w:pStyle w:val="14"/>
              <w:adjustRightInd w:val="0"/>
              <w:snapToGrid w:val="0"/>
              <w:ind w:firstLine="0"/>
              <w:jc w:val="center"/>
              <w:rPr>
                <w:rFonts w:hint="eastAsia" w:hAnsi="宋体" w:cs="宋体"/>
                <w:color w:val="auto"/>
                <w:highlight w:val="none"/>
              </w:rPr>
            </w:pPr>
            <w:r>
              <w:rPr>
                <w:rFonts w:hint="eastAsia" w:hAnsi="宋体" w:cs="宋体"/>
                <w:color w:val="auto"/>
                <w:highlight w:val="none"/>
              </w:rPr>
              <w:t>序号</w:t>
            </w:r>
          </w:p>
        </w:tc>
        <w:tc>
          <w:tcPr>
            <w:tcW w:w="4295" w:type="dxa"/>
            <w:noWrap w:val="0"/>
            <w:vAlign w:val="center"/>
          </w:tcPr>
          <w:p>
            <w:pPr>
              <w:pStyle w:val="14"/>
              <w:adjustRightInd w:val="0"/>
              <w:snapToGrid w:val="0"/>
              <w:ind w:firstLine="420"/>
              <w:rPr>
                <w:rFonts w:hint="eastAsia" w:hAnsi="宋体" w:cs="宋体"/>
                <w:color w:val="auto"/>
                <w:highlight w:val="none"/>
              </w:rPr>
            </w:pPr>
            <w:r>
              <w:rPr>
                <w:rFonts w:hint="eastAsia" w:hAnsi="宋体" w:cs="宋体"/>
                <w:color w:val="auto"/>
                <w:highlight w:val="none"/>
              </w:rPr>
              <w:t>违约项目</w:t>
            </w:r>
          </w:p>
        </w:tc>
        <w:tc>
          <w:tcPr>
            <w:tcW w:w="3547" w:type="dxa"/>
            <w:noWrap w:val="0"/>
            <w:vAlign w:val="center"/>
          </w:tcPr>
          <w:p>
            <w:pPr>
              <w:pStyle w:val="14"/>
              <w:adjustRightInd w:val="0"/>
              <w:snapToGrid w:val="0"/>
              <w:ind w:firstLine="420"/>
              <w:rPr>
                <w:rFonts w:hint="eastAsia" w:hAnsi="宋体" w:cs="宋体"/>
                <w:color w:val="auto"/>
                <w:highlight w:val="none"/>
              </w:rPr>
            </w:pPr>
            <w:r>
              <w:rPr>
                <w:rFonts w:hint="eastAsia" w:hAnsi="宋体" w:cs="宋体"/>
                <w:color w:val="auto"/>
                <w:highlight w:val="none"/>
              </w:rPr>
              <w:t>违约金</w:t>
            </w:r>
          </w:p>
          <w:p>
            <w:pPr>
              <w:pStyle w:val="14"/>
              <w:adjustRightInd w:val="0"/>
              <w:snapToGrid w:val="0"/>
              <w:ind w:firstLine="420"/>
              <w:rPr>
                <w:rFonts w:hint="eastAsia" w:hAnsi="宋体" w:cs="宋体"/>
                <w:color w:val="auto"/>
                <w:highlight w:val="none"/>
              </w:rPr>
            </w:pPr>
            <w:r>
              <w:rPr>
                <w:rFonts w:hint="eastAsia" w:hAnsi="宋体" w:cs="宋体"/>
                <w:color w:val="auto"/>
                <w:highlight w:val="none"/>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pStyle w:val="14"/>
              <w:adjustRightInd w:val="0"/>
              <w:snapToGrid w:val="0"/>
              <w:ind w:firstLine="420"/>
              <w:jc w:val="center"/>
              <w:rPr>
                <w:rFonts w:hint="eastAsia" w:hAnsi="宋体" w:cs="宋体"/>
                <w:color w:val="auto"/>
                <w:highlight w:val="none"/>
              </w:rPr>
            </w:pPr>
            <w:r>
              <w:rPr>
                <w:rFonts w:hint="eastAsia" w:hAnsi="宋体" w:cs="宋体"/>
                <w:color w:val="auto"/>
                <w:highlight w:val="none"/>
              </w:rPr>
              <w:t>1</w:t>
            </w:r>
          </w:p>
        </w:tc>
        <w:tc>
          <w:tcPr>
            <w:tcW w:w="4295" w:type="dxa"/>
            <w:noWrap w:val="0"/>
            <w:vAlign w:val="center"/>
          </w:tcPr>
          <w:p>
            <w:pPr>
              <w:pStyle w:val="14"/>
              <w:adjustRightInd w:val="0"/>
              <w:snapToGrid w:val="0"/>
              <w:rPr>
                <w:rFonts w:hint="eastAsia" w:hAnsi="宋体" w:cs="宋体"/>
                <w:color w:val="auto"/>
                <w:highlight w:val="none"/>
              </w:rPr>
            </w:pPr>
            <w:r>
              <w:rPr>
                <w:rFonts w:hint="eastAsia" w:hAnsi="宋体" w:cs="宋体"/>
                <w:color w:val="auto"/>
                <w:highlight w:val="none"/>
              </w:rPr>
              <w:t>监理人自行调换或未按照委托人要求及时更换项目总监。</w:t>
            </w:r>
          </w:p>
        </w:tc>
        <w:tc>
          <w:tcPr>
            <w:tcW w:w="3547" w:type="dxa"/>
            <w:noWrap w:val="0"/>
            <w:vAlign w:val="center"/>
          </w:tcPr>
          <w:p>
            <w:pPr>
              <w:pStyle w:val="14"/>
              <w:adjustRightInd w:val="0"/>
              <w:snapToGrid w:val="0"/>
              <w:rPr>
                <w:rFonts w:hint="eastAsia" w:hAnsi="宋体" w:cs="宋体"/>
                <w:color w:val="auto"/>
                <w:highlight w:val="none"/>
              </w:rPr>
            </w:pPr>
            <w:r>
              <w:rPr>
                <w:rFonts w:hint="eastAsia" w:hAnsi="宋体" w:cs="宋体"/>
                <w:color w:val="auto"/>
                <w:highlight w:val="none"/>
              </w:rPr>
              <w:t>违约金（元/人/次）按照本合同额的</w:t>
            </w:r>
            <w:r>
              <w:rPr>
                <w:rFonts w:hint="eastAsia" w:hAnsi="宋体" w:cs="宋体"/>
                <w:color w:val="auto"/>
                <w:highlight w:val="none"/>
                <w:lang w:val="en-US" w:eastAsia="zh-CN"/>
              </w:rPr>
              <w:t>3</w:t>
            </w:r>
            <w:r>
              <w:rPr>
                <w:rFonts w:hint="eastAsia" w:hAnsi="宋体" w:cs="宋体"/>
                <w:color w:val="auto"/>
                <w:highlight w:val="none"/>
              </w:rPr>
              <w:t>%扣除。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pStyle w:val="14"/>
              <w:adjustRightInd w:val="0"/>
              <w:snapToGrid w:val="0"/>
              <w:ind w:firstLine="420"/>
              <w:jc w:val="center"/>
              <w:rPr>
                <w:rFonts w:hint="eastAsia" w:hAnsi="宋体" w:cs="宋体"/>
                <w:color w:val="auto"/>
                <w:highlight w:val="none"/>
              </w:rPr>
            </w:pPr>
            <w:r>
              <w:rPr>
                <w:rFonts w:hint="eastAsia" w:hAnsi="宋体" w:cs="宋体"/>
                <w:color w:val="auto"/>
                <w:highlight w:val="none"/>
              </w:rPr>
              <w:t>2</w:t>
            </w:r>
          </w:p>
        </w:tc>
        <w:tc>
          <w:tcPr>
            <w:tcW w:w="4295" w:type="dxa"/>
            <w:noWrap w:val="0"/>
            <w:vAlign w:val="center"/>
          </w:tcPr>
          <w:p>
            <w:pPr>
              <w:pStyle w:val="14"/>
              <w:adjustRightInd w:val="0"/>
              <w:snapToGrid w:val="0"/>
              <w:rPr>
                <w:rFonts w:hint="eastAsia" w:hAnsi="宋体" w:cs="宋体"/>
                <w:color w:val="auto"/>
                <w:highlight w:val="none"/>
              </w:rPr>
            </w:pPr>
            <w:r>
              <w:rPr>
                <w:rFonts w:hint="eastAsia" w:hAnsi="宋体" w:cs="宋体"/>
                <w:color w:val="auto"/>
                <w:highlight w:val="none"/>
              </w:rPr>
              <w:t>监理人自行调换或未按照委托人要求及时更换总监代表。</w:t>
            </w:r>
          </w:p>
        </w:tc>
        <w:tc>
          <w:tcPr>
            <w:tcW w:w="3547" w:type="dxa"/>
            <w:noWrap w:val="0"/>
            <w:vAlign w:val="center"/>
          </w:tcPr>
          <w:p>
            <w:pPr>
              <w:pStyle w:val="14"/>
              <w:adjustRightInd w:val="0"/>
              <w:snapToGrid w:val="0"/>
              <w:rPr>
                <w:rFonts w:hint="eastAsia" w:hAnsi="宋体" w:cs="宋体"/>
                <w:color w:val="auto"/>
                <w:highlight w:val="none"/>
              </w:rPr>
            </w:pPr>
            <w:r>
              <w:rPr>
                <w:rFonts w:hint="eastAsia" w:hAnsi="宋体" w:cs="宋体"/>
                <w:color w:val="auto"/>
                <w:highlight w:val="none"/>
              </w:rPr>
              <w:t>违约金（元/人/次）按照本合同额的</w:t>
            </w:r>
            <w:r>
              <w:rPr>
                <w:rFonts w:hint="eastAsia" w:hAnsi="宋体" w:cs="宋体"/>
                <w:color w:val="auto"/>
                <w:highlight w:val="none"/>
                <w:lang w:val="en-US" w:eastAsia="zh-CN"/>
              </w:rPr>
              <w:t>2</w:t>
            </w:r>
            <w:r>
              <w:rPr>
                <w:rFonts w:hint="eastAsia" w:hAnsi="宋体" w:cs="宋体"/>
                <w:color w:val="auto"/>
                <w:highlight w:val="none"/>
              </w:rPr>
              <w:t>%扣除。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pStyle w:val="14"/>
              <w:adjustRightInd w:val="0"/>
              <w:snapToGrid w:val="0"/>
              <w:ind w:firstLine="420"/>
              <w:jc w:val="center"/>
              <w:rPr>
                <w:rFonts w:hint="eastAsia" w:hAnsi="宋体" w:cs="宋体"/>
                <w:color w:val="auto"/>
                <w:highlight w:val="none"/>
              </w:rPr>
            </w:pPr>
            <w:r>
              <w:rPr>
                <w:rFonts w:hint="eastAsia" w:hAnsi="宋体" w:cs="宋体"/>
                <w:color w:val="auto"/>
                <w:highlight w:val="none"/>
              </w:rPr>
              <w:t>3</w:t>
            </w:r>
          </w:p>
        </w:tc>
        <w:tc>
          <w:tcPr>
            <w:tcW w:w="4295" w:type="dxa"/>
            <w:noWrap w:val="0"/>
            <w:vAlign w:val="center"/>
          </w:tcPr>
          <w:p>
            <w:pPr>
              <w:pStyle w:val="14"/>
              <w:adjustRightInd w:val="0"/>
              <w:snapToGrid w:val="0"/>
              <w:rPr>
                <w:rFonts w:hint="eastAsia" w:hAnsi="宋体" w:cs="宋体"/>
                <w:color w:val="auto"/>
                <w:highlight w:val="none"/>
              </w:rPr>
            </w:pPr>
            <w:r>
              <w:rPr>
                <w:rFonts w:hint="eastAsia" w:hAnsi="宋体" w:cs="宋体"/>
                <w:color w:val="auto"/>
                <w:highlight w:val="none"/>
              </w:rPr>
              <w:t>监理人自行调换或未按照委托人要求及时更换专业监理工程师。</w:t>
            </w:r>
          </w:p>
        </w:tc>
        <w:tc>
          <w:tcPr>
            <w:tcW w:w="3547" w:type="dxa"/>
            <w:noWrap w:val="0"/>
            <w:vAlign w:val="center"/>
          </w:tcPr>
          <w:p>
            <w:pPr>
              <w:pStyle w:val="14"/>
              <w:adjustRightInd w:val="0"/>
              <w:snapToGrid w:val="0"/>
              <w:rPr>
                <w:rFonts w:hint="eastAsia" w:hAnsi="宋体" w:cs="宋体"/>
                <w:color w:val="auto"/>
                <w:highlight w:val="none"/>
              </w:rPr>
            </w:pPr>
            <w:r>
              <w:rPr>
                <w:rFonts w:hint="eastAsia" w:hAnsi="宋体" w:cs="宋体"/>
                <w:color w:val="auto"/>
                <w:highlight w:val="none"/>
              </w:rPr>
              <w:t>违约金（元/人/次）按照本合同额的</w:t>
            </w:r>
            <w:r>
              <w:rPr>
                <w:rFonts w:hint="eastAsia" w:hAnsi="宋体" w:cs="宋体"/>
                <w:color w:val="auto"/>
                <w:highlight w:val="none"/>
                <w:lang w:val="en-US" w:eastAsia="zh-CN"/>
              </w:rPr>
              <w:t>2</w:t>
            </w:r>
            <w:r>
              <w:rPr>
                <w:rFonts w:hint="eastAsia" w:hAnsi="宋体" w:cs="宋体"/>
                <w:color w:val="auto"/>
                <w:highlight w:val="none"/>
              </w:rPr>
              <w:t>%扣除。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pStyle w:val="14"/>
              <w:adjustRightInd w:val="0"/>
              <w:snapToGrid w:val="0"/>
              <w:ind w:firstLine="420"/>
              <w:jc w:val="center"/>
              <w:rPr>
                <w:rFonts w:hint="eastAsia" w:hAnsi="宋体" w:cs="宋体"/>
                <w:color w:val="auto"/>
                <w:highlight w:val="none"/>
              </w:rPr>
            </w:pPr>
            <w:r>
              <w:rPr>
                <w:rFonts w:hint="eastAsia" w:hAnsi="宋体" w:cs="宋体"/>
                <w:color w:val="auto"/>
                <w:highlight w:val="none"/>
              </w:rPr>
              <w:t>4</w:t>
            </w:r>
          </w:p>
        </w:tc>
        <w:tc>
          <w:tcPr>
            <w:tcW w:w="4295" w:type="dxa"/>
            <w:noWrap w:val="0"/>
            <w:vAlign w:val="center"/>
          </w:tcPr>
          <w:p>
            <w:pPr>
              <w:pStyle w:val="14"/>
              <w:adjustRightInd w:val="0"/>
              <w:snapToGrid w:val="0"/>
              <w:rPr>
                <w:rFonts w:hint="eastAsia" w:hAnsi="宋体" w:cs="宋体"/>
                <w:color w:val="auto"/>
                <w:highlight w:val="none"/>
              </w:rPr>
            </w:pPr>
            <w:r>
              <w:rPr>
                <w:rFonts w:hint="eastAsia" w:hAnsi="宋体" w:cs="宋体"/>
                <w:color w:val="auto"/>
                <w:highlight w:val="none"/>
              </w:rPr>
              <w:t>监理人自行调换或未按照委托人要求及时更换造价工程师。</w:t>
            </w:r>
          </w:p>
        </w:tc>
        <w:tc>
          <w:tcPr>
            <w:tcW w:w="3547" w:type="dxa"/>
            <w:noWrap w:val="0"/>
            <w:vAlign w:val="center"/>
          </w:tcPr>
          <w:p>
            <w:pPr>
              <w:pStyle w:val="14"/>
              <w:adjustRightInd w:val="0"/>
              <w:snapToGrid w:val="0"/>
              <w:rPr>
                <w:rFonts w:hint="eastAsia" w:hAnsi="宋体" w:cs="宋体"/>
                <w:color w:val="auto"/>
                <w:highlight w:val="none"/>
              </w:rPr>
            </w:pPr>
            <w:r>
              <w:rPr>
                <w:rFonts w:hint="eastAsia" w:hAnsi="宋体" w:cs="宋体"/>
                <w:color w:val="auto"/>
                <w:highlight w:val="none"/>
              </w:rPr>
              <w:t>违约金（元/人/次）按照本合同额的1%扣除。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 w:type="dxa"/>
            <w:noWrap w:val="0"/>
            <w:vAlign w:val="center"/>
          </w:tcPr>
          <w:p>
            <w:pPr>
              <w:pStyle w:val="14"/>
              <w:adjustRightInd w:val="0"/>
              <w:snapToGrid w:val="0"/>
              <w:ind w:firstLine="420"/>
              <w:jc w:val="center"/>
              <w:rPr>
                <w:rFonts w:hint="eastAsia" w:hAnsi="宋体" w:cs="宋体"/>
                <w:color w:val="auto"/>
                <w:highlight w:val="none"/>
              </w:rPr>
            </w:pPr>
            <w:r>
              <w:rPr>
                <w:rFonts w:hint="eastAsia" w:hAnsi="宋体" w:cs="宋体"/>
                <w:color w:val="auto"/>
                <w:highlight w:val="none"/>
              </w:rPr>
              <w:t>5</w:t>
            </w:r>
          </w:p>
        </w:tc>
        <w:tc>
          <w:tcPr>
            <w:tcW w:w="4295" w:type="dxa"/>
            <w:noWrap w:val="0"/>
            <w:vAlign w:val="center"/>
          </w:tcPr>
          <w:p>
            <w:pPr>
              <w:pStyle w:val="14"/>
              <w:adjustRightInd w:val="0"/>
              <w:snapToGrid w:val="0"/>
              <w:rPr>
                <w:rFonts w:hint="eastAsia" w:hAnsi="宋体" w:cs="宋体"/>
                <w:color w:val="auto"/>
                <w:highlight w:val="none"/>
              </w:rPr>
            </w:pPr>
            <w:r>
              <w:rPr>
                <w:rFonts w:hint="eastAsia" w:hAnsi="宋体" w:cs="宋体"/>
                <w:color w:val="auto"/>
                <w:highlight w:val="none"/>
              </w:rPr>
              <w:t>经委托人审核书面同意后调换监理人员。</w:t>
            </w:r>
          </w:p>
        </w:tc>
        <w:tc>
          <w:tcPr>
            <w:tcW w:w="3547" w:type="dxa"/>
            <w:noWrap w:val="0"/>
            <w:vAlign w:val="center"/>
          </w:tcPr>
          <w:p>
            <w:pPr>
              <w:pStyle w:val="14"/>
              <w:adjustRightInd w:val="0"/>
              <w:snapToGrid w:val="0"/>
              <w:rPr>
                <w:rFonts w:hint="eastAsia" w:hAnsi="宋体" w:cs="宋体"/>
                <w:color w:val="auto"/>
                <w:highlight w:val="none"/>
              </w:rPr>
            </w:pPr>
            <w:r>
              <w:rPr>
                <w:rFonts w:hint="eastAsia" w:hAnsi="宋体" w:cs="宋体"/>
                <w:color w:val="auto"/>
                <w:highlight w:val="none"/>
              </w:rPr>
              <w:t>监理人按1至4项对应调换人员承担减半违约金。</w:t>
            </w:r>
          </w:p>
        </w:tc>
      </w:tr>
    </w:tbl>
    <w:p>
      <w:pPr>
        <w:pStyle w:val="14"/>
        <w:adjustRightInd w:val="0"/>
        <w:snapToGrid w:val="0"/>
        <w:ind w:firstLine="420"/>
        <w:rPr>
          <w:rFonts w:hAnsi="宋体" w:cs="宋体"/>
          <w:color w:val="auto"/>
          <w:highlight w:val="none"/>
        </w:rPr>
      </w:pPr>
      <w:r>
        <w:rPr>
          <w:rFonts w:hint="eastAsia" w:hAnsi="宋体" w:cs="宋体"/>
          <w:color w:val="auto"/>
          <w:highlight w:val="none"/>
        </w:rPr>
        <w:t>3、项目总监若需离开施工现场需报委托人批准，在其请假离开的时间段内应书面委托其他驻场监理工程师（需具有相应资质和能力）全权代表其行使职权；否则每违约一次，委托人将要求监理人承担1次一般违约责任。</w:t>
      </w:r>
    </w:p>
    <w:p>
      <w:pPr>
        <w:pStyle w:val="14"/>
        <w:adjustRightInd w:val="0"/>
        <w:snapToGrid w:val="0"/>
        <w:ind w:firstLine="420"/>
        <w:rPr>
          <w:rFonts w:hAnsi="宋体" w:cs="宋体"/>
          <w:color w:val="auto"/>
          <w:highlight w:val="none"/>
        </w:rPr>
      </w:pPr>
      <w:r>
        <w:rPr>
          <w:rFonts w:hint="eastAsia" w:hAnsi="宋体" w:cs="宋体"/>
          <w:color w:val="auto"/>
          <w:highlight w:val="none"/>
        </w:rPr>
        <w:t>4、其他监理人员需离开施工现场1日以上需报委托人批准，在其请假离开的时间段内应书面委托其他驻场监理代表全权代表其行使相应职权；否则，每违约一次，委托人将要求监理人承担1次一般违约责任。</w:t>
      </w:r>
    </w:p>
    <w:p>
      <w:pPr>
        <w:pStyle w:val="14"/>
        <w:adjustRightInd w:val="0"/>
        <w:snapToGrid w:val="0"/>
        <w:ind w:firstLine="420"/>
        <w:rPr>
          <w:rFonts w:hAnsi="宋体" w:cs="宋体"/>
          <w:color w:val="auto"/>
          <w:highlight w:val="none"/>
        </w:rPr>
      </w:pPr>
      <w:r>
        <w:rPr>
          <w:rFonts w:hint="eastAsia" w:hAnsi="宋体" w:cs="宋体"/>
          <w:color w:val="auto"/>
          <w:highlight w:val="none"/>
        </w:rPr>
        <w:t>5、委托人可以对驻场监理人员进行考勤，如项目总监每月请假日数累计超过4日，监理人必须承担1次一般违约责任；如其他监理人员每月请假日数累计超过6日，且请假总人数全月累计超过监理人数的10%，监理人必须承担1次一般违约责任。</w:t>
      </w:r>
    </w:p>
    <w:p>
      <w:pPr>
        <w:pStyle w:val="14"/>
        <w:adjustRightInd w:val="0"/>
        <w:snapToGrid w:val="0"/>
        <w:ind w:firstLine="420"/>
        <w:rPr>
          <w:rFonts w:hAnsi="宋体" w:cs="宋体"/>
          <w:color w:val="auto"/>
          <w:highlight w:val="none"/>
        </w:rPr>
      </w:pPr>
      <w:r>
        <w:rPr>
          <w:rFonts w:hint="eastAsia" w:hAnsi="宋体" w:cs="宋体"/>
          <w:color w:val="auto"/>
          <w:highlight w:val="none"/>
        </w:rPr>
        <w:t>6、委托人要求项目总监、项目总监代表等主要监理人员必须参加的会议，项目总监、项目总监代表等主要监理人员必须到会。未经委托人同意不到会或不按期到会的，应向委托人说明理由，拒不说明理由的，监理人应当承担1次一般违约责任。</w:t>
      </w:r>
    </w:p>
    <w:p>
      <w:pPr>
        <w:pStyle w:val="14"/>
        <w:adjustRightInd w:val="0"/>
        <w:snapToGrid w:val="0"/>
        <w:ind w:firstLine="420"/>
        <w:rPr>
          <w:rFonts w:hAnsi="宋体" w:cs="宋体"/>
          <w:color w:val="auto"/>
          <w:highlight w:val="none"/>
        </w:rPr>
      </w:pPr>
      <w:r>
        <w:rPr>
          <w:rFonts w:hint="eastAsia" w:hAnsi="宋体" w:cs="宋体"/>
          <w:color w:val="auto"/>
          <w:highlight w:val="none"/>
        </w:rPr>
        <w:t>7、在委托人、建设行政主管部门组织的现场检查中，总监理工程师累计不在现场应每年应不超过两次，专业监理工程师累计不在现场每年应少于2次。否则，每发生一次，监理人承担1次一般违约责任。每发生二次，监理人承担严重违约责任1次。</w:t>
      </w:r>
    </w:p>
    <w:p>
      <w:pPr>
        <w:pStyle w:val="14"/>
        <w:adjustRightInd w:val="0"/>
        <w:snapToGrid w:val="0"/>
        <w:ind w:firstLine="420"/>
        <w:rPr>
          <w:rFonts w:hAnsi="宋体" w:cs="宋体"/>
          <w:color w:val="auto"/>
          <w:highlight w:val="none"/>
        </w:rPr>
      </w:pPr>
      <w:r>
        <w:rPr>
          <w:rFonts w:hint="eastAsia" w:hAnsi="宋体" w:cs="宋体"/>
          <w:color w:val="auto"/>
          <w:highlight w:val="none"/>
        </w:rPr>
        <w:t>8、检测仪器及设备等在监理责任期间，不能保持良好运作性能的，监理人应及时更换，否则，每件每日支付5000元违约金。</w:t>
      </w:r>
    </w:p>
    <w:p>
      <w:pPr>
        <w:pStyle w:val="14"/>
        <w:adjustRightInd w:val="0"/>
        <w:snapToGrid w:val="0"/>
        <w:ind w:firstLine="420"/>
        <w:rPr>
          <w:rFonts w:hAnsi="宋体" w:cs="宋体"/>
          <w:color w:val="auto"/>
          <w:highlight w:val="none"/>
        </w:rPr>
      </w:pPr>
      <w:r>
        <w:rPr>
          <w:rFonts w:hint="eastAsia" w:hAnsi="宋体" w:cs="宋体"/>
          <w:color w:val="auto"/>
          <w:highlight w:val="none"/>
        </w:rPr>
        <w:t>（五）履行监理职责方面的违约责任：</w:t>
      </w:r>
    </w:p>
    <w:p>
      <w:pPr>
        <w:pStyle w:val="14"/>
        <w:adjustRightInd w:val="0"/>
        <w:snapToGrid w:val="0"/>
        <w:ind w:firstLine="420"/>
        <w:rPr>
          <w:rFonts w:hAnsi="宋体" w:cs="宋体"/>
          <w:color w:val="auto"/>
          <w:highlight w:val="none"/>
        </w:rPr>
      </w:pPr>
      <w:r>
        <w:rPr>
          <w:rFonts w:hint="eastAsia" w:hAnsi="宋体" w:cs="宋体"/>
          <w:color w:val="auto"/>
          <w:highlight w:val="none"/>
        </w:rPr>
        <w:t>1、监理人在自己职责范围内应当作出决定的事项故意拖延或者不作出明确的处理意见，委托人发出书面警告后，监理人在整改期限内仍不加以改正的，委托人有权要求监理人承担一般违约责任1次，造成损失的监理人应承担相应的责任。</w:t>
      </w:r>
    </w:p>
    <w:p>
      <w:pPr>
        <w:pStyle w:val="14"/>
        <w:adjustRightInd w:val="0"/>
        <w:snapToGrid w:val="0"/>
        <w:ind w:firstLine="420"/>
        <w:rPr>
          <w:rFonts w:hAnsi="宋体" w:cs="宋体"/>
          <w:color w:val="auto"/>
          <w:highlight w:val="none"/>
        </w:rPr>
      </w:pPr>
      <w:r>
        <w:rPr>
          <w:rFonts w:hint="eastAsia" w:hAnsi="宋体" w:cs="宋体"/>
          <w:color w:val="auto"/>
          <w:highlight w:val="none"/>
        </w:rPr>
        <w:t>2、承包人未按承诺投入机械、设备、材料等，监理人对此不进行有效检查、督促、处理，不向委托人报告，被委托人发现后，委托人有权给予书面警告并限期改正，监理人拒不限期改正的，应承担1次一般违约责任。</w:t>
      </w:r>
    </w:p>
    <w:p>
      <w:pPr>
        <w:pStyle w:val="14"/>
        <w:adjustRightInd w:val="0"/>
        <w:snapToGrid w:val="0"/>
        <w:ind w:firstLine="420"/>
        <w:rPr>
          <w:rFonts w:hAnsi="宋体" w:cs="宋体"/>
          <w:color w:val="auto"/>
          <w:highlight w:val="none"/>
        </w:rPr>
      </w:pPr>
      <w:r>
        <w:rPr>
          <w:rFonts w:hint="eastAsia" w:hAnsi="宋体" w:cs="宋体"/>
          <w:color w:val="auto"/>
          <w:highlight w:val="none"/>
        </w:rPr>
        <w:t>3、对于承包人每次进场材料，监理人不进行检查和登记；对已进场的材料，监理人不按有关规定及时进行抽查、送检的，每发生一次，监理人承担1次一般违约责任。如由此出现不合格材料使用于工程上并造成质量缺陷，监理人必须承担一般违约责任1次。</w:t>
      </w:r>
    </w:p>
    <w:p>
      <w:pPr>
        <w:pStyle w:val="14"/>
        <w:adjustRightInd w:val="0"/>
        <w:snapToGrid w:val="0"/>
        <w:ind w:firstLine="420"/>
        <w:rPr>
          <w:rFonts w:hAnsi="宋体" w:cs="宋体"/>
          <w:color w:val="auto"/>
          <w:highlight w:val="none"/>
        </w:rPr>
      </w:pPr>
      <w:r>
        <w:rPr>
          <w:rFonts w:hint="eastAsia" w:hAnsi="宋体" w:cs="宋体"/>
          <w:color w:val="auto"/>
          <w:highlight w:val="none"/>
        </w:rPr>
        <w:t>4、监理人在编制项目实施细则中，应按监理规范列明需监理人旁站的工序，并应得到委托人的批准。工程施工过程中，需要监理人进行旁站监督的，监理人没有到场，或者到场后没有进行监督，或发现质量问题后没有及时处理，没有向委托人报告，委托人有权给予书面警告并限期改正，监理人拒不限期改正的，应承担1次一般违约责任。</w:t>
      </w:r>
    </w:p>
    <w:p>
      <w:pPr>
        <w:pStyle w:val="14"/>
        <w:adjustRightInd w:val="0"/>
        <w:snapToGrid w:val="0"/>
        <w:ind w:firstLine="420"/>
        <w:rPr>
          <w:rFonts w:hAnsi="宋体" w:cs="宋体"/>
          <w:color w:val="auto"/>
          <w:highlight w:val="none"/>
        </w:rPr>
      </w:pPr>
      <w:r>
        <w:rPr>
          <w:rFonts w:hint="eastAsia" w:hAnsi="宋体" w:cs="宋体"/>
          <w:color w:val="auto"/>
          <w:highlight w:val="none"/>
        </w:rPr>
        <w:t>5、监理人对承包人的施工质量应每月定期或不定期组织大检查并作出报告给委托人。承包人的施工质量经监理人检验为合格，但经委托人或工程质量监督机构抽查，发现质量有不合格或未按设计要求和有关规范进行施工的，监理人应承担一般违约1次，情节严重的承担严重违约责任1次，同时，承包人和监理人应赔偿委托人的经济损失。</w:t>
      </w:r>
    </w:p>
    <w:p>
      <w:pPr>
        <w:pStyle w:val="14"/>
        <w:adjustRightInd w:val="0"/>
        <w:snapToGrid w:val="0"/>
        <w:ind w:firstLine="420"/>
        <w:rPr>
          <w:rFonts w:hAnsi="宋体" w:cs="宋体"/>
          <w:color w:val="auto"/>
          <w:highlight w:val="none"/>
        </w:rPr>
      </w:pPr>
      <w:r>
        <w:rPr>
          <w:rFonts w:hint="eastAsia" w:hAnsi="宋体" w:cs="宋体"/>
          <w:color w:val="auto"/>
          <w:highlight w:val="none"/>
        </w:rPr>
        <w:t>6、监理人怠于履行工程质量控制监理工作，导致工程质量事故的，每发生一次，监理人承担严重违约责任1次。工程出现其他质量问题或缺陷，监理人负有责任的，每发生一次，监理人承担一般违约责任1次。工程发生重大质量、安全事故，监理人负有责任的，委托人有权视情况的严重程度要求监理人承担违约责任，直至部分或全部解除合同。</w:t>
      </w:r>
    </w:p>
    <w:p>
      <w:pPr>
        <w:pStyle w:val="14"/>
        <w:adjustRightInd w:val="0"/>
        <w:snapToGrid w:val="0"/>
        <w:ind w:firstLine="420"/>
        <w:rPr>
          <w:rFonts w:hAnsi="宋体" w:cs="宋体"/>
          <w:color w:val="auto"/>
          <w:highlight w:val="none"/>
        </w:rPr>
      </w:pPr>
      <w:r>
        <w:rPr>
          <w:rFonts w:hint="eastAsia" w:hAnsi="宋体" w:cs="宋体"/>
          <w:color w:val="auto"/>
          <w:highlight w:val="none"/>
        </w:rPr>
        <w:t>7、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工期比计划滞后3日以上（含3日）的，监理人必须承担一般违约责任1次；出现关键工期滞后5天以上（含5天）的，监理人必须承担严重违约责任1次；出现关键线路工期滞后10天以上（含10天）的，委托人有权部分或全部解除合同。</w:t>
      </w:r>
    </w:p>
    <w:p>
      <w:pPr>
        <w:pStyle w:val="14"/>
        <w:adjustRightInd w:val="0"/>
        <w:snapToGrid w:val="0"/>
        <w:ind w:firstLine="420"/>
        <w:rPr>
          <w:rFonts w:hAnsi="宋体" w:cs="宋体"/>
          <w:color w:val="auto"/>
          <w:highlight w:val="none"/>
        </w:rPr>
      </w:pPr>
      <w:r>
        <w:rPr>
          <w:rFonts w:hint="eastAsia" w:hAnsi="宋体" w:cs="宋体"/>
          <w:color w:val="auto"/>
          <w:highlight w:val="none"/>
        </w:rPr>
        <w:t>8、对于承包人提交的现场签证资料，监理人未有准确、真实的现场原始记录或不进行现场复核就给予签认，经委托人检查，发现签认的文件有误的，除立即改正外，监理人承担一般违约责任1次；对签证错误有可能给委托人造成直接经济损失100万元（含100万元）以上的，按严重违约1次处理；对于现场签证（含工程数量、单价等）未经过监理人注册造价工程师审核、或经过注册造价工程师审核但未在规定时间内报送委托人，除必须立即改正外，每累计出现2次，监理人必须承担一般违约责任1次。</w:t>
      </w:r>
    </w:p>
    <w:p>
      <w:pPr>
        <w:pStyle w:val="14"/>
        <w:adjustRightInd w:val="0"/>
        <w:snapToGrid w:val="0"/>
        <w:ind w:firstLine="420"/>
        <w:rPr>
          <w:rFonts w:hAnsi="宋体" w:cs="宋体"/>
          <w:color w:val="auto"/>
          <w:highlight w:val="none"/>
        </w:rPr>
      </w:pPr>
      <w:r>
        <w:rPr>
          <w:rFonts w:hint="eastAsia" w:hAnsi="宋体" w:cs="宋体"/>
          <w:color w:val="auto"/>
          <w:highlight w:val="none"/>
        </w:rPr>
        <w:t>9、对承包人提交的施工方案、设计变更以及施工图、深化设计图等技术文件，监理人对其中明显不符合现场实际的部分，或者与招投标文件不符、会引起委托人投资增加、工期延误的部分，不进行认真审核、不进行优化就给予同意的，除必须限期改正外，每发生一次，监理人必须承担1次一般违约责任，情节严重的，委托人可视情况要求监理人承担严重违约责任。对承包人提交的施工方案、设计变更等技术文件，监理人应当在3日内予以批复，监理人未及时批复的，视延误程度，监理人承担一般违约责任1次或严重违约程度1次；须转报委托人审批的，监理人应在3日内出具审核意见报委托人，监理人未在3日内报委托人或未出具审核意见的，监理人除必须限期改正外，监理人必须承担一般违约责任1次。承包人提交给监理人审核的资料或文件存在错误须承包人改正的，监理人应将所有错误一次性要求承包人改正，监理人要求承包人反复修改拖延时间的，委托人有权给予书面警告并限期改正，监理人拒不限期改正的，应承担1次一般违约责任。</w:t>
      </w:r>
    </w:p>
    <w:p>
      <w:pPr>
        <w:pStyle w:val="14"/>
        <w:adjustRightInd w:val="0"/>
        <w:snapToGrid w:val="0"/>
        <w:ind w:firstLine="420"/>
        <w:rPr>
          <w:rFonts w:hAnsi="宋体" w:cs="宋体"/>
          <w:color w:val="auto"/>
          <w:highlight w:val="none"/>
        </w:rPr>
      </w:pPr>
      <w:r>
        <w:rPr>
          <w:rFonts w:hint="eastAsia" w:hAnsi="宋体" w:cs="宋体"/>
          <w:color w:val="auto"/>
          <w:highlight w:val="none"/>
        </w:rPr>
        <w:t>10、监理单位未履行本合同约定的文明施工管理责任的，委托人可发出书面警告要求其限期改正，委托人发出书面警告后，监理人在整改期限内仍不加以改正的，每发生一次，监理单位承担一次一般违约责任。</w:t>
      </w:r>
    </w:p>
    <w:p>
      <w:pPr>
        <w:pStyle w:val="14"/>
        <w:adjustRightInd w:val="0"/>
        <w:snapToGrid w:val="0"/>
        <w:ind w:firstLine="420"/>
        <w:rPr>
          <w:rFonts w:hAnsi="宋体" w:cs="宋体"/>
          <w:color w:val="auto"/>
          <w:highlight w:val="none"/>
        </w:rPr>
      </w:pPr>
      <w:r>
        <w:rPr>
          <w:rFonts w:hint="eastAsia" w:hAnsi="宋体" w:cs="宋体"/>
          <w:color w:val="auto"/>
          <w:highlight w:val="none"/>
        </w:rPr>
        <w:t>11、监理人应当按时对承包人的申请计量事项予以审批，并对申请计量事项的真实性、准确性负责。监理人派驻的专业工程师应对承包人提交的计量报表认真审核并予以确认，监理人对不合格工程同意计量，以及在计量数量严重不实、资料不齐全的情况下同意计量的，除必须立即改正外，监理人应当承担一般违约责任1次，情节严重的应承担严重违约责任1次，给委托人造成损失的，应当赔偿损失。</w:t>
      </w:r>
    </w:p>
    <w:p>
      <w:pPr>
        <w:pStyle w:val="14"/>
        <w:adjustRightInd w:val="0"/>
        <w:snapToGrid w:val="0"/>
        <w:ind w:firstLine="420"/>
        <w:rPr>
          <w:rFonts w:hAnsi="宋体" w:cs="宋体"/>
          <w:color w:val="auto"/>
          <w:highlight w:val="none"/>
        </w:rPr>
      </w:pPr>
      <w:r>
        <w:rPr>
          <w:rFonts w:hint="eastAsia" w:hAnsi="宋体" w:cs="宋体"/>
          <w:color w:val="auto"/>
          <w:highlight w:val="none"/>
        </w:rPr>
        <w:t>12、对于承包人提交的请款报告，监理人不按实际完成的工作量进行审核，或不按本合同要求签署拨款意见，被委托人审查发现后，必须限期改正，如监理人审核的当期支付金额超过经过委托人复核的实际应付金额5％以上的，监理人必须承担一般违约责任1次，超过10%的，应承担严重违约责任1次。若由此给委托人造成50万元以上（含50万元）损失的，监理人除必须承担相应的经济赔偿外，委托人将视情况部分或全部解除合同。</w:t>
      </w:r>
    </w:p>
    <w:p>
      <w:pPr>
        <w:pStyle w:val="14"/>
        <w:adjustRightInd w:val="0"/>
        <w:snapToGrid w:val="0"/>
        <w:ind w:firstLine="420"/>
        <w:rPr>
          <w:rFonts w:hAnsi="宋体" w:cs="宋体"/>
          <w:color w:val="auto"/>
          <w:highlight w:val="none"/>
        </w:rPr>
      </w:pPr>
      <w:r>
        <w:rPr>
          <w:rFonts w:hint="eastAsia" w:hAnsi="宋体" w:cs="宋体"/>
          <w:color w:val="auto"/>
          <w:highlight w:val="none"/>
        </w:rPr>
        <w:t>13、监理人应设立专职安全管理人员，督促承包人建立安全生产保障体系，并要求各施工标段设立专职安全员，将安全责任制度落实到人。监理人应每月定期或不定期组织安全文明施工大检查，并将检查结果向委托人报告。承包人没有做好安全文明施工措施，没有按有关规定做到安全生产，或存在安全隐患，监理人未及时发现、不督促承包人进行整改，不作及时处理，不及时向委托人报告，被委托人发现后，委托人有权给予书面警告并限期改正，监理人拒不限期改正的，应承担1次一般违约责任。由此而发生安全生产事故，或被上级主管部门通报批评、被新闻媒体曝光的，监理人应承担严重违约责任1次；情节严重的，委托人有权部分或全部解除合同。</w:t>
      </w:r>
    </w:p>
    <w:p>
      <w:pPr>
        <w:pStyle w:val="14"/>
        <w:adjustRightInd w:val="0"/>
        <w:snapToGrid w:val="0"/>
        <w:ind w:firstLine="420"/>
        <w:rPr>
          <w:rFonts w:hAnsi="宋体" w:cs="宋体"/>
          <w:color w:val="auto"/>
          <w:highlight w:val="none"/>
        </w:rPr>
      </w:pPr>
      <w:r>
        <w:rPr>
          <w:rFonts w:hint="eastAsia" w:hAnsi="宋体" w:cs="宋体"/>
          <w:color w:val="auto"/>
          <w:highlight w:val="none"/>
        </w:rPr>
        <w:t>15、本项目实施过程中，若发生重大安全责任事故，经核实监理人负有管理责任的，监理人按每发生一次计人民币十万元承担违约责任。违约金按实际发生计算，没有上限。</w:t>
      </w:r>
    </w:p>
    <w:p>
      <w:pPr>
        <w:pStyle w:val="14"/>
        <w:adjustRightInd w:val="0"/>
        <w:snapToGrid w:val="0"/>
        <w:ind w:firstLine="420"/>
        <w:rPr>
          <w:rFonts w:hAnsi="宋体" w:cs="宋体"/>
          <w:color w:val="auto"/>
          <w:highlight w:val="none"/>
        </w:rPr>
      </w:pPr>
      <w:r>
        <w:rPr>
          <w:rFonts w:hint="eastAsia" w:hAnsi="宋体" w:cs="宋体"/>
          <w:color w:val="auto"/>
          <w:highlight w:val="none"/>
        </w:rPr>
        <w:t>16、监理人因在施工过程中发出错误指令、越权审批设计变更及其他因监理人自身失误或失职原因导致本合同工程在投资、工期、质量等方面给委托人造成损失的，委托人将要求监理人进行赔偿，累计赔偿总额不应超过监理报酬总额（除去税金）。具体约定为：</w:t>
      </w:r>
    </w:p>
    <w:p>
      <w:pPr>
        <w:pStyle w:val="14"/>
        <w:adjustRightInd w:val="0"/>
        <w:snapToGrid w:val="0"/>
        <w:ind w:firstLine="420"/>
        <w:rPr>
          <w:rFonts w:hAnsi="宋体" w:cs="宋体"/>
          <w:color w:val="auto"/>
          <w:highlight w:val="none"/>
        </w:rPr>
      </w:pPr>
      <w:r>
        <w:rPr>
          <w:rFonts w:hint="eastAsia" w:hAnsi="宋体" w:cs="宋体"/>
          <w:color w:val="auto"/>
          <w:highlight w:val="none"/>
        </w:rPr>
        <w:t>（1）因监理人原因造成工程投资增加的，委托人将根据工程投资的增加额与原计划投资额的比例，按相应比例双倍扣减监理报酬；若增加工程投资比例超过原计划投资额的20%时，委托人有权单方解除本合同，并要求监理人赔偿委托人由此遭受的实际损失中的50%。</w:t>
      </w:r>
    </w:p>
    <w:p>
      <w:pPr>
        <w:pStyle w:val="14"/>
        <w:adjustRightInd w:val="0"/>
        <w:snapToGrid w:val="0"/>
        <w:ind w:firstLine="420"/>
        <w:rPr>
          <w:rFonts w:hAnsi="宋体" w:cs="宋体"/>
          <w:color w:val="auto"/>
          <w:highlight w:val="none"/>
        </w:rPr>
      </w:pPr>
      <w:r>
        <w:rPr>
          <w:rFonts w:hint="eastAsia" w:hAnsi="宋体" w:cs="宋体"/>
          <w:color w:val="auto"/>
          <w:highlight w:val="none"/>
        </w:rPr>
        <w:t>（2）因监理人责任导致工期延误，其中分段工期延误日数占该段总工期的30%时，则委托人有权扣除该分段工程监理报酬的60%；分段工期延误日数达到该段总工期的50%时，则委托人有权单方解除本合同。因监理人责任导致工程竣工拖延的，依据拖延的日数，监理人应每日按监理报酬总额的0.05%向委托人支付违约金。由于监理人责任导致工期延误，致使委托人要承担赔偿第三方责任的，监理人必须承担赔偿委托人由此遭受的实际损失。</w:t>
      </w:r>
    </w:p>
    <w:p>
      <w:pPr>
        <w:pStyle w:val="14"/>
        <w:adjustRightInd w:val="0"/>
        <w:snapToGrid w:val="0"/>
        <w:ind w:firstLine="420"/>
        <w:rPr>
          <w:rFonts w:hAnsi="宋体" w:cs="宋体"/>
          <w:color w:val="auto"/>
          <w:highlight w:val="none"/>
        </w:rPr>
      </w:pPr>
      <w:r>
        <w:rPr>
          <w:rFonts w:hint="eastAsia" w:hAnsi="宋体" w:cs="宋体"/>
          <w:color w:val="auto"/>
          <w:highlight w:val="none"/>
        </w:rPr>
        <w:t>（3）因监理人责任造成质量事故，需要返工的，监理人应承担1次严重违约责任并双倍扣减该部分的监理报酬，同时监理人应赔偿委托人的实际损失；情节严重的，委托人有权单方面解除合同，并有权要求监理人赔偿委托人由此遭受的经济损失。</w:t>
      </w:r>
    </w:p>
    <w:p>
      <w:pPr>
        <w:pStyle w:val="14"/>
        <w:adjustRightInd w:val="0"/>
        <w:snapToGrid w:val="0"/>
        <w:ind w:firstLine="420"/>
        <w:rPr>
          <w:rFonts w:hAnsi="宋体" w:cs="宋体"/>
          <w:color w:val="auto"/>
          <w:highlight w:val="none"/>
        </w:rPr>
      </w:pPr>
      <w:r>
        <w:rPr>
          <w:rFonts w:hint="eastAsia" w:hAnsi="宋体" w:cs="宋体"/>
          <w:color w:val="auto"/>
          <w:highlight w:val="none"/>
        </w:rPr>
        <w:t>17、对于工程施工过程中出现的工程变更，如当月由委托人确定的工程变更的单价或总价较监理人审定的单价或总价存在正负10%以上的情况累计出现2宗以上（含2宗），监理人应当承担1次一般违约责任。</w:t>
      </w:r>
    </w:p>
    <w:p>
      <w:pPr>
        <w:pStyle w:val="14"/>
        <w:adjustRightInd w:val="0"/>
        <w:snapToGrid w:val="0"/>
        <w:ind w:firstLine="420"/>
        <w:rPr>
          <w:rFonts w:hAnsi="宋体" w:cs="宋体"/>
          <w:color w:val="auto"/>
          <w:highlight w:val="none"/>
        </w:rPr>
      </w:pPr>
      <w:r>
        <w:rPr>
          <w:rFonts w:hint="eastAsia" w:hAnsi="宋体" w:cs="宋体"/>
          <w:color w:val="auto"/>
          <w:highlight w:val="none"/>
        </w:rPr>
        <w:t>18、对于承包人不按时提交工程结算文件，监理人不按合同约定采取有效措施的，监理人应承担1次一般违约责任。监理人应在收到施工单位报送的结算书及必要的支持材料后10日内完成结算书初审工作，并上报委托人审核。否则，每拖延一天，支付1万元违约金，以此累计。</w:t>
      </w:r>
    </w:p>
    <w:p>
      <w:pPr>
        <w:pStyle w:val="14"/>
        <w:adjustRightInd w:val="0"/>
        <w:snapToGrid w:val="0"/>
        <w:ind w:firstLine="420"/>
        <w:rPr>
          <w:rFonts w:hAnsi="宋体" w:cs="宋体"/>
          <w:color w:val="auto"/>
          <w:highlight w:val="none"/>
        </w:rPr>
      </w:pPr>
      <w:r>
        <w:rPr>
          <w:rFonts w:hint="eastAsia" w:hAnsi="宋体" w:cs="宋体"/>
          <w:color w:val="auto"/>
          <w:highlight w:val="none"/>
        </w:rPr>
        <w:t>19、监理人根据合同约定对承包人提交的工程结算书（结算资料）进行审核，如最终审定的结算金额较由监理人审定的结算金额的差值大于正负5‰，则由监理人按下列计算方法向委托人支付违约金，最多不超过本合同监理报酬总额的20%：</w:t>
      </w:r>
    </w:p>
    <w:p>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违约金=[ㄧ（A－B）/Bㄧ-5‰]×C</w:t>
      </w:r>
    </w:p>
    <w:p>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其中：A-监理人审定的工程结算金额；</w:t>
      </w:r>
    </w:p>
    <w:p>
      <w:pPr>
        <w:adjustRightInd w:val="0"/>
        <w:snapToGrid w:val="0"/>
        <w:spacing w:line="360" w:lineRule="auto"/>
        <w:ind w:firstLine="1200" w:firstLineChars="500"/>
        <w:rPr>
          <w:rFonts w:ascii="宋体" w:hAnsi="宋体"/>
          <w:bCs/>
          <w:color w:val="auto"/>
          <w:sz w:val="24"/>
          <w:highlight w:val="none"/>
        </w:rPr>
      </w:pPr>
      <w:r>
        <w:rPr>
          <w:rFonts w:hint="eastAsia" w:ascii="宋体" w:hAnsi="宋体"/>
          <w:bCs/>
          <w:color w:val="auto"/>
          <w:sz w:val="24"/>
          <w:highlight w:val="none"/>
        </w:rPr>
        <w:t>B-最终审定的工程结算金额；</w:t>
      </w:r>
    </w:p>
    <w:p>
      <w:pPr>
        <w:adjustRightInd w:val="0"/>
        <w:snapToGrid w:val="0"/>
        <w:spacing w:line="360" w:lineRule="auto"/>
        <w:ind w:firstLine="1200" w:firstLineChars="500"/>
        <w:rPr>
          <w:rFonts w:ascii="宋体" w:hAnsi="宋体"/>
          <w:bCs/>
          <w:color w:val="auto"/>
          <w:sz w:val="24"/>
          <w:highlight w:val="none"/>
        </w:rPr>
      </w:pPr>
      <w:r>
        <w:rPr>
          <w:rFonts w:hint="eastAsia" w:ascii="宋体" w:hAnsi="宋体"/>
          <w:bCs/>
          <w:color w:val="auto"/>
          <w:sz w:val="24"/>
          <w:highlight w:val="none"/>
        </w:rPr>
        <w:t>C-监理合同报酬总额。</w:t>
      </w:r>
    </w:p>
    <w:p>
      <w:pPr>
        <w:pStyle w:val="14"/>
        <w:adjustRightInd w:val="0"/>
        <w:snapToGrid w:val="0"/>
        <w:ind w:firstLine="420"/>
        <w:rPr>
          <w:rFonts w:hAnsi="宋体" w:cs="宋体"/>
          <w:color w:val="auto"/>
          <w:highlight w:val="none"/>
        </w:rPr>
      </w:pPr>
      <w:r>
        <w:rPr>
          <w:rFonts w:hint="eastAsia" w:hAnsi="宋体" w:cs="宋体"/>
          <w:color w:val="auto"/>
          <w:highlight w:val="none"/>
        </w:rPr>
        <w:t>（六）其他方面的违约责任：</w:t>
      </w:r>
    </w:p>
    <w:p>
      <w:pPr>
        <w:pStyle w:val="14"/>
        <w:adjustRightInd w:val="0"/>
        <w:snapToGrid w:val="0"/>
        <w:ind w:firstLine="420"/>
        <w:rPr>
          <w:rFonts w:hAnsi="宋体" w:cs="宋体"/>
          <w:color w:val="auto"/>
          <w:highlight w:val="none"/>
        </w:rPr>
      </w:pPr>
      <w:r>
        <w:rPr>
          <w:rFonts w:hint="eastAsia" w:hAnsi="宋体" w:cs="宋体"/>
          <w:color w:val="auto"/>
          <w:highlight w:val="none"/>
        </w:rPr>
        <w:t>1、监理人必须加强对监理人员职业操守、廉政建设的培训和教育，本项目监理人员利用职业身份“吃、拿、卡、要”或有其他违反职业操守及廉政建设相关规定的，一经查实，监理人应立即清退该监理人员，并承担1次严重违约，情节严重的，委托人有权部分或全部解除合同并有权向有关部门反映情况，同时将上述违反职业道德的行为通过新闻媒体公诸于众，情节严重者移交司法机关追究法律责任。</w:t>
      </w:r>
    </w:p>
    <w:p>
      <w:pPr>
        <w:pStyle w:val="14"/>
        <w:adjustRightInd w:val="0"/>
        <w:snapToGrid w:val="0"/>
        <w:ind w:firstLine="420"/>
        <w:rPr>
          <w:rFonts w:hAnsi="宋体" w:cs="宋体"/>
          <w:color w:val="auto"/>
          <w:highlight w:val="none"/>
        </w:rPr>
      </w:pPr>
      <w:r>
        <w:rPr>
          <w:rFonts w:hint="eastAsia" w:hAnsi="宋体" w:cs="宋体"/>
          <w:color w:val="auto"/>
          <w:highlight w:val="none"/>
        </w:rPr>
        <w:t>2、工程监理资料收集不齐、管理混乱的，监理人承担一般违约责任；缺损原始记录的，每件文件扣减5000元监理费。</w:t>
      </w:r>
    </w:p>
    <w:p>
      <w:pPr>
        <w:pStyle w:val="14"/>
        <w:adjustRightInd w:val="0"/>
        <w:snapToGrid w:val="0"/>
        <w:ind w:firstLine="420"/>
        <w:rPr>
          <w:rFonts w:hAnsi="宋体" w:cs="宋体"/>
          <w:color w:val="auto"/>
          <w:highlight w:val="none"/>
        </w:rPr>
      </w:pPr>
      <w:r>
        <w:rPr>
          <w:rFonts w:hint="eastAsia" w:hAnsi="宋体" w:cs="宋体"/>
          <w:color w:val="auto"/>
          <w:highlight w:val="none"/>
        </w:rPr>
        <w:t>3、除上述约定之外，监理人有违反合同约定的其他义务的，均构成违约，委托人有权视具体情况给予书面警告并限期改正，监理人拒不限期改正的，应承担1次一般违约责任，情节严重的，应承担1次严重违约责任。</w:t>
      </w:r>
    </w:p>
    <w:p>
      <w:pPr>
        <w:pStyle w:val="14"/>
        <w:adjustRightInd w:val="0"/>
        <w:snapToGrid w:val="0"/>
        <w:ind w:firstLine="420"/>
        <w:rPr>
          <w:rFonts w:hAnsi="宋体" w:cs="宋体"/>
          <w:color w:val="auto"/>
          <w:highlight w:val="none"/>
        </w:rPr>
      </w:pPr>
      <w:r>
        <w:rPr>
          <w:rFonts w:hint="eastAsia" w:hAnsi="宋体" w:cs="宋体"/>
          <w:color w:val="auto"/>
          <w:highlight w:val="none"/>
        </w:rPr>
        <w:t>（七）委托人以书面形式作出的违约处理决定一经送达监理人立即生效。监理人如有足够证据证明不应由其承担违约责任的，应在收到违约处理决定后3天内以书面形式向委托人提出异议并附上有关证据；委托人在收到监理人的异议后15天内审核完毕且作出书面决定并通知监理人。</w:t>
      </w:r>
    </w:p>
    <w:p>
      <w:pPr>
        <w:pStyle w:val="14"/>
        <w:adjustRightInd w:val="0"/>
        <w:snapToGrid w:val="0"/>
        <w:ind w:firstLine="420"/>
        <w:rPr>
          <w:rFonts w:hAnsi="宋体" w:cs="宋体"/>
          <w:color w:val="auto"/>
          <w:sz w:val="24"/>
          <w:szCs w:val="24"/>
          <w:highlight w:val="none"/>
        </w:rPr>
      </w:pPr>
      <w:r>
        <w:rPr>
          <w:rFonts w:hint="eastAsia" w:hAnsi="宋体" w:cs="宋体"/>
          <w:color w:val="auto"/>
          <w:highlight w:val="none"/>
        </w:rPr>
        <w:t>第三十九</w:t>
      </w:r>
      <w:r>
        <w:rPr>
          <w:rFonts w:hint="eastAsia" w:hAnsi="宋体" w:cs="宋体"/>
          <w:color w:val="auto"/>
          <w:sz w:val="24"/>
          <w:szCs w:val="24"/>
          <w:highlight w:val="none"/>
        </w:rPr>
        <w:t>条</w:t>
      </w:r>
      <w:r>
        <w:rPr>
          <w:rFonts w:hAnsi="宋体" w:cs="宋体"/>
          <w:color w:val="auto"/>
          <w:sz w:val="24"/>
          <w:szCs w:val="24"/>
          <w:highlight w:val="none"/>
        </w:rPr>
        <w:t xml:space="preserve">  </w:t>
      </w:r>
      <w:r>
        <w:rPr>
          <w:rFonts w:hint="eastAsia" w:hAnsi="宋体" w:cs="宋体"/>
          <w:color w:val="auto"/>
          <w:sz w:val="24"/>
          <w:szCs w:val="24"/>
          <w:highlight w:val="none"/>
        </w:rPr>
        <w:t>委托人同意按以下的计算方法、支付时间与金额支付监理人的报酬：</w:t>
      </w:r>
    </w:p>
    <w:p>
      <w:pPr>
        <w:pStyle w:val="14"/>
        <w:adjustRightInd w:val="0"/>
        <w:snapToGrid w:val="0"/>
        <w:ind w:firstLine="42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rPr>
        <w:t>（一）本合同监理费用</w:t>
      </w:r>
      <w:r>
        <w:rPr>
          <w:rFonts w:hint="eastAsia" w:hAnsi="宋体" w:cs="宋体"/>
          <w:color w:val="auto"/>
          <w:sz w:val="24"/>
          <w:szCs w:val="24"/>
          <w:highlight w:val="none"/>
          <w:lang w:val="en-US" w:eastAsia="zh-CN"/>
        </w:rPr>
        <w:t xml:space="preserve"> </w:t>
      </w:r>
    </w:p>
    <w:p>
      <w:pPr>
        <w:pStyle w:val="14"/>
        <w:shd w:val="clear" w:color="auto" w:fill="auto"/>
        <w:adjustRightInd w:val="0"/>
        <w:snapToGrid w:val="0"/>
        <w:ind w:firstLine="420"/>
        <w:rPr>
          <w:rFonts w:hAnsi="宋体" w:cs="宋体"/>
          <w:color w:val="auto"/>
          <w:sz w:val="24"/>
          <w:szCs w:val="24"/>
          <w:highlight w:val="none"/>
        </w:rPr>
      </w:pPr>
      <w:bookmarkStart w:id="38" w:name="_Hlk53129513"/>
      <w:bookmarkStart w:id="39" w:name="_Hlk46922383"/>
      <w:r>
        <w:rPr>
          <w:rFonts w:hint="eastAsia" w:hAnsi="宋体" w:cs="宋体"/>
          <w:color w:val="auto"/>
          <w:sz w:val="24"/>
          <w:szCs w:val="24"/>
          <w:highlight w:val="none"/>
        </w:rPr>
        <w:t>1、</w:t>
      </w:r>
      <w:r>
        <w:rPr>
          <w:rFonts w:hint="eastAsia" w:ascii="宋体" w:hAnsi="宋体"/>
          <w:color w:val="auto"/>
          <w:sz w:val="24"/>
          <w:highlight w:val="none"/>
        </w:rPr>
        <w:t>本工程</w:t>
      </w:r>
      <w:r>
        <w:rPr>
          <w:rFonts w:hint="eastAsia" w:ascii="宋体" w:hAnsi="宋体"/>
          <w:color w:val="auto"/>
          <w:sz w:val="24"/>
          <w:highlight w:val="none"/>
          <w:lang w:val="en-US" w:eastAsia="zh-CN"/>
        </w:rPr>
        <w:t>以监理投标的中标价为</w:t>
      </w:r>
      <w:r>
        <w:rPr>
          <w:rFonts w:hint="eastAsia" w:ascii="宋体" w:hAnsi="宋体"/>
          <w:color w:val="auto"/>
          <w:sz w:val="24"/>
          <w:highlight w:val="none"/>
        </w:rPr>
        <w:t>监理服务费用（含税）</w:t>
      </w:r>
      <w:r>
        <w:rPr>
          <w:rFonts w:hint="eastAsia" w:hAnsi="宋体"/>
          <w:color w:val="auto"/>
          <w:sz w:val="24"/>
          <w:highlight w:val="none"/>
          <w:lang w:val="en-US" w:eastAsia="zh-CN"/>
        </w:rPr>
        <w:t>合同暂定价</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金额为</w:t>
      </w:r>
      <w:r>
        <w:rPr>
          <w:rFonts w:hint="eastAsia" w:hAnsi="宋体" w:cs="宋体"/>
          <w:color w:val="auto"/>
          <w:sz w:val="24"/>
          <w:szCs w:val="24"/>
          <w:highlight w:val="none"/>
        </w:rPr>
        <w:t>：</w:t>
      </w:r>
      <w:r>
        <w:rPr>
          <w:rFonts w:hAnsi="宋体" w:cs="宋体"/>
          <w:color w:val="auto"/>
          <w:sz w:val="24"/>
          <w:szCs w:val="24"/>
          <w:highlight w:val="none"/>
          <w:u w:val="single"/>
        </w:rPr>
        <w:t xml:space="preserve">       </w:t>
      </w:r>
      <w:r>
        <w:rPr>
          <w:rFonts w:hint="eastAsia" w:hAnsi="宋体" w:cs="宋体"/>
          <w:color w:val="auto"/>
          <w:sz w:val="24"/>
          <w:szCs w:val="24"/>
          <w:highlight w:val="none"/>
        </w:rPr>
        <w:t>元（其中不含税价：</w:t>
      </w:r>
      <w:r>
        <w:rPr>
          <w:rFonts w:hAnsi="宋体" w:cs="宋体"/>
          <w:color w:val="auto"/>
          <w:sz w:val="24"/>
          <w:szCs w:val="24"/>
          <w:highlight w:val="none"/>
          <w:u w:val="single"/>
        </w:rPr>
        <w:t xml:space="preserve">         </w:t>
      </w:r>
      <w:r>
        <w:rPr>
          <w:rFonts w:hint="eastAsia" w:hAnsi="宋体" w:cs="宋体"/>
          <w:color w:val="auto"/>
          <w:sz w:val="24"/>
          <w:szCs w:val="24"/>
          <w:highlight w:val="none"/>
        </w:rPr>
        <w:t>元）。人民币大写：</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rPr>
        <w:t>（其中不含税价大写：</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rPr>
        <w:t>）。</w:t>
      </w:r>
    </w:p>
    <w:bookmarkEnd w:id="38"/>
    <w:p>
      <w:pPr>
        <w:pStyle w:val="14"/>
        <w:shd w:val="clear" w:color="auto" w:fill="auto"/>
        <w:adjustRightInd w:val="0"/>
        <w:snapToGrid w:val="0"/>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2、本项目监理服务费结算价计算方式如下：</w:t>
      </w:r>
    </w:p>
    <w:p>
      <w:pPr>
        <w:pStyle w:val="14"/>
        <w:shd w:val="clear" w:color="auto" w:fill="auto"/>
        <w:adjustRightInd w:val="0"/>
        <w:snapToGrid w:val="0"/>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工程监理服务费根据关于印发《广州开发区、萝岗区财政投资基本建设财务管理规定》的通知（穗开财字〔2014〕53号）以及国家发展改革委、建设部《关于印发〈建设工程监理与相关服务收费管理规定〉的通知》（发改价格〔2007〕670号）的收费标准计算，编制服务费总价结合现行市场行情下浮30%计取。</w:t>
      </w:r>
    </w:p>
    <w:p>
      <w:pPr>
        <w:pStyle w:val="14"/>
        <w:shd w:val="clear" w:color="auto" w:fill="auto"/>
        <w:adjustRightInd w:val="0"/>
        <w:snapToGrid w:val="0"/>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2）工程监理服务费收费基准价以本项目勘察设计施工总承包</w:t>
      </w:r>
      <w:r>
        <w:rPr>
          <w:rFonts w:hint="eastAsia" w:ascii="宋体" w:hAnsi="宋体"/>
          <w:color w:val="auto"/>
          <w:sz w:val="24"/>
          <w:highlight w:val="none"/>
          <w:lang w:val="en-US" w:eastAsia="zh-CN"/>
        </w:rPr>
        <w:t>概算</w:t>
      </w:r>
      <w:r>
        <w:rPr>
          <w:rFonts w:hint="eastAsia" w:ascii="宋体" w:hAnsi="宋体" w:eastAsia="宋体"/>
          <w:color w:val="auto"/>
          <w:sz w:val="24"/>
          <w:highlight w:val="none"/>
          <w:lang w:val="en-US" w:eastAsia="zh-CN"/>
        </w:rPr>
        <w:t>的建安工程费（不含酒店二次装修）</w:t>
      </w:r>
      <w:r>
        <w:rPr>
          <w:rFonts w:hint="eastAsia" w:ascii="宋体" w:hAnsi="宋体" w:eastAsia="宋体" w:cs="宋体"/>
          <w:color w:val="auto"/>
          <w:kern w:val="2"/>
          <w:sz w:val="24"/>
          <w:szCs w:val="24"/>
          <w:highlight w:val="none"/>
          <w:lang w:val="en-US" w:eastAsia="zh-CN" w:bidi="ar-SA"/>
        </w:rPr>
        <w:t>计算。</w:t>
      </w:r>
    </w:p>
    <w:p>
      <w:pPr>
        <w:pStyle w:val="14"/>
        <w:shd w:val="clear" w:color="auto" w:fill="auto"/>
        <w:adjustRightInd w:val="0"/>
        <w:snapToGrid w:val="0"/>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3）调整系数为1.0；工程复杂调整系数为1.0；高程调整系数为1.0。</w:t>
      </w:r>
    </w:p>
    <w:p>
      <w:pPr>
        <w:pStyle w:val="14"/>
        <w:shd w:val="clear" w:color="auto" w:fill="auto"/>
        <w:adjustRightInd w:val="0"/>
        <w:snapToGrid w:val="0"/>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hAnsi="宋体" w:cs="宋体"/>
          <w:color w:val="auto"/>
          <w:kern w:val="2"/>
          <w:sz w:val="24"/>
          <w:szCs w:val="24"/>
          <w:highlight w:val="none"/>
          <w:lang w:val="en-US" w:eastAsia="zh-CN" w:bidi="ar-SA"/>
        </w:rPr>
        <w:t>若</w:t>
      </w:r>
      <w:r>
        <w:rPr>
          <w:rFonts w:hint="eastAsia" w:ascii="宋体" w:hAnsi="宋体" w:eastAsia="宋体" w:cs="宋体"/>
          <w:color w:val="auto"/>
          <w:kern w:val="2"/>
          <w:sz w:val="24"/>
          <w:szCs w:val="24"/>
          <w:highlight w:val="none"/>
          <w:lang w:val="en-US" w:eastAsia="zh-CN" w:bidi="ar-SA"/>
        </w:rPr>
        <w:t>本项目勘察设计施工总承包</w:t>
      </w:r>
      <w:r>
        <w:rPr>
          <w:rFonts w:hint="eastAsia" w:ascii="宋体" w:hAnsi="宋体"/>
          <w:color w:val="auto"/>
          <w:sz w:val="24"/>
          <w:highlight w:val="none"/>
          <w:lang w:val="en-US" w:eastAsia="zh-CN"/>
        </w:rPr>
        <w:t>概算</w:t>
      </w:r>
      <w:r>
        <w:rPr>
          <w:rFonts w:hint="eastAsia" w:ascii="宋体" w:hAnsi="宋体" w:eastAsia="宋体"/>
          <w:color w:val="auto"/>
          <w:sz w:val="24"/>
          <w:highlight w:val="none"/>
          <w:lang w:val="en-US" w:eastAsia="zh-CN"/>
        </w:rPr>
        <w:t>的建安工程费（不含酒店二次装修）</w:t>
      </w:r>
      <w:r>
        <w:rPr>
          <w:rFonts w:hint="eastAsia" w:hAnsi="宋体" w:cs="宋体"/>
          <w:color w:val="auto"/>
          <w:kern w:val="2"/>
          <w:sz w:val="24"/>
          <w:szCs w:val="24"/>
          <w:highlight w:val="none"/>
          <w:lang w:val="en-US" w:eastAsia="zh-CN" w:bidi="ar-SA"/>
        </w:rPr>
        <w:t>在80000万元~</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0000</w:t>
      </w:r>
      <w:r>
        <w:rPr>
          <w:rFonts w:hint="eastAsia" w:hAnsi="宋体" w:cs="宋体"/>
          <w:color w:val="auto"/>
          <w:kern w:val="2"/>
          <w:sz w:val="24"/>
          <w:szCs w:val="24"/>
          <w:highlight w:val="none"/>
          <w:lang w:val="en-US" w:eastAsia="zh-CN" w:bidi="ar-SA"/>
        </w:rPr>
        <w:t>万元之间，</w:t>
      </w:r>
      <w:r>
        <w:rPr>
          <w:rFonts w:hint="eastAsia" w:ascii="宋体" w:hAnsi="宋体" w:eastAsia="宋体" w:cs="宋体"/>
          <w:color w:val="auto"/>
          <w:kern w:val="2"/>
          <w:sz w:val="24"/>
          <w:szCs w:val="24"/>
          <w:highlight w:val="none"/>
          <w:lang w:val="en-US" w:eastAsia="zh-CN" w:bidi="ar-SA"/>
        </w:rPr>
        <w:t xml:space="preserve">监理服务费结算价计算式为：   </w:t>
      </w:r>
    </w:p>
    <w:p>
      <w:pPr>
        <w:pStyle w:val="14"/>
        <w:shd w:val="clear" w:color="auto" w:fill="auto"/>
        <w:adjustRightInd w:val="0"/>
        <w:snapToGrid w:val="0"/>
        <w:ind w:firstLine="420"/>
        <w:rPr>
          <w:rFonts w:hint="default"/>
          <w:color w:val="auto"/>
          <w:highlight w:val="none"/>
          <w:lang w:val="en-US" w:eastAsia="zh-CN"/>
        </w:rPr>
      </w:pPr>
      <w:r>
        <w:rPr>
          <w:rFonts w:hint="eastAsia" w:ascii="宋体" w:hAnsi="宋体" w:eastAsia="宋体" w:cs="宋体"/>
          <w:color w:val="auto"/>
          <w:kern w:val="2"/>
          <w:sz w:val="24"/>
          <w:szCs w:val="24"/>
          <w:highlight w:val="none"/>
          <w:lang w:val="en-US" w:eastAsia="zh-CN" w:bidi="ar-SA"/>
        </w:rPr>
        <w:t>[1255.8+(1507-1255.8)/(100000-80000)*(本项目勘察设计施工总承包</w:t>
      </w:r>
      <w:r>
        <w:rPr>
          <w:rFonts w:hint="eastAsia" w:ascii="宋体" w:hAnsi="宋体"/>
          <w:color w:val="auto"/>
          <w:sz w:val="24"/>
          <w:highlight w:val="none"/>
          <w:lang w:val="en-US" w:eastAsia="zh-CN"/>
        </w:rPr>
        <w:t>概算</w:t>
      </w:r>
      <w:r>
        <w:rPr>
          <w:rFonts w:hint="eastAsia" w:ascii="宋体" w:hAnsi="宋体" w:eastAsia="宋体"/>
          <w:color w:val="auto"/>
          <w:sz w:val="24"/>
          <w:highlight w:val="none"/>
          <w:lang w:val="en-US" w:eastAsia="zh-CN"/>
        </w:rPr>
        <w:t>的建安工程费（不含酒店二次装修）</w:t>
      </w:r>
      <w:r>
        <w:rPr>
          <w:rFonts w:hint="eastAsia" w:ascii="宋体" w:hAnsi="宋体" w:eastAsia="宋体" w:cs="宋体"/>
          <w:color w:val="auto"/>
          <w:kern w:val="2"/>
          <w:sz w:val="24"/>
          <w:szCs w:val="24"/>
          <w:highlight w:val="none"/>
          <w:lang w:val="en-US" w:eastAsia="zh-CN" w:bidi="ar-SA"/>
        </w:rPr>
        <w:t>-80000)]*1.0*1.0*1.0*（1-30%）*（1-投标下浮率）。</w:t>
      </w:r>
    </w:p>
    <w:p>
      <w:pPr>
        <w:pStyle w:val="14"/>
        <w:numPr>
          <w:ilvl w:val="0"/>
          <w:numId w:val="1"/>
        </w:numPr>
        <w:shd w:val="clear" w:color="auto" w:fill="auto"/>
        <w:adjustRightInd w:val="0"/>
        <w:snapToGrid w:val="0"/>
        <w:ind w:firstLine="420"/>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若</w:t>
      </w:r>
      <w:r>
        <w:rPr>
          <w:rFonts w:hint="eastAsia" w:ascii="宋体" w:hAnsi="宋体" w:eastAsia="宋体" w:cs="宋体"/>
          <w:color w:val="auto"/>
          <w:kern w:val="2"/>
          <w:sz w:val="24"/>
          <w:szCs w:val="24"/>
          <w:highlight w:val="none"/>
          <w:lang w:val="en-US" w:eastAsia="zh-CN" w:bidi="ar-SA"/>
        </w:rPr>
        <w:t>本项目勘察设计施工总承包</w:t>
      </w:r>
      <w:r>
        <w:rPr>
          <w:rFonts w:hint="eastAsia" w:ascii="宋体" w:hAnsi="宋体"/>
          <w:color w:val="auto"/>
          <w:sz w:val="24"/>
          <w:highlight w:val="none"/>
          <w:lang w:val="en-US" w:eastAsia="zh-CN"/>
        </w:rPr>
        <w:t>概算</w:t>
      </w:r>
      <w:r>
        <w:rPr>
          <w:rFonts w:hint="eastAsia" w:ascii="宋体" w:hAnsi="宋体" w:eastAsia="宋体"/>
          <w:color w:val="auto"/>
          <w:sz w:val="24"/>
          <w:highlight w:val="none"/>
          <w:lang w:val="en-US" w:eastAsia="zh-CN"/>
        </w:rPr>
        <w:t>的建安工程费（不含酒店二次装修）</w:t>
      </w:r>
      <w:r>
        <w:rPr>
          <w:rFonts w:hint="eastAsia" w:hAnsi="宋体" w:cs="宋体"/>
          <w:color w:val="auto"/>
          <w:kern w:val="2"/>
          <w:sz w:val="24"/>
          <w:szCs w:val="24"/>
          <w:highlight w:val="none"/>
          <w:lang w:val="en-US" w:eastAsia="zh-CN" w:bidi="ar-SA"/>
        </w:rPr>
        <w:t>在60000万元~</w:t>
      </w:r>
      <w:r>
        <w:rPr>
          <w:rFonts w:hint="eastAsia" w:ascii="宋体" w:hAnsi="宋体" w:eastAsia="宋体" w:cs="宋体"/>
          <w:color w:val="auto"/>
          <w:kern w:val="2"/>
          <w:sz w:val="24"/>
          <w:szCs w:val="24"/>
          <w:highlight w:val="none"/>
          <w:lang w:val="en-US" w:eastAsia="zh-CN" w:bidi="ar-SA"/>
        </w:rPr>
        <w:t>80000</w:t>
      </w:r>
      <w:r>
        <w:rPr>
          <w:rFonts w:hint="eastAsia" w:hAnsi="宋体" w:cs="宋体"/>
          <w:color w:val="auto"/>
          <w:kern w:val="2"/>
          <w:sz w:val="24"/>
          <w:szCs w:val="24"/>
          <w:highlight w:val="none"/>
          <w:lang w:val="en-US" w:eastAsia="zh-CN" w:bidi="ar-SA"/>
        </w:rPr>
        <w:t>万元之间，</w:t>
      </w:r>
      <w:r>
        <w:rPr>
          <w:rFonts w:hint="eastAsia" w:ascii="宋体" w:hAnsi="宋体" w:eastAsia="宋体" w:cs="宋体"/>
          <w:color w:val="auto"/>
          <w:kern w:val="2"/>
          <w:sz w:val="24"/>
          <w:szCs w:val="24"/>
          <w:highlight w:val="none"/>
          <w:lang w:val="en-US" w:eastAsia="zh-CN" w:bidi="ar-SA"/>
        </w:rPr>
        <w:t>监理服务费结算价计算式为：</w:t>
      </w:r>
    </w:p>
    <w:p>
      <w:pPr>
        <w:pStyle w:val="14"/>
        <w:shd w:val="clear" w:color="auto" w:fill="auto"/>
        <w:adjustRightInd w:val="0"/>
        <w:snapToGrid w:val="0"/>
        <w:ind w:firstLine="420"/>
        <w:rPr>
          <w:rFonts w:hint="default"/>
          <w:color w:val="auto"/>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991.4</w:t>
      </w:r>
      <w:r>
        <w:rPr>
          <w:rFonts w:hint="eastAsia" w:ascii="宋体" w:hAnsi="宋体" w:eastAsia="宋体" w:cs="宋体"/>
          <w:color w:val="auto"/>
          <w:kern w:val="2"/>
          <w:sz w:val="24"/>
          <w:szCs w:val="24"/>
          <w:highlight w:val="none"/>
          <w:lang w:val="en-US" w:eastAsia="zh-CN" w:bidi="ar-SA"/>
        </w:rPr>
        <w:t>+(1255.8-</w:t>
      </w:r>
      <w:r>
        <w:rPr>
          <w:rFonts w:hint="eastAsia" w:hAnsi="宋体" w:cs="宋体"/>
          <w:color w:val="auto"/>
          <w:kern w:val="2"/>
          <w:sz w:val="24"/>
          <w:szCs w:val="24"/>
          <w:highlight w:val="none"/>
          <w:lang w:val="en-US" w:eastAsia="zh-CN" w:bidi="ar-SA"/>
        </w:rPr>
        <w:t>991.40</w:t>
      </w:r>
      <w:r>
        <w:rPr>
          <w:rFonts w:hint="eastAsia" w:ascii="宋体" w:hAnsi="宋体" w:eastAsia="宋体" w:cs="宋体"/>
          <w:color w:val="auto"/>
          <w:kern w:val="2"/>
          <w:sz w:val="24"/>
          <w:szCs w:val="24"/>
          <w:highlight w:val="none"/>
          <w:lang w:val="en-US" w:eastAsia="zh-CN" w:bidi="ar-SA"/>
        </w:rPr>
        <w:t>)/(80000-</w:t>
      </w:r>
      <w:r>
        <w:rPr>
          <w:rFonts w:hint="eastAsia"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0000)*(本项目勘察设计施工总承包</w:t>
      </w:r>
      <w:r>
        <w:rPr>
          <w:rFonts w:hint="eastAsia" w:ascii="宋体" w:hAnsi="宋体"/>
          <w:color w:val="auto"/>
          <w:sz w:val="24"/>
          <w:highlight w:val="none"/>
          <w:lang w:val="en-US" w:eastAsia="zh-CN"/>
        </w:rPr>
        <w:t>概算</w:t>
      </w:r>
      <w:r>
        <w:rPr>
          <w:rFonts w:hint="eastAsia" w:ascii="宋体" w:hAnsi="宋体" w:eastAsia="宋体"/>
          <w:color w:val="auto"/>
          <w:sz w:val="24"/>
          <w:highlight w:val="none"/>
          <w:lang w:val="en-US" w:eastAsia="zh-CN"/>
        </w:rPr>
        <w:t>的建安工程费（不含酒店二次装修）</w:t>
      </w: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0000)]*1.0*1.0*1.0*（1-30%）*（1-投标下浮率）。</w:t>
      </w:r>
      <w:r>
        <w:rPr>
          <w:rFonts w:hint="eastAsia"/>
          <w:color w:val="auto"/>
          <w:highlight w:val="none"/>
          <w:lang w:val="en-US" w:eastAsia="zh-CN"/>
        </w:rPr>
        <w:t xml:space="preserve"> </w:t>
      </w:r>
    </w:p>
    <w:p>
      <w:pPr>
        <w:pStyle w:val="14"/>
        <w:numPr>
          <w:ilvl w:val="0"/>
          <w:numId w:val="1"/>
        </w:numPr>
        <w:shd w:val="clear" w:color="auto" w:fill="auto"/>
        <w:adjustRightInd w:val="0"/>
        <w:snapToGrid w:val="0"/>
        <w:ind w:left="0" w:leftChars="0" w:firstLine="420" w:firstLineChars="0"/>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若</w:t>
      </w:r>
      <w:r>
        <w:rPr>
          <w:rFonts w:hint="eastAsia" w:ascii="宋体" w:hAnsi="宋体" w:eastAsia="宋体" w:cs="宋体"/>
          <w:color w:val="auto"/>
          <w:kern w:val="2"/>
          <w:sz w:val="24"/>
          <w:szCs w:val="24"/>
          <w:highlight w:val="none"/>
          <w:lang w:val="en-US" w:eastAsia="zh-CN" w:bidi="ar-SA"/>
        </w:rPr>
        <w:t>本项目勘察设计施工总承包</w:t>
      </w:r>
      <w:r>
        <w:rPr>
          <w:rFonts w:hint="eastAsia" w:ascii="宋体" w:hAnsi="宋体"/>
          <w:color w:val="auto"/>
          <w:sz w:val="24"/>
          <w:highlight w:val="none"/>
          <w:lang w:val="en-US" w:eastAsia="zh-CN"/>
        </w:rPr>
        <w:t>概算</w:t>
      </w:r>
      <w:r>
        <w:rPr>
          <w:rFonts w:hint="eastAsia" w:ascii="宋体" w:hAnsi="宋体" w:eastAsia="宋体"/>
          <w:color w:val="auto"/>
          <w:sz w:val="24"/>
          <w:highlight w:val="none"/>
          <w:lang w:val="en-US" w:eastAsia="zh-CN"/>
        </w:rPr>
        <w:t>的建安工程费（不含酒店二次装修）</w:t>
      </w:r>
      <w:r>
        <w:rPr>
          <w:rFonts w:hint="eastAsia" w:hAnsi="宋体" w:cs="宋体"/>
          <w:color w:val="auto"/>
          <w:kern w:val="2"/>
          <w:sz w:val="24"/>
          <w:szCs w:val="24"/>
          <w:highlight w:val="none"/>
          <w:lang w:val="en-US" w:eastAsia="zh-CN" w:bidi="ar-SA"/>
        </w:rPr>
        <w:t>超出了上述计算公式的价格范围，按</w:t>
      </w:r>
      <w:r>
        <w:rPr>
          <w:rFonts w:hint="eastAsia" w:ascii="宋体" w:hAnsi="宋体" w:eastAsia="宋体" w:cs="宋体"/>
          <w:color w:val="auto"/>
          <w:kern w:val="2"/>
          <w:sz w:val="24"/>
          <w:szCs w:val="24"/>
          <w:highlight w:val="none"/>
          <w:lang w:val="en-US" w:eastAsia="zh-CN" w:bidi="ar-SA"/>
        </w:rPr>
        <w:t>国家发展改革委、建设部《关于印发〈建设工程监理与相关服务收费管理规定〉的通知》（发改价格〔2007〕670号）的收费标准计算</w:t>
      </w:r>
      <w:r>
        <w:rPr>
          <w:rFonts w:hint="eastAsia" w:hAnsi="宋体" w:cs="宋体"/>
          <w:color w:val="auto"/>
          <w:kern w:val="2"/>
          <w:sz w:val="24"/>
          <w:szCs w:val="24"/>
          <w:highlight w:val="none"/>
          <w:lang w:val="en-US" w:eastAsia="zh-CN" w:bidi="ar-SA"/>
        </w:rPr>
        <w:t>，再乘上述系数及相关下浮率。</w:t>
      </w:r>
    </w:p>
    <w:p>
      <w:pPr>
        <w:pStyle w:val="14"/>
        <w:numPr>
          <w:ilvl w:val="0"/>
          <w:numId w:val="1"/>
        </w:numPr>
        <w:shd w:val="clear" w:color="auto" w:fill="auto"/>
        <w:adjustRightInd w:val="0"/>
        <w:snapToGrid w:val="0"/>
        <w:ind w:left="0" w:leftChars="0" w:firstLine="420" w:firstLineChars="0"/>
        <w:rPr>
          <w:rFonts w:hAnsi="宋体" w:cs="宋体"/>
          <w:color w:val="auto"/>
          <w:highlight w:val="none"/>
        </w:rPr>
      </w:pPr>
      <w:r>
        <w:rPr>
          <w:rFonts w:hint="eastAsia" w:ascii="宋体" w:hAnsi="宋体" w:eastAsia="宋体" w:cs="宋体"/>
          <w:color w:val="auto"/>
          <w:kern w:val="2"/>
          <w:sz w:val="24"/>
          <w:szCs w:val="24"/>
          <w:highlight w:val="none"/>
          <w:lang w:val="en-US" w:eastAsia="zh-CN" w:bidi="ar-SA"/>
        </w:rPr>
        <w:t>监理服务费结算价低于合同暂定价按实结算，高于合同暂定价按合同暂定价结算。</w:t>
      </w:r>
    </w:p>
    <w:p>
      <w:pPr>
        <w:pStyle w:val="14"/>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firstLine="420"/>
        <w:textAlignment w:val="auto"/>
        <w:rPr>
          <w:rFonts w:hint="default" w:ascii="宋体" w:hAnsi="宋体" w:eastAsia="宋体" w:cs="宋体"/>
          <w:color w:val="auto"/>
          <w:kern w:val="2"/>
          <w:sz w:val="24"/>
          <w:highlight w:val="none"/>
          <w:lang w:val="en-US" w:eastAsia="zh-CN"/>
        </w:rPr>
      </w:pPr>
      <w:r>
        <w:rPr>
          <w:rFonts w:hint="eastAsia" w:hAnsi="宋体" w:cs="宋体"/>
          <w:color w:val="auto"/>
          <w:highlight w:val="none"/>
          <w:lang w:val="en-US" w:eastAsia="zh-CN"/>
        </w:rPr>
        <w:t>3</w:t>
      </w:r>
      <w:r>
        <w:rPr>
          <w:rFonts w:hint="eastAsia" w:ascii="宋体" w:hAnsi="宋体" w:eastAsia="宋体" w:cs="宋体"/>
          <w:color w:val="auto"/>
          <w:highlight w:val="none"/>
        </w:rPr>
        <w:t>、在本合同约定的监理范围内，当工程量增加、或设计变更或设计规模变化时，监理人工作的变化均应视为包含在本合同约定的监理工作内</w:t>
      </w:r>
      <w:bookmarkStart w:id="40" w:name="_Hlk54165653"/>
      <w:r>
        <w:rPr>
          <w:rFonts w:hint="eastAsia" w:ascii="宋体" w:hAnsi="宋体" w:eastAsia="宋体" w:cs="宋体"/>
          <w:color w:val="auto"/>
          <w:highlight w:val="none"/>
        </w:rPr>
        <w:t>，委托人不再另行支付费用</w:t>
      </w:r>
      <w:bookmarkEnd w:id="40"/>
      <w:r>
        <w:rPr>
          <w:rFonts w:hint="eastAsia" w:ascii="宋体" w:hAnsi="宋体" w:eastAsia="宋体" w:cs="宋体"/>
          <w:color w:val="auto"/>
          <w:kern w:val="2"/>
          <w:sz w:val="24"/>
          <w:highlight w:val="none"/>
          <w:lang w:val="en-US" w:eastAsia="zh-CN"/>
        </w:rPr>
        <w:t>。</w:t>
      </w:r>
    </w:p>
    <w:p>
      <w:pPr>
        <w:pStyle w:val="14"/>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firstLine="420"/>
        <w:textAlignment w:val="auto"/>
        <w:rPr>
          <w:rFonts w:hint="eastAsia" w:ascii="宋体" w:hAnsi="宋体" w:eastAsia="宋体" w:cs="宋体"/>
          <w:color w:val="auto"/>
          <w:highlight w:val="none"/>
        </w:rPr>
      </w:pPr>
      <w:r>
        <w:rPr>
          <w:rFonts w:hint="eastAsia" w:hAnsi="宋体" w:cs="宋体"/>
          <w:color w:val="auto"/>
          <w:highlight w:val="none"/>
          <w:lang w:val="en-US" w:eastAsia="zh-CN"/>
        </w:rPr>
        <w:t>4</w:t>
      </w:r>
      <w:r>
        <w:rPr>
          <w:rFonts w:hint="eastAsia" w:ascii="宋体" w:hAnsi="宋体" w:eastAsia="宋体" w:cs="宋体"/>
          <w:color w:val="auto"/>
          <w:highlight w:val="none"/>
        </w:rPr>
        <w:t>、除非双方另有约定，本合同约定的服务期间，各种费率和费用不因物价变动而给予弥补或调整。</w:t>
      </w:r>
    </w:p>
    <w:p>
      <w:pPr>
        <w:pStyle w:val="14"/>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firstLine="420"/>
        <w:textAlignment w:val="auto"/>
        <w:rPr>
          <w:rFonts w:hint="eastAsia" w:ascii="宋体" w:hAnsi="宋体" w:eastAsia="宋体" w:cs="宋体"/>
          <w:color w:val="auto"/>
          <w:highlight w:val="none"/>
        </w:rPr>
      </w:pPr>
      <w:r>
        <w:rPr>
          <w:rFonts w:hint="eastAsia" w:hAnsi="宋体" w:cs="宋体"/>
          <w:color w:val="auto"/>
          <w:highlight w:val="none"/>
          <w:lang w:val="en-US" w:eastAsia="zh-CN"/>
        </w:rPr>
        <w:t>5</w:t>
      </w:r>
      <w:r>
        <w:rPr>
          <w:rFonts w:hint="eastAsia" w:ascii="宋体" w:hAnsi="宋体" w:eastAsia="宋体" w:cs="宋体"/>
          <w:color w:val="auto"/>
          <w:highlight w:val="none"/>
        </w:rPr>
        <w:t>、本工程监理费用已包含监理人履行本项目合同项下所有义务所需所有成本费用，包括但不限于完成全部监理工作所需的工作人员工资、住宿费、加班费、驻现场人员津贴福利、差旅费、考察费、交通费、办公桌椅、固定电话报装及资讯费用、后勤保障、电话机、饮水机、复印机、空调、文件复印/国内外电话费、传真邮递费、办公用水、电费等服务过程中发生的一切费用及监理人的管理费、利润、规费等费用。</w:t>
      </w:r>
    </w:p>
    <w:bookmarkEnd w:id="39"/>
    <w:p>
      <w:pPr>
        <w:pStyle w:val="14"/>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Ansi="宋体" w:cs="宋体"/>
          <w:color w:val="auto"/>
          <w:highlight w:val="none"/>
        </w:rPr>
      </w:pPr>
      <w:r>
        <w:rPr>
          <w:rFonts w:hint="eastAsia" w:hAnsi="宋体" w:cs="宋体"/>
          <w:color w:val="auto"/>
          <w:highlight w:val="none"/>
          <w:lang w:val="en-US" w:eastAsia="zh-CN"/>
        </w:rPr>
        <w:t>6</w:t>
      </w:r>
      <w:r>
        <w:rPr>
          <w:rFonts w:hint="eastAsia" w:hAnsi="宋体" w:cs="宋体"/>
          <w:color w:val="auto"/>
          <w:highlight w:val="none"/>
        </w:rPr>
        <w:t>、</w:t>
      </w:r>
      <w:r>
        <w:rPr>
          <w:rFonts w:hAnsi="宋体" w:cs="宋体"/>
          <w:color w:val="auto"/>
          <w:highlight w:val="none"/>
        </w:rPr>
        <w:t>在合同履行期间，如遇国家的税率政策调整，合同不含税价格不因国家税率变化而变化，合同含税价格按国家的税率政策进行调整。</w:t>
      </w:r>
    </w:p>
    <w:p>
      <w:pPr>
        <w:pStyle w:val="14"/>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Ansi="宋体" w:cs="宋体"/>
          <w:color w:val="auto"/>
          <w:highlight w:val="none"/>
        </w:rPr>
      </w:pPr>
      <w:r>
        <w:rPr>
          <w:rFonts w:hint="eastAsia" w:hAnsi="宋体" w:cs="宋体"/>
          <w:color w:val="auto"/>
          <w:highlight w:val="none"/>
          <w:lang w:val="en-US" w:eastAsia="zh-CN"/>
        </w:rPr>
        <w:t>7</w:t>
      </w:r>
      <w:r>
        <w:rPr>
          <w:rFonts w:hint="eastAsia" w:hAnsi="宋体" w:cs="宋体"/>
          <w:color w:val="auto"/>
          <w:highlight w:val="none"/>
        </w:rPr>
        <w:t>、在本合同约定的监理范围内，非因监理人原因造成工程延期，致使监理服务期出现延长，监理人的责任期也应相应延长，不因监理服务期的延长而调整本合同监理酬金。</w:t>
      </w:r>
    </w:p>
    <w:p>
      <w:pPr>
        <w:pStyle w:val="14"/>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Ansi="宋体" w:cs="宋体"/>
          <w:color w:val="auto"/>
          <w:highlight w:val="none"/>
        </w:rPr>
      </w:pPr>
      <w:r>
        <w:rPr>
          <w:rFonts w:hint="eastAsia" w:hAnsi="宋体" w:cs="宋体"/>
          <w:color w:val="auto"/>
          <w:highlight w:val="none"/>
          <w:lang w:val="en-US" w:eastAsia="zh-CN"/>
        </w:rPr>
        <w:t>8</w:t>
      </w:r>
      <w:r>
        <w:rPr>
          <w:rFonts w:hint="eastAsia" w:hAnsi="宋体" w:cs="宋体"/>
          <w:color w:val="auto"/>
          <w:highlight w:val="none"/>
        </w:rPr>
        <w:t>、如在工程实施期间，因国家政策变化、政府对本合同工程的计划调整或不可抗力等非委托人原因造成本合同工程停建的，则监理人必须接受终止服务并积极配合委托人做好善后工作，按已实际完成的监理服务内容和本合同的相关约定结清监理报酬。</w:t>
      </w:r>
    </w:p>
    <w:p>
      <w:pPr>
        <w:pStyle w:val="14"/>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Ansi="宋体" w:cs="宋体"/>
          <w:color w:val="auto"/>
          <w:highlight w:val="none"/>
        </w:rPr>
      </w:pPr>
      <w:r>
        <w:rPr>
          <w:rFonts w:hint="eastAsia" w:hAnsi="宋体" w:cs="宋体"/>
          <w:color w:val="auto"/>
          <w:highlight w:val="none"/>
          <w:lang w:val="en-US" w:eastAsia="zh-CN"/>
        </w:rPr>
        <w:t>9</w:t>
      </w:r>
      <w:r>
        <w:rPr>
          <w:rFonts w:hint="eastAsia" w:hAnsi="宋体" w:cs="宋体"/>
          <w:color w:val="auto"/>
          <w:highlight w:val="none"/>
        </w:rPr>
        <w:t>、如在工程实施期间，因任何原因造成本合同工程中间停工而导致监理人必须二次或多次进出场，监理报酬总额将不会因此而有所调整，相关费用亦已经包含在本合同监理报酬中。</w:t>
      </w:r>
    </w:p>
    <w:p>
      <w:pPr>
        <w:pStyle w:val="14"/>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Ansi="宋体" w:cs="宋体"/>
          <w:color w:val="auto"/>
          <w:highlight w:val="none"/>
        </w:rPr>
      </w:pPr>
      <w:r>
        <w:rPr>
          <w:rFonts w:hint="eastAsia" w:hAnsi="宋体" w:cs="宋体"/>
          <w:color w:val="auto"/>
          <w:highlight w:val="none"/>
        </w:rPr>
        <w:t>2、双方同意按以下方法、支付时间支付监理报酬：</w:t>
      </w:r>
    </w:p>
    <w:p>
      <w:pPr>
        <w:pStyle w:val="14"/>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Ansi="宋体" w:cs="宋体"/>
          <w:color w:val="auto"/>
          <w:sz w:val="24"/>
          <w:szCs w:val="24"/>
          <w:highlight w:val="none"/>
        </w:rPr>
      </w:pPr>
      <w:r>
        <w:rPr>
          <w:rFonts w:hint="eastAsia" w:hAnsi="宋体" w:cs="宋体"/>
          <w:color w:val="auto"/>
          <w:sz w:val="24"/>
          <w:szCs w:val="24"/>
          <w:highlight w:val="none"/>
        </w:rPr>
        <w:t>（</w:t>
      </w:r>
      <w:r>
        <w:rPr>
          <w:rFonts w:hAnsi="宋体" w:cs="宋体"/>
          <w:color w:val="auto"/>
          <w:sz w:val="24"/>
          <w:szCs w:val="24"/>
          <w:highlight w:val="none"/>
        </w:rPr>
        <w:t>1</w:t>
      </w:r>
      <w:r>
        <w:rPr>
          <w:rFonts w:hint="eastAsia" w:hAnsi="宋体" w:cs="宋体"/>
          <w:color w:val="auto"/>
          <w:sz w:val="24"/>
          <w:szCs w:val="24"/>
          <w:highlight w:val="none"/>
        </w:rPr>
        <w:t>）本项目进度监理服务费根据</w:t>
      </w:r>
      <w:r>
        <w:rPr>
          <w:rFonts w:hAnsi="宋体" w:cs="宋体"/>
          <w:color w:val="auto"/>
          <w:sz w:val="24"/>
          <w:szCs w:val="24"/>
          <w:highlight w:val="none"/>
        </w:rPr>
        <w:t>各区域或单体</w:t>
      </w:r>
      <w:r>
        <w:rPr>
          <w:rFonts w:hint="eastAsia" w:hAnsi="宋体" w:cs="宋体"/>
          <w:color w:val="auto"/>
          <w:sz w:val="24"/>
          <w:szCs w:val="24"/>
          <w:highlight w:val="none"/>
        </w:rPr>
        <w:t>实际工程节点支付</w:t>
      </w:r>
      <w:r>
        <w:rPr>
          <w:rFonts w:hint="eastAsia" w:hAnsi="宋体" w:cs="宋体"/>
          <w:color w:val="auto"/>
          <w:sz w:val="24"/>
          <w:szCs w:val="24"/>
          <w:highlight w:val="none"/>
          <w:lang w:eastAsia="zh-CN"/>
        </w:rPr>
        <w:t>，</w:t>
      </w:r>
      <w:r>
        <w:rPr>
          <w:rFonts w:hAnsi="宋体" w:cs="宋体"/>
          <w:color w:val="auto"/>
          <w:sz w:val="24"/>
          <w:szCs w:val="24"/>
          <w:highlight w:val="none"/>
        </w:rPr>
        <w:t>最终结算价以合同约定</w:t>
      </w:r>
      <w:r>
        <w:rPr>
          <w:rFonts w:hint="eastAsia" w:hAnsi="宋体" w:cs="宋体"/>
          <w:color w:val="auto"/>
          <w:sz w:val="24"/>
          <w:szCs w:val="24"/>
          <w:highlight w:val="none"/>
        </w:rPr>
        <w:t>结算方式</w:t>
      </w:r>
      <w:r>
        <w:rPr>
          <w:rFonts w:hAnsi="宋体" w:cs="宋体"/>
          <w:color w:val="auto"/>
          <w:sz w:val="24"/>
          <w:szCs w:val="24"/>
          <w:highlight w:val="none"/>
        </w:rPr>
        <w:t>计算。</w:t>
      </w:r>
    </w:p>
    <w:p>
      <w:pPr>
        <w:pStyle w:val="14"/>
        <w:keepNext w:val="0"/>
        <w:keepLines w:val="0"/>
        <w:pageBreakBefore w:val="0"/>
        <w:widowControl w:val="0"/>
        <w:kinsoku/>
        <w:wordWrap/>
        <w:overflowPunct/>
        <w:topLinePunct w:val="0"/>
        <w:autoSpaceDE/>
        <w:autoSpaceDN/>
        <w:bidi w:val="0"/>
        <w:adjustRightInd w:val="0"/>
        <w:snapToGrid w:val="0"/>
        <w:spacing w:line="288" w:lineRule="auto"/>
        <w:ind w:firstLine="420"/>
        <w:textAlignment w:val="auto"/>
        <w:rPr>
          <w:rFonts w:hAnsi="宋体" w:cs="宋体"/>
          <w:color w:val="auto"/>
          <w:sz w:val="24"/>
          <w:szCs w:val="24"/>
          <w:highlight w:val="none"/>
        </w:rPr>
      </w:pPr>
      <w:r>
        <w:rPr>
          <w:rFonts w:hint="eastAsia" w:hAnsi="宋体" w:cs="宋体"/>
          <w:color w:val="auto"/>
          <w:sz w:val="24"/>
          <w:szCs w:val="24"/>
          <w:highlight w:val="none"/>
        </w:rPr>
        <w:t>具体的支付方式如下</w:t>
      </w:r>
      <w:r>
        <w:rPr>
          <w:rFonts w:hint="eastAsia" w:hAnsi="宋体" w:cs="宋体"/>
          <w:b/>
          <w:bCs/>
          <w:color w:val="auto"/>
          <w:sz w:val="24"/>
          <w:szCs w:val="24"/>
          <w:highlight w:val="none"/>
        </w:rPr>
        <w:t>（各区域或单体具体划分以委托人确认为准）: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873"/>
        <w:gridCol w:w="1890"/>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72" w:type="dxa"/>
            <w:noWrap w:val="0"/>
            <w:vAlign w:val="center"/>
          </w:tcPr>
          <w:p>
            <w:pPr>
              <w:jc w:val="center"/>
              <w:rPr>
                <w:rFonts w:ascii="宋体" w:hAnsi="宋体" w:cs="仿宋"/>
                <w:color w:val="auto"/>
                <w:sz w:val="24"/>
                <w:szCs w:val="24"/>
                <w:highlight w:val="none"/>
              </w:rPr>
            </w:pPr>
            <w:r>
              <w:rPr>
                <w:rFonts w:hint="eastAsia" w:ascii="宋体" w:hAnsi="宋体" w:cs="仿宋"/>
                <w:color w:val="auto"/>
                <w:sz w:val="24"/>
                <w:szCs w:val="24"/>
                <w:highlight w:val="none"/>
              </w:rPr>
              <w:t>付费类型</w:t>
            </w:r>
          </w:p>
        </w:tc>
        <w:tc>
          <w:tcPr>
            <w:tcW w:w="1873" w:type="dxa"/>
            <w:noWrap w:val="0"/>
            <w:vAlign w:val="center"/>
          </w:tcPr>
          <w:p>
            <w:pPr>
              <w:ind w:leftChars="-39" w:hanging="81" w:hangingChars="34"/>
              <w:jc w:val="center"/>
              <w:rPr>
                <w:rFonts w:ascii="宋体" w:hAnsi="宋体" w:cs="仿宋"/>
                <w:color w:val="auto"/>
                <w:sz w:val="24"/>
                <w:szCs w:val="24"/>
                <w:highlight w:val="none"/>
              </w:rPr>
            </w:pPr>
            <w:r>
              <w:rPr>
                <w:rFonts w:hint="eastAsia" w:ascii="宋体" w:hAnsi="宋体" w:cs="仿宋"/>
                <w:color w:val="auto"/>
                <w:sz w:val="24"/>
                <w:szCs w:val="24"/>
                <w:highlight w:val="none"/>
              </w:rPr>
              <w:t>付费次序</w:t>
            </w:r>
          </w:p>
        </w:tc>
        <w:tc>
          <w:tcPr>
            <w:tcW w:w="1890" w:type="dxa"/>
            <w:noWrap w:val="0"/>
            <w:vAlign w:val="center"/>
          </w:tcPr>
          <w:p>
            <w:pPr>
              <w:spacing w:line="276" w:lineRule="auto"/>
              <w:ind w:firstLine="120" w:firstLineChars="50"/>
              <w:jc w:val="center"/>
              <w:rPr>
                <w:rFonts w:ascii="宋体" w:hAnsi="宋体" w:cs="仿宋"/>
                <w:color w:val="auto"/>
                <w:sz w:val="24"/>
                <w:szCs w:val="24"/>
                <w:highlight w:val="none"/>
              </w:rPr>
            </w:pPr>
            <w:r>
              <w:rPr>
                <w:rFonts w:hint="eastAsia" w:ascii="宋体" w:hAnsi="宋体" w:cs="仿宋"/>
                <w:color w:val="auto"/>
                <w:sz w:val="24"/>
                <w:szCs w:val="24"/>
                <w:highlight w:val="none"/>
              </w:rPr>
              <w:t>付费额（元）</w:t>
            </w:r>
          </w:p>
        </w:tc>
        <w:tc>
          <w:tcPr>
            <w:tcW w:w="3267"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1872"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首期监理费</w:t>
            </w:r>
          </w:p>
        </w:tc>
        <w:tc>
          <w:tcPr>
            <w:tcW w:w="1873"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w:t>
            </w:r>
          </w:p>
        </w:tc>
        <w:tc>
          <w:tcPr>
            <w:tcW w:w="1890"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本项目监理合同价的</w:t>
            </w:r>
            <w:r>
              <w:rPr>
                <w:rFonts w:ascii="宋体" w:hAnsi="宋体" w:cs="仿宋"/>
                <w:color w:val="auto"/>
                <w:sz w:val="24"/>
                <w:szCs w:val="24"/>
                <w:highlight w:val="none"/>
              </w:rPr>
              <w:t>10%</w:t>
            </w:r>
          </w:p>
        </w:tc>
        <w:tc>
          <w:tcPr>
            <w:tcW w:w="3267" w:type="dxa"/>
            <w:noWrap w:val="0"/>
            <w:vAlign w:val="center"/>
          </w:tcPr>
          <w:p>
            <w:pPr>
              <w:spacing w:line="276" w:lineRule="auto"/>
              <w:jc w:val="center"/>
              <w:rPr>
                <w:rFonts w:hint="default" w:ascii="宋体" w:hAnsi="宋体" w:eastAsia="宋体" w:cs="仿宋"/>
                <w:color w:val="auto"/>
                <w:sz w:val="24"/>
                <w:szCs w:val="24"/>
                <w:highlight w:val="none"/>
                <w:lang w:val="en-US" w:eastAsia="zh-CN"/>
              </w:rPr>
            </w:pPr>
            <w:r>
              <w:rPr>
                <w:rFonts w:hint="eastAsia" w:ascii="宋体" w:hAnsi="宋体" w:cs="仿宋"/>
                <w:color w:val="auto"/>
                <w:sz w:val="24"/>
                <w:szCs w:val="24"/>
                <w:highlight w:val="none"/>
              </w:rPr>
              <w:t>监理合同签订且总监理工程师签发本项目总承包工程开工令后</w:t>
            </w:r>
            <w:r>
              <w:rPr>
                <w:rFonts w:ascii="宋体" w:hAnsi="宋体" w:cs="仿宋"/>
                <w:color w:val="auto"/>
                <w:sz w:val="24"/>
                <w:szCs w:val="24"/>
                <w:highlight w:val="none"/>
              </w:rPr>
              <w:t>，且监理人提供经委托人审批的监理规划、监理实施细则，项目监理人员组织机构经委托人审核备案</w:t>
            </w:r>
            <w:r>
              <w:rPr>
                <w:rFonts w:hint="eastAsia" w:ascii="宋体" w:hAnsi="宋体" w:cs="仿宋"/>
                <w:color w:val="auto"/>
                <w:sz w:val="24"/>
                <w:szCs w:val="24"/>
                <w:highlight w:val="none"/>
              </w:rPr>
              <w:t>，项目施工实施前支付。</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lang w:val="en-US" w:eastAsia="zh-CN"/>
              </w:rPr>
              <w:t>提供银行保函）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1872"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过程付款</w:t>
            </w:r>
          </w:p>
        </w:tc>
        <w:tc>
          <w:tcPr>
            <w:tcW w:w="1873"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第一次付费</w:t>
            </w:r>
          </w:p>
        </w:tc>
        <w:tc>
          <w:tcPr>
            <w:tcW w:w="1890"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本项目监理合同价的</w:t>
            </w:r>
            <w:r>
              <w:rPr>
                <w:rFonts w:hint="eastAsia" w:ascii="宋体" w:hAnsi="宋体" w:cs="仿宋"/>
                <w:color w:val="auto"/>
                <w:sz w:val="24"/>
                <w:szCs w:val="24"/>
                <w:highlight w:val="none"/>
                <w:lang w:val="en-US" w:eastAsia="zh-CN"/>
              </w:rPr>
              <w:t>10</w:t>
            </w:r>
            <w:r>
              <w:rPr>
                <w:rFonts w:ascii="宋体" w:hAnsi="宋体" w:cs="仿宋"/>
                <w:color w:val="auto"/>
                <w:sz w:val="24"/>
                <w:szCs w:val="24"/>
                <w:highlight w:val="none"/>
              </w:rPr>
              <w:t>%</w:t>
            </w:r>
          </w:p>
        </w:tc>
        <w:tc>
          <w:tcPr>
            <w:tcW w:w="3267" w:type="dxa"/>
            <w:noWrap w:val="0"/>
            <w:vAlign w:val="center"/>
          </w:tcPr>
          <w:p>
            <w:pPr>
              <w:spacing w:line="276" w:lineRule="auto"/>
              <w:ind w:left="360"/>
              <w:jc w:val="center"/>
              <w:rPr>
                <w:rFonts w:ascii="宋体" w:hAnsi="宋体" w:cs="仿宋"/>
                <w:color w:val="auto"/>
                <w:sz w:val="24"/>
                <w:szCs w:val="24"/>
                <w:highlight w:val="none"/>
              </w:rPr>
            </w:pPr>
            <w:r>
              <w:rPr>
                <w:rFonts w:hint="eastAsia" w:ascii="宋体" w:hAnsi="宋体" w:cs="仿宋"/>
                <w:color w:val="auto"/>
                <w:sz w:val="24"/>
                <w:szCs w:val="24"/>
                <w:highlight w:val="none"/>
              </w:rPr>
              <w:t>全部地下室底板结构工程全部完成并经委托人审核无误后。</w:t>
            </w:r>
          </w:p>
        </w:tc>
      </w:tr>
    </w:tbl>
    <w:p>
      <w:pPr>
        <w:bidi w:val="0"/>
        <w:jc w:val="left"/>
        <w:rPr>
          <w:rFonts w:ascii="Times New Roman" w:hAnsi="Times New Roman" w:eastAsia="宋体" w:cs="Times New Roman"/>
          <w:color w:val="auto"/>
          <w:kern w:val="2"/>
          <w:sz w:val="21"/>
          <w:szCs w:val="24"/>
          <w:highlight w:val="none"/>
          <w:lang w:val="en-US" w:eastAsia="zh-CN" w:bidi="ar-SA"/>
        </w:rPr>
      </w:pPr>
    </w:p>
    <w:tbl>
      <w:tblPr>
        <w:tblStyle w:val="28"/>
        <w:tblpPr w:leftFromText="180" w:rightFromText="180" w:vertAnchor="text" w:horzAnchor="page" w:tblpX="1644" w:tblpY="2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873"/>
        <w:gridCol w:w="1890"/>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1872" w:type="dxa"/>
            <w:vMerge w:val="restart"/>
            <w:tcBorders>
              <w:top w:val="single" w:color="auto" w:sz="4" w:space="0"/>
              <w:bottom w:val="single" w:color="auto" w:sz="4" w:space="0"/>
              <w:right w:val="single" w:color="auto" w:sz="4" w:space="0"/>
            </w:tcBorders>
            <w:noWrap w:val="0"/>
            <w:vAlign w:val="center"/>
          </w:tcPr>
          <w:p>
            <w:pPr>
              <w:spacing w:line="276" w:lineRule="auto"/>
              <w:jc w:val="center"/>
              <w:rPr>
                <w:rFonts w:ascii="宋体" w:hAnsi="宋体" w:cs="仿宋"/>
                <w:color w:val="auto"/>
                <w:sz w:val="24"/>
                <w:szCs w:val="24"/>
                <w:highlight w:val="none"/>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第二次付费</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本项目监理合同价的</w:t>
            </w:r>
            <w:r>
              <w:rPr>
                <w:rFonts w:hint="eastAsia" w:ascii="宋体" w:hAnsi="宋体" w:cs="仿宋"/>
                <w:color w:val="auto"/>
                <w:sz w:val="24"/>
                <w:szCs w:val="24"/>
                <w:highlight w:val="none"/>
                <w:lang w:val="en-US" w:eastAsia="zh-CN"/>
              </w:rPr>
              <w:t>10</w:t>
            </w:r>
            <w:r>
              <w:rPr>
                <w:rFonts w:ascii="宋体" w:hAnsi="宋体" w:cs="仿宋"/>
                <w:color w:val="auto"/>
                <w:sz w:val="24"/>
                <w:szCs w:val="24"/>
                <w:highlight w:val="none"/>
              </w:rPr>
              <w:t>%</w:t>
            </w:r>
          </w:p>
        </w:tc>
        <w:tc>
          <w:tcPr>
            <w:tcW w:w="3267" w:type="dxa"/>
            <w:tcBorders>
              <w:top w:val="single" w:color="auto" w:sz="4" w:space="0"/>
              <w:left w:val="single" w:color="auto" w:sz="4" w:space="0"/>
              <w:bottom w:val="single" w:color="auto" w:sz="4" w:space="0"/>
            </w:tcBorders>
            <w:noWrap w:val="0"/>
            <w:vAlign w:val="center"/>
          </w:tcPr>
          <w:p>
            <w:pPr>
              <w:spacing w:line="276" w:lineRule="auto"/>
              <w:jc w:val="center"/>
              <w:rPr>
                <w:rFonts w:hint="eastAsia" w:ascii="宋体" w:hAnsi="宋体" w:eastAsia="宋体" w:cs="仿宋"/>
                <w:color w:val="auto"/>
                <w:sz w:val="24"/>
                <w:szCs w:val="24"/>
                <w:highlight w:val="none"/>
                <w:lang w:eastAsia="zh-CN"/>
              </w:rPr>
            </w:pPr>
            <w:r>
              <w:rPr>
                <w:rFonts w:hint="eastAsia" w:ascii="宋体" w:hAnsi="宋体" w:cs="仿宋"/>
                <w:bCs w:val="0"/>
                <w:color w:val="auto"/>
                <w:sz w:val="24"/>
                <w:szCs w:val="24"/>
                <w:highlight w:val="none"/>
                <w:lang w:bidi="ar"/>
              </w:rPr>
              <w:t>单体主体结构达到地上</w:t>
            </w:r>
            <w:r>
              <w:rPr>
                <w:rFonts w:hint="eastAsia" w:ascii="宋体" w:hAnsi="宋体" w:cs="仿宋"/>
                <w:bCs w:val="0"/>
                <w:color w:val="auto"/>
                <w:sz w:val="24"/>
                <w:szCs w:val="24"/>
                <w:highlight w:val="none"/>
                <w:lang w:val="en-US" w:eastAsia="zh-CN" w:bidi="ar"/>
              </w:rPr>
              <w:t>1</w:t>
            </w:r>
            <w:r>
              <w:rPr>
                <w:rFonts w:hint="eastAsia" w:ascii="宋体" w:hAnsi="宋体" w:cs="仿宋"/>
                <w:bCs w:val="0"/>
                <w:color w:val="auto"/>
                <w:sz w:val="24"/>
                <w:szCs w:val="24"/>
                <w:highlight w:val="none"/>
                <w:lang w:bidi="ar"/>
              </w:rPr>
              <w:t>/3楼层后</w:t>
            </w:r>
            <w:r>
              <w:rPr>
                <w:rFonts w:hint="eastAsia" w:ascii="宋体" w:hAnsi="宋体" w:cs="仿宋"/>
                <w:color w:val="auto"/>
                <w:sz w:val="24"/>
                <w:szCs w:val="24"/>
                <w:highlight w:val="none"/>
              </w:rPr>
              <w:t>并经委托人审核无误后</w:t>
            </w:r>
            <w:r>
              <w:rPr>
                <w:rFonts w:ascii="宋体" w:hAnsi="宋体"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1872" w:type="dxa"/>
            <w:vMerge w:val="continue"/>
            <w:tcBorders>
              <w:top w:val="single" w:color="auto" w:sz="4" w:space="0"/>
            </w:tcBorders>
            <w:noWrap w:val="0"/>
            <w:vAlign w:val="center"/>
          </w:tcPr>
          <w:p>
            <w:pPr>
              <w:spacing w:line="276" w:lineRule="auto"/>
              <w:jc w:val="center"/>
              <w:rPr>
                <w:rFonts w:ascii="宋体" w:hAnsi="宋体" w:cs="仿宋"/>
                <w:color w:val="auto"/>
                <w:sz w:val="24"/>
                <w:szCs w:val="24"/>
                <w:highlight w:val="none"/>
              </w:rPr>
            </w:pPr>
          </w:p>
        </w:tc>
        <w:tc>
          <w:tcPr>
            <w:tcW w:w="1873" w:type="dxa"/>
            <w:tcBorders>
              <w:top w:val="single" w:color="auto" w:sz="4" w:space="0"/>
            </w:tcBorders>
            <w:noWrap w:val="0"/>
            <w:vAlign w:val="center"/>
          </w:tcPr>
          <w:p>
            <w:pPr>
              <w:spacing w:line="276" w:lineRule="auto"/>
              <w:jc w:val="center"/>
              <w:rPr>
                <w:rFonts w:hint="eastAsia" w:ascii="宋体" w:hAnsi="宋体" w:cs="仿宋"/>
                <w:color w:val="auto"/>
                <w:sz w:val="24"/>
                <w:szCs w:val="24"/>
                <w:highlight w:val="none"/>
              </w:rPr>
            </w:pPr>
            <w:r>
              <w:rPr>
                <w:rFonts w:hint="eastAsia" w:ascii="宋体" w:hAnsi="宋体" w:cs="仿宋"/>
                <w:color w:val="auto"/>
                <w:sz w:val="24"/>
                <w:szCs w:val="24"/>
                <w:highlight w:val="none"/>
              </w:rPr>
              <w:t>第</w:t>
            </w:r>
            <w:r>
              <w:rPr>
                <w:rFonts w:hint="eastAsia" w:ascii="宋体" w:hAnsi="宋体" w:cs="仿宋"/>
                <w:color w:val="auto"/>
                <w:sz w:val="24"/>
                <w:szCs w:val="24"/>
                <w:highlight w:val="none"/>
                <w:lang w:val="en-US" w:eastAsia="zh-CN"/>
              </w:rPr>
              <w:t>三</w:t>
            </w:r>
            <w:r>
              <w:rPr>
                <w:rFonts w:hint="eastAsia" w:ascii="宋体" w:hAnsi="宋体" w:cs="仿宋"/>
                <w:color w:val="auto"/>
                <w:sz w:val="24"/>
                <w:szCs w:val="24"/>
                <w:highlight w:val="none"/>
              </w:rPr>
              <w:t>次付费</w:t>
            </w:r>
          </w:p>
        </w:tc>
        <w:tc>
          <w:tcPr>
            <w:tcW w:w="1890" w:type="dxa"/>
            <w:tcBorders>
              <w:top w:val="single" w:color="auto" w:sz="4" w:space="0"/>
            </w:tcBorders>
            <w:noWrap w:val="0"/>
            <w:vAlign w:val="center"/>
          </w:tcPr>
          <w:p>
            <w:pPr>
              <w:spacing w:line="276" w:lineRule="auto"/>
              <w:jc w:val="center"/>
              <w:rPr>
                <w:rFonts w:hint="eastAsia" w:ascii="宋体" w:hAnsi="宋体" w:cs="仿宋"/>
                <w:color w:val="auto"/>
                <w:sz w:val="24"/>
                <w:szCs w:val="24"/>
                <w:highlight w:val="none"/>
              </w:rPr>
            </w:pPr>
            <w:r>
              <w:rPr>
                <w:rFonts w:hint="eastAsia" w:ascii="宋体" w:hAnsi="宋体" w:cs="仿宋"/>
                <w:color w:val="auto"/>
                <w:sz w:val="24"/>
                <w:szCs w:val="24"/>
                <w:highlight w:val="none"/>
              </w:rPr>
              <w:t>本项目监理合同价的</w:t>
            </w:r>
            <w:r>
              <w:rPr>
                <w:rFonts w:hint="eastAsia" w:ascii="宋体" w:hAnsi="宋体" w:cs="仿宋"/>
                <w:color w:val="auto"/>
                <w:sz w:val="24"/>
                <w:szCs w:val="24"/>
                <w:highlight w:val="none"/>
                <w:lang w:val="en-US" w:eastAsia="zh-CN"/>
              </w:rPr>
              <w:t>10</w:t>
            </w:r>
            <w:r>
              <w:rPr>
                <w:rFonts w:ascii="宋体" w:hAnsi="宋体" w:cs="仿宋"/>
                <w:color w:val="auto"/>
                <w:sz w:val="24"/>
                <w:szCs w:val="24"/>
                <w:highlight w:val="none"/>
              </w:rPr>
              <w:t>%</w:t>
            </w:r>
          </w:p>
        </w:tc>
        <w:tc>
          <w:tcPr>
            <w:tcW w:w="3267" w:type="dxa"/>
            <w:tcBorders>
              <w:top w:val="single" w:color="auto" w:sz="4" w:space="0"/>
            </w:tcBorders>
            <w:noWrap w:val="0"/>
            <w:vAlign w:val="center"/>
          </w:tcPr>
          <w:p>
            <w:pPr>
              <w:spacing w:line="276" w:lineRule="auto"/>
              <w:jc w:val="center"/>
              <w:rPr>
                <w:rFonts w:hint="eastAsia" w:ascii="宋体" w:hAnsi="宋体" w:cs="仿宋"/>
                <w:color w:val="auto"/>
                <w:sz w:val="24"/>
                <w:szCs w:val="24"/>
                <w:highlight w:val="none"/>
              </w:rPr>
            </w:pPr>
            <w:r>
              <w:rPr>
                <w:rFonts w:hint="eastAsia" w:ascii="宋体" w:hAnsi="宋体" w:cs="仿宋"/>
                <w:color w:val="auto"/>
                <w:sz w:val="24"/>
                <w:szCs w:val="24"/>
                <w:highlight w:val="none"/>
              </w:rPr>
              <w:t>主体结构全部封顶完成并经委托人审核无误后</w:t>
            </w:r>
            <w:r>
              <w:rPr>
                <w:rFonts w:ascii="宋体" w:hAnsi="宋体"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872" w:type="dxa"/>
            <w:vMerge w:val="continue"/>
            <w:noWrap w:val="0"/>
            <w:vAlign w:val="center"/>
          </w:tcPr>
          <w:p>
            <w:pPr>
              <w:spacing w:line="276" w:lineRule="auto"/>
              <w:ind w:firstLine="480" w:firstLineChars="200"/>
              <w:jc w:val="center"/>
              <w:rPr>
                <w:rFonts w:ascii="宋体" w:hAnsi="宋体" w:cs="仿宋"/>
                <w:color w:val="auto"/>
                <w:sz w:val="24"/>
                <w:szCs w:val="24"/>
                <w:highlight w:val="none"/>
              </w:rPr>
            </w:pPr>
          </w:p>
        </w:tc>
        <w:tc>
          <w:tcPr>
            <w:tcW w:w="1873"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第四次付费</w:t>
            </w:r>
          </w:p>
        </w:tc>
        <w:tc>
          <w:tcPr>
            <w:tcW w:w="1890"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本项目监理合同价的15</w:t>
            </w:r>
            <w:r>
              <w:rPr>
                <w:rFonts w:ascii="宋体" w:hAnsi="宋体" w:cs="仿宋"/>
                <w:color w:val="auto"/>
                <w:sz w:val="24"/>
                <w:szCs w:val="24"/>
                <w:highlight w:val="none"/>
              </w:rPr>
              <w:t>%</w:t>
            </w:r>
          </w:p>
        </w:tc>
        <w:tc>
          <w:tcPr>
            <w:tcW w:w="3267"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外墙工程全部完成后且外墙脚手架拆除完成，并经委托人审核无误后</w:t>
            </w:r>
            <w:r>
              <w:rPr>
                <w:rFonts w:ascii="宋体" w:hAnsi="宋体"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872" w:type="dxa"/>
            <w:vMerge w:val="continue"/>
            <w:noWrap w:val="0"/>
            <w:vAlign w:val="center"/>
          </w:tcPr>
          <w:p>
            <w:pPr>
              <w:spacing w:line="276" w:lineRule="auto"/>
              <w:ind w:firstLine="480" w:firstLineChars="200"/>
              <w:jc w:val="center"/>
              <w:rPr>
                <w:rFonts w:ascii="宋体" w:hAnsi="宋体" w:cs="仿宋"/>
                <w:color w:val="auto"/>
                <w:sz w:val="24"/>
                <w:szCs w:val="24"/>
                <w:highlight w:val="none"/>
              </w:rPr>
            </w:pPr>
          </w:p>
        </w:tc>
        <w:tc>
          <w:tcPr>
            <w:tcW w:w="1873"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第五次付费</w:t>
            </w:r>
          </w:p>
        </w:tc>
        <w:tc>
          <w:tcPr>
            <w:tcW w:w="1890"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本项目监理合同价的15</w:t>
            </w:r>
            <w:r>
              <w:rPr>
                <w:rFonts w:ascii="宋体" w:hAnsi="宋体" w:cs="仿宋"/>
                <w:color w:val="auto"/>
                <w:sz w:val="24"/>
                <w:szCs w:val="24"/>
                <w:highlight w:val="none"/>
              </w:rPr>
              <w:t>%</w:t>
            </w:r>
          </w:p>
        </w:tc>
        <w:tc>
          <w:tcPr>
            <w:tcW w:w="3267"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装饰装修工程全部完成后，并经委托人审核无误后</w:t>
            </w:r>
            <w:r>
              <w:rPr>
                <w:rFonts w:ascii="宋体" w:hAnsi="宋体"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72" w:type="dxa"/>
            <w:vMerge w:val="continue"/>
            <w:noWrap w:val="0"/>
            <w:vAlign w:val="center"/>
          </w:tcPr>
          <w:p>
            <w:pPr>
              <w:spacing w:line="276" w:lineRule="auto"/>
              <w:ind w:firstLine="480" w:firstLineChars="200"/>
              <w:jc w:val="center"/>
              <w:rPr>
                <w:rFonts w:ascii="宋体" w:hAnsi="宋体" w:cs="仿宋"/>
                <w:color w:val="auto"/>
                <w:sz w:val="24"/>
                <w:szCs w:val="24"/>
                <w:highlight w:val="none"/>
              </w:rPr>
            </w:pPr>
          </w:p>
        </w:tc>
        <w:tc>
          <w:tcPr>
            <w:tcW w:w="1873"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第六次付费</w:t>
            </w:r>
          </w:p>
        </w:tc>
        <w:tc>
          <w:tcPr>
            <w:tcW w:w="1890"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本项目监理合同价的1</w:t>
            </w:r>
            <w:r>
              <w:rPr>
                <w:rFonts w:hint="eastAsia" w:ascii="宋体" w:hAnsi="宋体" w:cs="仿宋"/>
                <w:color w:val="auto"/>
                <w:sz w:val="24"/>
                <w:szCs w:val="24"/>
                <w:highlight w:val="none"/>
                <w:lang w:val="en-US" w:eastAsia="zh-CN"/>
              </w:rPr>
              <w:t>0</w:t>
            </w:r>
            <w:r>
              <w:rPr>
                <w:rFonts w:ascii="宋体" w:hAnsi="宋体" w:cs="仿宋"/>
                <w:color w:val="auto"/>
                <w:sz w:val="24"/>
                <w:szCs w:val="24"/>
                <w:highlight w:val="none"/>
              </w:rPr>
              <w:t>%</w:t>
            </w:r>
          </w:p>
        </w:tc>
        <w:tc>
          <w:tcPr>
            <w:tcW w:w="3267"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各专项验收及竣工验收通过，并经委托人审核无误后</w:t>
            </w:r>
            <w:r>
              <w:rPr>
                <w:rFonts w:ascii="宋体" w:hAnsi="宋体"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72" w:type="dxa"/>
            <w:vMerge w:val="continue"/>
            <w:noWrap w:val="0"/>
            <w:vAlign w:val="center"/>
          </w:tcPr>
          <w:p>
            <w:pPr>
              <w:spacing w:line="276" w:lineRule="auto"/>
              <w:ind w:firstLine="480" w:firstLineChars="200"/>
              <w:jc w:val="center"/>
              <w:rPr>
                <w:rFonts w:ascii="宋体" w:hAnsi="宋体" w:cs="仿宋"/>
                <w:color w:val="auto"/>
                <w:sz w:val="24"/>
                <w:szCs w:val="24"/>
                <w:highlight w:val="none"/>
              </w:rPr>
            </w:pPr>
          </w:p>
        </w:tc>
        <w:tc>
          <w:tcPr>
            <w:tcW w:w="1873"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第</w:t>
            </w:r>
            <w:r>
              <w:rPr>
                <w:rFonts w:hint="eastAsia" w:ascii="宋体" w:hAnsi="宋体" w:cs="仿宋"/>
                <w:color w:val="auto"/>
                <w:sz w:val="24"/>
                <w:szCs w:val="24"/>
                <w:highlight w:val="none"/>
                <w:lang w:val="en-US" w:eastAsia="zh-CN"/>
              </w:rPr>
              <w:t>七</w:t>
            </w:r>
            <w:r>
              <w:rPr>
                <w:rFonts w:hint="eastAsia" w:ascii="宋体" w:hAnsi="宋体" w:cs="仿宋"/>
                <w:color w:val="auto"/>
                <w:sz w:val="24"/>
                <w:szCs w:val="24"/>
                <w:highlight w:val="none"/>
              </w:rPr>
              <w:t>次付费</w:t>
            </w:r>
          </w:p>
        </w:tc>
        <w:tc>
          <w:tcPr>
            <w:tcW w:w="1890"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本项目监理合同价的1</w:t>
            </w:r>
            <w:r>
              <w:rPr>
                <w:rFonts w:hint="eastAsia" w:ascii="宋体" w:hAnsi="宋体" w:cs="仿宋"/>
                <w:color w:val="auto"/>
                <w:sz w:val="24"/>
                <w:szCs w:val="24"/>
                <w:highlight w:val="none"/>
                <w:lang w:val="en-US" w:eastAsia="zh-CN"/>
              </w:rPr>
              <w:t>0</w:t>
            </w:r>
            <w:r>
              <w:rPr>
                <w:rFonts w:ascii="宋体" w:hAnsi="宋体" w:cs="仿宋"/>
                <w:color w:val="auto"/>
                <w:sz w:val="24"/>
                <w:szCs w:val="24"/>
                <w:highlight w:val="none"/>
              </w:rPr>
              <w:t>%</w:t>
            </w:r>
          </w:p>
        </w:tc>
        <w:tc>
          <w:tcPr>
            <w:tcW w:w="3267"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工程竣工档案备案完成、提交工程结算审核报告，并经委托人审核无误后。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872" w:type="dxa"/>
            <w:vMerge w:val="restart"/>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结算</w:t>
            </w:r>
          </w:p>
        </w:tc>
        <w:tc>
          <w:tcPr>
            <w:tcW w:w="1873" w:type="dxa"/>
            <w:vMerge w:val="restart"/>
            <w:noWrap w:val="0"/>
            <w:vAlign w:val="center"/>
          </w:tcPr>
          <w:p>
            <w:pPr>
              <w:spacing w:line="276" w:lineRule="auto"/>
              <w:rPr>
                <w:rFonts w:ascii="宋体" w:hAnsi="宋体" w:cs="仿宋"/>
                <w:color w:val="auto"/>
                <w:sz w:val="24"/>
                <w:szCs w:val="24"/>
                <w:highlight w:val="none"/>
              </w:rPr>
            </w:pPr>
          </w:p>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按照本项目实际结算情况付费</w:t>
            </w:r>
          </w:p>
        </w:tc>
        <w:tc>
          <w:tcPr>
            <w:tcW w:w="1890"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付至审定后的结算价的97%。</w:t>
            </w:r>
          </w:p>
        </w:tc>
        <w:tc>
          <w:tcPr>
            <w:tcW w:w="3267"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整体项目工程施工结算经委托人审定后，需政府相关部门审核的，审定后。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872" w:type="dxa"/>
            <w:vMerge w:val="continue"/>
            <w:noWrap w:val="0"/>
            <w:vAlign w:val="center"/>
          </w:tcPr>
          <w:p>
            <w:pPr>
              <w:spacing w:line="276" w:lineRule="auto"/>
              <w:jc w:val="center"/>
              <w:rPr>
                <w:rFonts w:ascii="宋体" w:hAnsi="宋体" w:cs="仿宋"/>
                <w:color w:val="auto"/>
                <w:sz w:val="24"/>
                <w:szCs w:val="24"/>
                <w:highlight w:val="none"/>
              </w:rPr>
            </w:pPr>
          </w:p>
        </w:tc>
        <w:tc>
          <w:tcPr>
            <w:tcW w:w="1873" w:type="dxa"/>
            <w:vMerge w:val="continue"/>
            <w:noWrap w:val="0"/>
            <w:vAlign w:val="center"/>
          </w:tcPr>
          <w:p>
            <w:pPr>
              <w:spacing w:line="276" w:lineRule="auto"/>
              <w:jc w:val="center"/>
              <w:rPr>
                <w:rFonts w:ascii="宋体" w:hAnsi="宋体" w:cs="仿宋"/>
                <w:color w:val="auto"/>
                <w:sz w:val="24"/>
                <w:szCs w:val="24"/>
                <w:highlight w:val="none"/>
              </w:rPr>
            </w:pPr>
          </w:p>
        </w:tc>
        <w:tc>
          <w:tcPr>
            <w:tcW w:w="1890"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付至审定后的结算价的100%。</w:t>
            </w:r>
          </w:p>
        </w:tc>
        <w:tc>
          <w:tcPr>
            <w:tcW w:w="3267" w:type="dxa"/>
            <w:noWrap w:val="0"/>
            <w:vAlign w:val="center"/>
          </w:tcPr>
          <w:p>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工程保修期满（本工程竣工验收通过</w:t>
            </w:r>
            <w:r>
              <w:rPr>
                <w:rFonts w:ascii="宋体" w:hAnsi="宋体" w:cs="仿宋"/>
                <w:color w:val="auto"/>
                <w:sz w:val="24"/>
                <w:szCs w:val="24"/>
                <w:highlight w:val="none"/>
              </w:rPr>
              <w:t>2年）</w:t>
            </w:r>
            <w:r>
              <w:rPr>
                <w:rFonts w:hint="eastAsia" w:ascii="宋体" w:hAnsi="宋体" w:cs="仿宋"/>
                <w:color w:val="auto"/>
                <w:sz w:val="24"/>
                <w:szCs w:val="24"/>
                <w:highlight w:val="none"/>
              </w:rPr>
              <w:t>，并经委托人审核无误</w:t>
            </w:r>
            <w:r>
              <w:rPr>
                <w:rFonts w:ascii="宋体" w:hAnsi="宋体" w:cs="仿宋"/>
                <w:color w:val="auto"/>
                <w:sz w:val="24"/>
                <w:szCs w:val="24"/>
                <w:highlight w:val="none"/>
              </w:rPr>
              <w:t>后</w:t>
            </w:r>
            <w:r>
              <w:rPr>
                <w:rFonts w:hint="eastAsia" w:ascii="宋体" w:hAnsi="宋体" w:cs="仿宋"/>
                <w:color w:val="auto"/>
                <w:sz w:val="24"/>
                <w:szCs w:val="24"/>
                <w:highlight w:val="none"/>
              </w:rPr>
              <w:t>。</w:t>
            </w:r>
          </w:p>
        </w:tc>
      </w:tr>
    </w:tbl>
    <w:p>
      <w:pPr>
        <w:pStyle w:val="14"/>
        <w:adjustRightInd w:val="0"/>
        <w:snapToGrid w:val="0"/>
        <w:ind w:firstLine="420"/>
        <w:rPr>
          <w:rFonts w:hAnsi="宋体"/>
          <w:bCs/>
          <w:color w:val="auto"/>
          <w:sz w:val="24"/>
          <w:szCs w:val="24"/>
          <w:highlight w:val="none"/>
        </w:rPr>
      </w:pPr>
      <w:r>
        <w:rPr>
          <w:rFonts w:hint="eastAsia" w:hAnsi="宋体" w:cs="宋体"/>
          <w:color w:val="auto"/>
          <w:sz w:val="24"/>
          <w:szCs w:val="24"/>
          <w:highlight w:val="none"/>
        </w:rPr>
        <w:t>（2）委托人将监理费支付至以下账户后，视为完成相应的付款义务：</w:t>
      </w:r>
    </w:p>
    <w:p>
      <w:pPr>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账号：</w:t>
      </w:r>
      <w:r>
        <w:rPr>
          <w:rFonts w:ascii="宋体" w:hAnsi="宋体"/>
          <w:color w:val="auto"/>
          <w:sz w:val="24"/>
          <w:szCs w:val="24"/>
          <w:highlight w:val="none"/>
        </w:rPr>
        <w:t xml:space="preserve">  </w:t>
      </w:r>
      <w:r>
        <w:rPr>
          <w:rFonts w:ascii="宋体" w:hAnsi="宋体"/>
          <w:bCs/>
          <w:color w:val="auto"/>
          <w:sz w:val="24"/>
          <w:szCs w:val="24"/>
          <w:highlight w:val="none"/>
        </w:rPr>
        <w:t xml:space="preserve"> </w:t>
      </w:r>
    </w:p>
    <w:p>
      <w:pPr>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户名： </w:t>
      </w:r>
      <w:r>
        <w:rPr>
          <w:rFonts w:ascii="宋体" w:hAnsi="宋体"/>
          <w:color w:val="auto"/>
          <w:sz w:val="24"/>
          <w:szCs w:val="24"/>
          <w:highlight w:val="none"/>
        </w:rPr>
        <w:t xml:space="preserve"> </w:t>
      </w:r>
      <w:r>
        <w:rPr>
          <w:rFonts w:hint="eastAsia" w:ascii="宋体" w:hAnsi="宋体"/>
          <w:bCs/>
          <w:color w:val="auto"/>
          <w:sz w:val="24"/>
          <w:szCs w:val="24"/>
          <w:highlight w:val="none"/>
        </w:rPr>
        <w:t xml:space="preserve"> </w:t>
      </w:r>
    </w:p>
    <w:p>
      <w:pPr>
        <w:spacing w:line="480" w:lineRule="exact"/>
        <w:ind w:firstLine="420" w:firstLineChars="200"/>
        <w:jc w:val="left"/>
        <w:rPr>
          <w:rFonts w:ascii="宋体" w:hAnsi="宋体"/>
          <w:color w:val="auto"/>
          <w:sz w:val="24"/>
          <w:highlight w:val="none"/>
        </w:rPr>
      </w:pPr>
      <w:r>
        <w:rPr>
          <w:rFonts w:hint="eastAsia" w:ascii="宋体" w:hAnsi="宋体"/>
          <w:color w:val="auto"/>
          <w:szCs w:val="21"/>
          <w:highlight w:val="none"/>
        </w:rPr>
        <w:t>开户行：</w:t>
      </w:r>
      <w:r>
        <w:rPr>
          <w:rFonts w:hint="eastAsia" w:ascii="宋体" w:hAnsi="宋体"/>
          <w:bCs/>
          <w:color w:val="auto"/>
          <w:sz w:val="24"/>
          <w:highlight w:val="none"/>
        </w:rPr>
        <w:t xml:space="preserve"> </w:t>
      </w:r>
    </w:p>
    <w:p>
      <w:pPr>
        <w:spacing w:line="480" w:lineRule="exact"/>
        <w:ind w:firstLine="420" w:firstLineChars="200"/>
        <w:jc w:val="left"/>
        <w:rPr>
          <w:rFonts w:ascii="宋体" w:hAnsi="宋体"/>
          <w:color w:val="auto"/>
          <w:szCs w:val="21"/>
          <w:highlight w:val="none"/>
        </w:rPr>
      </w:pPr>
      <w:r>
        <w:rPr>
          <w:rFonts w:hint="eastAsia" w:ascii="宋体" w:hAnsi="宋体"/>
          <w:color w:val="auto"/>
          <w:szCs w:val="21"/>
          <w:highlight w:val="none"/>
        </w:rPr>
        <w:t>税号：</w:t>
      </w:r>
      <w:r>
        <w:rPr>
          <w:rFonts w:hint="eastAsia" w:ascii="宋体" w:hAnsi="宋体"/>
          <w:color w:val="auto"/>
          <w:sz w:val="24"/>
          <w:highlight w:val="none"/>
        </w:rPr>
        <w:t xml:space="preserve"> </w:t>
      </w:r>
      <w:r>
        <w:rPr>
          <w:rFonts w:ascii="宋体" w:hAnsi="宋体"/>
          <w:color w:val="auto"/>
          <w:sz w:val="24"/>
          <w:highlight w:val="none"/>
        </w:rPr>
        <w:t xml:space="preserve"> </w:t>
      </w:r>
    </w:p>
    <w:p>
      <w:pPr>
        <w:pStyle w:val="14"/>
        <w:adjustRightInd w:val="0"/>
        <w:snapToGrid w:val="0"/>
        <w:ind w:firstLine="420"/>
        <w:rPr>
          <w:rFonts w:hAnsi="宋体" w:cs="宋体"/>
          <w:color w:val="auto"/>
          <w:highlight w:val="none"/>
        </w:rPr>
      </w:pPr>
      <w:r>
        <w:rPr>
          <w:rFonts w:hint="eastAsia" w:hAnsi="宋体" w:cs="宋体"/>
          <w:color w:val="auto"/>
          <w:highlight w:val="none"/>
        </w:rPr>
        <w:t>（3）每次支付前，应由驻地监理办公室报出“监理支付报表”和支付申请（格式另定），经委托人考核和审查后支付。</w:t>
      </w:r>
    </w:p>
    <w:p>
      <w:pPr>
        <w:pStyle w:val="14"/>
        <w:adjustRightInd w:val="0"/>
        <w:snapToGrid w:val="0"/>
        <w:ind w:firstLine="420"/>
        <w:rPr>
          <w:rFonts w:hAnsi="宋体" w:cs="宋体"/>
          <w:color w:val="auto"/>
          <w:highlight w:val="none"/>
        </w:rPr>
      </w:pPr>
      <w:r>
        <w:rPr>
          <w:rFonts w:hint="eastAsia" w:hAnsi="宋体" w:cs="宋体"/>
          <w:color w:val="auto"/>
          <w:highlight w:val="none"/>
        </w:rPr>
        <w:t>（4）各方委托银行代付代收有关费用。</w:t>
      </w:r>
    </w:p>
    <w:p>
      <w:pPr>
        <w:pStyle w:val="14"/>
        <w:adjustRightInd w:val="0"/>
        <w:snapToGrid w:val="0"/>
        <w:ind w:firstLine="420"/>
        <w:rPr>
          <w:rFonts w:hAnsi="宋体" w:cs="宋体"/>
          <w:color w:val="auto"/>
          <w:highlight w:val="none"/>
        </w:rPr>
      </w:pPr>
      <w:r>
        <w:rPr>
          <w:rFonts w:hint="eastAsia" w:hAnsi="宋体" w:cs="宋体"/>
          <w:color w:val="auto"/>
          <w:highlight w:val="none"/>
        </w:rPr>
        <w:t>（5）本合同费用的支付，乙方均需按照甲方要求提前提供等额增值税专用</w:t>
      </w:r>
      <w:r>
        <w:rPr>
          <w:rFonts w:hint="eastAsia" w:hAnsi="宋体" w:cs="宋体"/>
          <w:b/>
          <w:bCs/>
          <w:color w:val="auto"/>
          <w:highlight w:val="none"/>
        </w:rPr>
        <w:t>发票及请款函，并需按甲方相关管理制度、办法执行，否则甲方有权不予付款。</w:t>
      </w:r>
    </w:p>
    <w:p>
      <w:pPr>
        <w:pStyle w:val="14"/>
        <w:adjustRightInd w:val="0"/>
        <w:snapToGrid w:val="0"/>
        <w:ind w:firstLine="420"/>
        <w:rPr>
          <w:rFonts w:hAnsi="宋体" w:cs="宋体"/>
          <w:color w:val="auto"/>
          <w:highlight w:val="none"/>
        </w:rPr>
      </w:pPr>
      <w:r>
        <w:rPr>
          <w:rFonts w:hint="eastAsia" w:hAnsi="宋体" w:cs="宋体"/>
          <w:color w:val="auto"/>
          <w:highlight w:val="none"/>
        </w:rPr>
        <w:t>（6）因委托人原因导致项目工期调整，监理人无条件接受，并因此产生的费用已包含在合同款项中，不另行计取。</w:t>
      </w:r>
    </w:p>
    <w:p>
      <w:pPr>
        <w:pStyle w:val="14"/>
        <w:adjustRightInd w:val="0"/>
        <w:snapToGrid w:val="0"/>
        <w:ind w:firstLine="420"/>
        <w:rPr>
          <w:rFonts w:hAnsi="宋体" w:cs="宋体"/>
          <w:color w:val="auto"/>
          <w:highlight w:val="none"/>
        </w:rPr>
      </w:pPr>
      <w:r>
        <w:rPr>
          <w:rFonts w:hint="eastAsia" w:hAnsi="宋体" w:cs="宋体"/>
          <w:color w:val="auto"/>
          <w:highlight w:val="none"/>
        </w:rPr>
        <w:t>（7）以上付款均应扣减监理人相应违约金、罚款及赔偿费。</w:t>
      </w:r>
    </w:p>
    <w:p>
      <w:pPr>
        <w:pStyle w:val="14"/>
        <w:adjustRightInd w:val="0"/>
        <w:snapToGrid w:val="0"/>
        <w:ind w:firstLine="420"/>
        <w:rPr>
          <w:rFonts w:hAnsi="宋体" w:cs="宋体"/>
          <w:color w:val="auto"/>
          <w:highlight w:val="none"/>
        </w:rPr>
      </w:pPr>
      <w:r>
        <w:rPr>
          <w:rFonts w:hint="eastAsia" w:hAnsi="宋体" w:cs="宋体"/>
          <w:color w:val="auto"/>
          <w:highlight w:val="none"/>
        </w:rPr>
        <w:t>（8）每次付款前，监理人应按委托人要求报送完整的相关申请资料或结算资料，以及与付款金额相对应的合法有效发票，否则委托人有权顺延付款时间。</w:t>
      </w:r>
    </w:p>
    <w:p>
      <w:pPr>
        <w:pStyle w:val="14"/>
        <w:adjustRightInd w:val="0"/>
        <w:snapToGrid w:val="0"/>
        <w:ind w:firstLine="420"/>
        <w:rPr>
          <w:rFonts w:hAnsi="宋体" w:cs="宋体"/>
          <w:color w:val="auto"/>
          <w:highlight w:val="none"/>
        </w:rPr>
      </w:pPr>
      <w:r>
        <w:rPr>
          <w:rFonts w:hint="eastAsia" w:hAnsi="宋体" w:cs="宋体"/>
          <w:color w:val="auto"/>
          <w:highlight w:val="none"/>
        </w:rPr>
        <w:t>（9）监理人必须根据我国及广州市现行税费征收的相关规定，按照地方税务局的指引，依照纳税期限，在税费代征点申报缴纳本项目的应缴税费。</w:t>
      </w:r>
    </w:p>
    <w:p>
      <w:pPr>
        <w:pStyle w:val="14"/>
        <w:adjustRightInd w:val="0"/>
        <w:snapToGrid w:val="0"/>
        <w:ind w:firstLine="420"/>
        <w:rPr>
          <w:rFonts w:hAnsi="宋体" w:cs="宋体"/>
          <w:color w:val="auto"/>
          <w:highlight w:val="none"/>
        </w:rPr>
      </w:pPr>
      <w:r>
        <w:rPr>
          <w:rFonts w:hAnsi="宋体" w:cs="宋体"/>
          <w:color w:val="auto"/>
          <w:highlight w:val="none"/>
        </w:rPr>
        <w:t>第四十一条  双方同意用人民币以</w:t>
      </w:r>
      <w:r>
        <w:rPr>
          <w:rFonts w:hAnsi="宋体" w:cs="宋体"/>
          <w:color w:val="auto"/>
          <w:highlight w:val="none"/>
          <w:u w:val="single"/>
        </w:rPr>
        <w:t>转账形式</w:t>
      </w:r>
      <w:r>
        <w:rPr>
          <w:rFonts w:hAnsi="宋体" w:cs="宋体"/>
          <w:color w:val="auto"/>
          <w:highlight w:val="none"/>
        </w:rPr>
        <w:t>支付监理酬金。</w:t>
      </w:r>
    </w:p>
    <w:p>
      <w:pPr>
        <w:pStyle w:val="14"/>
        <w:adjustRightInd w:val="0"/>
        <w:snapToGrid w:val="0"/>
        <w:ind w:firstLine="420"/>
        <w:rPr>
          <w:rFonts w:hAnsi="宋体" w:cs="宋体"/>
          <w:color w:val="auto"/>
          <w:highlight w:val="none"/>
        </w:rPr>
      </w:pPr>
      <w:r>
        <w:rPr>
          <w:rFonts w:hint="eastAsia" w:hAnsi="宋体" w:cs="宋体"/>
          <w:color w:val="auto"/>
          <w:highlight w:val="none"/>
        </w:rPr>
        <w:t xml:space="preserve">第四十四条 </w:t>
      </w:r>
      <w:r>
        <w:rPr>
          <w:rFonts w:hAnsi="宋体" w:cs="宋体"/>
          <w:color w:val="auto"/>
          <w:highlight w:val="none"/>
        </w:rPr>
        <w:t xml:space="preserve"> </w:t>
      </w:r>
      <w:r>
        <w:rPr>
          <w:rFonts w:hint="eastAsia" w:hAnsi="宋体" w:cs="宋体"/>
          <w:color w:val="auto"/>
          <w:highlight w:val="none"/>
        </w:rPr>
        <w:t>奖励办法：无。</w:t>
      </w:r>
    </w:p>
    <w:p>
      <w:pPr>
        <w:pStyle w:val="14"/>
        <w:adjustRightInd w:val="0"/>
        <w:snapToGrid w:val="0"/>
        <w:ind w:firstLine="420"/>
        <w:rPr>
          <w:rFonts w:hAnsi="宋体" w:cs="宋体"/>
          <w:color w:val="auto"/>
          <w:highlight w:val="none"/>
        </w:rPr>
      </w:pPr>
      <w:r>
        <w:rPr>
          <w:rFonts w:hAnsi="宋体" w:cs="宋体"/>
          <w:color w:val="auto"/>
          <w:highlight w:val="none"/>
        </w:rPr>
        <w:t>第四十九条  本合同在履行过程中发生争议时，当事人双方应及时</w:t>
      </w:r>
      <w:r>
        <w:rPr>
          <w:rFonts w:hint="eastAsia" w:hAnsi="宋体" w:cs="宋体"/>
          <w:color w:val="auto"/>
          <w:highlight w:val="none"/>
        </w:rPr>
        <w:t>自行</w:t>
      </w:r>
      <w:r>
        <w:rPr>
          <w:rFonts w:hAnsi="宋体" w:cs="宋体"/>
          <w:color w:val="auto"/>
          <w:highlight w:val="none"/>
        </w:rPr>
        <w:t>协商</w:t>
      </w:r>
      <w:r>
        <w:rPr>
          <w:rFonts w:hint="eastAsia" w:hAnsi="宋体" w:cs="宋体"/>
          <w:color w:val="auto"/>
          <w:highlight w:val="none"/>
        </w:rPr>
        <w:t>，</w:t>
      </w:r>
      <w:r>
        <w:rPr>
          <w:rFonts w:hAnsi="宋体" w:cs="宋体"/>
          <w:color w:val="auto"/>
          <w:highlight w:val="none"/>
        </w:rPr>
        <w:t>协商不成时，</w:t>
      </w:r>
      <w:r>
        <w:rPr>
          <w:rFonts w:hint="eastAsia" w:hAnsi="宋体" w:cs="宋体"/>
          <w:color w:val="auto"/>
          <w:highlight w:val="none"/>
        </w:rPr>
        <w:t>均提请中国广州仲裁委员会按照《中国广州仲裁委员会仲裁规则》进行仲裁。仲裁裁决是终局的，对双方均有约束力。</w:t>
      </w:r>
    </w:p>
    <w:p>
      <w:pPr>
        <w:spacing w:line="360" w:lineRule="auto"/>
        <w:ind w:firstLine="426"/>
        <w:jc w:val="left"/>
        <w:rPr>
          <w:rFonts w:ascii="宋体" w:hAnsi="宋体"/>
          <w:b/>
          <w:color w:val="auto"/>
          <w:sz w:val="24"/>
          <w:highlight w:val="none"/>
        </w:rPr>
      </w:pPr>
      <w:r>
        <w:rPr>
          <w:rFonts w:hint="eastAsia" w:ascii="宋体" w:hAnsi="宋体"/>
          <w:b/>
          <w:color w:val="auto"/>
          <w:sz w:val="24"/>
          <w:highlight w:val="none"/>
        </w:rPr>
        <w:t>附加条款：</w:t>
      </w:r>
    </w:p>
    <w:p>
      <w:pPr>
        <w:spacing w:line="360" w:lineRule="auto"/>
        <w:ind w:firstLine="426"/>
        <w:jc w:val="left"/>
        <w:rPr>
          <w:rFonts w:ascii="宋体" w:hAnsi="宋体"/>
          <w:color w:val="auto"/>
          <w:sz w:val="24"/>
          <w:highlight w:val="none"/>
        </w:rPr>
      </w:pPr>
      <w:r>
        <w:rPr>
          <w:rFonts w:hint="eastAsia" w:ascii="宋体" w:hAnsi="宋体"/>
          <w:color w:val="auto"/>
          <w:sz w:val="24"/>
          <w:highlight w:val="none"/>
        </w:rPr>
        <w:t>1、监理人应认真履行投资控制职能，对工程承包人提交的结算书从完整性、合法性、合理性等方面进行审查，并保证审核的结算价与委托人有审核权限的部门结算审定价之间的误差小于等于</w:t>
      </w:r>
      <w:r>
        <w:rPr>
          <w:rFonts w:hint="eastAsia" w:ascii="宋体" w:hAnsi="宋体"/>
          <w:color w:val="auto"/>
          <w:sz w:val="24"/>
          <w:highlight w:val="none"/>
          <w:u w:val="single"/>
        </w:rPr>
        <w:t>5‰</w:t>
      </w:r>
      <w:r>
        <w:rPr>
          <w:rFonts w:hint="eastAsia" w:ascii="宋体" w:hAnsi="宋体"/>
          <w:color w:val="auto"/>
          <w:sz w:val="24"/>
          <w:highlight w:val="none"/>
        </w:rPr>
        <w:t>。</w:t>
      </w:r>
    </w:p>
    <w:p>
      <w:pPr>
        <w:pStyle w:val="14"/>
        <w:adjustRightInd w:val="0"/>
        <w:snapToGrid w:val="0"/>
        <w:ind w:firstLine="420"/>
        <w:rPr>
          <w:rFonts w:hAnsi="宋体" w:cs="宋体"/>
          <w:color w:val="auto"/>
          <w:highlight w:val="none"/>
        </w:rPr>
      </w:pPr>
      <w:r>
        <w:rPr>
          <w:rFonts w:hint="eastAsia" w:hAnsi="宋体" w:cs="宋体"/>
          <w:color w:val="auto"/>
          <w:highlight w:val="none"/>
        </w:rPr>
        <w:t>如因监理人未尽上述审查义务，造成核减（增）的，将给予扣减监理费的方式承担责任。</w:t>
      </w:r>
    </w:p>
    <w:p>
      <w:pPr>
        <w:pStyle w:val="14"/>
        <w:adjustRightInd w:val="0"/>
        <w:snapToGrid w:val="0"/>
        <w:ind w:firstLine="420"/>
        <w:rPr>
          <w:rFonts w:hAnsi="宋体" w:cs="宋体"/>
          <w:color w:val="auto"/>
          <w:highlight w:val="none"/>
        </w:rPr>
      </w:pPr>
      <w:r>
        <w:rPr>
          <w:rFonts w:hint="eastAsia" w:hAnsi="宋体" w:cs="宋体"/>
          <w:color w:val="auto"/>
          <w:highlight w:val="none"/>
        </w:rPr>
        <w:t>扣减监理费计算方法（按子项工程）：委托人</w:t>
      </w:r>
      <w:r>
        <w:rPr>
          <w:rFonts w:hint="eastAsia" w:hAnsi="宋体" w:cs="宋体"/>
          <w:color w:val="auto"/>
          <w:highlight w:val="none"/>
          <w:u w:val="single"/>
        </w:rPr>
        <w:t>有审核权限的部门结算审定价与监理人结算审核价对比的核减（增）率超过5‰（工程承包人无原则且不合理地放弃的不计算在内）时，扣减监理费，扣减额=[核减（增）率的绝对值－5‰]×监理费，且扣减额不高于监理费的20%，在监理费结算时扣减。当委托人有审核权限的部门结算审定价与监理人结算审核价对比相差超过20%时，委托人有权报请有关行政主管部门并申请暂停监理人在黄埔建设项目范围内的投标资格。</w:t>
      </w:r>
    </w:p>
    <w:p>
      <w:pPr>
        <w:pStyle w:val="14"/>
        <w:adjustRightInd w:val="0"/>
        <w:snapToGrid w:val="0"/>
        <w:ind w:firstLine="420"/>
        <w:rPr>
          <w:rFonts w:hAnsi="宋体" w:cs="宋体"/>
          <w:color w:val="auto"/>
          <w:highlight w:val="none"/>
        </w:rPr>
      </w:pPr>
      <w:r>
        <w:rPr>
          <w:rFonts w:hint="eastAsia" w:hAnsi="宋体" w:cs="宋体"/>
          <w:color w:val="auto"/>
          <w:highlight w:val="none"/>
        </w:rPr>
        <w:t>2、监理人应指派</w:t>
      </w:r>
      <w:r>
        <w:rPr>
          <w:rFonts w:hint="eastAsia" w:hAnsi="宋体" w:cs="宋体"/>
          <w:color w:val="auto"/>
          <w:highlight w:val="none"/>
          <w:u w:val="single"/>
        </w:rPr>
        <w:t>两名以上（具有相关专业工程师资格或以上资格）</w:t>
      </w:r>
      <w:r>
        <w:rPr>
          <w:rFonts w:hint="eastAsia" w:hAnsi="宋体" w:cs="宋体"/>
          <w:color w:val="auto"/>
          <w:highlight w:val="none"/>
        </w:rPr>
        <w:t>有十年监理工作经验的人员长驻本项目现场，以便开展本项目的相关工作。</w:t>
      </w:r>
    </w:p>
    <w:p>
      <w:pPr>
        <w:pStyle w:val="14"/>
        <w:adjustRightInd w:val="0"/>
        <w:snapToGrid w:val="0"/>
        <w:ind w:firstLine="420"/>
        <w:rPr>
          <w:rFonts w:hAnsi="宋体" w:cs="宋体"/>
          <w:color w:val="auto"/>
          <w:highlight w:val="none"/>
        </w:rPr>
      </w:pPr>
      <w:r>
        <w:rPr>
          <w:rFonts w:hint="eastAsia" w:hAnsi="宋体" w:cs="宋体"/>
          <w:color w:val="auto"/>
          <w:highlight w:val="none"/>
        </w:rPr>
        <w:t>3、项目监理部自行解决食宿、办公等一切自身所需场所或设备，人员更换率不得超过30%。</w:t>
      </w:r>
    </w:p>
    <w:p>
      <w:pPr>
        <w:pStyle w:val="14"/>
        <w:adjustRightInd w:val="0"/>
        <w:snapToGrid w:val="0"/>
        <w:ind w:firstLine="420"/>
        <w:rPr>
          <w:rFonts w:hAnsi="宋体" w:cs="宋体"/>
          <w:color w:val="auto"/>
          <w:highlight w:val="none"/>
        </w:rPr>
      </w:pPr>
      <w:r>
        <w:rPr>
          <w:rFonts w:hint="eastAsia" w:hAnsi="宋体" w:cs="宋体"/>
          <w:color w:val="auto"/>
          <w:highlight w:val="none"/>
        </w:rPr>
        <w:t>4、</w:t>
      </w:r>
      <w:r>
        <w:rPr>
          <w:rFonts w:hint="eastAsia" w:hAnsi="宋体" w:cs="宋体"/>
          <w:color w:val="auto"/>
          <w:highlight w:val="none"/>
          <w:u w:val="single"/>
        </w:rPr>
        <w:t>监理人应履行合同义务及参建单位职责，并同意接受及执行甲方各项相关建设管理规定，包括委托人制定的《建设工程监理管理制度（试行）》和黄埔区相关管理制度执行。如委托人或黄埔区出台新的管理制度、办法则执行最新的管理制度、办法等。监理人在签订本合同前已知悉甲方的上述相关管理规定。</w:t>
      </w:r>
    </w:p>
    <w:p>
      <w:pPr>
        <w:pStyle w:val="14"/>
        <w:adjustRightInd w:val="0"/>
        <w:snapToGrid w:val="0"/>
        <w:ind w:firstLine="420"/>
        <w:rPr>
          <w:rFonts w:hAnsi="宋体" w:cs="宋体"/>
          <w:color w:val="auto"/>
          <w:highlight w:val="none"/>
        </w:rPr>
      </w:pPr>
      <w:r>
        <w:rPr>
          <w:rFonts w:hint="eastAsia" w:hAnsi="宋体" w:cs="宋体"/>
          <w:color w:val="auto"/>
          <w:highlight w:val="none"/>
        </w:rPr>
        <w:t>5、监理费用的支付按照甲方支付程序执行，委托人不承担本合同以外的任何费用（包括延期付款滞纳金和利息等）。</w:t>
      </w:r>
    </w:p>
    <w:p>
      <w:pPr>
        <w:pStyle w:val="14"/>
        <w:adjustRightInd w:val="0"/>
        <w:snapToGrid w:val="0"/>
        <w:ind w:firstLine="420"/>
        <w:rPr>
          <w:rFonts w:hAnsi="宋体" w:cs="宋体"/>
          <w:color w:val="auto"/>
          <w:highlight w:val="none"/>
        </w:rPr>
      </w:pPr>
      <w:r>
        <w:rPr>
          <w:rFonts w:hint="eastAsia" w:hAnsi="宋体" w:cs="宋体"/>
          <w:color w:val="auto"/>
          <w:highlight w:val="none"/>
        </w:rPr>
        <w:t>6、如遇地震、防疫抗疫或其它不可抗力因素，合同顺延。</w:t>
      </w:r>
    </w:p>
    <w:p>
      <w:pPr>
        <w:pStyle w:val="14"/>
        <w:adjustRightInd w:val="0"/>
        <w:snapToGrid w:val="0"/>
        <w:ind w:firstLine="420"/>
        <w:rPr>
          <w:rFonts w:hAnsi="宋体" w:cs="宋体"/>
          <w:color w:val="auto"/>
          <w:highlight w:val="none"/>
        </w:rPr>
      </w:pPr>
      <w:r>
        <w:rPr>
          <w:rFonts w:hint="eastAsia" w:hAnsi="宋体" w:cs="宋体"/>
          <w:color w:val="auto"/>
          <w:highlight w:val="none"/>
        </w:rPr>
        <w:t>7、合同双方因履行本合同而相互发出或者提供的所有通知、文件、资料，均需当面交付或以在本合同中列明的地址、传真或电子邮箱送达。当面交付文件的，在交付之时为送达；通过传真方式的，在发出传真时视为送达；以邮寄方式的，挂号寄出或者投邮当日视为送达；通过电子邮箱的，在发出电子邮件时视为送达。一方如果迁址、变更电话或改变其他通讯方式，应当书面通知对方。否则对方通知送达前述地址，即视为变更方已收到，由此引发的法律后果由变更方承担。</w:t>
      </w:r>
    </w:p>
    <w:p>
      <w:pPr>
        <w:pStyle w:val="14"/>
        <w:adjustRightInd w:val="0"/>
        <w:snapToGrid w:val="0"/>
        <w:ind w:firstLine="420"/>
        <w:rPr>
          <w:rFonts w:hAnsi="宋体" w:cs="宋体"/>
          <w:color w:val="auto"/>
          <w:highlight w:val="none"/>
        </w:rPr>
      </w:pPr>
      <w:r>
        <w:rPr>
          <w:rFonts w:hint="eastAsia" w:hAnsi="宋体" w:cs="宋体"/>
          <w:color w:val="auto"/>
          <w:highlight w:val="none"/>
        </w:rPr>
        <w:t>8、监理人必须按国家、省、市区的相关规定，持续核查施工单位落实用工实名制和工人工资发放情况。</w:t>
      </w:r>
    </w:p>
    <w:p>
      <w:pPr>
        <w:pStyle w:val="14"/>
        <w:adjustRightInd w:val="0"/>
        <w:snapToGrid w:val="0"/>
        <w:ind w:firstLine="420"/>
        <w:rPr>
          <w:rFonts w:hint="eastAsia" w:hAnsi="宋体" w:cs="宋体"/>
          <w:color w:val="auto"/>
          <w:highlight w:val="none"/>
        </w:rPr>
      </w:pPr>
      <w:r>
        <w:rPr>
          <w:rFonts w:hint="eastAsia" w:hAnsi="宋体" w:cs="宋体"/>
          <w:color w:val="auto"/>
          <w:highlight w:val="none"/>
        </w:rPr>
        <w:t>9、在保修期内，监理人应每三个月对工程进行一次巡视、检查（要到委托人处签到），并向委托人提交书面检查报告，发现有质量缺陷的，要及时通知委托人，会同委托人组织承包人维修，按施工保修书的条款界定责任归属。在保修期内，委托人要求监理人到达现场的，监理人必须在接到委托人通知后2天内到达现场，履行监理职责。如监理人在保修期内不履行监理职责的，委托人有权不支付余款。</w:t>
      </w:r>
    </w:p>
    <w:p>
      <w:pPr>
        <w:rPr>
          <w:rFonts w:hint="default" w:eastAsia="宋体"/>
          <w:color w:val="auto"/>
          <w:highlight w:val="none"/>
          <w:lang w:val="en-US" w:eastAsia="zh-CN"/>
        </w:rPr>
      </w:pPr>
      <w:r>
        <w:rPr>
          <w:rFonts w:hint="eastAsia" w:hAnsi="宋体" w:cs="宋体"/>
          <w:color w:val="auto"/>
          <w:highlight w:val="none"/>
          <w:lang w:val="en-US" w:eastAsia="zh-CN"/>
        </w:rPr>
        <w:t xml:space="preserve">   </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由于监理人提出合理化建议，优化技术方案，被委托人采纳并实施，节约投资10万元以上（含）不足30万元的，可抵扣监理人一般违约责任1次；节约投资30万元以上（含）不足50万元的，可抵扣监理人一般违约责任2次；节约投资50万元以上（含）不足100万元的，可抵扣监理人严重违约责任1次；节约投资100万元以上（含）的，可抵扣监理人严重违约责任2次。</w:t>
      </w:r>
    </w:p>
    <w:p>
      <w:pPr>
        <w:pStyle w:val="26"/>
        <w:rPr>
          <w:color w:val="auto"/>
          <w:highlight w:val="none"/>
        </w:rPr>
      </w:pP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（以下无正文）</w:t>
      </w:r>
    </w:p>
    <w:p>
      <w:pPr>
        <w:widowControl/>
        <w:spacing w:line="360" w:lineRule="auto"/>
        <w:jc w:val="left"/>
        <w:rPr>
          <w:rFonts w:ascii="宋体" w:hAnsi="宋体"/>
          <w:color w:val="auto"/>
          <w:sz w:val="24"/>
          <w:highlight w:val="none"/>
        </w:rPr>
      </w:pPr>
      <w:r>
        <w:rPr>
          <w:rFonts w:ascii="宋体" w:hAnsi="宋体"/>
          <w:color w:val="auto"/>
          <w:sz w:val="24"/>
          <w:highlight w:val="none"/>
        </w:rPr>
        <w:br w:type="page"/>
      </w:r>
    </w:p>
    <w:p>
      <w:pPr>
        <w:pStyle w:val="24"/>
        <w:spacing w:before="0" w:after="120" w:afterLines="50" w:line="360" w:lineRule="auto"/>
        <w:rPr>
          <w:rFonts w:ascii="宋体" w:hAnsi="宋体"/>
          <w:color w:val="auto"/>
          <w:highlight w:val="none"/>
        </w:rPr>
      </w:pPr>
      <w:bookmarkStart w:id="41" w:name="_Toc529863660"/>
      <w:bookmarkStart w:id="42" w:name="_Toc529800443"/>
      <w:bookmarkStart w:id="43" w:name="_Toc529863705"/>
      <w:bookmarkStart w:id="44" w:name="_Toc19625235"/>
      <w:bookmarkStart w:id="45" w:name="_Toc27024"/>
      <w:r>
        <w:rPr>
          <w:rFonts w:hint="eastAsia" w:ascii="宋体" w:hAnsi="宋体"/>
          <w:color w:val="auto"/>
          <w:highlight w:val="none"/>
        </w:rPr>
        <w:t>第四部分 合同附件</w:t>
      </w:r>
      <w:bookmarkEnd w:id="41"/>
      <w:bookmarkEnd w:id="42"/>
      <w:bookmarkEnd w:id="43"/>
      <w:bookmarkEnd w:id="44"/>
      <w:bookmarkEnd w:id="45"/>
    </w:p>
    <w:p>
      <w:pPr>
        <w:spacing w:line="360" w:lineRule="auto"/>
        <w:ind w:left="1260" w:leftChars="200" w:hanging="840" w:hangingChars="350"/>
        <w:jc w:val="left"/>
        <w:rPr>
          <w:rFonts w:ascii="宋体" w:hAnsi="宋体" w:cs="黑体"/>
          <w:color w:val="auto"/>
          <w:sz w:val="24"/>
          <w:highlight w:val="none"/>
          <w:u w:val="single"/>
        </w:rPr>
      </w:pPr>
      <w:r>
        <w:rPr>
          <w:rFonts w:hint="eastAsia" w:ascii="宋体" w:hAnsi="宋体" w:cs="黑体"/>
          <w:color w:val="auto"/>
          <w:sz w:val="24"/>
          <w:highlight w:val="none"/>
          <w:u w:val="single"/>
        </w:rPr>
        <w:t>附件1：廉政协议书；</w:t>
      </w:r>
    </w:p>
    <w:p>
      <w:pPr>
        <w:spacing w:line="360" w:lineRule="auto"/>
        <w:ind w:left="1260" w:leftChars="200" w:hanging="840" w:hangingChars="350"/>
        <w:jc w:val="left"/>
        <w:rPr>
          <w:rFonts w:ascii="宋体" w:hAnsi="宋体" w:cs="黑体"/>
          <w:color w:val="auto"/>
          <w:sz w:val="24"/>
          <w:highlight w:val="none"/>
          <w:u w:val="single"/>
        </w:rPr>
      </w:pPr>
      <w:r>
        <w:rPr>
          <w:rFonts w:hint="eastAsia" w:ascii="宋体" w:hAnsi="宋体" w:cs="黑体"/>
          <w:color w:val="auto"/>
          <w:sz w:val="24"/>
          <w:highlight w:val="none"/>
          <w:u w:val="single"/>
        </w:rPr>
        <w:t>附件2：安全生产文明施工协议；</w:t>
      </w:r>
    </w:p>
    <w:p>
      <w:pPr>
        <w:spacing w:line="360" w:lineRule="auto"/>
        <w:ind w:left="1260" w:leftChars="200" w:hanging="840" w:hangingChars="350"/>
        <w:jc w:val="left"/>
        <w:rPr>
          <w:rFonts w:ascii="宋体" w:hAnsi="宋体" w:cs="黑体"/>
          <w:color w:val="auto"/>
          <w:sz w:val="24"/>
          <w:highlight w:val="none"/>
          <w:u w:val="single"/>
        </w:rPr>
      </w:pPr>
      <w:r>
        <w:rPr>
          <w:rFonts w:hint="eastAsia" w:ascii="宋体" w:hAnsi="宋体" w:cs="黑体"/>
          <w:color w:val="auto"/>
          <w:sz w:val="24"/>
          <w:highlight w:val="none"/>
          <w:u w:val="single"/>
        </w:rPr>
        <w:t>附件3：中标通知书；</w:t>
      </w:r>
    </w:p>
    <w:p>
      <w:pPr>
        <w:spacing w:line="360" w:lineRule="auto"/>
        <w:ind w:left="1260" w:leftChars="200" w:hanging="840" w:hangingChars="350"/>
        <w:jc w:val="left"/>
        <w:rPr>
          <w:rFonts w:ascii="宋体" w:hAnsi="宋体" w:cs="黑体"/>
          <w:color w:val="auto"/>
          <w:sz w:val="24"/>
          <w:highlight w:val="none"/>
          <w:u w:val="single"/>
        </w:rPr>
      </w:pPr>
      <w:r>
        <w:rPr>
          <w:rFonts w:hint="eastAsia" w:ascii="宋体" w:hAnsi="宋体" w:cs="黑体"/>
          <w:color w:val="auto"/>
          <w:sz w:val="24"/>
          <w:highlight w:val="none"/>
          <w:u w:val="single"/>
        </w:rPr>
        <w:t>附件</w:t>
      </w:r>
      <w:r>
        <w:rPr>
          <w:rFonts w:ascii="宋体" w:hAnsi="宋体" w:cs="黑体"/>
          <w:color w:val="auto"/>
          <w:sz w:val="24"/>
          <w:highlight w:val="none"/>
          <w:u w:val="single"/>
        </w:rPr>
        <w:t>4</w:t>
      </w:r>
      <w:r>
        <w:rPr>
          <w:rFonts w:hint="eastAsia" w:ascii="宋体" w:hAnsi="宋体" w:cs="黑体"/>
          <w:color w:val="auto"/>
          <w:sz w:val="24"/>
          <w:highlight w:val="none"/>
          <w:u w:val="single"/>
        </w:rPr>
        <w:t>：履约银行保函及承诺书（版本）；</w:t>
      </w:r>
    </w:p>
    <w:p>
      <w:pPr>
        <w:spacing w:line="360" w:lineRule="auto"/>
        <w:ind w:left="1260" w:leftChars="200" w:hanging="840" w:hangingChars="350"/>
        <w:jc w:val="left"/>
        <w:rPr>
          <w:rFonts w:ascii="宋体" w:hAnsi="宋体" w:cs="黑体"/>
          <w:color w:val="auto"/>
          <w:sz w:val="24"/>
          <w:highlight w:val="none"/>
          <w:u w:val="single"/>
        </w:rPr>
      </w:pPr>
      <w:r>
        <w:rPr>
          <w:rFonts w:hint="eastAsia" w:ascii="宋体" w:hAnsi="宋体" w:cs="黑体"/>
          <w:color w:val="auto"/>
          <w:sz w:val="24"/>
          <w:highlight w:val="none"/>
          <w:u w:val="single"/>
        </w:rPr>
        <w:t>附件</w:t>
      </w:r>
      <w:r>
        <w:rPr>
          <w:rFonts w:ascii="宋体" w:hAnsi="宋体" w:cs="黑体"/>
          <w:color w:val="auto"/>
          <w:sz w:val="24"/>
          <w:highlight w:val="none"/>
          <w:u w:val="single"/>
        </w:rPr>
        <w:t>5</w:t>
      </w:r>
      <w:r>
        <w:rPr>
          <w:rFonts w:hint="eastAsia" w:ascii="宋体" w:hAnsi="宋体" w:cs="黑体"/>
          <w:color w:val="auto"/>
          <w:sz w:val="24"/>
          <w:highlight w:val="none"/>
          <w:u w:val="single"/>
        </w:rPr>
        <w:t>：监理投标报价表、承诺函；</w:t>
      </w:r>
    </w:p>
    <w:p>
      <w:pPr>
        <w:spacing w:line="360" w:lineRule="auto"/>
        <w:ind w:left="1260" w:leftChars="200" w:hanging="840" w:hangingChars="350"/>
        <w:jc w:val="left"/>
        <w:rPr>
          <w:rFonts w:hint="eastAsia" w:ascii="宋体" w:hAnsi="宋体" w:eastAsia="宋体" w:cs="黑体"/>
          <w:color w:val="auto"/>
          <w:sz w:val="24"/>
          <w:highlight w:val="none"/>
          <w:u w:val="single"/>
        </w:rPr>
      </w:pPr>
      <w:r>
        <w:rPr>
          <w:rFonts w:hint="eastAsia" w:ascii="宋体" w:hAnsi="宋体" w:cs="黑体"/>
          <w:color w:val="auto"/>
          <w:sz w:val="24"/>
          <w:highlight w:val="none"/>
          <w:u w:val="single"/>
        </w:rPr>
        <w:t>附件</w:t>
      </w:r>
      <w:r>
        <w:rPr>
          <w:rFonts w:hint="eastAsia" w:ascii="宋体" w:hAnsi="宋体" w:eastAsia="宋体" w:cs="黑体"/>
          <w:color w:val="auto"/>
          <w:sz w:val="24"/>
          <w:highlight w:val="none"/>
          <w:u w:val="single"/>
        </w:rPr>
        <w:t>6：</w:t>
      </w:r>
      <w:r>
        <w:rPr>
          <w:rFonts w:hint="eastAsia" w:ascii="宋体" w:hAnsi="宋体" w:eastAsia="宋体" w:cs="黑体"/>
          <w:b w:val="0"/>
          <w:color w:val="auto"/>
          <w:sz w:val="24"/>
          <w:szCs w:val="24"/>
          <w:highlight w:val="none"/>
          <w:u w:val="single"/>
        </w:rPr>
        <w:t>监理费计算方式、招标限价及投标价表</w:t>
      </w:r>
      <w:r>
        <w:rPr>
          <w:rFonts w:hint="eastAsia" w:ascii="宋体" w:hAnsi="宋体" w:eastAsia="宋体" w:cs="黑体"/>
          <w:color w:val="auto"/>
          <w:sz w:val="24"/>
          <w:highlight w:val="none"/>
          <w:u w:val="single"/>
        </w:rPr>
        <w:t>；</w:t>
      </w:r>
    </w:p>
    <w:p>
      <w:pPr>
        <w:spacing w:line="360" w:lineRule="auto"/>
        <w:ind w:left="1260" w:leftChars="200" w:hanging="840" w:hangingChars="350"/>
        <w:jc w:val="left"/>
        <w:rPr>
          <w:rFonts w:ascii="宋体" w:hAnsi="宋体" w:cs="黑体"/>
          <w:color w:val="auto"/>
          <w:sz w:val="24"/>
          <w:highlight w:val="none"/>
          <w:u w:val="single"/>
        </w:rPr>
      </w:pPr>
      <w:r>
        <w:rPr>
          <w:rFonts w:hint="eastAsia" w:ascii="宋体" w:hAnsi="宋体" w:cs="黑体"/>
          <w:color w:val="auto"/>
          <w:sz w:val="24"/>
          <w:highlight w:val="none"/>
          <w:u w:val="single"/>
        </w:rPr>
        <w:t>附件</w:t>
      </w:r>
      <w:r>
        <w:rPr>
          <w:rFonts w:ascii="宋体" w:hAnsi="宋体" w:cs="黑体"/>
          <w:color w:val="auto"/>
          <w:sz w:val="24"/>
          <w:highlight w:val="none"/>
          <w:u w:val="single"/>
        </w:rPr>
        <w:t>7</w:t>
      </w:r>
      <w:r>
        <w:rPr>
          <w:rFonts w:hint="eastAsia" w:ascii="宋体" w:hAnsi="宋体" w:cs="黑体"/>
          <w:color w:val="auto"/>
          <w:sz w:val="24"/>
          <w:highlight w:val="none"/>
          <w:u w:val="single"/>
        </w:rPr>
        <w:t>：招标答疑；</w:t>
      </w:r>
    </w:p>
    <w:p>
      <w:pPr>
        <w:spacing w:line="360" w:lineRule="auto"/>
        <w:ind w:left="1260" w:leftChars="200" w:hanging="840" w:hangingChars="350"/>
        <w:jc w:val="left"/>
        <w:rPr>
          <w:rFonts w:ascii="宋体" w:hAnsi="宋体" w:cs="黑体"/>
          <w:color w:val="auto"/>
          <w:sz w:val="24"/>
          <w:highlight w:val="none"/>
          <w:u w:val="single"/>
        </w:rPr>
      </w:pPr>
      <w:r>
        <w:rPr>
          <w:rFonts w:hint="eastAsia" w:ascii="宋体" w:hAnsi="宋体" w:cs="黑体"/>
          <w:color w:val="auto"/>
          <w:sz w:val="24"/>
          <w:highlight w:val="none"/>
          <w:u w:val="single"/>
        </w:rPr>
        <w:t>附件8：项目监理人员投入一览表；</w:t>
      </w:r>
    </w:p>
    <w:p>
      <w:pPr>
        <w:spacing w:line="360" w:lineRule="auto"/>
        <w:ind w:left="1260" w:leftChars="200" w:hanging="840" w:hangingChars="350"/>
        <w:jc w:val="left"/>
        <w:rPr>
          <w:rFonts w:ascii="宋体" w:hAnsi="宋体" w:cs="黑体"/>
          <w:color w:val="auto"/>
          <w:sz w:val="24"/>
          <w:highlight w:val="none"/>
          <w:u w:val="single"/>
        </w:rPr>
      </w:pPr>
      <w:r>
        <w:rPr>
          <w:rFonts w:hint="eastAsia" w:ascii="宋体" w:hAnsi="宋体" w:cs="黑体"/>
          <w:color w:val="auto"/>
          <w:sz w:val="24"/>
          <w:highlight w:val="none"/>
          <w:u w:val="single"/>
        </w:rPr>
        <w:t>附件</w:t>
      </w:r>
      <w:r>
        <w:rPr>
          <w:rFonts w:ascii="宋体" w:hAnsi="宋体" w:cs="黑体"/>
          <w:color w:val="auto"/>
          <w:sz w:val="24"/>
          <w:highlight w:val="none"/>
          <w:u w:val="single"/>
        </w:rPr>
        <w:t>9</w:t>
      </w:r>
      <w:r>
        <w:rPr>
          <w:rFonts w:hint="eastAsia" w:ascii="宋体" w:hAnsi="宋体" w:cs="黑体"/>
          <w:color w:val="auto"/>
          <w:sz w:val="24"/>
          <w:highlight w:val="none"/>
          <w:u w:val="single"/>
        </w:rPr>
        <w:t>：拟投入本项目的主要试验检测仪器设备表。</w:t>
      </w:r>
    </w:p>
    <w:p>
      <w:pPr>
        <w:pStyle w:val="26"/>
        <w:rPr>
          <w:color w:val="auto"/>
          <w:highlight w:val="none"/>
        </w:rPr>
      </w:pPr>
    </w:p>
    <w:p>
      <w:pPr>
        <w:spacing w:line="360" w:lineRule="auto"/>
        <w:ind w:left="1260" w:leftChars="200" w:hanging="840" w:hangingChars="350"/>
        <w:jc w:val="left"/>
        <w:rPr>
          <w:rFonts w:ascii="宋体" w:hAnsi="宋体" w:cs="黑体"/>
          <w:color w:val="auto"/>
          <w:sz w:val="24"/>
          <w:highlight w:val="none"/>
        </w:rPr>
      </w:pPr>
    </w:p>
    <w:p>
      <w:pPr>
        <w:pStyle w:val="26"/>
        <w:rPr>
          <w:color w:val="auto"/>
          <w:highlight w:val="none"/>
        </w:rPr>
      </w:pPr>
    </w:p>
    <w:p>
      <w:pPr>
        <w:spacing w:line="360" w:lineRule="auto"/>
        <w:ind w:firstLine="480"/>
        <w:jc w:val="left"/>
        <w:rPr>
          <w:rFonts w:ascii="宋体" w:hAnsi="宋体"/>
          <w:color w:val="auto"/>
          <w:sz w:val="24"/>
          <w:highlight w:val="none"/>
        </w:rPr>
      </w:pPr>
    </w:p>
    <w:p>
      <w:pPr>
        <w:pStyle w:val="14"/>
        <w:ind w:left="420"/>
        <w:rPr>
          <w:rFonts w:hAnsi="宋体"/>
          <w:color w:val="auto"/>
          <w:highlight w:val="none"/>
        </w:rPr>
      </w:pPr>
    </w:p>
    <w:p>
      <w:pPr>
        <w:pStyle w:val="14"/>
        <w:ind w:left="420"/>
        <w:rPr>
          <w:rFonts w:hAnsi="宋体"/>
          <w:color w:val="auto"/>
          <w:highlight w:val="none"/>
        </w:rPr>
      </w:pPr>
    </w:p>
    <w:p>
      <w:pPr>
        <w:pStyle w:val="14"/>
        <w:ind w:left="420"/>
        <w:rPr>
          <w:rFonts w:hAnsi="宋体"/>
          <w:color w:val="auto"/>
          <w:highlight w:val="none"/>
        </w:rPr>
      </w:pPr>
    </w:p>
    <w:p>
      <w:pPr>
        <w:spacing w:line="360" w:lineRule="auto"/>
        <w:ind w:firstLine="480"/>
        <w:jc w:val="left"/>
        <w:rPr>
          <w:rFonts w:ascii="宋体" w:hAnsi="宋体"/>
          <w:color w:val="auto"/>
          <w:sz w:val="24"/>
          <w:highlight w:val="none"/>
        </w:rPr>
      </w:pPr>
    </w:p>
    <w:p>
      <w:pPr>
        <w:spacing w:line="360" w:lineRule="auto"/>
        <w:ind w:firstLine="480"/>
        <w:jc w:val="left"/>
        <w:rPr>
          <w:rFonts w:ascii="宋体" w:hAnsi="宋体"/>
          <w:color w:val="auto"/>
          <w:sz w:val="24"/>
          <w:highlight w:val="none"/>
        </w:rPr>
      </w:pPr>
    </w:p>
    <w:p>
      <w:pPr>
        <w:spacing w:line="360" w:lineRule="auto"/>
        <w:ind w:firstLine="480"/>
        <w:jc w:val="left"/>
        <w:rPr>
          <w:rFonts w:ascii="宋体" w:hAnsi="宋体"/>
          <w:color w:val="auto"/>
          <w:sz w:val="24"/>
          <w:highlight w:val="none"/>
        </w:rPr>
      </w:pPr>
    </w:p>
    <w:p>
      <w:pPr>
        <w:spacing w:line="360" w:lineRule="auto"/>
        <w:ind w:firstLine="480"/>
        <w:jc w:val="left"/>
        <w:rPr>
          <w:rFonts w:ascii="宋体" w:hAnsi="宋体"/>
          <w:color w:val="auto"/>
          <w:sz w:val="24"/>
          <w:highlight w:val="none"/>
        </w:rPr>
      </w:pPr>
    </w:p>
    <w:p>
      <w:pPr>
        <w:spacing w:line="360" w:lineRule="auto"/>
        <w:ind w:firstLine="480"/>
        <w:jc w:val="left"/>
        <w:rPr>
          <w:rFonts w:ascii="宋体" w:hAnsi="宋体"/>
          <w:color w:val="auto"/>
          <w:sz w:val="24"/>
          <w:highlight w:val="none"/>
        </w:rPr>
      </w:pPr>
    </w:p>
    <w:p>
      <w:pPr>
        <w:pStyle w:val="26"/>
        <w:rPr>
          <w:rFonts w:ascii="宋体" w:hAnsi="宋体"/>
          <w:color w:val="auto"/>
          <w:sz w:val="24"/>
          <w:highlight w:val="none"/>
        </w:rPr>
      </w:pPr>
    </w:p>
    <w:p>
      <w:pPr>
        <w:pStyle w:val="26"/>
        <w:rPr>
          <w:rFonts w:ascii="宋体" w:hAnsi="宋体"/>
          <w:color w:val="auto"/>
          <w:sz w:val="24"/>
          <w:highlight w:val="none"/>
        </w:rPr>
      </w:pPr>
    </w:p>
    <w:p>
      <w:pPr>
        <w:pStyle w:val="26"/>
        <w:rPr>
          <w:rFonts w:ascii="宋体" w:hAnsi="宋体"/>
          <w:color w:val="auto"/>
          <w:sz w:val="24"/>
          <w:highlight w:val="none"/>
        </w:rPr>
      </w:pPr>
    </w:p>
    <w:p>
      <w:pPr>
        <w:pStyle w:val="26"/>
        <w:rPr>
          <w:color w:val="auto"/>
          <w:highlight w:val="none"/>
        </w:rPr>
      </w:pPr>
    </w:p>
    <w:p>
      <w:pPr>
        <w:spacing w:line="360" w:lineRule="auto"/>
        <w:ind w:firstLine="480"/>
        <w:jc w:val="left"/>
        <w:rPr>
          <w:rFonts w:ascii="宋体" w:hAnsi="宋体"/>
          <w:color w:val="auto"/>
          <w:sz w:val="24"/>
          <w:highlight w:val="none"/>
        </w:rPr>
      </w:pPr>
    </w:p>
    <w:p>
      <w:pPr>
        <w:spacing w:line="360" w:lineRule="auto"/>
        <w:ind w:firstLine="480"/>
        <w:jc w:val="left"/>
        <w:rPr>
          <w:rFonts w:ascii="宋体" w:hAnsi="宋体"/>
          <w:color w:val="auto"/>
          <w:sz w:val="24"/>
          <w:highlight w:val="none"/>
        </w:rPr>
      </w:pPr>
    </w:p>
    <w:p>
      <w:pPr>
        <w:spacing w:line="360" w:lineRule="auto"/>
        <w:ind w:firstLine="480"/>
        <w:jc w:val="left"/>
        <w:rPr>
          <w:rFonts w:ascii="宋体" w:hAnsi="宋体"/>
          <w:color w:val="auto"/>
          <w:sz w:val="24"/>
          <w:highlight w:val="none"/>
        </w:rPr>
      </w:pPr>
    </w:p>
    <w:p>
      <w:pPr>
        <w:pStyle w:val="14"/>
        <w:ind w:left="420"/>
        <w:rPr>
          <w:rFonts w:hAnsi="Calibri"/>
          <w:color w:val="auto"/>
          <w:sz w:val="21"/>
          <w:highlight w:val="none"/>
        </w:rPr>
      </w:pPr>
      <w:bookmarkStart w:id="46" w:name="_Toc386010658"/>
    </w:p>
    <w:p>
      <w:pPr>
        <w:spacing w:line="360" w:lineRule="auto"/>
        <w:rPr>
          <w:color w:val="auto"/>
          <w:highlight w:val="none"/>
        </w:rPr>
      </w:pPr>
      <w:r>
        <w:rPr>
          <w:rFonts w:hint="eastAsia" w:ascii="Arial" w:hAnsi="Arial" w:eastAsia="黑体"/>
          <w:b/>
          <w:color w:val="auto"/>
          <w:sz w:val="32"/>
          <w:szCs w:val="20"/>
          <w:highlight w:val="none"/>
        </w:rPr>
        <w:t>附件1 工程建设项目廉政责任书</w:t>
      </w:r>
    </w:p>
    <w:p>
      <w:pPr>
        <w:spacing w:line="360" w:lineRule="auto"/>
        <w:jc w:val="center"/>
        <w:rPr>
          <w:rFonts w:hint="eastAsia" w:ascii="宋体" w:hAnsi="宋体"/>
          <w:b/>
          <w:color w:val="auto"/>
          <w:sz w:val="36"/>
          <w:szCs w:val="36"/>
          <w:highlight w:val="none"/>
        </w:rPr>
      </w:pPr>
      <w:bookmarkStart w:id="47" w:name="_Toc513539190"/>
      <w:bookmarkStart w:id="48" w:name="_Toc529863707"/>
      <w:bookmarkStart w:id="49" w:name="_Toc529800445"/>
      <w:bookmarkStart w:id="50" w:name="_Toc529863662"/>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工程建设项目廉政责任书</w:t>
      </w:r>
    </w:p>
    <w:p>
      <w:pPr>
        <w:spacing w:line="360" w:lineRule="auto"/>
        <w:rPr>
          <w:rFonts w:ascii="宋体" w:hAnsi="宋体"/>
          <w:color w:val="auto"/>
          <w:highlight w:val="none"/>
        </w:rPr>
      </w:pPr>
    </w:p>
    <w:p>
      <w:pPr>
        <w:spacing w:line="360" w:lineRule="auto"/>
        <w:jc w:val="both"/>
        <w:rPr>
          <w:rFonts w:hint="eastAsia" w:ascii="宋体" w:hAnsi="宋体" w:eastAsia="宋体" w:cs="宋体"/>
          <w:b/>
          <w:color w:val="auto"/>
          <w:sz w:val="30"/>
          <w:szCs w:val="30"/>
          <w:highlight w:val="none"/>
        </w:rPr>
      </w:pPr>
      <w:r>
        <w:rPr>
          <w:rFonts w:hint="eastAsia" w:ascii="宋体" w:hAnsi="宋体"/>
          <w:color w:val="auto"/>
          <w:highlight w:val="none"/>
        </w:rPr>
        <w:t>工程项目名称：</w:t>
      </w:r>
      <w:r>
        <w:rPr>
          <w:rFonts w:hint="eastAsia" w:ascii="宋体" w:hAnsi="宋体" w:eastAsia="宋体" w:cs="Times New Roman"/>
          <w:color w:val="auto"/>
          <w:kern w:val="0"/>
          <w:sz w:val="24"/>
          <w:szCs w:val="20"/>
          <w:highlight w:val="none"/>
          <w:u w:val="single"/>
          <w:lang w:val="en-US" w:eastAsia="zh-CN" w:bidi="ar-SA"/>
        </w:rPr>
        <w:t>中新科技文化艺术中心之智荟塔（高端酒店）项目监理</w:t>
      </w:r>
    </w:p>
    <w:p>
      <w:pPr>
        <w:pStyle w:val="62"/>
        <w:tabs>
          <w:tab w:val="right" w:pos="8912"/>
        </w:tabs>
        <w:spacing w:line="360" w:lineRule="auto"/>
        <w:ind w:left="0" w:right="0"/>
        <w:rPr>
          <w:rFonts w:ascii="宋体" w:hAnsi="宋体"/>
          <w:color w:val="auto"/>
          <w:highlight w:val="none"/>
          <w:u w:val="single"/>
        </w:rPr>
      </w:pPr>
      <w:r>
        <w:rPr>
          <w:rFonts w:hint="eastAsia" w:ascii="宋体" w:hAnsi="宋体"/>
          <w:color w:val="auto"/>
          <w:highlight w:val="none"/>
        </w:rPr>
        <w:t>工程项目地址：</w:t>
      </w:r>
      <w:r>
        <w:rPr>
          <w:rFonts w:hint="eastAsia" w:ascii="宋体" w:hAnsi="宋体"/>
          <w:color w:val="auto"/>
          <w:highlight w:val="none"/>
          <w:u w:val="single"/>
        </w:rPr>
        <w:t>广州市黄埔区</w:t>
      </w:r>
    </w:p>
    <w:p>
      <w:pPr>
        <w:spacing w:line="360" w:lineRule="auto"/>
        <w:rPr>
          <w:rFonts w:ascii="宋体" w:hAnsi="宋体"/>
          <w:color w:val="auto"/>
          <w:sz w:val="24"/>
          <w:highlight w:val="none"/>
        </w:rPr>
      </w:pPr>
      <w:r>
        <w:rPr>
          <w:rFonts w:hint="eastAsia" w:ascii="宋体" w:hAnsi="宋体"/>
          <w:color w:val="auto"/>
          <w:sz w:val="24"/>
          <w:highlight w:val="none"/>
        </w:rPr>
        <w:t>甲方：</w:t>
      </w:r>
      <w:r>
        <w:rPr>
          <w:rFonts w:hint="eastAsia" w:ascii="宋体" w:hAnsi="宋体" w:eastAsia="宋体" w:cs="宋体"/>
          <w:color w:val="auto"/>
          <w:sz w:val="24"/>
          <w:szCs w:val="24"/>
          <w:highlight w:val="none"/>
          <w:u w:val="single"/>
          <w:lang w:eastAsia="zh-CN"/>
        </w:rPr>
        <w:t>广州开投创智荟投资开发有限公司</w:t>
      </w:r>
    </w:p>
    <w:p>
      <w:pPr>
        <w:spacing w:line="360" w:lineRule="auto"/>
        <w:rPr>
          <w:snapToGrid w:val="0"/>
          <w:color w:val="auto"/>
          <w:sz w:val="24"/>
          <w:highlight w:val="none"/>
          <w:u w:val="single"/>
        </w:rPr>
      </w:pPr>
      <w:r>
        <w:rPr>
          <w:rFonts w:hint="eastAsia" w:ascii="宋体" w:hAnsi="宋体"/>
          <w:color w:val="auto"/>
          <w:sz w:val="24"/>
          <w:highlight w:val="none"/>
        </w:rPr>
        <w:t>乙方：</w:t>
      </w:r>
      <w:r>
        <w:rPr>
          <w:rFonts w:hint="eastAsia"/>
          <w:snapToGrid w:val="0"/>
          <w:color w:val="auto"/>
          <w:sz w:val="24"/>
          <w:highlight w:val="none"/>
          <w:u w:val="single"/>
        </w:rPr>
        <w:t xml:space="preserve"> </w:t>
      </w:r>
      <w:r>
        <w:rPr>
          <w:snapToGrid w:val="0"/>
          <w:color w:val="auto"/>
          <w:sz w:val="24"/>
          <w:highlight w:val="none"/>
          <w:u w:val="single"/>
        </w:rPr>
        <w:t xml:space="preserve">          </w:t>
      </w:r>
    </w:p>
    <w:p>
      <w:pPr>
        <w:rPr>
          <w:color w:val="auto"/>
          <w:highlight w:val="none"/>
        </w:rPr>
      </w:pPr>
    </w:p>
    <w:p>
      <w:pPr>
        <w:spacing w:line="360" w:lineRule="auto"/>
        <w:ind w:firstLine="480"/>
        <w:rPr>
          <w:rFonts w:ascii="宋体" w:hAnsi="宋体"/>
          <w:color w:val="auto"/>
          <w:sz w:val="24"/>
          <w:highlight w:val="none"/>
        </w:rPr>
      </w:pPr>
      <w:r>
        <w:rPr>
          <w:rFonts w:hint="eastAsia" w:ascii="宋体" w:hAnsi="宋体"/>
          <w:color w:val="auto"/>
          <w:sz w:val="24"/>
          <w:highlight w:val="none"/>
        </w:rPr>
        <w:t>为加强工程建设中的廉政建设，规范甲乙双方的各项活动，防止发生各种谋取不正当利益的违法违纪行为，保护当事人的合法权益，促进高效廉洁运行及建设资金的安全使用，根据国家有关工程建设的法律法规和廉政建设责任制规定，特订立本廉政协议书。经甲乙双方确认一致，甲乙双方各自的法人代表人（委托人）签署本责任书后，本责任书作为甲乙双方所有业务往来合同的附件。</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甲乙双方的责任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（一）严格遵守国家关于市场准入、项目招标投标、工程建设、施工安装和市场活动等有关法律、法规，相关政策，以及廉政建设的各项规定。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（二）严格执行甲乙方合同文件，自觉按合同办事。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（三）业务活动必须坚持公开、公平、公正、诚信、透明的原则（项目涉及保密、法律法规另有规定者除外），不得为获取不正当的利益，损害国家、集体和对方利益，不得违反相关的规章制度。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（四）发现对方在业务活动中有违规、违纪、违法行为的，应及时提醒对方，情节严重的，应向其上级主管部门或纪检监察、司法等有关机关举报。</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甲方的责任</w:t>
      </w:r>
    </w:p>
    <w:p>
      <w:pPr>
        <w:spacing w:line="360" w:lineRule="auto"/>
        <w:ind w:firstLine="480"/>
        <w:rPr>
          <w:rFonts w:ascii="宋体" w:hAnsi="宋体"/>
          <w:color w:val="auto"/>
          <w:sz w:val="24"/>
          <w:highlight w:val="none"/>
        </w:rPr>
      </w:pPr>
      <w:r>
        <w:rPr>
          <w:rFonts w:hint="eastAsia" w:ascii="宋体" w:hAnsi="宋体"/>
          <w:color w:val="auto"/>
          <w:sz w:val="24"/>
          <w:highlight w:val="none"/>
        </w:rPr>
        <w:t>甲方的领导和从事项目的工作人员，应遵守以下规定：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（一）不得向乙方和相关单位索要或接受回扣、礼金、有价证券、贵重物品和好处费、感谢费等。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（二）不得在乙方和相关单位报销任何应由甲方或甲方个人支付的费用。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（三）不得要求、暗示和接受乙方和相关单位为个人装修住房、婚丧嫁娶、配偶子女的工作安排以及出国（境）、旅游等提供方便。</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（四）不得参加有可能影响公正执行公务的乙方和相关单位的宴请和健身、娱乐等活动。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（五）不得向乙方介绍或为配偶、子女、亲属参与同甲方项目有关的设备、材料、工程分包、劳务等经济活动。不得以任何理由向乙方和相关单位推荐或要求乙方提供合同规定以外服务等。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（六）不得有违反法律法规、廉政政策规范、合同约定等的违法违规行为。</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乙方的责任</w:t>
      </w:r>
    </w:p>
    <w:p>
      <w:pPr>
        <w:spacing w:line="360" w:lineRule="auto"/>
        <w:ind w:firstLine="480"/>
        <w:rPr>
          <w:rFonts w:ascii="宋体" w:hAnsi="宋体"/>
          <w:color w:val="auto"/>
          <w:sz w:val="24"/>
          <w:highlight w:val="none"/>
        </w:rPr>
      </w:pPr>
      <w:r>
        <w:rPr>
          <w:rFonts w:hint="eastAsia" w:ascii="宋体" w:hAnsi="宋体"/>
          <w:color w:val="auto"/>
          <w:sz w:val="24"/>
          <w:highlight w:val="none"/>
        </w:rPr>
        <w:t>应与甲方保持正常的业务往来，按照有关法律法规和程序开展业务工作，严格执行的有关方针、政策，并遵守以下规定：</w:t>
      </w:r>
    </w:p>
    <w:p>
      <w:pPr>
        <w:spacing w:line="360" w:lineRule="auto"/>
        <w:ind w:left="-27" w:leftChars="-13" w:firstLine="480" w:firstLineChars="200"/>
        <w:rPr>
          <w:rFonts w:ascii="宋体" w:hAnsi="宋体"/>
          <w:color w:val="auto"/>
          <w:sz w:val="24"/>
          <w:highlight w:val="none"/>
        </w:rPr>
      </w:pPr>
      <w:r>
        <w:rPr>
          <w:rFonts w:hint="eastAsia" w:ascii="宋体" w:hAnsi="宋体"/>
          <w:color w:val="auto"/>
          <w:sz w:val="24"/>
          <w:highlight w:val="none"/>
        </w:rPr>
        <w:t>（一）不得以任何理由向甲方、相关单位及其工作人员索要、接收或赠送礼金、有价证券、贵重物品和回扣、好处费、感谢费等。</w:t>
      </w:r>
    </w:p>
    <w:p>
      <w:pPr>
        <w:spacing w:line="360" w:lineRule="auto"/>
        <w:ind w:left="-27" w:leftChars="-13" w:firstLine="480" w:firstLineChars="200"/>
        <w:rPr>
          <w:rFonts w:ascii="宋体" w:hAnsi="宋体"/>
          <w:color w:val="auto"/>
          <w:sz w:val="24"/>
          <w:highlight w:val="none"/>
        </w:rPr>
      </w:pPr>
      <w:r>
        <w:rPr>
          <w:rFonts w:hint="eastAsia" w:ascii="宋体" w:hAnsi="宋体"/>
          <w:color w:val="auto"/>
          <w:sz w:val="24"/>
          <w:highlight w:val="none"/>
        </w:rPr>
        <w:t>（二）不得以任何理由为甲方和相关单位报销应由对方或甲方个人支付的费用。</w:t>
      </w:r>
    </w:p>
    <w:p>
      <w:pPr>
        <w:spacing w:line="360" w:lineRule="auto"/>
        <w:ind w:left="-27" w:leftChars="-13" w:firstLine="480" w:firstLineChars="200"/>
        <w:rPr>
          <w:rFonts w:ascii="宋体" w:hAnsi="宋体"/>
          <w:color w:val="auto"/>
          <w:sz w:val="24"/>
          <w:highlight w:val="none"/>
        </w:rPr>
      </w:pPr>
      <w:r>
        <w:rPr>
          <w:rFonts w:hint="eastAsia" w:ascii="宋体" w:hAnsi="宋体"/>
          <w:color w:val="auto"/>
          <w:sz w:val="24"/>
          <w:highlight w:val="none"/>
        </w:rPr>
        <w:t>（三）不得接受或暗示为甲方、相关单位或甲方个人装修住房、婚丧嫁娶、配偶子女的工作安排以及出国（境）、旅游等提供方便。</w:t>
      </w:r>
    </w:p>
    <w:p>
      <w:pPr>
        <w:spacing w:line="360" w:lineRule="auto"/>
        <w:ind w:left="-27" w:leftChars="-13" w:firstLine="480" w:firstLineChars="200"/>
        <w:rPr>
          <w:rFonts w:ascii="宋体" w:hAnsi="宋体"/>
          <w:color w:val="auto"/>
          <w:sz w:val="24"/>
          <w:highlight w:val="none"/>
        </w:rPr>
      </w:pPr>
      <w:r>
        <w:rPr>
          <w:rFonts w:hint="eastAsia" w:ascii="宋体" w:hAnsi="宋体"/>
          <w:color w:val="auto"/>
          <w:sz w:val="24"/>
          <w:highlight w:val="none"/>
        </w:rPr>
        <w:t>（四）不得以任何理由为甲方、相关单位或甲方个人组织有可能影响公正执行公务的宴请、健身、娱乐等活动。</w:t>
      </w:r>
    </w:p>
    <w:p>
      <w:pPr>
        <w:spacing w:line="360" w:lineRule="auto"/>
        <w:ind w:left="-27" w:leftChars="-13" w:firstLine="480" w:firstLineChars="200"/>
        <w:rPr>
          <w:rFonts w:ascii="宋体" w:hAnsi="宋体"/>
          <w:color w:val="auto"/>
          <w:sz w:val="24"/>
          <w:highlight w:val="none"/>
        </w:rPr>
      </w:pPr>
      <w:r>
        <w:rPr>
          <w:rFonts w:hint="eastAsia" w:ascii="宋体" w:hAnsi="宋体"/>
          <w:color w:val="auto"/>
          <w:sz w:val="24"/>
          <w:highlight w:val="none"/>
        </w:rPr>
        <w:t>（五）不得有违反法律法规、廉政政策规范、合同约定等的违法违规行为。</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违约责任</w:t>
      </w:r>
    </w:p>
    <w:p>
      <w:pPr>
        <w:spacing w:line="360" w:lineRule="auto"/>
        <w:ind w:left="-27" w:leftChars="-13" w:firstLine="480" w:firstLineChars="200"/>
        <w:rPr>
          <w:rFonts w:ascii="宋体" w:hAnsi="宋体"/>
          <w:color w:val="auto"/>
          <w:sz w:val="24"/>
          <w:highlight w:val="none"/>
        </w:rPr>
      </w:pPr>
      <w:r>
        <w:rPr>
          <w:rFonts w:hint="eastAsia" w:ascii="宋体" w:hAnsi="宋体"/>
          <w:color w:val="auto"/>
          <w:sz w:val="24"/>
          <w:highlight w:val="none"/>
        </w:rPr>
        <w:t>（一）甲方工作人员有违反本责任书第一、二条责任行为的，按照管理权限，依据有关法律法规和规定给与党纪、政纪处分或组织处理；涉嫌犯罪的，移交司法机关追究刑事责任；给乙方造成经济损失的，应予以赔偿。</w:t>
      </w:r>
    </w:p>
    <w:p>
      <w:pPr>
        <w:spacing w:line="360" w:lineRule="auto"/>
        <w:ind w:left="-27" w:leftChars="-13" w:firstLine="480" w:firstLineChars="200"/>
        <w:rPr>
          <w:rFonts w:ascii="宋体" w:hAnsi="宋体"/>
          <w:color w:val="auto"/>
          <w:sz w:val="24"/>
          <w:szCs w:val="24"/>
          <w:highlight w:val="none"/>
        </w:rPr>
      </w:pPr>
      <w:r>
        <w:rPr>
          <w:rFonts w:hint="eastAsia" w:ascii="宋体" w:hAnsi="宋体"/>
          <w:color w:val="auto"/>
          <w:sz w:val="24"/>
          <w:highlight w:val="none"/>
        </w:rPr>
        <w:t>（二）乙方工</w:t>
      </w:r>
      <w:r>
        <w:rPr>
          <w:rFonts w:hint="eastAsia" w:ascii="宋体" w:hAnsi="宋体"/>
          <w:color w:val="auto"/>
          <w:sz w:val="24"/>
          <w:szCs w:val="24"/>
          <w:highlight w:val="none"/>
        </w:rPr>
        <w:t>作人员有违反本责任书第一、三条责任行为的，按照管理权限，依据有关法律法规和规定给与党纪、政纪处分或组织处理；涉嫌犯罪的，移交司法机关追究刑事责任；给甲方造成经济损失的，应予以赔偿。</w:t>
      </w:r>
    </w:p>
    <w:p>
      <w:pPr>
        <w:numPr>
          <w:ilvl w:val="0"/>
          <w:numId w:val="2"/>
        </w:numPr>
        <w:tabs>
          <w:tab w:val="left" w:pos="0"/>
        </w:tabs>
        <w:spacing w:line="360" w:lineRule="auto"/>
        <w:ind w:left="482" w:firstLine="0"/>
        <w:rPr>
          <w:rFonts w:ascii="宋体" w:hAnsi="宋体"/>
          <w:color w:val="auto"/>
          <w:sz w:val="24"/>
          <w:szCs w:val="24"/>
          <w:highlight w:val="none"/>
        </w:rPr>
      </w:pPr>
      <w:r>
        <w:rPr>
          <w:rFonts w:hint="eastAsia" w:ascii="宋体" w:hAnsi="宋体"/>
          <w:color w:val="auto"/>
          <w:sz w:val="24"/>
          <w:szCs w:val="24"/>
          <w:highlight w:val="none"/>
        </w:rPr>
        <w:t>本责任书作为</w:t>
      </w:r>
      <w:r>
        <w:rPr>
          <w:rFonts w:hint="eastAsia" w:ascii="宋体" w:hAnsi="宋体" w:cs="Times New Roman"/>
          <w:color w:val="auto"/>
          <w:sz w:val="24"/>
          <w:szCs w:val="24"/>
          <w:highlight w:val="none"/>
          <w:u w:val="single"/>
          <w:lang w:eastAsia="zh-CN"/>
        </w:rPr>
        <w:t>中新科技文化艺术中心之智荟塔（高端酒店）项目监理</w:t>
      </w:r>
    </w:p>
    <w:p>
      <w:pPr>
        <w:numPr>
          <w:ilvl w:val="-1"/>
          <w:numId w:val="0"/>
        </w:numPr>
        <w:tabs>
          <w:tab w:val="left" w:pos="0"/>
        </w:tabs>
        <w:spacing w:line="360" w:lineRule="auto"/>
        <w:ind w:left="0" w:firstLine="0"/>
        <w:rPr>
          <w:rFonts w:ascii="宋体" w:hAnsi="宋体"/>
          <w:color w:val="auto"/>
          <w:sz w:val="24"/>
          <w:szCs w:val="24"/>
          <w:highlight w:val="none"/>
        </w:rPr>
      </w:pPr>
      <w:r>
        <w:rPr>
          <w:rFonts w:hint="eastAsia" w:ascii="宋体" w:hAnsi="宋体" w:cs="Times New Roman"/>
          <w:color w:val="auto"/>
          <w:sz w:val="24"/>
          <w:szCs w:val="24"/>
          <w:highlight w:val="none"/>
          <w:u w:val="none"/>
        </w:rPr>
        <w:t>合同</w:t>
      </w:r>
      <w:r>
        <w:rPr>
          <w:rFonts w:hint="eastAsia" w:ascii="宋体" w:hAnsi="宋体"/>
          <w:color w:val="auto"/>
          <w:sz w:val="24"/>
          <w:szCs w:val="24"/>
          <w:highlight w:val="none"/>
        </w:rPr>
        <w:t>的附件，与</w:t>
      </w:r>
      <w:r>
        <w:rPr>
          <w:rFonts w:hint="eastAsia" w:ascii="宋体" w:hAnsi="宋体" w:cs="Times New Roman"/>
          <w:color w:val="auto"/>
          <w:sz w:val="24"/>
          <w:szCs w:val="24"/>
          <w:highlight w:val="none"/>
          <w:u w:val="single"/>
          <w:lang w:eastAsia="zh-CN"/>
        </w:rPr>
        <w:t>中新科技文化艺术中心之智荟塔（高端酒店）项目监理</w:t>
      </w:r>
      <w:r>
        <w:rPr>
          <w:rFonts w:hint="eastAsia" w:ascii="宋体" w:hAnsi="宋体"/>
          <w:color w:val="auto"/>
          <w:sz w:val="24"/>
          <w:szCs w:val="24"/>
          <w:highlight w:val="none"/>
          <w:u w:val="single"/>
        </w:rPr>
        <w:t>合同</w:t>
      </w:r>
      <w:r>
        <w:rPr>
          <w:rFonts w:hint="eastAsia" w:ascii="宋体" w:hAnsi="宋体"/>
          <w:color w:val="auto"/>
          <w:sz w:val="24"/>
          <w:szCs w:val="24"/>
          <w:highlight w:val="none"/>
        </w:rPr>
        <w:t>具有同等法律效力。经双方签署后立即生效。</w:t>
      </w:r>
    </w:p>
    <w:p>
      <w:pPr>
        <w:numPr>
          <w:ilvl w:val="0"/>
          <w:numId w:val="2"/>
        </w:numPr>
        <w:tabs>
          <w:tab w:val="left" w:pos="0"/>
        </w:tabs>
        <w:spacing w:line="360" w:lineRule="auto"/>
        <w:rPr>
          <w:rFonts w:ascii="宋体" w:hAnsi="宋体"/>
          <w:color w:val="auto"/>
          <w:sz w:val="24"/>
          <w:szCs w:val="24"/>
          <w:highlight w:val="none"/>
        </w:rPr>
      </w:pPr>
      <w:r>
        <w:rPr>
          <w:rFonts w:hint="eastAsia" w:ascii="宋体" w:hAnsi="宋体"/>
          <w:color w:val="auto"/>
          <w:sz w:val="24"/>
          <w:szCs w:val="24"/>
          <w:highlight w:val="none"/>
        </w:rPr>
        <w:t>本责任书的有效期</w:t>
      </w:r>
      <w:r>
        <w:rPr>
          <w:rFonts w:hint="eastAsia" w:ascii="宋体" w:hAnsi="宋体"/>
          <w:color w:val="auto"/>
          <w:sz w:val="24"/>
          <w:szCs w:val="24"/>
          <w:highlight w:val="none"/>
          <w:lang w:val="en-US" w:eastAsia="zh-CN"/>
        </w:rPr>
        <w:t>与</w:t>
      </w:r>
      <w:r>
        <w:rPr>
          <w:rFonts w:hint="eastAsia" w:ascii="宋体" w:hAnsi="宋体" w:cs="Times New Roman"/>
          <w:color w:val="auto"/>
          <w:sz w:val="24"/>
          <w:szCs w:val="24"/>
          <w:highlight w:val="none"/>
          <w:u w:val="single"/>
          <w:lang w:eastAsia="zh-CN"/>
        </w:rPr>
        <w:t>中新科技文化艺术中心之智荟塔（高端酒店）项</w:t>
      </w:r>
    </w:p>
    <w:p>
      <w:pPr>
        <w:numPr>
          <w:ilvl w:val="-1"/>
          <w:numId w:val="0"/>
        </w:numPr>
        <w:tabs>
          <w:tab w:val="left" w:pos="0"/>
        </w:tabs>
        <w:spacing w:line="360" w:lineRule="auto"/>
        <w:ind w:left="0" w:firstLine="0"/>
        <w:rPr>
          <w:rFonts w:ascii="宋体" w:hAnsi="宋体"/>
          <w:color w:val="auto"/>
          <w:sz w:val="24"/>
          <w:szCs w:val="24"/>
          <w:highlight w:val="none"/>
        </w:rPr>
      </w:pPr>
      <w:r>
        <w:rPr>
          <w:rFonts w:hint="eastAsia" w:ascii="宋体" w:hAnsi="宋体" w:cs="Times New Roman"/>
          <w:color w:val="auto"/>
          <w:sz w:val="24"/>
          <w:szCs w:val="24"/>
          <w:highlight w:val="none"/>
          <w:u w:val="single"/>
          <w:lang w:eastAsia="zh-CN"/>
        </w:rPr>
        <w:t>目监理</w:t>
      </w:r>
      <w:r>
        <w:rPr>
          <w:rFonts w:hint="eastAsia" w:ascii="宋体" w:hAnsi="宋体"/>
          <w:color w:val="auto"/>
          <w:sz w:val="24"/>
          <w:szCs w:val="24"/>
          <w:highlight w:val="none"/>
          <w:u w:val="single"/>
        </w:rPr>
        <w:t>合同</w:t>
      </w:r>
      <w:r>
        <w:rPr>
          <w:rFonts w:hint="eastAsia" w:ascii="宋体" w:hAnsi="宋体"/>
          <w:color w:val="auto"/>
          <w:sz w:val="24"/>
          <w:szCs w:val="24"/>
          <w:highlight w:val="none"/>
        </w:rPr>
        <w:t>一致。</w:t>
      </w:r>
    </w:p>
    <w:p>
      <w:pPr>
        <w:pStyle w:val="14"/>
        <w:rPr>
          <w:color w:val="auto"/>
          <w:highlight w:val="none"/>
        </w:rPr>
      </w:pPr>
    </w:p>
    <w:tbl>
      <w:tblPr>
        <w:tblStyle w:val="2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677"/>
        <w:gridCol w:w="5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716" w:type="dxa"/>
            <w:gridSpan w:val="3"/>
            <w:tcBorders>
              <w:top w:val="nil"/>
              <w:left w:val="nil"/>
              <w:bottom w:val="nil"/>
              <w:right w:val="nil"/>
            </w:tcBorders>
            <w:noWrap w:val="0"/>
            <w:vAlign w:val="top"/>
          </w:tcPr>
          <w:p>
            <w:pPr>
              <w:spacing w:line="360" w:lineRule="auto"/>
              <w:ind w:left="5760" w:hanging="5760" w:hangingChars="2400"/>
              <w:rPr>
                <w:rFonts w:ascii="宋体" w:hAnsi="宋体"/>
                <w:color w:val="auto"/>
                <w:sz w:val="24"/>
                <w:highlight w:val="none"/>
              </w:rPr>
            </w:pPr>
          </w:p>
          <w:p>
            <w:pPr>
              <w:spacing w:line="360" w:lineRule="auto"/>
              <w:ind w:left="5760" w:hanging="5760" w:hangingChars="2400"/>
              <w:rPr>
                <w:rFonts w:hint="eastAsia" w:ascii="宋体" w:hAnsi="宋体" w:eastAsia="宋体"/>
                <w:color w:val="auto"/>
                <w:sz w:val="24"/>
                <w:highlight w:val="none"/>
                <w:lang w:eastAsia="zh-CN"/>
              </w:rPr>
            </w:pPr>
            <w:r>
              <w:rPr>
                <w:rFonts w:hint="eastAsia" w:ascii="宋体" w:hAnsi="宋体"/>
                <w:color w:val="auto"/>
                <w:sz w:val="24"/>
                <w:highlight w:val="none"/>
              </w:rPr>
              <w:t>甲方：</w:t>
            </w:r>
            <w:r>
              <w:rPr>
                <w:rFonts w:hint="eastAsia" w:ascii="宋体" w:hAnsi="宋体"/>
                <w:color w:val="auto"/>
                <w:sz w:val="24"/>
                <w:highlight w:val="none"/>
                <w:lang w:eastAsia="zh-CN"/>
              </w:rPr>
              <w:t>广州开投创智荟投资开发有限公司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665" w:type="dxa"/>
            <w:gridSpan w:val="2"/>
            <w:tcBorders>
              <w:top w:val="nil"/>
              <w:left w:val="nil"/>
              <w:bottom w:val="nil"/>
              <w:right w:val="nil"/>
            </w:tcBorders>
            <w:noWrap w:val="0"/>
            <w:vAlign w:val="top"/>
          </w:tcPr>
          <w:p>
            <w:pPr>
              <w:snapToGrid w:val="0"/>
              <w:spacing w:line="360" w:lineRule="auto"/>
              <w:ind w:left="-210" w:leftChars="-100" w:right="-97" w:rightChars="-46" w:firstLine="1560" w:firstLineChars="650"/>
              <w:rPr>
                <w:rFonts w:ascii="宋体" w:hAnsi="宋体"/>
                <w:color w:val="auto"/>
                <w:sz w:val="24"/>
                <w:highlight w:val="none"/>
              </w:rPr>
            </w:pPr>
            <w:r>
              <w:rPr>
                <w:rFonts w:hint="eastAsia" w:ascii="宋体" w:hAnsi="宋体"/>
                <w:color w:val="auto"/>
                <w:sz w:val="24"/>
                <w:highlight w:val="none"/>
              </w:rPr>
              <w:t xml:space="preserve">（公章）                          </w:t>
            </w:r>
          </w:p>
        </w:tc>
        <w:tc>
          <w:tcPr>
            <w:tcW w:w="5051" w:type="dxa"/>
            <w:tcBorders>
              <w:top w:val="nil"/>
              <w:left w:val="nil"/>
              <w:bottom w:val="nil"/>
              <w:right w:val="nil"/>
            </w:tcBorders>
            <w:noWrap w:val="0"/>
            <w:vAlign w:val="top"/>
          </w:tcPr>
          <w:p>
            <w:pPr>
              <w:snapToGrid w:val="0"/>
              <w:spacing w:line="360" w:lineRule="auto"/>
              <w:ind w:left="-210" w:leftChars="-100" w:right="-97" w:rightChars="-46" w:firstLine="1680" w:firstLineChars="70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8" w:type="dxa"/>
            <w:tcBorders>
              <w:top w:val="nil"/>
              <w:left w:val="nil"/>
              <w:bottom w:val="nil"/>
              <w:right w:val="nil"/>
            </w:tcBorders>
            <w:noWrap w:val="0"/>
            <w:vAlign w:val="top"/>
          </w:tcPr>
          <w:p>
            <w:pPr>
              <w:snapToGrid w:val="0"/>
              <w:spacing w:line="360" w:lineRule="auto"/>
              <w:ind w:left="-210" w:leftChars="-100" w:right="-97" w:rightChars="-46" w:firstLine="120" w:firstLineChars="50"/>
              <w:rPr>
                <w:rFonts w:ascii="宋体" w:hAnsi="宋体"/>
                <w:color w:val="auto"/>
                <w:sz w:val="24"/>
                <w:highlight w:val="none"/>
              </w:rPr>
            </w:pPr>
            <w:r>
              <w:rPr>
                <w:rFonts w:hint="eastAsia" w:ascii="宋体" w:hAnsi="宋体"/>
                <w:color w:val="auto"/>
                <w:sz w:val="24"/>
                <w:highlight w:val="none"/>
              </w:rPr>
              <w:t>法定代表人：</w:t>
            </w:r>
          </w:p>
        </w:tc>
        <w:tc>
          <w:tcPr>
            <w:tcW w:w="2677" w:type="dxa"/>
            <w:tcBorders>
              <w:top w:val="nil"/>
              <w:left w:val="nil"/>
              <w:bottom w:val="nil"/>
              <w:right w:val="nil"/>
            </w:tcBorders>
            <w:noWrap w:val="0"/>
            <w:vAlign w:val="top"/>
          </w:tcPr>
          <w:p>
            <w:pPr>
              <w:snapToGrid w:val="0"/>
              <w:spacing w:line="360" w:lineRule="auto"/>
              <w:ind w:left="-210" w:leftChars="-100" w:right="-97" w:rightChars="-46"/>
              <w:rPr>
                <w:rFonts w:ascii="宋体" w:hAnsi="宋体"/>
                <w:color w:val="auto"/>
                <w:sz w:val="24"/>
                <w:highlight w:val="none"/>
              </w:rPr>
            </w:pPr>
          </w:p>
        </w:tc>
        <w:tc>
          <w:tcPr>
            <w:tcW w:w="5051" w:type="dxa"/>
            <w:tcBorders>
              <w:top w:val="nil"/>
              <w:left w:val="nil"/>
              <w:bottom w:val="nil"/>
              <w:right w:val="nil"/>
            </w:tcBorders>
            <w:noWrap w:val="0"/>
            <w:vAlign w:val="top"/>
          </w:tcPr>
          <w:p>
            <w:pPr>
              <w:snapToGrid w:val="0"/>
              <w:spacing w:line="360" w:lineRule="auto"/>
              <w:ind w:left="-210" w:leftChars="-100" w:right="-97" w:rightChars="-46" w:firstLine="120" w:firstLineChars="5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8" w:type="dxa"/>
            <w:tcBorders>
              <w:top w:val="nil"/>
              <w:left w:val="nil"/>
              <w:bottom w:val="nil"/>
              <w:right w:val="nil"/>
            </w:tcBorders>
            <w:noWrap w:val="0"/>
            <w:vAlign w:val="top"/>
          </w:tcPr>
          <w:p>
            <w:pPr>
              <w:tabs>
                <w:tab w:val="left" w:pos="4536"/>
              </w:tabs>
              <w:adjustRightInd w:val="0"/>
              <w:snapToGrid w:val="0"/>
              <w:spacing w:line="360" w:lineRule="auto"/>
              <w:ind w:left="-210" w:leftChars="-100"/>
              <w:rPr>
                <w:rFonts w:ascii="宋体" w:hAnsi="宋体"/>
                <w:color w:val="auto"/>
                <w:sz w:val="24"/>
                <w:highlight w:val="none"/>
              </w:rPr>
            </w:pPr>
            <w:r>
              <w:rPr>
                <w:rFonts w:hint="eastAsia" w:ascii="宋体" w:hAnsi="宋体"/>
                <w:color w:val="auto"/>
                <w:sz w:val="24"/>
                <w:highlight w:val="none"/>
              </w:rPr>
              <w:t xml:space="preserve"> 委托代理人：</w:t>
            </w:r>
          </w:p>
          <w:p>
            <w:pPr>
              <w:snapToGrid w:val="0"/>
              <w:spacing w:line="360" w:lineRule="auto"/>
              <w:ind w:left="-210" w:leftChars="-100" w:right="-97" w:rightChars="-46" w:firstLine="120" w:firstLineChars="50"/>
              <w:rPr>
                <w:rFonts w:ascii="宋体" w:hAnsi="宋体"/>
                <w:color w:val="auto"/>
                <w:sz w:val="24"/>
                <w:highlight w:val="none"/>
              </w:rPr>
            </w:pPr>
          </w:p>
        </w:tc>
        <w:tc>
          <w:tcPr>
            <w:tcW w:w="2677" w:type="dxa"/>
            <w:tcBorders>
              <w:top w:val="nil"/>
              <w:left w:val="nil"/>
              <w:bottom w:val="nil"/>
              <w:right w:val="nil"/>
            </w:tcBorders>
            <w:noWrap w:val="0"/>
            <w:vAlign w:val="top"/>
          </w:tcPr>
          <w:p>
            <w:pPr>
              <w:snapToGrid w:val="0"/>
              <w:spacing w:line="360" w:lineRule="auto"/>
              <w:ind w:left="-210" w:leftChars="-100" w:right="-97" w:rightChars="-46"/>
              <w:rPr>
                <w:rFonts w:ascii="宋体" w:hAnsi="宋体"/>
                <w:color w:val="auto"/>
                <w:sz w:val="24"/>
                <w:highlight w:val="none"/>
              </w:rPr>
            </w:pPr>
            <w:r>
              <w:rPr>
                <w:rFonts w:hint="eastAsia" w:ascii="宋体" w:hAnsi="宋体"/>
                <w:color w:val="auto"/>
                <w:sz w:val="24"/>
                <w:highlight w:val="none"/>
              </w:rPr>
              <w:t xml:space="preserve"> </w:t>
            </w:r>
          </w:p>
        </w:tc>
        <w:tc>
          <w:tcPr>
            <w:tcW w:w="5051" w:type="dxa"/>
            <w:tcBorders>
              <w:top w:val="nil"/>
              <w:left w:val="nil"/>
              <w:bottom w:val="nil"/>
              <w:right w:val="nil"/>
            </w:tcBorders>
            <w:noWrap w:val="0"/>
            <w:vAlign w:val="top"/>
          </w:tcPr>
          <w:p>
            <w:pPr>
              <w:snapToGrid w:val="0"/>
              <w:spacing w:line="360" w:lineRule="auto"/>
              <w:ind w:left="-210" w:leftChars="-100" w:right="-97" w:rightChars="-46" w:firstLine="120" w:firstLineChars="50"/>
              <w:rPr>
                <w:rFonts w:ascii="宋体" w:hAnsi="宋体"/>
                <w:color w:val="auto"/>
                <w:sz w:val="24"/>
                <w:highlight w:val="none"/>
              </w:rPr>
            </w:pPr>
          </w:p>
        </w:tc>
      </w:tr>
    </w:tbl>
    <w:p>
      <w:pPr>
        <w:snapToGrid w:val="0"/>
        <w:spacing w:line="360" w:lineRule="auto"/>
        <w:ind w:left="-210" w:leftChars="-100" w:right="-97" w:rightChars="-46"/>
        <w:rPr>
          <w:rFonts w:ascii="宋体" w:hAnsi="宋体"/>
          <w:color w:val="auto"/>
          <w:sz w:val="24"/>
          <w:highlight w:val="none"/>
        </w:rPr>
      </w:pPr>
    </w:p>
    <w:p>
      <w:pPr>
        <w:snapToGrid w:val="0"/>
        <w:spacing w:line="360" w:lineRule="auto"/>
        <w:ind w:left="-210" w:leftChars="-100" w:right="-97" w:rightChars="-46"/>
        <w:rPr>
          <w:rFonts w:ascii="宋体" w:hAnsi="宋体"/>
          <w:color w:val="auto"/>
          <w:sz w:val="24"/>
          <w:highlight w:val="none"/>
        </w:rPr>
      </w:pPr>
    </w:p>
    <w:p>
      <w:pPr>
        <w:snapToGrid w:val="0"/>
        <w:spacing w:line="360" w:lineRule="auto"/>
        <w:ind w:left="-210" w:leftChars="-100" w:right="-97" w:rightChars="-46"/>
        <w:rPr>
          <w:rFonts w:ascii="宋体" w:hAnsi="宋体"/>
          <w:color w:val="auto"/>
          <w:sz w:val="24"/>
          <w:highlight w:val="none"/>
          <w:u w:val="single"/>
        </w:rPr>
      </w:pPr>
      <w:r>
        <w:rPr>
          <w:rFonts w:hint="eastAsia" w:ascii="宋体" w:hAnsi="宋体"/>
          <w:color w:val="auto"/>
          <w:sz w:val="24"/>
          <w:highlight w:val="none"/>
        </w:rPr>
        <w:t xml:space="preserve">乙方： </w:t>
      </w:r>
      <w:r>
        <w:rPr>
          <w:rFonts w:ascii="宋体" w:hAnsi="宋体"/>
          <w:color w:val="auto"/>
          <w:sz w:val="24"/>
          <w:highlight w:val="none"/>
        </w:rPr>
        <w:t xml:space="preserve">  </w:t>
      </w:r>
    </w:p>
    <w:p>
      <w:pPr>
        <w:snapToGrid w:val="0"/>
        <w:spacing w:line="360" w:lineRule="auto"/>
        <w:ind w:left="-210" w:leftChars="-100" w:right="-97" w:rightChars="-46"/>
        <w:rPr>
          <w:rFonts w:ascii="宋体" w:hAnsi="宋体"/>
          <w:color w:val="auto"/>
          <w:sz w:val="24"/>
          <w:highlight w:val="none"/>
        </w:rPr>
      </w:pPr>
      <w:r>
        <w:rPr>
          <w:rFonts w:hint="eastAsia" w:ascii="宋体" w:hAnsi="宋体"/>
          <w:color w:val="auto"/>
          <w:sz w:val="24"/>
          <w:highlight w:val="none"/>
        </w:rPr>
        <w:t xml:space="preserve">            （公章）</w:t>
      </w:r>
    </w:p>
    <w:p>
      <w:pPr>
        <w:spacing w:line="360" w:lineRule="auto"/>
        <w:ind w:left="-210" w:leftChars="-100"/>
        <w:rPr>
          <w:rFonts w:ascii="宋体" w:hAnsi="宋体"/>
          <w:color w:val="auto"/>
          <w:sz w:val="24"/>
          <w:highlight w:val="none"/>
        </w:rPr>
      </w:pPr>
      <w:r>
        <w:rPr>
          <w:rFonts w:hint="eastAsia" w:ascii="宋体" w:hAnsi="宋体"/>
          <w:color w:val="auto"/>
          <w:sz w:val="24"/>
          <w:highlight w:val="none"/>
        </w:rPr>
        <w:t xml:space="preserve">法定代表人：　　　　　　　　　　 　　　　   </w:t>
      </w:r>
    </w:p>
    <w:p>
      <w:pPr>
        <w:tabs>
          <w:tab w:val="left" w:pos="4536"/>
        </w:tabs>
        <w:adjustRightInd w:val="0"/>
        <w:snapToGrid w:val="0"/>
        <w:spacing w:line="360" w:lineRule="auto"/>
        <w:ind w:left="-210" w:leftChars="-100"/>
        <w:rPr>
          <w:rFonts w:ascii="宋体" w:hAnsi="宋体"/>
          <w:color w:val="auto"/>
          <w:sz w:val="24"/>
          <w:highlight w:val="none"/>
        </w:rPr>
      </w:pPr>
      <w:r>
        <w:rPr>
          <w:rFonts w:hint="eastAsia" w:ascii="宋体" w:hAnsi="宋体"/>
          <w:color w:val="auto"/>
          <w:sz w:val="24"/>
          <w:highlight w:val="none"/>
        </w:rPr>
        <w:t>委托代理人：</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p>
    <w:p>
      <w:pPr>
        <w:adjustRightInd w:val="0"/>
        <w:snapToGrid w:val="0"/>
        <w:spacing w:line="360" w:lineRule="auto"/>
        <w:jc w:val="center"/>
        <w:rPr>
          <w:rFonts w:ascii="宋体" w:hAnsi="宋体"/>
          <w:b/>
          <w:color w:val="auto"/>
          <w:sz w:val="36"/>
          <w:szCs w:val="36"/>
          <w:highlight w:val="none"/>
        </w:rPr>
      </w:pPr>
    </w:p>
    <w:p>
      <w:pPr>
        <w:pStyle w:val="14"/>
        <w:rPr>
          <w:rFonts w:hAnsi="宋体"/>
          <w:b/>
          <w:color w:val="auto"/>
          <w:sz w:val="36"/>
          <w:szCs w:val="36"/>
          <w:highlight w:val="none"/>
        </w:rPr>
      </w:pPr>
    </w:p>
    <w:p>
      <w:pPr>
        <w:pStyle w:val="14"/>
        <w:rPr>
          <w:rFonts w:hAnsi="宋体"/>
          <w:b/>
          <w:color w:val="auto"/>
          <w:sz w:val="36"/>
          <w:szCs w:val="36"/>
          <w:highlight w:val="none"/>
        </w:rPr>
      </w:pPr>
    </w:p>
    <w:p>
      <w:pPr>
        <w:pStyle w:val="14"/>
        <w:rPr>
          <w:rFonts w:hAnsi="宋体"/>
          <w:b/>
          <w:color w:val="auto"/>
          <w:sz w:val="36"/>
          <w:szCs w:val="36"/>
          <w:highlight w:val="none"/>
        </w:rPr>
      </w:pPr>
    </w:p>
    <w:p>
      <w:pPr>
        <w:adjustRightInd w:val="0"/>
        <w:snapToGrid w:val="0"/>
        <w:spacing w:line="360" w:lineRule="auto"/>
        <w:jc w:val="center"/>
        <w:rPr>
          <w:rFonts w:ascii="宋体" w:hAnsi="宋体"/>
          <w:b/>
          <w:color w:val="auto"/>
          <w:sz w:val="36"/>
          <w:szCs w:val="36"/>
          <w:highlight w:val="none"/>
        </w:rPr>
      </w:pPr>
    </w:p>
    <w:p>
      <w:pPr>
        <w:pStyle w:val="4"/>
        <w:rPr>
          <w:rFonts w:ascii="宋体" w:hAnsi="宋体"/>
          <w:b/>
          <w:color w:val="auto"/>
          <w:sz w:val="36"/>
          <w:szCs w:val="36"/>
          <w:highlight w:val="none"/>
        </w:rPr>
      </w:pPr>
    </w:p>
    <w:p>
      <w:pPr>
        <w:rPr>
          <w:color w:val="auto"/>
          <w:highlight w:val="none"/>
        </w:rPr>
      </w:pPr>
    </w:p>
    <w:p>
      <w:pPr>
        <w:adjustRightInd w:val="0"/>
        <w:snapToGrid w:val="0"/>
        <w:spacing w:line="360" w:lineRule="auto"/>
        <w:jc w:val="center"/>
        <w:rPr>
          <w:rFonts w:ascii="宋体" w:hAnsi="宋体"/>
          <w:b/>
          <w:color w:val="auto"/>
          <w:sz w:val="36"/>
          <w:szCs w:val="36"/>
          <w:highlight w:val="none"/>
        </w:rPr>
      </w:pPr>
    </w:p>
    <w:p>
      <w:pPr>
        <w:pStyle w:val="4"/>
        <w:rPr>
          <w:color w:val="auto"/>
          <w:highlight w:val="none"/>
        </w:rPr>
      </w:pPr>
    </w:p>
    <w:bookmarkEnd w:id="47"/>
    <w:bookmarkEnd w:id="48"/>
    <w:bookmarkEnd w:id="49"/>
    <w:bookmarkEnd w:id="50"/>
    <w:p>
      <w:pPr>
        <w:pStyle w:val="14"/>
        <w:rPr>
          <w:rFonts w:eastAsia="新宋体" w:cs="宋体"/>
          <w:color w:val="auto"/>
          <w:highlight w:val="none"/>
        </w:rPr>
      </w:pPr>
    </w:p>
    <w:p>
      <w:pPr>
        <w:widowControl/>
        <w:jc w:val="left"/>
        <w:rPr>
          <w:rFonts w:eastAsia="新宋体" w:cs="宋体"/>
          <w:color w:val="auto"/>
          <w:highlight w:val="none"/>
        </w:rPr>
      </w:pPr>
    </w:p>
    <w:p>
      <w:pPr>
        <w:spacing w:line="360" w:lineRule="auto"/>
        <w:rPr>
          <w:rFonts w:ascii="Arial" w:hAnsi="Arial" w:eastAsia="黑体"/>
          <w:b/>
          <w:color w:val="auto"/>
          <w:sz w:val="32"/>
          <w:szCs w:val="20"/>
          <w:highlight w:val="none"/>
        </w:rPr>
      </w:pPr>
      <w:bookmarkStart w:id="51" w:name="_Toc19625237"/>
      <w:bookmarkStart w:id="52" w:name="_Toc529863663"/>
      <w:bookmarkStart w:id="53" w:name="_Toc529863708"/>
      <w:bookmarkStart w:id="54" w:name="_Toc529800446"/>
      <w:r>
        <w:rPr>
          <w:rFonts w:hint="eastAsia" w:ascii="Arial" w:hAnsi="Arial" w:eastAsia="黑体"/>
          <w:b/>
          <w:color w:val="auto"/>
          <w:sz w:val="32"/>
          <w:szCs w:val="20"/>
          <w:highlight w:val="none"/>
        </w:rPr>
        <w:t>附件2：安全生产文明施工协议</w:t>
      </w:r>
      <w:bookmarkEnd w:id="46"/>
      <w:bookmarkEnd w:id="51"/>
      <w:bookmarkEnd w:id="52"/>
      <w:bookmarkEnd w:id="53"/>
      <w:bookmarkEnd w:id="54"/>
    </w:p>
    <w:p>
      <w:pPr>
        <w:jc w:val="center"/>
        <w:rPr>
          <w:rFonts w:eastAsia="新宋体"/>
          <w:b/>
          <w:color w:val="auto"/>
          <w:sz w:val="24"/>
          <w:highlight w:val="none"/>
        </w:rPr>
      </w:pPr>
      <w:r>
        <w:rPr>
          <w:rFonts w:hint="eastAsia" w:eastAsia="新宋体"/>
          <w:b/>
          <w:color w:val="auto"/>
          <w:sz w:val="24"/>
          <w:highlight w:val="none"/>
        </w:rPr>
        <w:t>安全生产文明施工协议</w:t>
      </w:r>
    </w:p>
    <w:p>
      <w:pPr>
        <w:pStyle w:val="62"/>
        <w:spacing w:line="360" w:lineRule="auto"/>
        <w:ind w:left="0" w:right="0"/>
        <w:rPr>
          <w:rFonts w:eastAsia="新宋体" w:cs="宋体"/>
          <w:color w:val="auto"/>
          <w:kern w:val="2"/>
          <w:szCs w:val="22"/>
          <w:highlight w:val="none"/>
        </w:rPr>
      </w:pPr>
    </w:p>
    <w:p>
      <w:pPr>
        <w:spacing w:line="360" w:lineRule="auto"/>
        <w:jc w:val="both"/>
        <w:rPr>
          <w:rFonts w:eastAsia="新宋体" w:cs="宋体"/>
          <w:color w:val="auto"/>
          <w:kern w:val="2"/>
          <w:szCs w:val="22"/>
          <w:highlight w:val="none"/>
        </w:rPr>
      </w:pPr>
      <w:r>
        <w:rPr>
          <w:rFonts w:hint="eastAsia" w:eastAsia="新宋体" w:cs="宋体"/>
          <w:color w:val="auto"/>
          <w:kern w:val="2"/>
          <w:szCs w:val="22"/>
          <w:highlight w:val="none"/>
        </w:rPr>
        <w:t>工程项目名称：</w:t>
      </w:r>
      <w:r>
        <w:rPr>
          <w:rFonts w:hint="eastAsia" w:ascii="宋体" w:hAnsi="宋体" w:cs="Times New Roman"/>
          <w:color w:val="auto"/>
          <w:sz w:val="24"/>
          <w:highlight w:val="none"/>
          <w:u w:val="single"/>
          <w:lang w:eastAsia="zh-CN"/>
        </w:rPr>
        <w:t>中新科技文化艺术中心之智荟塔（高端酒店）项目监理</w:t>
      </w:r>
    </w:p>
    <w:p>
      <w:pPr>
        <w:spacing w:line="360" w:lineRule="auto"/>
        <w:rPr>
          <w:rFonts w:eastAsia="新宋体" w:cs="宋体"/>
          <w:color w:val="auto"/>
          <w:sz w:val="24"/>
          <w:highlight w:val="none"/>
        </w:rPr>
      </w:pPr>
      <w:r>
        <w:rPr>
          <w:rFonts w:hint="eastAsia" w:eastAsia="新宋体" w:cs="宋体"/>
          <w:color w:val="auto"/>
          <w:sz w:val="24"/>
          <w:highlight w:val="none"/>
        </w:rPr>
        <w:t>工程项目地址：</w:t>
      </w:r>
      <w:r>
        <w:rPr>
          <w:rFonts w:hint="eastAsia" w:ascii="宋体" w:hAnsi="宋体"/>
          <w:color w:val="auto"/>
          <w:sz w:val="24"/>
          <w:highlight w:val="none"/>
          <w:u w:val="single"/>
        </w:rPr>
        <w:t>广州市黄埔区</w:t>
      </w:r>
    </w:p>
    <w:p>
      <w:pPr>
        <w:spacing w:line="360" w:lineRule="auto"/>
        <w:rPr>
          <w:rFonts w:hint="eastAsia" w:eastAsia="新宋体" w:cs="宋体"/>
          <w:color w:val="auto"/>
          <w:sz w:val="24"/>
          <w:highlight w:val="none"/>
          <w:lang w:eastAsia="zh-CN"/>
        </w:rPr>
      </w:pPr>
      <w:r>
        <w:rPr>
          <w:rFonts w:hint="eastAsia" w:eastAsia="新宋体" w:cs="宋体"/>
          <w:color w:val="auto"/>
          <w:sz w:val="24"/>
          <w:highlight w:val="none"/>
        </w:rPr>
        <w:t>委托人（甲方）：</w:t>
      </w:r>
      <w:r>
        <w:rPr>
          <w:rFonts w:hint="eastAsia" w:eastAsia="新宋体" w:cs="宋体"/>
          <w:color w:val="auto"/>
          <w:sz w:val="24"/>
          <w:highlight w:val="none"/>
          <w:lang w:eastAsia="zh-CN"/>
        </w:rPr>
        <w:t>广州开投创智荟投资开发有限公司</w:t>
      </w:r>
    </w:p>
    <w:p>
      <w:pPr>
        <w:spacing w:line="360" w:lineRule="auto"/>
        <w:rPr>
          <w:rFonts w:eastAsia="新宋体" w:cs="宋体"/>
          <w:color w:val="auto"/>
          <w:sz w:val="24"/>
          <w:highlight w:val="none"/>
        </w:rPr>
      </w:pPr>
      <w:r>
        <w:rPr>
          <w:rFonts w:hint="eastAsia" w:eastAsia="新宋体" w:cs="宋体"/>
          <w:color w:val="auto"/>
          <w:sz w:val="24"/>
          <w:highlight w:val="none"/>
        </w:rPr>
        <w:t xml:space="preserve">监理人（乙方）： </w:t>
      </w:r>
    </w:p>
    <w:p>
      <w:pPr>
        <w:pStyle w:val="14"/>
        <w:ind w:left="420"/>
        <w:rPr>
          <w:color w:val="auto"/>
          <w:highlight w:val="none"/>
        </w:rPr>
      </w:pPr>
    </w:p>
    <w:p>
      <w:pPr>
        <w:rPr>
          <w:rFonts w:eastAsia="新宋体"/>
          <w:color w:val="auto"/>
          <w:sz w:val="24"/>
          <w:highlight w:val="none"/>
        </w:rPr>
      </w:pP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为贯彻“安全第一，预防为主”的方针，根据《中华人民共和国安全生产法》、《广东省安全生产条例》等有关法律、法规的规定，结合本工程项目实际情况，按规定签订如下协议。</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一、委托人的权利与义务</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1、遵守国家、省、市有关安全生产文明施工的法律、法规及有关规定，加强安全生产管理，建立、健全安全生产责任制度，完善安全生产条件，确保安全生产。</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2、按国家有关规定保证安全生产所必需的资金投入。</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3、保证不将工程项目发包（分包）给不具备安全生产条件或者不具备相应资质的单位或个人。</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4、对监理人在监理过程中依照合同或依法采取的有效监控措施，如停工、停用等给予支持；对监理人以公司文件书面形式提交并要求做出决定的事宜在规定时限内做出书面决定。</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5、授权工地常驻代表负责与监理人联系安全生产、文明施工的事宜，如需更换此人时提前通知监理人。</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二、监理人的权利与义务</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1、遵守国家、省、市有关安全生产文明施工的法律、法规及有关规定，加强工程建设安全的监理，建立、健全安全监理责任制度，保证工程建设的安全。</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建立、健全安全生产文明施工监理的组织、明确安全监理人员的职责。</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2、建立安全生产文明施工的专项监理制度或方案。</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3、对承包人的资质进行审查，对无资质单位或不具备安全生产条件单位会同委托人不准进入。</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4、对承包人提供的安全施工组织设计及专项安全技术方案进行审核。</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5、对施工人员、材料、主要设备的使用和运行状况进行检查并记录。</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6、对重要施工环节和安全事故易发工序实施旁站或巡检。</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7、按规定对安全措施费用的列支和使用实施有效监控。</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8、及时制止承包人明显违章指挥和操作的行为。</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9、对危及工程和人员安全的施工及设备的使用，及时下达停工（停用）指令，坚决予以纠正。</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10、对施工现场存在的安全隐患及时发出整改通知并向安监机构报告。</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11、对因安全原因被建设行政主管部门和监督机构责令停工整改的，要积极主动抓好督促落实并及时反馈情况。</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12、督促承包人按规定购买施工意外保险和搞好文明施工管理。</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13、参与安全事故的调查处理。</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14、参与事故应急救援预案的公布和演练。</w:t>
      </w: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15、做好安全施工监理记录，日记和监理月报等资料整理，并督促承包单位及时整理现场安全管理文件资料。</w:t>
      </w:r>
    </w:p>
    <w:tbl>
      <w:tblPr>
        <w:tblStyle w:val="28"/>
        <w:tblW w:w="0" w:type="auto"/>
        <w:tblInd w:w="-567" w:type="dxa"/>
        <w:tblLayout w:type="fixed"/>
        <w:tblCellMar>
          <w:top w:w="0" w:type="dxa"/>
          <w:left w:w="108" w:type="dxa"/>
          <w:bottom w:w="0" w:type="dxa"/>
          <w:right w:w="108" w:type="dxa"/>
        </w:tblCellMar>
      </w:tblPr>
      <w:tblGrid>
        <w:gridCol w:w="4928"/>
        <w:gridCol w:w="283"/>
        <w:gridCol w:w="3905"/>
      </w:tblGrid>
      <w:tr>
        <w:tc>
          <w:tcPr>
            <w:tcW w:w="9116" w:type="dxa"/>
            <w:gridSpan w:val="3"/>
            <w:noWrap w:val="0"/>
            <w:vAlign w:val="top"/>
          </w:tcPr>
          <w:p>
            <w:pPr>
              <w:spacing w:line="360" w:lineRule="auto"/>
              <w:ind w:firstLine="480" w:firstLineChars="200"/>
              <w:rPr>
                <w:rFonts w:hint="eastAsia" w:eastAsia="新宋体"/>
                <w:color w:val="auto"/>
                <w:sz w:val="24"/>
                <w:highlight w:val="none"/>
                <w:lang w:eastAsia="zh-CN"/>
              </w:rPr>
            </w:pPr>
            <w:r>
              <w:rPr>
                <w:rFonts w:hint="eastAsia" w:eastAsia="新宋体"/>
                <w:color w:val="auto"/>
                <w:sz w:val="24"/>
                <w:highlight w:val="none"/>
              </w:rPr>
              <w:t>委托人：</w:t>
            </w:r>
            <w:r>
              <w:rPr>
                <w:rFonts w:hint="eastAsia" w:eastAsia="新宋体" w:cs="宋体"/>
                <w:color w:val="auto"/>
                <w:sz w:val="24"/>
                <w:highlight w:val="none"/>
                <w:lang w:eastAsia="zh-CN"/>
              </w:rPr>
              <w:t>广州开投创智荟投资开发有限公司</w:t>
            </w:r>
          </w:p>
        </w:tc>
      </w:tr>
      <w:tr>
        <w:tblPrEx>
          <w:tblCellMar>
            <w:top w:w="0" w:type="dxa"/>
            <w:left w:w="108" w:type="dxa"/>
            <w:bottom w:w="0" w:type="dxa"/>
            <w:right w:w="108" w:type="dxa"/>
          </w:tblCellMar>
        </w:tblPrEx>
        <w:tc>
          <w:tcPr>
            <w:tcW w:w="4928" w:type="dxa"/>
            <w:noWrap w:val="0"/>
            <w:vAlign w:val="top"/>
          </w:tcPr>
          <w:p>
            <w:pPr>
              <w:spacing w:line="360" w:lineRule="auto"/>
              <w:ind w:firstLine="2160" w:firstLineChars="900"/>
              <w:rPr>
                <w:rFonts w:eastAsia="新宋体"/>
                <w:color w:val="auto"/>
                <w:sz w:val="24"/>
                <w:highlight w:val="none"/>
              </w:rPr>
            </w:pPr>
            <w:r>
              <w:rPr>
                <w:rFonts w:hint="eastAsia" w:eastAsia="新宋体"/>
                <w:color w:val="auto"/>
                <w:sz w:val="24"/>
                <w:highlight w:val="none"/>
              </w:rPr>
              <w:t>（公章）</w:t>
            </w:r>
          </w:p>
        </w:tc>
        <w:tc>
          <w:tcPr>
            <w:tcW w:w="283" w:type="dxa"/>
            <w:noWrap w:val="0"/>
            <w:vAlign w:val="top"/>
          </w:tcPr>
          <w:p>
            <w:pPr>
              <w:spacing w:line="360" w:lineRule="auto"/>
              <w:ind w:firstLine="480" w:firstLineChars="200"/>
              <w:rPr>
                <w:rFonts w:eastAsia="新宋体"/>
                <w:color w:val="auto"/>
                <w:sz w:val="24"/>
                <w:highlight w:val="none"/>
              </w:rPr>
            </w:pPr>
          </w:p>
        </w:tc>
        <w:tc>
          <w:tcPr>
            <w:tcW w:w="3905" w:type="dxa"/>
            <w:noWrap w:val="0"/>
            <w:vAlign w:val="top"/>
          </w:tcPr>
          <w:p>
            <w:pPr>
              <w:spacing w:line="360" w:lineRule="auto"/>
              <w:ind w:firstLine="480" w:firstLineChars="200"/>
              <w:rPr>
                <w:rFonts w:eastAsia="新宋体"/>
                <w:color w:val="auto"/>
                <w:sz w:val="24"/>
                <w:highlight w:val="none"/>
              </w:rPr>
            </w:pPr>
          </w:p>
        </w:tc>
      </w:tr>
      <w:tr>
        <w:tblPrEx>
          <w:tblCellMar>
            <w:top w:w="0" w:type="dxa"/>
            <w:left w:w="108" w:type="dxa"/>
            <w:bottom w:w="0" w:type="dxa"/>
            <w:right w:w="108" w:type="dxa"/>
          </w:tblCellMar>
        </w:tblPrEx>
        <w:tc>
          <w:tcPr>
            <w:tcW w:w="4928" w:type="dxa"/>
            <w:noWrap w:val="0"/>
            <w:vAlign w:val="top"/>
          </w:tcPr>
          <w:p>
            <w:pPr>
              <w:spacing w:line="360" w:lineRule="auto"/>
              <w:ind w:firstLine="480" w:firstLineChars="200"/>
              <w:rPr>
                <w:rFonts w:eastAsia="新宋体"/>
                <w:color w:val="auto"/>
                <w:sz w:val="24"/>
                <w:highlight w:val="none"/>
              </w:rPr>
            </w:pPr>
            <w:r>
              <w:rPr>
                <w:rFonts w:hint="eastAsia" w:eastAsia="新宋体"/>
                <w:color w:val="auto"/>
                <w:sz w:val="24"/>
                <w:highlight w:val="none"/>
              </w:rPr>
              <w:t>法定代表人：</w:t>
            </w:r>
          </w:p>
        </w:tc>
        <w:tc>
          <w:tcPr>
            <w:tcW w:w="283" w:type="dxa"/>
            <w:noWrap w:val="0"/>
            <w:vAlign w:val="top"/>
          </w:tcPr>
          <w:p>
            <w:pPr>
              <w:spacing w:line="360" w:lineRule="auto"/>
              <w:ind w:firstLine="480" w:firstLineChars="200"/>
              <w:rPr>
                <w:rFonts w:eastAsia="新宋体"/>
                <w:color w:val="auto"/>
                <w:sz w:val="24"/>
                <w:highlight w:val="none"/>
              </w:rPr>
            </w:pPr>
          </w:p>
        </w:tc>
        <w:tc>
          <w:tcPr>
            <w:tcW w:w="3905" w:type="dxa"/>
            <w:noWrap w:val="0"/>
            <w:vAlign w:val="top"/>
          </w:tcPr>
          <w:p>
            <w:pPr>
              <w:spacing w:line="360" w:lineRule="auto"/>
              <w:ind w:firstLine="480" w:firstLineChars="200"/>
              <w:rPr>
                <w:rFonts w:eastAsia="新宋体"/>
                <w:color w:val="auto"/>
                <w:sz w:val="24"/>
                <w:highlight w:val="none"/>
              </w:rPr>
            </w:pPr>
          </w:p>
        </w:tc>
      </w:tr>
      <w:tr>
        <w:tblPrEx>
          <w:tblCellMar>
            <w:top w:w="0" w:type="dxa"/>
            <w:left w:w="108" w:type="dxa"/>
            <w:bottom w:w="0" w:type="dxa"/>
            <w:right w:w="108" w:type="dxa"/>
          </w:tblCellMar>
        </w:tblPrEx>
        <w:tc>
          <w:tcPr>
            <w:tcW w:w="4928" w:type="dxa"/>
            <w:noWrap w:val="0"/>
            <w:vAlign w:val="top"/>
          </w:tcPr>
          <w:p>
            <w:pPr>
              <w:spacing w:line="360" w:lineRule="auto"/>
              <w:ind w:firstLine="480" w:firstLineChars="200"/>
              <w:rPr>
                <w:rFonts w:eastAsia="新宋体"/>
                <w:color w:val="auto"/>
                <w:sz w:val="24"/>
                <w:highlight w:val="none"/>
              </w:rPr>
            </w:pPr>
            <w:r>
              <w:rPr>
                <w:rFonts w:hint="eastAsia" w:eastAsia="新宋体"/>
                <w:color w:val="auto"/>
                <w:sz w:val="24"/>
                <w:highlight w:val="none"/>
              </w:rPr>
              <w:t>委托代理人：</w:t>
            </w:r>
          </w:p>
        </w:tc>
        <w:tc>
          <w:tcPr>
            <w:tcW w:w="283" w:type="dxa"/>
            <w:noWrap w:val="0"/>
            <w:vAlign w:val="top"/>
          </w:tcPr>
          <w:p>
            <w:pPr>
              <w:spacing w:line="360" w:lineRule="auto"/>
              <w:ind w:firstLine="480" w:firstLineChars="200"/>
              <w:rPr>
                <w:rFonts w:eastAsia="新宋体"/>
                <w:color w:val="auto"/>
                <w:sz w:val="24"/>
                <w:highlight w:val="none"/>
              </w:rPr>
            </w:pPr>
          </w:p>
        </w:tc>
        <w:tc>
          <w:tcPr>
            <w:tcW w:w="3905" w:type="dxa"/>
            <w:noWrap w:val="0"/>
            <w:vAlign w:val="top"/>
          </w:tcPr>
          <w:p>
            <w:pPr>
              <w:spacing w:line="360" w:lineRule="auto"/>
              <w:ind w:firstLine="480" w:firstLineChars="200"/>
              <w:rPr>
                <w:rFonts w:eastAsia="新宋体"/>
                <w:color w:val="auto"/>
                <w:sz w:val="24"/>
                <w:highlight w:val="none"/>
              </w:rPr>
            </w:pPr>
          </w:p>
        </w:tc>
      </w:tr>
      <w:tr>
        <w:tblPrEx>
          <w:tblCellMar>
            <w:top w:w="0" w:type="dxa"/>
            <w:left w:w="108" w:type="dxa"/>
            <w:bottom w:w="0" w:type="dxa"/>
            <w:right w:w="108" w:type="dxa"/>
          </w:tblCellMar>
        </w:tblPrEx>
        <w:tc>
          <w:tcPr>
            <w:tcW w:w="4928" w:type="dxa"/>
            <w:noWrap w:val="0"/>
            <w:vAlign w:val="top"/>
          </w:tcPr>
          <w:p>
            <w:pPr>
              <w:spacing w:line="360" w:lineRule="auto"/>
              <w:ind w:firstLine="480" w:firstLineChars="200"/>
              <w:rPr>
                <w:rFonts w:eastAsia="新宋体"/>
                <w:color w:val="auto"/>
                <w:sz w:val="24"/>
                <w:highlight w:val="none"/>
              </w:rPr>
            </w:pPr>
          </w:p>
          <w:p>
            <w:pPr>
              <w:spacing w:line="360" w:lineRule="auto"/>
              <w:ind w:firstLine="480" w:firstLineChars="200"/>
              <w:rPr>
                <w:rFonts w:eastAsia="新宋体"/>
                <w:color w:val="auto"/>
                <w:sz w:val="24"/>
                <w:highlight w:val="none"/>
              </w:rPr>
            </w:pPr>
            <w:r>
              <w:rPr>
                <w:rFonts w:hint="eastAsia" w:eastAsia="新宋体"/>
                <w:color w:val="auto"/>
                <w:sz w:val="24"/>
                <w:highlight w:val="none"/>
              </w:rPr>
              <w:t xml:space="preserve">监理人： </w:t>
            </w:r>
          </w:p>
        </w:tc>
        <w:tc>
          <w:tcPr>
            <w:tcW w:w="283" w:type="dxa"/>
            <w:noWrap w:val="0"/>
            <w:vAlign w:val="top"/>
          </w:tcPr>
          <w:p>
            <w:pPr>
              <w:spacing w:line="360" w:lineRule="auto"/>
              <w:ind w:firstLine="480" w:firstLineChars="200"/>
              <w:rPr>
                <w:rFonts w:eastAsia="新宋体"/>
                <w:color w:val="auto"/>
                <w:sz w:val="24"/>
                <w:highlight w:val="none"/>
              </w:rPr>
            </w:pPr>
          </w:p>
        </w:tc>
        <w:tc>
          <w:tcPr>
            <w:tcW w:w="3905" w:type="dxa"/>
            <w:noWrap w:val="0"/>
            <w:vAlign w:val="top"/>
          </w:tcPr>
          <w:p>
            <w:pPr>
              <w:spacing w:line="360" w:lineRule="auto"/>
              <w:ind w:firstLine="480" w:firstLineChars="200"/>
              <w:rPr>
                <w:rFonts w:eastAsia="新宋体"/>
                <w:color w:val="auto"/>
                <w:sz w:val="24"/>
                <w:highlight w:val="none"/>
              </w:rPr>
            </w:pPr>
          </w:p>
        </w:tc>
      </w:tr>
      <w:tr>
        <w:tblPrEx>
          <w:tblCellMar>
            <w:top w:w="0" w:type="dxa"/>
            <w:left w:w="108" w:type="dxa"/>
            <w:bottom w:w="0" w:type="dxa"/>
            <w:right w:w="108" w:type="dxa"/>
          </w:tblCellMar>
        </w:tblPrEx>
        <w:tc>
          <w:tcPr>
            <w:tcW w:w="4928" w:type="dxa"/>
            <w:noWrap w:val="0"/>
            <w:vAlign w:val="top"/>
          </w:tcPr>
          <w:p>
            <w:pPr>
              <w:spacing w:line="360" w:lineRule="auto"/>
              <w:ind w:firstLine="1920" w:firstLineChars="800"/>
              <w:rPr>
                <w:rFonts w:eastAsia="新宋体"/>
                <w:color w:val="auto"/>
                <w:sz w:val="24"/>
                <w:highlight w:val="none"/>
              </w:rPr>
            </w:pPr>
            <w:r>
              <w:rPr>
                <w:rFonts w:hint="eastAsia" w:eastAsia="新宋体"/>
                <w:color w:val="auto"/>
                <w:sz w:val="24"/>
                <w:highlight w:val="none"/>
              </w:rPr>
              <w:t>（公章）</w:t>
            </w:r>
          </w:p>
        </w:tc>
        <w:tc>
          <w:tcPr>
            <w:tcW w:w="283" w:type="dxa"/>
            <w:noWrap w:val="0"/>
            <w:vAlign w:val="top"/>
          </w:tcPr>
          <w:p>
            <w:pPr>
              <w:spacing w:line="360" w:lineRule="auto"/>
              <w:ind w:firstLine="480" w:firstLineChars="200"/>
              <w:rPr>
                <w:rFonts w:eastAsia="新宋体"/>
                <w:color w:val="auto"/>
                <w:sz w:val="24"/>
                <w:highlight w:val="none"/>
              </w:rPr>
            </w:pPr>
          </w:p>
        </w:tc>
        <w:tc>
          <w:tcPr>
            <w:tcW w:w="3905" w:type="dxa"/>
            <w:noWrap w:val="0"/>
            <w:vAlign w:val="top"/>
          </w:tcPr>
          <w:p>
            <w:pPr>
              <w:spacing w:line="360" w:lineRule="auto"/>
              <w:ind w:firstLine="480" w:firstLineChars="200"/>
              <w:rPr>
                <w:rFonts w:eastAsia="新宋体"/>
                <w:color w:val="auto"/>
                <w:sz w:val="24"/>
                <w:highlight w:val="none"/>
              </w:rPr>
            </w:pPr>
          </w:p>
        </w:tc>
      </w:tr>
      <w:tr>
        <w:tblPrEx>
          <w:tblCellMar>
            <w:top w:w="0" w:type="dxa"/>
            <w:left w:w="108" w:type="dxa"/>
            <w:bottom w:w="0" w:type="dxa"/>
            <w:right w:w="108" w:type="dxa"/>
          </w:tblCellMar>
        </w:tblPrEx>
        <w:tc>
          <w:tcPr>
            <w:tcW w:w="4928" w:type="dxa"/>
            <w:noWrap w:val="0"/>
            <w:vAlign w:val="top"/>
          </w:tcPr>
          <w:p>
            <w:pPr>
              <w:spacing w:line="360" w:lineRule="auto"/>
              <w:ind w:firstLine="480" w:firstLineChars="200"/>
              <w:rPr>
                <w:rFonts w:eastAsia="新宋体"/>
                <w:color w:val="auto"/>
                <w:sz w:val="24"/>
                <w:highlight w:val="none"/>
              </w:rPr>
            </w:pPr>
            <w:r>
              <w:rPr>
                <w:rFonts w:hint="eastAsia" w:eastAsia="新宋体"/>
                <w:color w:val="auto"/>
                <w:sz w:val="24"/>
                <w:highlight w:val="none"/>
              </w:rPr>
              <w:t>法定代表人：</w:t>
            </w:r>
          </w:p>
        </w:tc>
        <w:tc>
          <w:tcPr>
            <w:tcW w:w="283" w:type="dxa"/>
            <w:noWrap w:val="0"/>
            <w:vAlign w:val="top"/>
          </w:tcPr>
          <w:p>
            <w:pPr>
              <w:spacing w:line="360" w:lineRule="auto"/>
              <w:ind w:firstLine="480" w:firstLineChars="200"/>
              <w:rPr>
                <w:rFonts w:eastAsia="新宋体"/>
                <w:color w:val="auto"/>
                <w:sz w:val="24"/>
                <w:highlight w:val="none"/>
              </w:rPr>
            </w:pPr>
          </w:p>
        </w:tc>
        <w:tc>
          <w:tcPr>
            <w:tcW w:w="3905" w:type="dxa"/>
            <w:noWrap w:val="0"/>
            <w:vAlign w:val="top"/>
          </w:tcPr>
          <w:p>
            <w:pPr>
              <w:spacing w:line="360" w:lineRule="auto"/>
              <w:ind w:firstLine="480" w:firstLineChars="200"/>
              <w:rPr>
                <w:rFonts w:eastAsia="新宋体"/>
                <w:color w:val="auto"/>
                <w:sz w:val="24"/>
                <w:highlight w:val="none"/>
              </w:rPr>
            </w:pPr>
          </w:p>
        </w:tc>
      </w:tr>
      <w:tr>
        <w:tblPrEx>
          <w:tblCellMar>
            <w:top w:w="0" w:type="dxa"/>
            <w:left w:w="108" w:type="dxa"/>
            <w:bottom w:w="0" w:type="dxa"/>
            <w:right w:w="108" w:type="dxa"/>
          </w:tblCellMar>
        </w:tblPrEx>
        <w:tc>
          <w:tcPr>
            <w:tcW w:w="4928" w:type="dxa"/>
            <w:noWrap w:val="0"/>
            <w:vAlign w:val="top"/>
          </w:tcPr>
          <w:p>
            <w:pPr>
              <w:spacing w:line="360" w:lineRule="auto"/>
              <w:ind w:firstLine="480" w:firstLineChars="200"/>
              <w:rPr>
                <w:rFonts w:eastAsia="新宋体"/>
                <w:color w:val="auto"/>
                <w:sz w:val="24"/>
                <w:highlight w:val="none"/>
              </w:rPr>
            </w:pPr>
            <w:r>
              <w:rPr>
                <w:rFonts w:hint="eastAsia" w:eastAsia="新宋体"/>
                <w:color w:val="auto"/>
                <w:sz w:val="24"/>
                <w:highlight w:val="none"/>
              </w:rPr>
              <w:t>委托代理人：</w:t>
            </w:r>
          </w:p>
        </w:tc>
        <w:tc>
          <w:tcPr>
            <w:tcW w:w="283" w:type="dxa"/>
            <w:noWrap w:val="0"/>
            <w:vAlign w:val="top"/>
          </w:tcPr>
          <w:p>
            <w:pPr>
              <w:spacing w:line="360" w:lineRule="auto"/>
              <w:ind w:firstLine="480" w:firstLineChars="200"/>
              <w:rPr>
                <w:rFonts w:eastAsia="新宋体"/>
                <w:color w:val="auto"/>
                <w:sz w:val="24"/>
                <w:highlight w:val="none"/>
              </w:rPr>
            </w:pPr>
          </w:p>
        </w:tc>
        <w:tc>
          <w:tcPr>
            <w:tcW w:w="3905" w:type="dxa"/>
            <w:noWrap w:val="0"/>
            <w:vAlign w:val="top"/>
          </w:tcPr>
          <w:p>
            <w:pPr>
              <w:spacing w:line="360" w:lineRule="auto"/>
              <w:ind w:firstLine="480" w:firstLineChars="200"/>
              <w:rPr>
                <w:rFonts w:eastAsia="新宋体"/>
                <w:color w:val="auto"/>
                <w:sz w:val="24"/>
                <w:highlight w:val="none"/>
              </w:rPr>
            </w:pPr>
          </w:p>
        </w:tc>
      </w:tr>
    </w:tbl>
    <w:p>
      <w:pPr>
        <w:spacing w:line="360" w:lineRule="auto"/>
        <w:rPr>
          <w:rFonts w:eastAsia="新宋体" w:cs="宋体"/>
          <w:color w:val="auto"/>
          <w:sz w:val="24"/>
          <w:highlight w:val="none"/>
        </w:rPr>
      </w:pPr>
    </w:p>
    <w:p>
      <w:pPr>
        <w:spacing w:line="360" w:lineRule="auto"/>
        <w:ind w:firstLine="480" w:firstLineChars="200"/>
        <w:rPr>
          <w:rFonts w:eastAsia="新宋体" w:cs="宋体"/>
          <w:color w:val="auto"/>
          <w:sz w:val="24"/>
          <w:highlight w:val="none"/>
        </w:rPr>
      </w:pPr>
      <w:r>
        <w:rPr>
          <w:rFonts w:hint="eastAsia" w:eastAsia="新宋体" w:cs="宋体"/>
          <w:color w:val="auto"/>
          <w:sz w:val="24"/>
          <w:highlight w:val="none"/>
        </w:rPr>
        <w:t>签订日期： 202</w:t>
      </w:r>
      <w:r>
        <w:rPr>
          <w:rFonts w:hint="eastAsia" w:eastAsia="新宋体" w:cs="宋体"/>
          <w:color w:val="auto"/>
          <w:sz w:val="24"/>
          <w:highlight w:val="none"/>
          <w:lang w:val="en-US" w:eastAsia="zh-CN"/>
        </w:rPr>
        <w:t>2</w:t>
      </w:r>
      <w:r>
        <w:rPr>
          <w:rFonts w:hint="eastAsia" w:eastAsia="新宋体" w:cs="宋体"/>
          <w:color w:val="auto"/>
          <w:sz w:val="24"/>
          <w:highlight w:val="none"/>
        </w:rPr>
        <w:t xml:space="preserve">年 月   日   </w:t>
      </w:r>
    </w:p>
    <w:p>
      <w:pPr>
        <w:pStyle w:val="26"/>
        <w:rPr>
          <w:color w:val="auto"/>
          <w:highlight w:val="none"/>
        </w:rPr>
      </w:pPr>
      <w:bookmarkStart w:id="55" w:name="_Toc19625238"/>
      <w:r>
        <w:rPr>
          <w:color w:val="auto"/>
          <w:highlight w:val="none"/>
        </w:rPr>
        <w:br w:type="page"/>
      </w:r>
    </w:p>
    <w:p>
      <w:pPr>
        <w:rPr>
          <w:rFonts w:ascii="Arial" w:hAnsi="Arial" w:eastAsia="黑体"/>
          <w:b/>
          <w:color w:val="auto"/>
          <w:sz w:val="32"/>
          <w:szCs w:val="20"/>
          <w:highlight w:val="none"/>
        </w:rPr>
      </w:pPr>
      <w:r>
        <w:rPr>
          <w:rFonts w:hint="eastAsia" w:ascii="Arial" w:hAnsi="Arial" w:eastAsia="黑体"/>
          <w:b/>
          <w:color w:val="auto"/>
          <w:sz w:val="32"/>
          <w:szCs w:val="20"/>
          <w:highlight w:val="none"/>
        </w:rPr>
        <w:t>附件3：中标通知书</w:t>
      </w:r>
      <w:bookmarkEnd w:id="55"/>
    </w:p>
    <w:p>
      <w:pPr>
        <w:jc w:val="center"/>
        <w:rPr>
          <w:color w:val="auto"/>
          <w:highlight w:val="none"/>
        </w:rPr>
      </w:pPr>
    </w:p>
    <w:p>
      <w:pPr>
        <w:pStyle w:val="26"/>
        <w:rPr>
          <w:color w:val="auto"/>
          <w:highlight w:val="none"/>
        </w:rPr>
      </w:pPr>
    </w:p>
    <w:p>
      <w:pPr>
        <w:spacing w:line="360" w:lineRule="auto"/>
        <w:rPr>
          <w:rFonts w:ascii="Arial" w:hAnsi="Arial" w:eastAsia="黑体"/>
          <w:b/>
          <w:color w:val="auto"/>
          <w:sz w:val="32"/>
          <w:szCs w:val="20"/>
          <w:highlight w:val="none"/>
        </w:rPr>
      </w:pPr>
      <w:bookmarkStart w:id="56" w:name="_Toc529863665"/>
      <w:bookmarkStart w:id="57" w:name="_Toc529863710"/>
      <w:bookmarkStart w:id="58" w:name="_Toc19625239"/>
      <w:r>
        <w:rPr>
          <w:rFonts w:hint="eastAsia" w:ascii="Arial" w:hAnsi="Arial" w:eastAsia="黑体"/>
          <w:b/>
          <w:color w:val="auto"/>
          <w:sz w:val="32"/>
          <w:szCs w:val="20"/>
          <w:highlight w:val="none"/>
        </w:rPr>
        <w:br w:type="page"/>
      </w:r>
      <w:r>
        <w:rPr>
          <w:rFonts w:hint="eastAsia" w:ascii="Arial" w:hAnsi="Arial" w:eastAsia="黑体"/>
          <w:b/>
          <w:color w:val="auto"/>
          <w:sz w:val="32"/>
          <w:szCs w:val="20"/>
          <w:highlight w:val="none"/>
        </w:rPr>
        <w:t>附件4：履约银行保函及承诺书</w:t>
      </w:r>
      <w:bookmarkEnd w:id="56"/>
      <w:bookmarkEnd w:id="57"/>
      <w:bookmarkEnd w:id="58"/>
      <w:r>
        <w:rPr>
          <w:rFonts w:hint="eastAsia" w:ascii="Arial" w:hAnsi="Arial" w:eastAsia="黑体"/>
          <w:b/>
          <w:color w:val="auto"/>
          <w:sz w:val="32"/>
          <w:szCs w:val="20"/>
          <w:highlight w:val="none"/>
        </w:rPr>
        <w:t>（版本）</w:t>
      </w:r>
    </w:p>
    <w:p>
      <w:pPr>
        <w:adjustRightInd w:val="0"/>
        <w:snapToGrid w:val="0"/>
        <w:jc w:val="center"/>
        <w:rPr>
          <w:rFonts w:ascii="宋体" w:hAnsi="宋体"/>
          <w:b/>
          <w:color w:val="auto"/>
          <w:sz w:val="36"/>
          <w:szCs w:val="36"/>
          <w:highlight w:val="none"/>
        </w:rPr>
      </w:pPr>
      <w:r>
        <w:rPr>
          <w:rFonts w:hint="eastAsia" w:ascii="宋体" w:hAnsi="宋体"/>
          <w:b/>
          <w:color w:val="auto"/>
          <w:sz w:val="36"/>
          <w:szCs w:val="36"/>
          <w:highlight w:val="none"/>
        </w:rPr>
        <w:t>履约银行保函</w:t>
      </w:r>
    </w:p>
    <w:p>
      <w:pPr>
        <w:adjustRightInd w:val="0"/>
        <w:snapToGrid w:val="0"/>
        <w:spacing w:line="336" w:lineRule="auto"/>
        <w:jc w:val="center"/>
        <w:rPr>
          <w:rFonts w:ascii="宋体" w:hAnsi="宋体"/>
          <w:snapToGrid w:val="0"/>
          <w:color w:val="auto"/>
          <w:kern w:val="0"/>
          <w:sz w:val="32"/>
          <w:szCs w:val="32"/>
          <w:highlight w:val="none"/>
        </w:rPr>
      </w:pPr>
      <w:r>
        <w:rPr>
          <w:rFonts w:hint="eastAsia" w:ascii="宋体" w:hAnsi="宋体"/>
          <w:color w:val="auto"/>
          <w:sz w:val="32"/>
          <w:szCs w:val="32"/>
          <w:highlight w:val="none"/>
        </w:rPr>
        <w:t>（中标后提供）</w:t>
      </w:r>
    </w:p>
    <w:p>
      <w:pPr>
        <w:pStyle w:val="52"/>
        <w:snapToGrid w:val="0"/>
        <w:spacing w:line="520" w:lineRule="exact"/>
        <w:ind w:left="495" w:firstLine="48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致：（）</w:t>
      </w:r>
    </w:p>
    <w:p>
      <w:pPr>
        <w:pStyle w:val="52"/>
        <w:snapToGrid w:val="0"/>
        <w:spacing w:line="520" w:lineRule="exact"/>
        <w:ind w:left="491" w:leftChars="234" w:firstLine="48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(地  址)                             </w:t>
      </w:r>
    </w:p>
    <w:p>
      <w:pPr>
        <w:pStyle w:val="52"/>
        <w:snapToGrid w:val="0"/>
        <w:spacing w:line="520" w:lineRule="exact"/>
        <w:ind w:left="491" w:leftChars="234" w:firstLine="480"/>
        <w:rPr>
          <w:rFonts w:ascii="仿宋" w:hAnsi="仿宋" w:eastAsia="仿宋" w:cs="仿宋"/>
          <w:color w:val="auto"/>
          <w:sz w:val="28"/>
          <w:szCs w:val="28"/>
          <w:highlight w:val="none"/>
          <w:u w:val="single"/>
        </w:rPr>
      </w:pPr>
    </w:p>
    <w:p>
      <w:pPr>
        <w:pStyle w:val="52"/>
        <w:snapToGrid w:val="0"/>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鉴于_______[承包人的名称和地址]（下称承包人）已保证按中标通知书（编号：）实施</w:t>
      </w:r>
      <w:r>
        <w:rPr>
          <w:rFonts w:hint="eastAsia" w:ascii="仿宋" w:hAnsi="仿宋" w:eastAsia="仿宋" w:cs="仿宋"/>
          <w:color w:val="auto"/>
          <w:sz w:val="28"/>
          <w:szCs w:val="28"/>
          <w:highlight w:val="none"/>
          <w:u w:val="single"/>
          <w:lang w:eastAsia="zh-CN"/>
        </w:rPr>
        <w:t>中新科技文化艺术中心之智荟塔（高端酒店）项目监理</w:t>
      </w:r>
      <w:r>
        <w:rPr>
          <w:rFonts w:hint="eastAsia" w:ascii="仿宋" w:hAnsi="仿宋" w:eastAsia="仿宋" w:cs="仿宋"/>
          <w:color w:val="auto"/>
          <w:sz w:val="28"/>
          <w:szCs w:val="28"/>
          <w:highlight w:val="none"/>
        </w:rPr>
        <w:t>，又鉴于你方在招标文件中要求承包人按规定金额提交一份已经认可的银行保函作履约担保，本行已同意为承包人出具保函。</w:t>
      </w:r>
    </w:p>
    <w:p>
      <w:pPr>
        <w:pStyle w:val="52"/>
        <w:snapToGrid w:val="0"/>
        <w:spacing w:line="520" w:lineRule="exact"/>
        <w:ind w:firstLine="48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本行作为保证人在此代表承包人向你方确认承担支付人民币：</w:t>
      </w:r>
      <w:r>
        <w:rPr>
          <w:rFonts w:hint="eastAsia" w:ascii="仿宋" w:hAnsi="仿宋" w:eastAsia="仿宋" w:cs="仿宋"/>
          <w:color w:val="auto"/>
          <w:sz w:val="28"/>
          <w:szCs w:val="28"/>
          <w:highlight w:val="none"/>
          <w:u w:val="single"/>
        </w:rPr>
        <w:t>（大写）</w:t>
      </w:r>
    </w:p>
    <w:p>
      <w:pPr>
        <w:pStyle w:val="52"/>
        <w:snapToGrid w:val="0"/>
        <w:spacing w:line="52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的责任，在收到你方第一次书面付款要求后，不挑剔、不争辩、并不要求你方出具证明或说明理由，即在上述担保金范围内向你方支付。</w:t>
      </w:r>
    </w:p>
    <w:p>
      <w:pPr>
        <w:pStyle w:val="52"/>
        <w:snapToGrid w:val="0"/>
        <w:spacing w:line="520" w:lineRule="exact"/>
        <w:ind w:firstLine="48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本行放弃你方应先向承包人要求索赔上述金额然后再向本行提出要求的权利。</w:t>
      </w:r>
    </w:p>
    <w:p>
      <w:pPr>
        <w:pStyle w:val="52"/>
        <w:snapToGrid w:val="0"/>
        <w:spacing w:line="520" w:lineRule="exact"/>
        <w:ind w:firstLine="48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本行还同意，在你方和承包人之间的合同条件发生补充或修改后，本行所承担保函的责任不变，有关补充或修改亦无须通知本行。</w:t>
      </w:r>
    </w:p>
    <w:p>
      <w:pPr>
        <w:pStyle w:val="52"/>
        <w:snapToGrid w:val="0"/>
        <w:spacing w:line="520" w:lineRule="exact"/>
        <w:ind w:firstLine="48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本保函从合同生效之日起生效，有效期至</w:t>
      </w:r>
      <w:r>
        <w:rPr>
          <w:rFonts w:hint="eastAsia" w:ascii="仿宋" w:hAnsi="仿宋" w:eastAsia="仿宋" w:cs="仿宋"/>
          <w:color w:val="auto"/>
          <w:sz w:val="28"/>
          <w:szCs w:val="28"/>
          <w:highlight w:val="none"/>
          <w:u w:val="single"/>
        </w:rPr>
        <w:t xml:space="preserve">     年   月   日</w:t>
      </w:r>
      <w:r>
        <w:rPr>
          <w:rFonts w:hint="eastAsia" w:ascii="仿宋" w:hAnsi="仿宋" w:eastAsia="仿宋" w:cs="仿宋"/>
          <w:color w:val="auto"/>
          <w:sz w:val="28"/>
          <w:szCs w:val="28"/>
          <w:highlight w:val="none"/>
        </w:rPr>
        <w:t>止。</w:t>
      </w:r>
    </w:p>
    <w:p>
      <w:pPr>
        <w:pStyle w:val="52"/>
        <w:snapToGrid w:val="0"/>
        <w:spacing w:line="520" w:lineRule="exact"/>
        <w:ind w:left="493" w:firstLine="48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担保银行名称（公章）：</w:t>
      </w:r>
    </w:p>
    <w:p>
      <w:pPr>
        <w:pStyle w:val="52"/>
        <w:snapToGrid w:val="0"/>
        <w:spacing w:line="520" w:lineRule="exact"/>
        <w:ind w:left="493" w:firstLine="48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法定代表人或其授权人（签章）：</w:t>
      </w:r>
    </w:p>
    <w:p>
      <w:pPr>
        <w:pStyle w:val="52"/>
        <w:snapToGrid w:val="0"/>
        <w:spacing w:line="520" w:lineRule="exact"/>
        <w:ind w:left="493" w:firstLine="48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p>
      <w:pPr>
        <w:pStyle w:val="52"/>
        <w:snapToGrid w:val="0"/>
        <w:spacing w:line="520" w:lineRule="exact"/>
        <w:ind w:left="493" w:firstLine="48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pStyle w:val="52"/>
        <w:snapToGrid w:val="0"/>
        <w:spacing w:line="520" w:lineRule="exact"/>
        <w:ind w:left="493" w:firstLine="48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pPr>
        <w:pStyle w:val="52"/>
        <w:snapToGrid w:val="0"/>
        <w:spacing w:line="520" w:lineRule="exact"/>
        <w:ind w:left="493" w:firstLine="480"/>
        <w:jc w:val="left"/>
        <w:rPr>
          <w:rFonts w:ascii="仿宋" w:hAnsi="仿宋" w:eastAsia="仿宋" w:cs="仿宋"/>
          <w:color w:val="auto"/>
          <w:sz w:val="28"/>
          <w:szCs w:val="28"/>
          <w:highlight w:val="none"/>
        </w:rPr>
        <w:sectPr>
          <w:footerReference r:id="rId7" w:type="default"/>
          <w:pgSz w:w="11906" w:h="16838"/>
          <w:pgMar w:top="1531" w:right="1463" w:bottom="1531" w:left="1531" w:header="851" w:footer="992" w:gutter="0"/>
          <w:pgNumType w:fmt="decimal"/>
          <w:cols w:space="720" w:num="1"/>
          <w:docGrid w:linePitch="312" w:charSpace="0"/>
        </w:sectPr>
      </w:pPr>
      <w:r>
        <w:rPr>
          <w:rFonts w:hint="eastAsia" w:ascii="仿宋" w:hAnsi="仿宋" w:eastAsia="仿宋" w:cs="仿宋"/>
          <w:color w:val="auto"/>
          <w:sz w:val="28"/>
          <w:szCs w:val="28"/>
          <w:highlight w:val="none"/>
        </w:rPr>
        <w:t>日期：</w:t>
      </w:r>
    </w:p>
    <w:p>
      <w:pPr>
        <w:ind w:right="31" w:rightChars="15"/>
        <w:jc w:val="center"/>
        <w:rPr>
          <w:rFonts w:ascii="宋体" w:hAnsi="宋体"/>
          <w:b/>
          <w:color w:val="auto"/>
          <w:sz w:val="32"/>
          <w:szCs w:val="32"/>
          <w:highlight w:val="none"/>
        </w:rPr>
      </w:pPr>
      <w:r>
        <w:rPr>
          <w:rFonts w:hint="eastAsia" w:ascii="宋体" w:hAnsi="宋体"/>
          <w:b/>
          <w:color w:val="auto"/>
          <w:sz w:val="32"/>
          <w:szCs w:val="32"/>
          <w:highlight w:val="none"/>
        </w:rPr>
        <w:t>承诺书</w:t>
      </w:r>
    </w:p>
    <w:p>
      <w:pPr>
        <w:adjustRightInd w:val="0"/>
        <w:snapToGrid w:val="0"/>
        <w:spacing w:line="336" w:lineRule="auto"/>
        <w:jc w:val="center"/>
        <w:rPr>
          <w:rFonts w:ascii="宋体" w:hAnsi="宋体"/>
          <w:snapToGrid w:val="0"/>
          <w:color w:val="auto"/>
          <w:kern w:val="0"/>
          <w:sz w:val="32"/>
          <w:szCs w:val="32"/>
          <w:highlight w:val="none"/>
        </w:rPr>
      </w:pPr>
      <w:r>
        <w:rPr>
          <w:rFonts w:hint="eastAsia" w:ascii="宋体" w:hAnsi="宋体"/>
          <w:color w:val="auto"/>
          <w:sz w:val="32"/>
          <w:szCs w:val="32"/>
          <w:highlight w:val="none"/>
        </w:rPr>
        <w:t>（中标后提供）</w:t>
      </w:r>
    </w:p>
    <w:p>
      <w:pPr>
        <w:spacing w:line="560" w:lineRule="exact"/>
        <w:rPr>
          <w:rFonts w:ascii="仿宋_GB2312" w:hAnsi="仿宋_GB2312" w:eastAsia="仿宋_GB2312" w:cs="仿宋_GB2312"/>
          <w:color w:val="auto"/>
          <w:spacing w:val="20"/>
          <w:sz w:val="28"/>
          <w:szCs w:val="28"/>
          <w:highlight w:val="none"/>
          <w:lang w:val="zh-CN" w:bidi="zh-CN"/>
        </w:rPr>
      </w:pPr>
    </w:p>
    <w:p>
      <w:pPr>
        <w:spacing w:line="560" w:lineRule="exact"/>
        <w:rPr>
          <w:rFonts w:ascii="仿宋" w:hAnsi="仿宋" w:eastAsia="仿宋" w:cs="仿宋"/>
          <w:color w:val="auto"/>
          <w:spacing w:val="20"/>
          <w:sz w:val="28"/>
          <w:szCs w:val="28"/>
          <w:highlight w:val="none"/>
          <w:lang w:val="zh-CN" w:bidi="zh-CN"/>
        </w:rPr>
      </w:pPr>
      <w:r>
        <w:rPr>
          <w:rFonts w:hint="eastAsia" w:ascii="仿宋" w:hAnsi="仿宋" w:eastAsia="仿宋" w:cs="仿宋"/>
          <w:color w:val="auto"/>
          <w:spacing w:val="20"/>
          <w:sz w:val="28"/>
          <w:szCs w:val="28"/>
          <w:highlight w:val="none"/>
          <w:lang w:val="zh-CN" w:bidi="zh-CN"/>
        </w:rPr>
        <w:t>致：（业主）</w:t>
      </w:r>
      <w:r>
        <w:rPr>
          <w:rFonts w:hint="eastAsia" w:ascii="仿宋" w:hAnsi="仿宋" w:eastAsia="仿宋" w:cs="仿宋"/>
          <w:color w:val="auto"/>
          <w:spacing w:val="20"/>
          <w:sz w:val="28"/>
          <w:szCs w:val="28"/>
          <w:highlight w:val="none"/>
          <w:u w:val="single"/>
          <w:lang w:bidi="zh-CN"/>
        </w:rPr>
        <w:t xml:space="preserve">      </w:t>
      </w:r>
      <w:r>
        <w:rPr>
          <w:rFonts w:hint="eastAsia" w:ascii="仿宋" w:hAnsi="仿宋" w:eastAsia="仿宋" w:cs="仿宋"/>
          <w:color w:val="auto"/>
          <w:spacing w:val="20"/>
          <w:sz w:val="28"/>
          <w:szCs w:val="28"/>
          <w:highlight w:val="none"/>
          <w:lang w:val="zh-CN" w:bidi="zh-CN"/>
        </w:rPr>
        <w:tab/>
      </w:r>
    </w:p>
    <w:p>
      <w:pPr>
        <w:spacing w:line="560" w:lineRule="exact"/>
        <w:rPr>
          <w:rFonts w:ascii="仿宋" w:hAnsi="仿宋" w:eastAsia="仿宋" w:cs="仿宋"/>
          <w:color w:val="auto"/>
          <w:spacing w:val="20"/>
          <w:sz w:val="28"/>
          <w:szCs w:val="28"/>
          <w:highlight w:val="none"/>
          <w:lang w:bidi="zh-CN"/>
        </w:rPr>
      </w:pPr>
      <w:r>
        <w:rPr>
          <w:rFonts w:hint="eastAsia" w:ascii="仿宋" w:hAnsi="仿宋" w:eastAsia="仿宋" w:cs="仿宋"/>
          <w:color w:val="auto"/>
          <w:spacing w:val="20"/>
          <w:sz w:val="28"/>
          <w:szCs w:val="28"/>
          <w:highlight w:val="none"/>
          <w:lang w:val="zh-CN" w:bidi="zh-CN"/>
        </w:rPr>
        <w:tab/>
      </w:r>
      <w:r>
        <w:rPr>
          <w:rFonts w:hint="eastAsia" w:ascii="仿宋" w:hAnsi="仿宋" w:eastAsia="仿宋" w:cs="仿宋"/>
          <w:color w:val="auto"/>
          <w:spacing w:val="20"/>
          <w:sz w:val="28"/>
          <w:szCs w:val="28"/>
          <w:highlight w:val="none"/>
          <w:lang w:bidi="zh-CN"/>
        </w:rPr>
        <w:t xml:space="preserve"> </w:t>
      </w:r>
    </w:p>
    <w:p>
      <w:pPr>
        <w:pStyle w:val="62"/>
        <w:spacing w:line="360" w:lineRule="auto"/>
        <w:rPr>
          <w:rFonts w:ascii="仿宋" w:hAnsi="仿宋" w:eastAsia="仿宋" w:cs="仿宋"/>
          <w:color w:val="auto"/>
          <w:spacing w:val="20"/>
          <w:sz w:val="28"/>
          <w:szCs w:val="28"/>
          <w:highlight w:val="none"/>
          <w:lang w:val="zh-CN" w:bidi="zh-CN"/>
        </w:rPr>
      </w:pPr>
      <w:r>
        <w:rPr>
          <w:rFonts w:hint="eastAsia" w:ascii="仿宋" w:hAnsi="仿宋" w:eastAsia="仿宋" w:cs="仿宋"/>
          <w:color w:val="auto"/>
          <w:spacing w:val="20"/>
          <w:sz w:val="28"/>
          <w:szCs w:val="28"/>
          <w:highlight w:val="none"/>
          <w:lang w:val="zh-CN" w:bidi="zh-CN"/>
        </w:rPr>
        <w:t>我方于</w:t>
      </w:r>
      <w:r>
        <w:rPr>
          <w:rFonts w:hint="eastAsia" w:ascii="仿宋" w:hAnsi="仿宋" w:eastAsia="仿宋" w:cs="仿宋"/>
          <w:color w:val="auto"/>
          <w:spacing w:val="20"/>
          <w:sz w:val="28"/>
          <w:szCs w:val="28"/>
          <w:highlight w:val="none"/>
          <w:u w:val="single"/>
          <w:lang w:bidi="zh-CN"/>
        </w:rPr>
        <w:t xml:space="preserve"> 202</w:t>
      </w:r>
      <w:r>
        <w:rPr>
          <w:rFonts w:hint="eastAsia" w:ascii="仿宋" w:hAnsi="仿宋" w:eastAsia="仿宋" w:cs="仿宋"/>
          <w:color w:val="auto"/>
          <w:spacing w:val="20"/>
          <w:sz w:val="28"/>
          <w:szCs w:val="28"/>
          <w:highlight w:val="none"/>
          <w:u w:val="single"/>
          <w:lang w:val="en-US" w:bidi="zh-CN"/>
        </w:rPr>
        <w:t>2</w:t>
      </w:r>
      <w:r>
        <w:rPr>
          <w:rFonts w:hint="eastAsia" w:ascii="仿宋" w:hAnsi="仿宋" w:eastAsia="仿宋" w:cs="仿宋"/>
          <w:color w:val="auto"/>
          <w:spacing w:val="20"/>
          <w:sz w:val="28"/>
          <w:szCs w:val="28"/>
          <w:highlight w:val="none"/>
          <w:u w:val="single"/>
          <w:lang w:bidi="zh-CN"/>
        </w:rPr>
        <w:t xml:space="preserve"> </w:t>
      </w:r>
      <w:r>
        <w:rPr>
          <w:rFonts w:hint="eastAsia" w:ascii="仿宋" w:hAnsi="仿宋" w:eastAsia="仿宋" w:cs="仿宋"/>
          <w:color w:val="auto"/>
          <w:spacing w:val="20"/>
          <w:sz w:val="28"/>
          <w:szCs w:val="28"/>
          <w:highlight w:val="none"/>
          <w:lang w:val="zh-CN" w:bidi="zh-CN"/>
        </w:rPr>
        <w:t>年</w:t>
      </w:r>
      <w:r>
        <w:rPr>
          <w:rFonts w:hint="eastAsia" w:ascii="仿宋" w:hAnsi="仿宋" w:eastAsia="仿宋" w:cs="仿宋"/>
          <w:color w:val="auto"/>
          <w:spacing w:val="20"/>
          <w:sz w:val="28"/>
          <w:szCs w:val="28"/>
          <w:highlight w:val="none"/>
          <w:u w:val="single"/>
          <w:lang w:bidi="zh-CN"/>
        </w:rPr>
        <w:t xml:space="preserve">   </w:t>
      </w:r>
      <w:r>
        <w:rPr>
          <w:rFonts w:hint="eastAsia" w:ascii="仿宋" w:hAnsi="仿宋" w:eastAsia="仿宋" w:cs="仿宋"/>
          <w:color w:val="auto"/>
          <w:spacing w:val="20"/>
          <w:sz w:val="28"/>
          <w:szCs w:val="28"/>
          <w:highlight w:val="none"/>
          <w:lang w:val="zh-CN" w:bidi="zh-CN"/>
        </w:rPr>
        <w:t>月</w:t>
      </w:r>
      <w:r>
        <w:rPr>
          <w:rFonts w:hint="eastAsia" w:ascii="仿宋" w:hAnsi="仿宋" w:eastAsia="仿宋" w:cs="仿宋"/>
          <w:color w:val="auto"/>
          <w:spacing w:val="20"/>
          <w:sz w:val="28"/>
          <w:szCs w:val="28"/>
          <w:highlight w:val="none"/>
          <w:u w:val="single"/>
          <w:lang w:bidi="zh-CN"/>
        </w:rPr>
        <w:t xml:space="preserve">   </w:t>
      </w:r>
      <w:r>
        <w:rPr>
          <w:rFonts w:hint="eastAsia" w:ascii="仿宋" w:hAnsi="仿宋" w:eastAsia="仿宋" w:cs="仿宋"/>
          <w:color w:val="auto"/>
          <w:spacing w:val="20"/>
          <w:sz w:val="28"/>
          <w:szCs w:val="28"/>
          <w:highlight w:val="none"/>
          <w:lang w:val="zh-CN" w:bidi="zh-CN"/>
        </w:rPr>
        <w:t>日中标</w:t>
      </w:r>
      <w:r>
        <w:rPr>
          <w:rFonts w:hint="eastAsia" w:ascii="仿宋" w:hAnsi="仿宋" w:eastAsia="仿宋" w:cs="仿宋"/>
          <w:color w:val="auto"/>
          <w:spacing w:val="20"/>
          <w:sz w:val="28"/>
          <w:szCs w:val="28"/>
          <w:highlight w:val="none"/>
          <w:u w:val="single"/>
          <w:lang w:eastAsia="zh-CN" w:bidi="zh-CN"/>
        </w:rPr>
        <w:t>中新科技文化艺术中心之智荟塔（高端酒店）项目监理</w:t>
      </w:r>
      <w:r>
        <w:rPr>
          <w:rFonts w:hint="eastAsia" w:ascii="仿宋" w:hAnsi="仿宋" w:eastAsia="仿宋" w:cs="仿宋"/>
          <w:color w:val="auto"/>
          <w:spacing w:val="20"/>
          <w:sz w:val="28"/>
          <w:szCs w:val="28"/>
          <w:highlight w:val="none"/>
          <w:lang w:val="zh-CN" w:bidi="zh-CN"/>
        </w:rPr>
        <w:t>，按照招标文件要求</w:t>
      </w:r>
      <w:r>
        <w:rPr>
          <w:rFonts w:hint="eastAsia" w:ascii="仿宋" w:hAnsi="仿宋" w:eastAsia="仿宋" w:cs="仿宋"/>
          <w:color w:val="auto"/>
          <w:spacing w:val="20"/>
          <w:sz w:val="28"/>
          <w:szCs w:val="28"/>
          <w:highlight w:val="none"/>
          <w:u w:val="single"/>
          <w:lang w:val="zh-CN" w:bidi="zh-CN"/>
        </w:rPr>
        <w:t>（）</w:t>
      </w:r>
      <w:r>
        <w:rPr>
          <w:rFonts w:hint="eastAsia" w:ascii="仿宋" w:hAnsi="仿宋" w:eastAsia="仿宋" w:cs="仿宋"/>
          <w:color w:val="auto"/>
          <w:spacing w:val="20"/>
          <w:sz w:val="28"/>
          <w:szCs w:val="28"/>
          <w:highlight w:val="none"/>
          <w:lang w:val="zh-CN" w:bidi="zh-CN"/>
        </w:rPr>
        <w:t>按规定金额提交一份己经认可的银行保函作履约担保。因</w:t>
      </w:r>
      <w:r>
        <w:rPr>
          <w:rFonts w:hint="eastAsia" w:ascii="仿宋" w:hAnsi="仿宋" w:eastAsia="仿宋" w:cs="仿宋"/>
          <w:color w:val="auto"/>
          <w:spacing w:val="20"/>
          <w:sz w:val="28"/>
          <w:szCs w:val="28"/>
          <w:highlight w:val="none"/>
          <w:u w:val="single"/>
          <w:lang w:bidi="zh-CN"/>
        </w:rPr>
        <w:t xml:space="preserve"> 银行管理规定原因  </w:t>
      </w:r>
      <w:r>
        <w:rPr>
          <w:rFonts w:hint="eastAsia" w:ascii="仿宋" w:hAnsi="仿宋" w:eastAsia="仿宋" w:cs="仿宋"/>
          <w:color w:val="auto"/>
          <w:spacing w:val="20"/>
          <w:sz w:val="28"/>
          <w:szCs w:val="28"/>
          <w:highlight w:val="none"/>
          <w:lang w:val="zh-CN" w:bidi="zh-CN"/>
        </w:rPr>
        <w:t>，我方无法开具无固定期限的银行保函，现开具有效期不低于</w:t>
      </w:r>
      <w:r>
        <w:rPr>
          <w:rFonts w:hint="eastAsia" w:ascii="仿宋" w:hAnsi="仿宋" w:eastAsia="仿宋" w:cs="仿宋"/>
          <w:color w:val="auto"/>
          <w:spacing w:val="20"/>
          <w:sz w:val="28"/>
          <w:szCs w:val="28"/>
          <w:highlight w:val="none"/>
          <w:u w:val="single"/>
          <w:lang w:bidi="zh-CN"/>
        </w:rPr>
        <w:t xml:space="preserve"> 3  </w:t>
      </w:r>
      <w:r>
        <w:rPr>
          <w:rFonts w:hint="eastAsia" w:ascii="仿宋" w:hAnsi="仿宋" w:eastAsia="仿宋" w:cs="仿宋"/>
          <w:color w:val="auto"/>
          <w:spacing w:val="20"/>
          <w:sz w:val="28"/>
          <w:szCs w:val="28"/>
          <w:highlight w:val="none"/>
          <w:lang w:val="zh-CN" w:bidi="zh-CN"/>
        </w:rPr>
        <w:t>年的固定期限银行保函；并承诺每当保函的有效期己满达</w:t>
      </w:r>
      <w:r>
        <w:rPr>
          <w:rFonts w:hint="eastAsia" w:ascii="仿宋" w:hAnsi="仿宋" w:eastAsia="仿宋" w:cs="仿宋"/>
          <w:color w:val="auto"/>
          <w:spacing w:val="20"/>
          <w:sz w:val="28"/>
          <w:szCs w:val="28"/>
          <w:highlight w:val="none"/>
          <w:u w:val="single"/>
          <w:lang w:bidi="zh-CN"/>
        </w:rPr>
        <w:t xml:space="preserve"> 2  </w:t>
      </w:r>
      <w:r>
        <w:rPr>
          <w:rFonts w:hint="eastAsia" w:ascii="仿宋" w:hAnsi="仿宋" w:eastAsia="仿宋" w:cs="仿宋"/>
          <w:color w:val="auto"/>
          <w:spacing w:val="20"/>
          <w:sz w:val="28"/>
          <w:szCs w:val="28"/>
          <w:highlight w:val="none"/>
          <w:lang w:val="zh-CN" w:bidi="zh-CN"/>
        </w:rPr>
        <w:t>年但项目未完工或未完成竣工验收时，我方不挑剔、不争辩，也不要求你方出具证明或说明理由，主动办理新保函续保，且新保函有效期不低于</w:t>
      </w:r>
      <w:r>
        <w:rPr>
          <w:rFonts w:hint="eastAsia" w:ascii="仿宋" w:hAnsi="仿宋" w:eastAsia="仿宋" w:cs="仿宋"/>
          <w:color w:val="auto"/>
          <w:spacing w:val="20"/>
          <w:sz w:val="28"/>
          <w:szCs w:val="28"/>
          <w:highlight w:val="none"/>
          <w:u w:val="single"/>
          <w:lang w:bidi="zh-CN"/>
        </w:rPr>
        <w:t xml:space="preserve"> 3 </w:t>
      </w:r>
      <w:r>
        <w:rPr>
          <w:rFonts w:hint="eastAsia" w:ascii="仿宋" w:hAnsi="仿宋" w:eastAsia="仿宋" w:cs="仿宋"/>
          <w:color w:val="auto"/>
          <w:spacing w:val="20"/>
          <w:sz w:val="28"/>
          <w:szCs w:val="28"/>
          <w:highlight w:val="none"/>
          <w:lang w:val="zh-CN" w:bidi="zh-CN"/>
        </w:rPr>
        <w:t>年。</w:t>
      </w:r>
    </w:p>
    <w:p>
      <w:pPr>
        <w:spacing w:line="560" w:lineRule="exact"/>
        <w:jc w:val="left"/>
        <w:rPr>
          <w:rFonts w:ascii="仿宋" w:hAnsi="仿宋" w:eastAsia="仿宋" w:cs="仿宋"/>
          <w:color w:val="auto"/>
          <w:spacing w:val="20"/>
          <w:sz w:val="28"/>
          <w:szCs w:val="28"/>
          <w:highlight w:val="none"/>
          <w:lang w:val="zh-CN" w:bidi="zh-CN"/>
        </w:rPr>
      </w:pPr>
    </w:p>
    <w:p>
      <w:pPr>
        <w:spacing w:line="560" w:lineRule="exact"/>
        <w:ind w:firstLine="640" w:firstLineChars="200"/>
        <w:jc w:val="left"/>
        <w:rPr>
          <w:rFonts w:ascii="仿宋" w:hAnsi="仿宋" w:eastAsia="仿宋" w:cs="仿宋"/>
          <w:color w:val="auto"/>
          <w:spacing w:val="20"/>
          <w:sz w:val="28"/>
          <w:szCs w:val="28"/>
          <w:highlight w:val="none"/>
          <w:lang w:val="zh-CN" w:bidi="zh-CN"/>
        </w:rPr>
      </w:pPr>
    </w:p>
    <w:p>
      <w:pPr>
        <w:spacing w:line="560" w:lineRule="exact"/>
        <w:jc w:val="left"/>
        <w:rPr>
          <w:rFonts w:ascii="仿宋" w:hAnsi="仿宋" w:eastAsia="仿宋" w:cs="仿宋"/>
          <w:color w:val="auto"/>
          <w:spacing w:val="20"/>
          <w:sz w:val="28"/>
          <w:szCs w:val="28"/>
          <w:highlight w:val="none"/>
          <w:lang w:val="zh-CN" w:bidi="zh-CN"/>
        </w:rPr>
      </w:pPr>
      <w:r>
        <w:rPr>
          <w:rFonts w:hint="eastAsia" w:ascii="仿宋" w:hAnsi="仿宋" w:eastAsia="仿宋" w:cs="仿宋"/>
          <w:color w:val="auto"/>
          <w:spacing w:val="20"/>
          <w:sz w:val="28"/>
          <w:szCs w:val="28"/>
          <w:highlight w:val="none"/>
          <w:lang w:val="zh-CN" w:bidi="zh-CN"/>
        </w:rPr>
        <w:t>单位名称：</w:t>
      </w:r>
    </w:p>
    <w:p>
      <w:pPr>
        <w:spacing w:line="560" w:lineRule="exact"/>
        <w:jc w:val="left"/>
        <w:rPr>
          <w:rFonts w:ascii="仿宋" w:hAnsi="仿宋" w:eastAsia="仿宋" w:cs="仿宋"/>
          <w:color w:val="auto"/>
          <w:sz w:val="28"/>
          <w:szCs w:val="28"/>
          <w:highlight w:val="none"/>
          <w:lang w:val="zh-CN" w:bidi="zh-CN"/>
        </w:rPr>
      </w:pPr>
      <w:r>
        <w:rPr>
          <w:rFonts w:hint="eastAsia" w:ascii="仿宋" w:hAnsi="仿宋" w:eastAsia="仿宋" w:cs="仿宋"/>
          <w:color w:val="auto"/>
          <w:sz w:val="28"/>
          <w:szCs w:val="28"/>
          <w:highlight w:val="none"/>
          <w:lang w:val="zh-CN" w:bidi="zh-CN"/>
        </w:rPr>
        <w:t>法定代表人：</w:t>
      </w:r>
    </w:p>
    <w:p>
      <w:pPr>
        <w:spacing w:line="560" w:lineRule="exact"/>
        <w:jc w:val="left"/>
        <w:rPr>
          <w:rFonts w:ascii="仿宋" w:hAnsi="仿宋" w:eastAsia="仿宋" w:cs="仿宋"/>
          <w:color w:val="auto"/>
          <w:sz w:val="28"/>
          <w:szCs w:val="28"/>
          <w:highlight w:val="none"/>
          <w:lang w:val="zh-CN" w:bidi="zh-CN"/>
        </w:rPr>
      </w:pPr>
      <w:r>
        <w:rPr>
          <w:rFonts w:hint="eastAsia" w:ascii="仿宋" w:hAnsi="仿宋" w:eastAsia="仿宋" w:cs="仿宋"/>
          <w:color w:val="auto"/>
          <w:sz w:val="28"/>
          <w:szCs w:val="28"/>
          <w:highlight w:val="none"/>
          <w:lang w:val="zh-CN" w:bidi="zh-CN"/>
        </w:rPr>
        <w:t>联系电话：</w:t>
      </w:r>
    </w:p>
    <w:p>
      <w:pPr>
        <w:spacing w:line="560" w:lineRule="exact"/>
        <w:jc w:val="left"/>
        <w:rPr>
          <w:rFonts w:ascii="仿宋" w:hAnsi="仿宋" w:eastAsia="仿宋" w:cs="仿宋"/>
          <w:color w:val="auto"/>
          <w:sz w:val="28"/>
          <w:szCs w:val="28"/>
          <w:highlight w:val="none"/>
          <w:lang w:val="zh-CN" w:bidi="zh-CN"/>
        </w:rPr>
      </w:pPr>
      <w:r>
        <w:rPr>
          <w:rFonts w:hint="eastAsia" w:ascii="仿宋" w:hAnsi="仿宋" w:eastAsia="仿宋" w:cs="仿宋"/>
          <w:color w:val="auto"/>
          <w:sz w:val="28"/>
          <w:szCs w:val="28"/>
          <w:highlight w:val="none"/>
          <w:lang w:val="zh-CN" w:bidi="zh-CN"/>
        </w:rPr>
        <w:t>地址：</w:t>
      </w:r>
    </w:p>
    <w:p>
      <w:pPr>
        <w:spacing w:line="560" w:lineRule="exact"/>
        <w:jc w:val="left"/>
        <w:rPr>
          <w:color w:val="auto"/>
          <w:sz w:val="20"/>
          <w:szCs w:val="18"/>
          <w:highlight w:val="none"/>
        </w:rPr>
      </w:pPr>
      <w:r>
        <w:rPr>
          <w:rFonts w:hint="eastAsia" w:ascii="仿宋" w:hAnsi="仿宋" w:eastAsia="仿宋" w:cs="仿宋"/>
          <w:color w:val="auto"/>
          <w:sz w:val="28"/>
          <w:szCs w:val="28"/>
          <w:highlight w:val="none"/>
          <w:lang w:val="zh-CN" w:bidi="zh-CN"/>
        </w:rPr>
        <w:t>日期：</w:t>
      </w:r>
    </w:p>
    <w:p>
      <w:pPr>
        <w:rPr>
          <w:color w:val="auto"/>
          <w:highlight w:val="none"/>
        </w:rPr>
      </w:pPr>
      <w:r>
        <w:rPr>
          <w:color w:val="auto"/>
          <w:highlight w:val="none"/>
        </w:rPr>
        <w:br w:type="page"/>
      </w:r>
    </w:p>
    <w:p>
      <w:pPr>
        <w:rPr>
          <w:color w:val="auto"/>
          <w:highlight w:val="none"/>
        </w:rPr>
        <w:sectPr>
          <w:headerReference r:id="rId8" w:type="default"/>
          <w:footerReference r:id="rId9" w:type="default"/>
          <w:pgSz w:w="12240" w:h="15840"/>
          <w:pgMar w:top="1378" w:right="1678" w:bottom="919" w:left="1701" w:header="0" w:footer="720" w:gutter="0"/>
          <w:pgNumType w:fmt="decimal"/>
          <w:cols w:space="720" w:num="1"/>
          <w:docGrid w:linePitch="286" w:charSpace="0"/>
        </w:sectPr>
      </w:pPr>
      <w:r>
        <w:rPr>
          <w:rFonts w:hint="eastAsia" w:ascii="Arial" w:hAnsi="Arial" w:eastAsia="黑体"/>
          <w:b/>
          <w:color w:val="auto"/>
          <w:sz w:val="32"/>
          <w:szCs w:val="20"/>
          <w:highlight w:val="none"/>
        </w:rPr>
        <w:t>附件5：监理投标报价表、承诺函</w:t>
      </w:r>
      <w:bookmarkStart w:id="59" w:name="_Hlk92726903"/>
    </w:p>
    <w:p>
      <w:pPr>
        <w:rPr>
          <w:rFonts w:ascii="Arial" w:hAnsi="Arial" w:eastAsia="黑体"/>
          <w:b/>
          <w:color w:val="auto"/>
          <w:sz w:val="32"/>
          <w:szCs w:val="20"/>
          <w:highlight w:val="none"/>
        </w:rPr>
      </w:pPr>
      <w:r>
        <w:rPr>
          <w:rFonts w:hint="eastAsia" w:ascii="Arial" w:hAnsi="Arial" w:eastAsia="黑体"/>
          <w:b/>
          <w:color w:val="auto"/>
          <w:sz w:val="32"/>
          <w:szCs w:val="20"/>
          <w:highlight w:val="none"/>
        </w:rPr>
        <w:t>附件6：监理费计算方式、招标限价及投标价表</w:t>
      </w:r>
    </w:p>
    <w:p>
      <w:pPr>
        <w:pStyle w:val="26"/>
        <w:rPr>
          <w:rFonts w:ascii="Arial" w:hAnsi="Arial" w:eastAsia="黑体"/>
          <w:b/>
          <w:color w:val="auto"/>
          <w:sz w:val="32"/>
          <w:highlight w:val="none"/>
        </w:rPr>
      </w:pPr>
    </w:p>
    <w:p>
      <w:pPr>
        <w:pStyle w:val="26"/>
        <w:rPr>
          <w:rFonts w:ascii="Arial" w:hAnsi="Arial" w:eastAsia="黑体"/>
          <w:b/>
          <w:color w:val="auto"/>
          <w:sz w:val="32"/>
          <w:highlight w:val="none"/>
        </w:rPr>
      </w:pPr>
    </w:p>
    <w:p>
      <w:pPr>
        <w:pStyle w:val="14"/>
        <w:rPr>
          <w:color w:val="auto"/>
          <w:highlight w:val="none"/>
        </w:rPr>
        <w:sectPr>
          <w:headerReference r:id="rId10" w:type="default"/>
          <w:footerReference r:id="rId11" w:type="default"/>
          <w:pgSz w:w="12240" w:h="15840"/>
          <w:pgMar w:top="1378" w:right="1678" w:bottom="919" w:left="1701" w:header="0" w:footer="721" w:gutter="0"/>
          <w:pgNumType w:fmt="decimal"/>
          <w:cols w:space="720" w:num="1"/>
          <w:docGrid w:linePitch="286" w:charSpace="0"/>
        </w:sectPr>
      </w:pPr>
    </w:p>
    <w:p>
      <w:pPr>
        <w:rPr>
          <w:rFonts w:ascii="Arial" w:hAnsi="Arial" w:eastAsia="黑体"/>
          <w:b/>
          <w:color w:val="auto"/>
          <w:sz w:val="32"/>
          <w:szCs w:val="20"/>
          <w:highlight w:val="none"/>
        </w:rPr>
      </w:pPr>
      <w:r>
        <w:rPr>
          <w:rFonts w:hint="eastAsia" w:ascii="Arial" w:hAnsi="Arial" w:eastAsia="黑体"/>
          <w:b/>
          <w:color w:val="auto"/>
          <w:sz w:val="32"/>
          <w:szCs w:val="20"/>
          <w:highlight w:val="none"/>
        </w:rPr>
        <w:t>附件7：招标答疑</w:t>
      </w:r>
    </w:p>
    <w:p>
      <w:pPr>
        <w:pStyle w:val="14"/>
        <w:rPr>
          <w:color w:val="auto"/>
          <w:highlight w:val="none"/>
        </w:rPr>
      </w:pPr>
    </w:p>
    <w:p>
      <w:pPr>
        <w:rPr>
          <w:color w:val="auto"/>
          <w:highlight w:val="none"/>
        </w:rPr>
      </w:pPr>
      <w:r>
        <w:rPr>
          <w:rFonts w:hint="eastAsia"/>
          <w:b/>
          <w:color w:val="auto"/>
          <w:sz w:val="36"/>
          <w:szCs w:val="32"/>
          <w:highlight w:val="none"/>
          <w:lang w:eastAsia="zh-CN"/>
        </w:rPr>
        <w:t>（</w:t>
      </w:r>
      <w:r>
        <w:rPr>
          <w:rFonts w:hint="eastAsia"/>
          <w:b/>
          <w:color w:val="auto"/>
          <w:sz w:val="36"/>
          <w:szCs w:val="32"/>
          <w:highlight w:val="none"/>
          <w:lang w:val="en-US" w:eastAsia="zh-CN"/>
        </w:rPr>
        <w:t>如有）</w:t>
      </w:r>
      <w:r>
        <w:rPr>
          <w:color w:val="auto"/>
          <w:highlight w:val="none"/>
        </w:rPr>
        <w:br w:type="page"/>
      </w:r>
      <w:r>
        <w:rPr>
          <w:rFonts w:hint="eastAsia" w:ascii="Arial" w:hAnsi="Arial" w:eastAsia="黑体"/>
          <w:b/>
          <w:color w:val="auto"/>
          <w:sz w:val="32"/>
          <w:szCs w:val="20"/>
          <w:highlight w:val="none"/>
        </w:rPr>
        <w:t>附件8：项目监理人员投入一览表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top"/>
          </w:tcPr>
          <w:p>
            <w:pPr>
              <w:adjustRightInd w:val="0"/>
              <w:snapToGrid w:val="0"/>
              <w:ind w:right="11"/>
              <w:jc w:val="center"/>
              <w:rPr>
                <w:rFonts w:ascii="宋体" w:hAnsi="宋体"/>
                <w:b/>
                <w:bCs/>
                <w:color w:val="auto"/>
                <w:sz w:val="24"/>
                <w:highlight w:val="none"/>
              </w:rPr>
            </w:pPr>
            <w:r>
              <w:rPr>
                <w:rFonts w:hint="eastAsia" w:ascii="宋体" w:hAnsi="宋体"/>
                <w:b/>
                <w:bCs/>
                <w:color w:val="auto"/>
                <w:sz w:val="24"/>
                <w:highlight w:val="none"/>
              </w:rPr>
              <w:t>序号</w:t>
            </w:r>
          </w:p>
        </w:tc>
        <w:tc>
          <w:tcPr>
            <w:tcW w:w="1217" w:type="dxa"/>
            <w:noWrap w:val="0"/>
            <w:vAlign w:val="top"/>
          </w:tcPr>
          <w:p>
            <w:pPr>
              <w:adjustRightInd w:val="0"/>
              <w:snapToGrid w:val="0"/>
              <w:ind w:right="11"/>
              <w:jc w:val="center"/>
              <w:rPr>
                <w:rFonts w:ascii="宋体" w:hAnsi="宋体"/>
                <w:bCs/>
                <w:color w:val="auto"/>
                <w:sz w:val="24"/>
                <w:highlight w:val="none"/>
              </w:rPr>
            </w:pPr>
            <w:r>
              <w:rPr>
                <w:rFonts w:hint="eastAsia" w:ascii="宋体" w:hAnsi="宋体"/>
                <w:bCs/>
                <w:color w:val="auto"/>
                <w:sz w:val="24"/>
                <w:highlight w:val="none"/>
              </w:rPr>
              <w:t>姓名</w:t>
            </w:r>
          </w:p>
        </w:tc>
        <w:tc>
          <w:tcPr>
            <w:tcW w:w="1217" w:type="dxa"/>
            <w:noWrap w:val="0"/>
            <w:vAlign w:val="top"/>
          </w:tcPr>
          <w:p>
            <w:pPr>
              <w:adjustRightInd w:val="0"/>
              <w:snapToGrid w:val="0"/>
              <w:ind w:right="11"/>
              <w:jc w:val="center"/>
              <w:rPr>
                <w:rFonts w:ascii="宋体" w:hAnsi="宋体"/>
                <w:bCs/>
                <w:color w:val="auto"/>
                <w:sz w:val="24"/>
                <w:highlight w:val="none"/>
              </w:rPr>
            </w:pPr>
            <w:r>
              <w:rPr>
                <w:rFonts w:hint="eastAsia" w:ascii="宋体" w:hAnsi="宋体"/>
                <w:bCs/>
                <w:color w:val="auto"/>
                <w:sz w:val="24"/>
                <w:highlight w:val="none"/>
              </w:rPr>
              <w:t>岗位</w:t>
            </w:r>
          </w:p>
        </w:tc>
        <w:tc>
          <w:tcPr>
            <w:tcW w:w="1217" w:type="dxa"/>
            <w:noWrap w:val="0"/>
            <w:vAlign w:val="top"/>
          </w:tcPr>
          <w:p>
            <w:pPr>
              <w:adjustRightInd w:val="0"/>
              <w:snapToGrid w:val="0"/>
              <w:ind w:right="11"/>
              <w:jc w:val="center"/>
              <w:rPr>
                <w:rFonts w:ascii="宋体" w:hAnsi="宋体"/>
                <w:bCs/>
                <w:color w:val="auto"/>
                <w:sz w:val="24"/>
                <w:highlight w:val="none"/>
              </w:rPr>
            </w:pPr>
            <w:r>
              <w:rPr>
                <w:rFonts w:hint="eastAsia" w:ascii="宋体" w:hAnsi="宋体"/>
                <w:bCs/>
                <w:color w:val="auto"/>
                <w:sz w:val="24"/>
                <w:highlight w:val="none"/>
              </w:rPr>
              <w:t>专业</w:t>
            </w:r>
          </w:p>
        </w:tc>
        <w:tc>
          <w:tcPr>
            <w:tcW w:w="1218" w:type="dxa"/>
            <w:noWrap w:val="0"/>
            <w:vAlign w:val="top"/>
          </w:tcPr>
          <w:p>
            <w:pPr>
              <w:adjustRightInd w:val="0"/>
              <w:snapToGrid w:val="0"/>
              <w:ind w:right="11"/>
              <w:jc w:val="center"/>
              <w:rPr>
                <w:rFonts w:ascii="宋体" w:hAnsi="宋体"/>
                <w:bCs/>
                <w:color w:val="auto"/>
                <w:sz w:val="24"/>
                <w:highlight w:val="none"/>
              </w:rPr>
            </w:pPr>
            <w:r>
              <w:rPr>
                <w:rFonts w:hint="eastAsia" w:ascii="宋体" w:hAnsi="宋体"/>
                <w:bCs/>
                <w:color w:val="auto"/>
                <w:sz w:val="24"/>
                <w:highlight w:val="none"/>
              </w:rPr>
              <w:t>数量</w:t>
            </w:r>
          </w:p>
        </w:tc>
        <w:tc>
          <w:tcPr>
            <w:tcW w:w="1218" w:type="dxa"/>
            <w:noWrap w:val="0"/>
            <w:vAlign w:val="top"/>
          </w:tcPr>
          <w:p>
            <w:pPr>
              <w:adjustRightInd w:val="0"/>
              <w:snapToGrid w:val="0"/>
              <w:ind w:right="11"/>
              <w:jc w:val="center"/>
              <w:rPr>
                <w:rFonts w:ascii="宋体" w:hAnsi="宋体"/>
                <w:bCs/>
                <w:color w:val="auto"/>
                <w:sz w:val="24"/>
                <w:highlight w:val="none"/>
              </w:rPr>
            </w:pPr>
            <w:r>
              <w:rPr>
                <w:rFonts w:hint="eastAsia" w:ascii="宋体" w:hAnsi="宋体"/>
                <w:bCs/>
                <w:color w:val="auto"/>
                <w:sz w:val="24"/>
                <w:highlight w:val="none"/>
              </w:rPr>
              <w:t>职称</w:t>
            </w:r>
          </w:p>
        </w:tc>
        <w:tc>
          <w:tcPr>
            <w:tcW w:w="1451" w:type="dxa"/>
            <w:noWrap w:val="0"/>
            <w:vAlign w:val="top"/>
          </w:tcPr>
          <w:p>
            <w:pPr>
              <w:adjustRightInd w:val="0"/>
              <w:snapToGrid w:val="0"/>
              <w:ind w:right="11"/>
              <w:jc w:val="center"/>
              <w:rPr>
                <w:rFonts w:ascii="宋体" w:hAnsi="宋体"/>
                <w:bCs/>
                <w:color w:val="auto"/>
                <w:sz w:val="24"/>
                <w:highlight w:val="none"/>
              </w:rPr>
            </w:pPr>
            <w:r>
              <w:rPr>
                <w:rFonts w:hint="eastAsia" w:ascii="宋体" w:hAnsi="宋体"/>
                <w:bCs/>
                <w:color w:val="auto"/>
                <w:sz w:val="24"/>
                <w:highlight w:val="none"/>
              </w:rPr>
              <w:t>监理岗位证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5" w:type="dxa"/>
            <w:gridSpan w:val="7"/>
            <w:noWrap w:val="0"/>
            <w:vAlign w:val="top"/>
          </w:tcPr>
          <w:p>
            <w:pPr>
              <w:adjustRightInd w:val="0"/>
              <w:snapToGrid w:val="0"/>
              <w:ind w:right="11" w:firstLine="424" w:firstLineChars="177"/>
              <w:rPr>
                <w:rFonts w:ascii="宋体" w:hAnsi="宋体"/>
                <w:b/>
                <w:bCs/>
                <w:color w:val="auto"/>
                <w:sz w:val="24"/>
                <w:highlight w:val="none"/>
              </w:rPr>
            </w:pPr>
            <w:r>
              <w:rPr>
                <w:rFonts w:hint="eastAsia" w:ascii="宋体" w:hAnsi="宋体"/>
                <w:bCs/>
                <w:color w:val="auto"/>
                <w:sz w:val="24"/>
                <w:highlight w:val="none"/>
              </w:rPr>
              <w:t>开工到竣工验收</w:t>
            </w:r>
            <w:r>
              <w:rPr>
                <w:rFonts w:hint="eastAsia" w:ascii="宋体" w:hAnsi="宋体"/>
                <w:b/>
                <w:bCs/>
                <w:color w:val="auto"/>
                <w:sz w:val="24"/>
                <w:highlight w:val="none"/>
              </w:rPr>
              <w:t>完成阶段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p>
        </w:tc>
        <w:tc>
          <w:tcPr>
            <w:tcW w:w="1217" w:type="dxa"/>
            <w:noWrap w:val="0"/>
            <w:vAlign w:val="center"/>
          </w:tcPr>
          <w:p>
            <w:pPr>
              <w:jc w:val="center"/>
              <w:rPr>
                <w:color w:val="auto"/>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2</w:t>
            </w:r>
          </w:p>
        </w:tc>
        <w:tc>
          <w:tcPr>
            <w:tcW w:w="1217" w:type="dxa"/>
            <w:noWrap w:val="0"/>
            <w:vAlign w:val="center"/>
          </w:tcPr>
          <w:p>
            <w:pPr>
              <w:jc w:val="center"/>
              <w:rPr>
                <w:color w:val="auto"/>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3</w:t>
            </w: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4</w:t>
            </w: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5</w:t>
            </w: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Cs/>
                <w:color w:val="auto"/>
                <w:sz w:val="24"/>
                <w:highlight w:val="none"/>
              </w:rPr>
            </w:pPr>
            <w:r>
              <w:rPr>
                <w:rFonts w:hint="eastAsia" w:ascii="宋体" w:hAnsi="宋体"/>
                <w:b/>
                <w:bCs/>
                <w:color w:val="auto"/>
                <w:sz w:val="24"/>
                <w:highlight w:val="none"/>
              </w:rPr>
              <w:t>6</w:t>
            </w: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Cs/>
                <w:color w:val="auto"/>
                <w:sz w:val="24"/>
                <w:highlight w:val="none"/>
              </w:rPr>
            </w:pPr>
            <w:r>
              <w:rPr>
                <w:rFonts w:hint="eastAsia" w:ascii="宋体" w:hAnsi="宋体"/>
                <w:b/>
                <w:bCs/>
                <w:color w:val="auto"/>
                <w:sz w:val="24"/>
                <w:highlight w:val="none"/>
              </w:rPr>
              <w:t>7</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8</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9</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0</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1</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szCs w:val="21"/>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2</w:t>
            </w: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3</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4</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5</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5" w:type="dxa"/>
            <w:gridSpan w:val="7"/>
            <w:noWrap w:val="0"/>
            <w:vAlign w:val="center"/>
          </w:tcPr>
          <w:p>
            <w:pPr>
              <w:adjustRightInd w:val="0"/>
              <w:snapToGrid w:val="0"/>
              <w:ind w:right="11" w:firstLine="426" w:firstLineChars="177"/>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2</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3</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4</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5</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Cs/>
                <w:color w:val="auto"/>
                <w:sz w:val="24"/>
                <w:highlight w:val="none"/>
              </w:rPr>
            </w:pPr>
            <w:r>
              <w:rPr>
                <w:rFonts w:hint="eastAsia" w:ascii="宋体" w:hAnsi="宋体"/>
                <w:b/>
                <w:bCs/>
                <w:color w:val="auto"/>
                <w:sz w:val="24"/>
                <w:highlight w:val="none"/>
              </w:rPr>
              <w:t>6</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Cs/>
                <w:color w:val="auto"/>
                <w:sz w:val="24"/>
                <w:highlight w:val="none"/>
              </w:rPr>
            </w:pPr>
            <w:r>
              <w:rPr>
                <w:rFonts w:hint="eastAsia" w:ascii="宋体" w:hAnsi="宋体"/>
                <w:b/>
                <w:bCs/>
                <w:color w:val="auto"/>
                <w:sz w:val="24"/>
                <w:highlight w:val="none"/>
              </w:rPr>
              <w:t>7</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8</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9</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0</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1</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2</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3</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4</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5</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6</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7</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8</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9</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2</w:t>
            </w:r>
            <w:r>
              <w:rPr>
                <w:rFonts w:ascii="宋体" w:hAnsi="宋体"/>
                <w:b/>
                <w:bCs/>
                <w:color w:val="auto"/>
                <w:sz w:val="24"/>
                <w:highlight w:val="none"/>
              </w:rPr>
              <w:t>0</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2</w:t>
            </w:r>
            <w:r>
              <w:rPr>
                <w:rFonts w:ascii="宋体" w:hAnsi="宋体"/>
                <w:b/>
                <w:bCs/>
                <w:color w:val="auto"/>
                <w:sz w:val="24"/>
                <w:highlight w:val="none"/>
              </w:rPr>
              <w:t>1</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2</w:t>
            </w:r>
            <w:r>
              <w:rPr>
                <w:rFonts w:ascii="宋体" w:hAnsi="宋体"/>
                <w:b/>
                <w:bCs/>
                <w:color w:val="auto"/>
                <w:sz w:val="24"/>
                <w:highlight w:val="none"/>
              </w:rPr>
              <w:t>2</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2</w:t>
            </w:r>
            <w:r>
              <w:rPr>
                <w:rFonts w:ascii="宋体" w:hAnsi="宋体"/>
                <w:b/>
                <w:bCs/>
                <w:color w:val="auto"/>
                <w:sz w:val="24"/>
                <w:highlight w:val="none"/>
              </w:rPr>
              <w:t>3</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2</w:t>
            </w:r>
            <w:r>
              <w:rPr>
                <w:rFonts w:ascii="宋体" w:hAnsi="宋体"/>
                <w:b/>
                <w:bCs/>
                <w:color w:val="auto"/>
                <w:sz w:val="24"/>
                <w:highlight w:val="none"/>
              </w:rPr>
              <w:t>4</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5" w:type="dxa"/>
            <w:gridSpan w:val="7"/>
            <w:noWrap w:val="0"/>
            <w:vAlign w:val="center"/>
          </w:tcPr>
          <w:p>
            <w:pPr>
              <w:adjustRightInd w:val="0"/>
              <w:snapToGrid w:val="0"/>
              <w:ind w:right="11" w:firstLine="426" w:firstLineChars="177"/>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p>
        </w:tc>
        <w:tc>
          <w:tcPr>
            <w:tcW w:w="1217" w:type="dxa"/>
            <w:noWrap w:val="0"/>
            <w:vAlign w:val="center"/>
          </w:tcPr>
          <w:p>
            <w:pPr>
              <w:jc w:val="center"/>
              <w:rPr>
                <w:color w:val="auto"/>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2</w:t>
            </w:r>
          </w:p>
        </w:tc>
        <w:tc>
          <w:tcPr>
            <w:tcW w:w="1217" w:type="dxa"/>
            <w:noWrap w:val="0"/>
            <w:vAlign w:val="center"/>
          </w:tcPr>
          <w:p>
            <w:pPr>
              <w:jc w:val="center"/>
              <w:rPr>
                <w:color w:val="auto"/>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3</w:t>
            </w:r>
          </w:p>
        </w:tc>
        <w:tc>
          <w:tcPr>
            <w:tcW w:w="1217" w:type="dxa"/>
            <w:noWrap w:val="0"/>
            <w:vAlign w:val="center"/>
          </w:tcPr>
          <w:p>
            <w:pPr>
              <w:jc w:val="center"/>
              <w:rPr>
                <w:color w:val="auto"/>
                <w:highlight w:val="none"/>
              </w:rPr>
            </w:pPr>
          </w:p>
        </w:tc>
        <w:tc>
          <w:tcPr>
            <w:tcW w:w="1217" w:type="dxa"/>
            <w:noWrap w:val="0"/>
            <w:vAlign w:val="center"/>
          </w:tcPr>
          <w:p>
            <w:pPr>
              <w:adjustRightInd w:val="0"/>
              <w:snapToGrid w:val="0"/>
              <w:ind w:right="11"/>
              <w:rPr>
                <w:rFonts w:ascii="宋体" w:hAnsi="宋体"/>
                <w:b/>
                <w:bCs/>
                <w:color w:val="auto"/>
                <w:sz w:val="24"/>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4</w:t>
            </w:r>
          </w:p>
        </w:tc>
        <w:tc>
          <w:tcPr>
            <w:tcW w:w="1217" w:type="dxa"/>
            <w:noWrap w:val="0"/>
            <w:vAlign w:val="center"/>
          </w:tcPr>
          <w:p>
            <w:pPr>
              <w:jc w:val="center"/>
              <w:rPr>
                <w:color w:val="auto"/>
                <w:szCs w:val="21"/>
                <w:highlight w:val="none"/>
              </w:rPr>
            </w:pPr>
          </w:p>
        </w:tc>
        <w:tc>
          <w:tcPr>
            <w:tcW w:w="1217" w:type="dxa"/>
            <w:noWrap w:val="0"/>
            <w:vAlign w:val="center"/>
          </w:tcPr>
          <w:p>
            <w:pPr>
              <w:adjustRightInd w:val="0"/>
              <w:snapToGrid w:val="0"/>
              <w:ind w:right="11"/>
              <w:rPr>
                <w:rFonts w:ascii="宋体" w:hAnsi="宋体"/>
                <w:b/>
                <w:bCs/>
                <w:color w:val="auto"/>
                <w:sz w:val="24"/>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5</w:t>
            </w:r>
          </w:p>
        </w:tc>
        <w:tc>
          <w:tcPr>
            <w:tcW w:w="1217" w:type="dxa"/>
            <w:noWrap w:val="0"/>
            <w:vAlign w:val="center"/>
          </w:tcPr>
          <w:p>
            <w:pPr>
              <w:jc w:val="center"/>
              <w:rPr>
                <w:color w:val="auto"/>
                <w:highlight w:val="none"/>
              </w:rPr>
            </w:pPr>
          </w:p>
        </w:tc>
        <w:tc>
          <w:tcPr>
            <w:tcW w:w="1217" w:type="dxa"/>
            <w:noWrap w:val="0"/>
            <w:vAlign w:val="center"/>
          </w:tcPr>
          <w:p>
            <w:pPr>
              <w:adjustRightInd w:val="0"/>
              <w:snapToGrid w:val="0"/>
              <w:ind w:right="11"/>
              <w:rPr>
                <w:rFonts w:ascii="宋体" w:hAnsi="宋体"/>
                <w:b/>
                <w:bCs/>
                <w:color w:val="auto"/>
                <w:sz w:val="24"/>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Cs/>
                <w:color w:val="auto"/>
                <w:sz w:val="24"/>
                <w:highlight w:val="none"/>
              </w:rPr>
            </w:pPr>
            <w:r>
              <w:rPr>
                <w:rFonts w:hint="eastAsia" w:ascii="宋体" w:hAnsi="宋体"/>
                <w:b/>
                <w:bCs/>
                <w:color w:val="auto"/>
                <w:sz w:val="24"/>
                <w:highlight w:val="none"/>
              </w:rPr>
              <w:t>6</w:t>
            </w:r>
          </w:p>
        </w:tc>
        <w:tc>
          <w:tcPr>
            <w:tcW w:w="1217" w:type="dxa"/>
            <w:noWrap w:val="0"/>
            <w:vAlign w:val="center"/>
          </w:tcPr>
          <w:p>
            <w:pPr>
              <w:jc w:val="center"/>
              <w:rPr>
                <w:color w:val="auto"/>
                <w:szCs w:val="21"/>
                <w:highlight w:val="none"/>
              </w:rPr>
            </w:pPr>
          </w:p>
        </w:tc>
        <w:tc>
          <w:tcPr>
            <w:tcW w:w="1217" w:type="dxa"/>
            <w:noWrap w:val="0"/>
            <w:vAlign w:val="center"/>
          </w:tcPr>
          <w:p>
            <w:pPr>
              <w:adjustRightInd w:val="0"/>
              <w:snapToGrid w:val="0"/>
              <w:ind w:right="11"/>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Cs/>
                <w:color w:val="auto"/>
                <w:sz w:val="24"/>
                <w:highlight w:val="none"/>
              </w:rPr>
            </w:pPr>
            <w:r>
              <w:rPr>
                <w:rFonts w:hint="eastAsia" w:ascii="宋体" w:hAnsi="宋体"/>
                <w:b/>
                <w:bCs/>
                <w:color w:val="auto"/>
                <w:sz w:val="24"/>
                <w:highlight w:val="none"/>
              </w:rPr>
              <w:t>7</w:t>
            </w:r>
          </w:p>
        </w:tc>
        <w:tc>
          <w:tcPr>
            <w:tcW w:w="1217" w:type="dxa"/>
            <w:noWrap w:val="0"/>
            <w:vAlign w:val="center"/>
          </w:tcPr>
          <w:p>
            <w:pPr>
              <w:jc w:val="center"/>
              <w:rPr>
                <w:color w:val="auto"/>
                <w:highlight w:val="none"/>
              </w:rPr>
            </w:pPr>
          </w:p>
        </w:tc>
        <w:tc>
          <w:tcPr>
            <w:tcW w:w="1217" w:type="dxa"/>
            <w:noWrap w:val="0"/>
            <w:vAlign w:val="center"/>
          </w:tcPr>
          <w:p>
            <w:pPr>
              <w:adjustRightInd w:val="0"/>
              <w:snapToGrid w:val="0"/>
              <w:ind w:right="11"/>
              <w:rPr>
                <w:rFonts w:ascii="宋体" w:hAnsi="宋体"/>
                <w:bCs/>
                <w:color w:val="auto"/>
                <w:sz w:val="24"/>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8</w:t>
            </w:r>
          </w:p>
        </w:tc>
        <w:tc>
          <w:tcPr>
            <w:tcW w:w="1217" w:type="dxa"/>
            <w:noWrap w:val="0"/>
            <w:vAlign w:val="center"/>
          </w:tcPr>
          <w:p>
            <w:pPr>
              <w:jc w:val="center"/>
              <w:rPr>
                <w:color w:val="auto"/>
                <w:highlight w:val="none"/>
              </w:rPr>
            </w:pPr>
          </w:p>
        </w:tc>
        <w:tc>
          <w:tcPr>
            <w:tcW w:w="1217" w:type="dxa"/>
            <w:noWrap w:val="0"/>
            <w:vAlign w:val="center"/>
          </w:tcPr>
          <w:p>
            <w:pPr>
              <w:adjustRightInd w:val="0"/>
              <w:snapToGrid w:val="0"/>
              <w:ind w:right="11"/>
              <w:rPr>
                <w:rFonts w:ascii="宋体" w:hAnsi="宋体"/>
                <w:bCs/>
                <w:color w:val="auto"/>
                <w:sz w:val="24"/>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9</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0</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1</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2</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3</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4</w:t>
            </w:r>
          </w:p>
        </w:tc>
        <w:tc>
          <w:tcPr>
            <w:tcW w:w="1217" w:type="dxa"/>
            <w:noWrap w:val="0"/>
            <w:vAlign w:val="center"/>
          </w:tcPr>
          <w:p>
            <w:pPr>
              <w:jc w:val="center"/>
              <w:rPr>
                <w:color w:val="auto"/>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5</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6</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7</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5" w:type="dxa"/>
            <w:gridSpan w:val="7"/>
            <w:noWrap w:val="0"/>
            <w:vAlign w:val="top"/>
          </w:tcPr>
          <w:p>
            <w:pPr>
              <w:adjustRightInd w:val="0"/>
              <w:snapToGrid w:val="0"/>
              <w:ind w:right="11" w:firstLine="426" w:firstLineChars="177"/>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p>
        </w:tc>
        <w:tc>
          <w:tcPr>
            <w:tcW w:w="1217" w:type="dxa"/>
            <w:noWrap w:val="0"/>
            <w:vAlign w:val="center"/>
          </w:tcPr>
          <w:p>
            <w:pPr>
              <w:jc w:val="center"/>
              <w:rPr>
                <w:color w:val="auto"/>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2</w:t>
            </w:r>
          </w:p>
        </w:tc>
        <w:tc>
          <w:tcPr>
            <w:tcW w:w="1217" w:type="dxa"/>
            <w:noWrap w:val="0"/>
            <w:vAlign w:val="center"/>
          </w:tcPr>
          <w:p>
            <w:pPr>
              <w:jc w:val="center"/>
              <w:rPr>
                <w:color w:val="auto"/>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3</w:t>
            </w: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4</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5</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Cs/>
                <w:color w:val="auto"/>
                <w:sz w:val="24"/>
                <w:highlight w:val="none"/>
              </w:rPr>
            </w:pPr>
            <w:r>
              <w:rPr>
                <w:rFonts w:hint="eastAsia" w:ascii="宋体" w:hAnsi="宋体"/>
                <w:b/>
                <w:bCs/>
                <w:color w:val="auto"/>
                <w:sz w:val="24"/>
                <w:highlight w:val="none"/>
              </w:rPr>
              <w:t>6</w:t>
            </w: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Cs/>
                <w:color w:val="auto"/>
                <w:sz w:val="24"/>
                <w:highlight w:val="none"/>
              </w:rPr>
            </w:pPr>
            <w:r>
              <w:rPr>
                <w:rFonts w:hint="eastAsia" w:ascii="宋体" w:hAnsi="宋体"/>
                <w:b/>
                <w:bCs/>
                <w:color w:val="auto"/>
                <w:sz w:val="24"/>
                <w:highlight w:val="none"/>
              </w:rPr>
              <w:t>7</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8</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9</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0</w:t>
            </w: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1</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5" w:type="dxa"/>
            <w:gridSpan w:val="7"/>
            <w:noWrap w:val="0"/>
            <w:vAlign w:val="top"/>
          </w:tcPr>
          <w:p>
            <w:pPr>
              <w:adjustRightInd w:val="0"/>
              <w:snapToGrid w:val="0"/>
              <w:ind w:right="11" w:firstLine="426" w:firstLineChars="177"/>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p>
        </w:tc>
        <w:tc>
          <w:tcPr>
            <w:tcW w:w="1217" w:type="dxa"/>
            <w:noWrap w:val="0"/>
            <w:vAlign w:val="center"/>
          </w:tcPr>
          <w:p>
            <w:pPr>
              <w:jc w:val="center"/>
              <w:rPr>
                <w:color w:val="auto"/>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2</w:t>
            </w:r>
          </w:p>
        </w:tc>
        <w:tc>
          <w:tcPr>
            <w:tcW w:w="1217" w:type="dxa"/>
            <w:noWrap w:val="0"/>
            <w:vAlign w:val="center"/>
          </w:tcPr>
          <w:p>
            <w:pPr>
              <w:jc w:val="center"/>
              <w:rPr>
                <w:color w:val="auto"/>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3</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4</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5</w:t>
            </w: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Cs/>
                <w:color w:val="auto"/>
                <w:sz w:val="24"/>
                <w:highlight w:val="none"/>
              </w:rPr>
            </w:pPr>
            <w:r>
              <w:rPr>
                <w:rFonts w:hint="eastAsia" w:ascii="宋体" w:hAnsi="宋体"/>
                <w:b/>
                <w:bCs/>
                <w:color w:val="auto"/>
                <w:sz w:val="24"/>
                <w:highlight w:val="none"/>
              </w:rPr>
              <w:t>6</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Cs/>
                <w:color w:val="auto"/>
                <w:sz w:val="24"/>
                <w:highlight w:val="none"/>
              </w:rPr>
            </w:pPr>
            <w:r>
              <w:rPr>
                <w:rFonts w:hint="eastAsia" w:ascii="宋体" w:hAnsi="宋体"/>
                <w:b/>
                <w:bCs/>
                <w:color w:val="auto"/>
                <w:sz w:val="24"/>
                <w:highlight w:val="none"/>
              </w:rPr>
              <w:t>7</w:t>
            </w: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8</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9</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0</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1</w:t>
            </w: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2</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3</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5" w:type="dxa"/>
            <w:gridSpan w:val="7"/>
            <w:noWrap w:val="0"/>
            <w:vAlign w:val="top"/>
          </w:tcPr>
          <w:p>
            <w:pPr>
              <w:adjustRightInd w:val="0"/>
              <w:snapToGrid w:val="0"/>
              <w:ind w:right="11" w:firstLine="426" w:firstLineChars="177"/>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p>
        </w:tc>
        <w:tc>
          <w:tcPr>
            <w:tcW w:w="1217" w:type="dxa"/>
            <w:noWrap w:val="0"/>
            <w:vAlign w:val="center"/>
          </w:tcPr>
          <w:p>
            <w:pPr>
              <w:jc w:val="center"/>
              <w:rPr>
                <w:color w:val="auto"/>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2</w:t>
            </w:r>
          </w:p>
        </w:tc>
        <w:tc>
          <w:tcPr>
            <w:tcW w:w="1217" w:type="dxa"/>
            <w:noWrap w:val="0"/>
            <w:vAlign w:val="center"/>
          </w:tcPr>
          <w:p>
            <w:pPr>
              <w:jc w:val="center"/>
              <w:rPr>
                <w:color w:val="auto"/>
                <w:highlight w:val="none"/>
              </w:rPr>
            </w:pP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3</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4</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5</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Cs/>
                <w:color w:val="auto"/>
                <w:sz w:val="24"/>
                <w:highlight w:val="none"/>
              </w:rPr>
            </w:pPr>
            <w:r>
              <w:rPr>
                <w:rFonts w:hint="eastAsia" w:ascii="宋体" w:hAnsi="宋体"/>
                <w:b/>
                <w:bCs/>
                <w:color w:val="auto"/>
                <w:sz w:val="24"/>
                <w:highlight w:val="none"/>
              </w:rPr>
              <w:t>6</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Cs/>
                <w:color w:val="auto"/>
                <w:sz w:val="24"/>
                <w:highlight w:val="none"/>
              </w:rPr>
            </w:pPr>
            <w:r>
              <w:rPr>
                <w:rFonts w:hint="eastAsia" w:ascii="宋体" w:hAnsi="宋体"/>
                <w:b/>
                <w:bCs/>
                <w:color w:val="auto"/>
                <w:sz w:val="24"/>
                <w:highlight w:val="none"/>
              </w:rPr>
              <w:t>7</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8</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9</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0</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1</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2</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3</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noWrap w:val="0"/>
            <w:vAlign w:val="center"/>
          </w:tcPr>
          <w:p>
            <w:pPr>
              <w:adjustRightInd w:val="0"/>
              <w:snapToGrid w:val="0"/>
              <w:ind w:right="11" w:firstLine="426" w:firstLineChars="177"/>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4</w:t>
            </w:r>
          </w:p>
        </w:tc>
        <w:tc>
          <w:tcPr>
            <w:tcW w:w="1217" w:type="dxa"/>
            <w:noWrap w:val="0"/>
            <w:vAlign w:val="center"/>
          </w:tcPr>
          <w:p>
            <w:pPr>
              <w:jc w:val="center"/>
              <w:rPr>
                <w:color w:val="auto"/>
                <w:szCs w:val="21"/>
                <w:highlight w:val="none"/>
              </w:rPr>
            </w:pPr>
          </w:p>
        </w:tc>
        <w:tc>
          <w:tcPr>
            <w:tcW w:w="1217" w:type="dxa"/>
            <w:noWrap w:val="0"/>
            <w:vAlign w:val="center"/>
          </w:tcPr>
          <w:p>
            <w:pPr>
              <w:jc w:val="center"/>
              <w:rPr>
                <w:color w:val="auto"/>
                <w:highlight w:val="none"/>
              </w:rPr>
            </w:pPr>
          </w:p>
        </w:tc>
        <w:tc>
          <w:tcPr>
            <w:tcW w:w="1217"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218" w:type="dxa"/>
            <w:noWrap w:val="0"/>
            <w:vAlign w:val="center"/>
          </w:tcPr>
          <w:p>
            <w:pPr>
              <w:jc w:val="center"/>
              <w:rPr>
                <w:color w:val="auto"/>
                <w:highlight w:val="none"/>
              </w:rPr>
            </w:pPr>
          </w:p>
        </w:tc>
        <w:tc>
          <w:tcPr>
            <w:tcW w:w="1451" w:type="dxa"/>
            <w:noWrap w:val="0"/>
            <w:vAlign w:val="center"/>
          </w:tcPr>
          <w:p>
            <w:pPr>
              <w:jc w:val="center"/>
              <w:rPr>
                <w:color w:val="auto"/>
                <w:highlight w:val="none"/>
              </w:rPr>
            </w:pPr>
          </w:p>
        </w:tc>
      </w:tr>
    </w:tbl>
    <w:p>
      <w:pPr>
        <w:adjustRightInd w:val="0"/>
        <w:snapToGrid w:val="0"/>
        <w:spacing w:line="440" w:lineRule="exact"/>
        <w:ind w:right="11" w:firstLine="371" w:firstLineChars="177"/>
        <w:rPr>
          <w:color w:val="auto"/>
          <w:highlight w:val="none"/>
        </w:rPr>
        <w:sectPr>
          <w:pgSz w:w="12240" w:h="15840"/>
          <w:pgMar w:top="1378" w:right="1678" w:bottom="918" w:left="1701" w:header="0" w:footer="720" w:gutter="0"/>
          <w:pgNumType w:fmt="decimal"/>
          <w:cols w:space="720" w:num="1"/>
          <w:docGrid w:linePitch="286" w:charSpace="0"/>
        </w:sectPr>
      </w:pPr>
      <w:r>
        <w:rPr>
          <w:rFonts w:hint="eastAsia"/>
          <w:color w:val="auto"/>
          <w:highlight w:val="none"/>
        </w:rPr>
        <w:t>注：拟投入人员为本项目配备相应专业资质标准的监理工程师的最低人员数量</w:t>
      </w:r>
    </w:p>
    <w:p>
      <w:pPr>
        <w:spacing w:line="360" w:lineRule="auto"/>
        <w:rPr>
          <w:rFonts w:ascii="Arial" w:hAnsi="Arial" w:eastAsia="黑体"/>
          <w:b/>
          <w:color w:val="auto"/>
          <w:sz w:val="32"/>
          <w:szCs w:val="20"/>
          <w:highlight w:val="none"/>
        </w:rPr>
      </w:pPr>
      <w:r>
        <w:rPr>
          <w:rFonts w:hint="eastAsia" w:ascii="Arial" w:hAnsi="Arial" w:eastAsia="黑体"/>
          <w:b/>
          <w:color w:val="auto"/>
          <w:sz w:val="32"/>
          <w:szCs w:val="20"/>
          <w:highlight w:val="none"/>
        </w:rPr>
        <w:t>附件9：拟投入本项目的主要试验检测仪器设备表</w:t>
      </w:r>
    </w:p>
    <w:p>
      <w:pPr>
        <w:rPr>
          <w:color w:val="auto"/>
          <w:highlight w:val="none"/>
        </w:rPr>
      </w:pPr>
    </w:p>
    <w:bookmarkEnd w:id="0"/>
    <w:bookmarkEnd w:id="1"/>
    <w:bookmarkEnd w:id="2"/>
    <w:bookmarkEnd w:id="59"/>
    <w:p>
      <w:pPr>
        <w:pStyle w:val="26"/>
        <w:ind w:firstLine="0"/>
        <w:rPr>
          <w:rFonts w:hint="eastAsia"/>
          <w:color w:val="auto"/>
          <w:highlight w:val="none"/>
        </w:rPr>
      </w:pPr>
    </w:p>
    <w:bookmarkEnd w:id="60"/>
    <w:sectPr>
      <w:headerReference r:id="rId12" w:type="default"/>
      <w:footerReference r:id="rId13" w:type="default"/>
      <w:pgSz w:w="11906" w:h="16838"/>
      <w:pgMar w:top="1417" w:right="1417" w:bottom="1417" w:left="1417" w:header="85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2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hqJ1E0QEAAKQDAAAOAAAAAAAAAAEAIAAAACIB&#10;AABkcnMvZTJvRG9jLnhtbFBLBQYAAAAABgAGAFkBAABlBQ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1</w:t>
    </w:r>
    <w:r>
      <w:rPr>
        <w:lang w:val="zh-CN"/>
      </w:rP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54</w:t>
                          </w:r>
                          <w:r>
                            <w:rPr>
                              <w:rFonts w:hint="eastAsia"/>
                              <w:lang w:eastAsia="zh-CN"/>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&#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VRR+7TAQAApAMAAA4AAAAAAAAAAQAgAAAA&#10;IgEAAGRycy9lMm9Eb2MueG1sUEsFBgAAAAAGAAYAWQEAAGcFA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54</w:t>
                    </w:r>
                    <w:r>
                      <w:rPr>
                        <w:rFonts w:hint="eastAsia"/>
                        <w:lang w:eastAsia="zh-CN"/>
                      </w:rPr>
                      <w:fldChar w:fldCharType="end"/>
                    </w:r>
                  </w:p>
                </w:txbxContent>
              </v:textbox>
            </v:shape>
          </w:pict>
        </mc:Fallback>
      </mc:AlternateContent>
    </w:r>
  </w:p>
  <w:p>
    <w:pPr>
      <w:pStyle w:val="17"/>
      <w:jc w:val="both"/>
      <w:rPr>
        <w:rStyle w:val="3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&#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bMPLXtIBAACkAwAADgAAAAAAAAABACAAAAAi&#10;AQAAZHJzL2Uyb0RvYy54bWxQSwUGAAAAAAYABgBZAQAAZgU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We15LTAQAApA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ceyWGRz46eeP068/&#10;p9/fyfJt0qf3UGPao8fEOHxwA27NfA94mWgPMpj0RUIE46ju8ayuGCLh6VG1rKoSQxxjs4P4xdNz&#10;HyDeC2dIMhoacHxZVXb4CHFMnVNSNevulNZ5hNqSHlGvq/fX+cU5hOjaYpHEYuw2WXHYDhO1rWuP&#10;yKzHHWioxZWnRD9YlDity2yE2djOxt4HtevyPqVWwN/uI7aTu0wVRtipMA4v85wWLW3Hv37Oevq5&#10;1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We15LTAQAApAMAAA4AAAAAAAAAAQAgAAAA&#10;IgEAAGRycy9lMm9Eb2MueG1sUEsFBgAAAAAGAAYAWQEAAGcFA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rPr>
        <w:rFonts w:hint="eastAsia"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right"/>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pPr>
                      <w:pStyle w:val="17"/>
                      <w:jc w:val="right"/>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sz w:val="22"/>
      </w:rPr>
    </w:pPr>
    <w:r>
      <w:rPr>
        <w:rFonts w:hint="eastAsia"/>
        <w:sz w:val="22"/>
      </w:rPr>
      <w:t>庆盛科创教育核心区工程起步区EPC部分市政工程监理（第一标段）合同文件</w:t>
    </w:r>
  </w:p>
  <w:p>
    <w:pPr>
      <w:pStyle w:val="18"/>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77FC0"/>
    <w:multiLevelType w:val="singleLevel"/>
    <w:tmpl w:val="4C177FC0"/>
    <w:lvl w:ilvl="0" w:tentative="0">
      <w:start w:val="5"/>
      <w:numFmt w:val="decimal"/>
      <w:suff w:val="nothing"/>
      <w:lvlText w:val="%1）"/>
      <w:lvlJc w:val="left"/>
    </w:lvl>
  </w:abstractNum>
  <w:abstractNum w:abstractNumId="1">
    <w:nsid w:val="70CE6A0A"/>
    <w:multiLevelType w:val="multilevel"/>
    <w:tmpl w:val="70CE6A0A"/>
    <w:lvl w:ilvl="0" w:tentative="0">
      <w:start w:val="1"/>
      <w:numFmt w:val="japaneseCounting"/>
      <w:lvlText w:val="第%1条"/>
      <w:lvlJc w:val="left"/>
      <w:pPr>
        <w:tabs>
          <w:tab w:val="left" w:pos="1680"/>
        </w:tabs>
        <w:ind w:left="1680" w:hanging="12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NmQzNzcwZjM1NzZhYTJiOWRhNTU0Y2IwOTA0NDEifQ=="/>
  </w:docVars>
  <w:rsids>
    <w:rsidRoot w:val="00172A27"/>
    <w:rsid w:val="00013A10"/>
    <w:rsid w:val="000449B2"/>
    <w:rsid w:val="00083F25"/>
    <w:rsid w:val="00137C52"/>
    <w:rsid w:val="00155351"/>
    <w:rsid w:val="00176EF3"/>
    <w:rsid w:val="00204953"/>
    <w:rsid w:val="002E1F45"/>
    <w:rsid w:val="004D47AF"/>
    <w:rsid w:val="005066E7"/>
    <w:rsid w:val="00526E3F"/>
    <w:rsid w:val="00550D8B"/>
    <w:rsid w:val="0055488C"/>
    <w:rsid w:val="0066512E"/>
    <w:rsid w:val="00876EF0"/>
    <w:rsid w:val="009662D3"/>
    <w:rsid w:val="009B701E"/>
    <w:rsid w:val="009E674E"/>
    <w:rsid w:val="00A20FED"/>
    <w:rsid w:val="00A81F78"/>
    <w:rsid w:val="00AE223D"/>
    <w:rsid w:val="00C3530A"/>
    <w:rsid w:val="00C53F7D"/>
    <w:rsid w:val="00C75906"/>
    <w:rsid w:val="00CB21AA"/>
    <w:rsid w:val="00CC1EA9"/>
    <w:rsid w:val="00D0193C"/>
    <w:rsid w:val="00E967B8"/>
    <w:rsid w:val="00EA08A9"/>
    <w:rsid w:val="0112363F"/>
    <w:rsid w:val="01365D50"/>
    <w:rsid w:val="017A6782"/>
    <w:rsid w:val="01852063"/>
    <w:rsid w:val="01A77CAD"/>
    <w:rsid w:val="01EB0620"/>
    <w:rsid w:val="023A109F"/>
    <w:rsid w:val="02676E78"/>
    <w:rsid w:val="02677DF4"/>
    <w:rsid w:val="02D434EB"/>
    <w:rsid w:val="02DD24EA"/>
    <w:rsid w:val="02EF2B96"/>
    <w:rsid w:val="02FA47A0"/>
    <w:rsid w:val="03165668"/>
    <w:rsid w:val="03190D01"/>
    <w:rsid w:val="03422183"/>
    <w:rsid w:val="034F70FE"/>
    <w:rsid w:val="03A8028B"/>
    <w:rsid w:val="03F760DB"/>
    <w:rsid w:val="04162219"/>
    <w:rsid w:val="04230B8E"/>
    <w:rsid w:val="044A5A3F"/>
    <w:rsid w:val="047C774D"/>
    <w:rsid w:val="04A86A48"/>
    <w:rsid w:val="04C46F73"/>
    <w:rsid w:val="0539412C"/>
    <w:rsid w:val="053E7285"/>
    <w:rsid w:val="053F5D39"/>
    <w:rsid w:val="05473124"/>
    <w:rsid w:val="05AA5B7C"/>
    <w:rsid w:val="05AD4D46"/>
    <w:rsid w:val="05BD401A"/>
    <w:rsid w:val="06012E5D"/>
    <w:rsid w:val="060703FF"/>
    <w:rsid w:val="061F7725"/>
    <w:rsid w:val="07047EE9"/>
    <w:rsid w:val="07083EDE"/>
    <w:rsid w:val="0748600C"/>
    <w:rsid w:val="07607412"/>
    <w:rsid w:val="07BD1659"/>
    <w:rsid w:val="07DD53CF"/>
    <w:rsid w:val="07E2102F"/>
    <w:rsid w:val="07EC2917"/>
    <w:rsid w:val="082B6A12"/>
    <w:rsid w:val="08362C99"/>
    <w:rsid w:val="083A5C9F"/>
    <w:rsid w:val="086954FE"/>
    <w:rsid w:val="088F398E"/>
    <w:rsid w:val="089A4646"/>
    <w:rsid w:val="08AD129B"/>
    <w:rsid w:val="08BA4538"/>
    <w:rsid w:val="08C649B7"/>
    <w:rsid w:val="08EB26F0"/>
    <w:rsid w:val="09BA2AC6"/>
    <w:rsid w:val="09C000DC"/>
    <w:rsid w:val="0A126E16"/>
    <w:rsid w:val="0A5D4B22"/>
    <w:rsid w:val="0A7360F9"/>
    <w:rsid w:val="0A8049B0"/>
    <w:rsid w:val="0AA84E82"/>
    <w:rsid w:val="0ADB1806"/>
    <w:rsid w:val="0B325009"/>
    <w:rsid w:val="0BA15CEB"/>
    <w:rsid w:val="0BBE02AA"/>
    <w:rsid w:val="0C8F653A"/>
    <w:rsid w:val="0CBD49D5"/>
    <w:rsid w:val="0D481159"/>
    <w:rsid w:val="0DD67829"/>
    <w:rsid w:val="0E0E6B16"/>
    <w:rsid w:val="0E867C9B"/>
    <w:rsid w:val="0F2F3F22"/>
    <w:rsid w:val="0FB634D2"/>
    <w:rsid w:val="0FC72F7A"/>
    <w:rsid w:val="10201068"/>
    <w:rsid w:val="1047645C"/>
    <w:rsid w:val="10574094"/>
    <w:rsid w:val="110A4FF5"/>
    <w:rsid w:val="115D7B1C"/>
    <w:rsid w:val="11672E0D"/>
    <w:rsid w:val="11F91782"/>
    <w:rsid w:val="11FD587B"/>
    <w:rsid w:val="12053ABF"/>
    <w:rsid w:val="125C6D9C"/>
    <w:rsid w:val="127304DC"/>
    <w:rsid w:val="12C665B5"/>
    <w:rsid w:val="12CF7EDF"/>
    <w:rsid w:val="12F708E7"/>
    <w:rsid w:val="1303728B"/>
    <w:rsid w:val="13192001"/>
    <w:rsid w:val="13235AD8"/>
    <w:rsid w:val="13281774"/>
    <w:rsid w:val="132D5084"/>
    <w:rsid w:val="13913E6E"/>
    <w:rsid w:val="139C21E5"/>
    <w:rsid w:val="13C071AA"/>
    <w:rsid w:val="13D15AE6"/>
    <w:rsid w:val="13FF4746"/>
    <w:rsid w:val="143516C6"/>
    <w:rsid w:val="14495172"/>
    <w:rsid w:val="14D80BF1"/>
    <w:rsid w:val="14F63782"/>
    <w:rsid w:val="15254107"/>
    <w:rsid w:val="152B0198"/>
    <w:rsid w:val="152F4368"/>
    <w:rsid w:val="15365EB8"/>
    <w:rsid w:val="1554562E"/>
    <w:rsid w:val="15CD26FA"/>
    <w:rsid w:val="15D949C3"/>
    <w:rsid w:val="16603ABE"/>
    <w:rsid w:val="173A1D66"/>
    <w:rsid w:val="17AA4179"/>
    <w:rsid w:val="17B15508"/>
    <w:rsid w:val="17DF02C7"/>
    <w:rsid w:val="17E55A4F"/>
    <w:rsid w:val="18875CBA"/>
    <w:rsid w:val="18C37341"/>
    <w:rsid w:val="18CB37DE"/>
    <w:rsid w:val="193865AF"/>
    <w:rsid w:val="195843D9"/>
    <w:rsid w:val="196A1E12"/>
    <w:rsid w:val="1A101FBE"/>
    <w:rsid w:val="1A1C0781"/>
    <w:rsid w:val="1AD4754D"/>
    <w:rsid w:val="1ADB2A1E"/>
    <w:rsid w:val="1B2E620F"/>
    <w:rsid w:val="1C2C0D16"/>
    <w:rsid w:val="1C362C5E"/>
    <w:rsid w:val="1C3B0747"/>
    <w:rsid w:val="1C6854EE"/>
    <w:rsid w:val="1C81105C"/>
    <w:rsid w:val="1D9E652E"/>
    <w:rsid w:val="1DBF3D33"/>
    <w:rsid w:val="1E0210A5"/>
    <w:rsid w:val="1E472722"/>
    <w:rsid w:val="1E592A83"/>
    <w:rsid w:val="1E6A4DD8"/>
    <w:rsid w:val="1EAA4A5F"/>
    <w:rsid w:val="1EC73863"/>
    <w:rsid w:val="1EEC4F2D"/>
    <w:rsid w:val="1F2F041A"/>
    <w:rsid w:val="1F512658"/>
    <w:rsid w:val="1F6F5F66"/>
    <w:rsid w:val="1F86727A"/>
    <w:rsid w:val="205F3F11"/>
    <w:rsid w:val="20A70FDF"/>
    <w:rsid w:val="20C5378C"/>
    <w:rsid w:val="20DB6AE1"/>
    <w:rsid w:val="20F87D04"/>
    <w:rsid w:val="21020B82"/>
    <w:rsid w:val="216655B5"/>
    <w:rsid w:val="21E75355"/>
    <w:rsid w:val="22E51EE0"/>
    <w:rsid w:val="22ED0C02"/>
    <w:rsid w:val="22ED1FA3"/>
    <w:rsid w:val="22F246C3"/>
    <w:rsid w:val="22FA409F"/>
    <w:rsid w:val="22FF1E31"/>
    <w:rsid w:val="23152DEF"/>
    <w:rsid w:val="231A796C"/>
    <w:rsid w:val="231E4C52"/>
    <w:rsid w:val="23897441"/>
    <w:rsid w:val="23A95BC4"/>
    <w:rsid w:val="24010D8A"/>
    <w:rsid w:val="24472D17"/>
    <w:rsid w:val="244836D4"/>
    <w:rsid w:val="24B46637"/>
    <w:rsid w:val="255F159E"/>
    <w:rsid w:val="262B780B"/>
    <w:rsid w:val="26940F3D"/>
    <w:rsid w:val="26977FBF"/>
    <w:rsid w:val="26FA6DB3"/>
    <w:rsid w:val="27082C6B"/>
    <w:rsid w:val="27107BA2"/>
    <w:rsid w:val="2722165B"/>
    <w:rsid w:val="273E41BE"/>
    <w:rsid w:val="273F0268"/>
    <w:rsid w:val="277D673C"/>
    <w:rsid w:val="27C03E21"/>
    <w:rsid w:val="286052DB"/>
    <w:rsid w:val="286A4149"/>
    <w:rsid w:val="287E3887"/>
    <w:rsid w:val="28B96408"/>
    <w:rsid w:val="28FA2D82"/>
    <w:rsid w:val="29681B7F"/>
    <w:rsid w:val="2A3E51E1"/>
    <w:rsid w:val="2A506F32"/>
    <w:rsid w:val="2AA93B65"/>
    <w:rsid w:val="2AD642EE"/>
    <w:rsid w:val="2AE86441"/>
    <w:rsid w:val="2AF432BF"/>
    <w:rsid w:val="2B2F6A18"/>
    <w:rsid w:val="2B936FA7"/>
    <w:rsid w:val="2BCE576A"/>
    <w:rsid w:val="2BDF21EC"/>
    <w:rsid w:val="2BEE0681"/>
    <w:rsid w:val="2C047114"/>
    <w:rsid w:val="2C252874"/>
    <w:rsid w:val="2C8D015F"/>
    <w:rsid w:val="2C8D71C3"/>
    <w:rsid w:val="2C8F0850"/>
    <w:rsid w:val="2D1E54F1"/>
    <w:rsid w:val="2D80574F"/>
    <w:rsid w:val="2DAE619D"/>
    <w:rsid w:val="2DF5111C"/>
    <w:rsid w:val="2E3E3386"/>
    <w:rsid w:val="2E6348A5"/>
    <w:rsid w:val="2EA239F5"/>
    <w:rsid w:val="2F5E78CC"/>
    <w:rsid w:val="2FA84FEB"/>
    <w:rsid w:val="2FC4621B"/>
    <w:rsid w:val="2FCE2CA3"/>
    <w:rsid w:val="300B46BB"/>
    <w:rsid w:val="30232FED"/>
    <w:rsid w:val="304B178C"/>
    <w:rsid w:val="30640F12"/>
    <w:rsid w:val="308A7BE3"/>
    <w:rsid w:val="309931D4"/>
    <w:rsid w:val="31137E7A"/>
    <w:rsid w:val="312A76E2"/>
    <w:rsid w:val="31643B7B"/>
    <w:rsid w:val="316A1B22"/>
    <w:rsid w:val="31B65B3B"/>
    <w:rsid w:val="321C5BE9"/>
    <w:rsid w:val="32713DBA"/>
    <w:rsid w:val="32951856"/>
    <w:rsid w:val="32E52CD7"/>
    <w:rsid w:val="33221CBC"/>
    <w:rsid w:val="33463B3D"/>
    <w:rsid w:val="334E2321"/>
    <w:rsid w:val="334E4699"/>
    <w:rsid w:val="337F7033"/>
    <w:rsid w:val="338513C0"/>
    <w:rsid w:val="33A94EFD"/>
    <w:rsid w:val="33F17B11"/>
    <w:rsid w:val="343F0BA1"/>
    <w:rsid w:val="347E4D0B"/>
    <w:rsid w:val="353510CF"/>
    <w:rsid w:val="36767C1E"/>
    <w:rsid w:val="36A71974"/>
    <w:rsid w:val="36CF074C"/>
    <w:rsid w:val="36D40D7E"/>
    <w:rsid w:val="37040CA5"/>
    <w:rsid w:val="38005FA4"/>
    <w:rsid w:val="38507B66"/>
    <w:rsid w:val="3851088D"/>
    <w:rsid w:val="38585D63"/>
    <w:rsid w:val="38991820"/>
    <w:rsid w:val="38B14F10"/>
    <w:rsid w:val="38E52E8F"/>
    <w:rsid w:val="38FC4BD7"/>
    <w:rsid w:val="390F0DB9"/>
    <w:rsid w:val="39877BCD"/>
    <w:rsid w:val="39A93E39"/>
    <w:rsid w:val="3A42305A"/>
    <w:rsid w:val="3A862AE1"/>
    <w:rsid w:val="3A9362EB"/>
    <w:rsid w:val="3AB40CFA"/>
    <w:rsid w:val="3B6C0554"/>
    <w:rsid w:val="3B8164BF"/>
    <w:rsid w:val="3BC61BDE"/>
    <w:rsid w:val="3BDA0C77"/>
    <w:rsid w:val="3C516AA3"/>
    <w:rsid w:val="3C6572E2"/>
    <w:rsid w:val="3C7B0009"/>
    <w:rsid w:val="3C92735E"/>
    <w:rsid w:val="3D8B44BE"/>
    <w:rsid w:val="3D8D592D"/>
    <w:rsid w:val="3D9A7342"/>
    <w:rsid w:val="3E5C765D"/>
    <w:rsid w:val="3EA20097"/>
    <w:rsid w:val="3ED90A97"/>
    <w:rsid w:val="3F07163E"/>
    <w:rsid w:val="3F601F02"/>
    <w:rsid w:val="3FEA75B4"/>
    <w:rsid w:val="3FFA598D"/>
    <w:rsid w:val="4021583F"/>
    <w:rsid w:val="403D6C7C"/>
    <w:rsid w:val="40695BF5"/>
    <w:rsid w:val="407940EF"/>
    <w:rsid w:val="40873DE4"/>
    <w:rsid w:val="40AE7C9D"/>
    <w:rsid w:val="40CF7FA4"/>
    <w:rsid w:val="414D6516"/>
    <w:rsid w:val="414E3D7C"/>
    <w:rsid w:val="41553A2F"/>
    <w:rsid w:val="41601171"/>
    <w:rsid w:val="418B38FC"/>
    <w:rsid w:val="41901927"/>
    <w:rsid w:val="41CA0102"/>
    <w:rsid w:val="41E719A3"/>
    <w:rsid w:val="41F43F81"/>
    <w:rsid w:val="420A27C4"/>
    <w:rsid w:val="42132798"/>
    <w:rsid w:val="424D3EFC"/>
    <w:rsid w:val="425C5EED"/>
    <w:rsid w:val="42931B9A"/>
    <w:rsid w:val="42975177"/>
    <w:rsid w:val="42B65A39"/>
    <w:rsid w:val="42CB4E20"/>
    <w:rsid w:val="42E44134"/>
    <w:rsid w:val="42FB3958"/>
    <w:rsid w:val="431213C4"/>
    <w:rsid w:val="43381327"/>
    <w:rsid w:val="43411B7F"/>
    <w:rsid w:val="43460B43"/>
    <w:rsid w:val="437D4551"/>
    <w:rsid w:val="43A538C3"/>
    <w:rsid w:val="43E0176F"/>
    <w:rsid w:val="444F1973"/>
    <w:rsid w:val="447010E4"/>
    <w:rsid w:val="44783D85"/>
    <w:rsid w:val="447C0EA3"/>
    <w:rsid w:val="44C97FE5"/>
    <w:rsid w:val="44FE543D"/>
    <w:rsid w:val="45036AF3"/>
    <w:rsid w:val="45121184"/>
    <w:rsid w:val="45132AAF"/>
    <w:rsid w:val="454C6596"/>
    <w:rsid w:val="455C4456"/>
    <w:rsid w:val="45A20B81"/>
    <w:rsid w:val="45A7490F"/>
    <w:rsid w:val="45FD6160"/>
    <w:rsid w:val="461F5F7F"/>
    <w:rsid w:val="462A0ECD"/>
    <w:rsid w:val="465B42B9"/>
    <w:rsid w:val="46714147"/>
    <w:rsid w:val="46C41434"/>
    <w:rsid w:val="46CE613F"/>
    <w:rsid w:val="46E61B95"/>
    <w:rsid w:val="46FA2178"/>
    <w:rsid w:val="47054F47"/>
    <w:rsid w:val="475C1F60"/>
    <w:rsid w:val="477C0C1B"/>
    <w:rsid w:val="477E4E1F"/>
    <w:rsid w:val="47AB13E3"/>
    <w:rsid w:val="47AD249F"/>
    <w:rsid w:val="47D51CCD"/>
    <w:rsid w:val="47F6769A"/>
    <w:rsid w:val="4800694F"/>
    <w:rsid w:val="480D500A"/>
    <w:rsid w:val="482463E2"/>
    <w:rsid w:val="487B29C9"/>
    <w:rsid w:val="489154A8"/>
    <w:rsid w:val="493B023C"/>
    <w:rsid w:val="495D3498"/>
    <w:rsid w:val="49C26C8E"/>
    <w:rsid w:val="49D60664"/>
    <w:rsid w:val="4A4A3043"/>
    <w:rsid w:val="4A921F31"/>
    <w:rsid w:val="4ACB00B3"/>
    <w:rsid w:val="4AFD7E92"/>
    <w:rsid w:val="4B4D62F8"/>
    <w:rsid w:val="4B6459F2"/>
    <w:rsid w:val="4B6A3FDD"/>
    <w:rsid w:val="4BB943B0"/>
    <w:rsid w:val="4BBF7B2F"/>
    <w:rsid w:val="4BCB5FD3"/>
    <w:rsid w:val="4BDD3265"/>
    <w:rsid w:val="4C225B55"/>
    <w:rsid w:val="4C374E6B"/>
    <w:rsid w:val="4C3F0650"/>
    <w:rsid w:val="4C455C43"/>
    <w:rsid w:val="4C486F03"/>
    <w:rsid w:val="4C9755D2"/>
    <w:rsid w:val="4D1C1C6E"/>
    <w:rsid w:val="4D302450"/>
    <w:rsid w:val="4D4C42CA"/>
    <w:rsid w:val="4D5342E7"/>
    <w:rsid w:val="4D71026F"/>
    <w:rsid w:val="4D824C6F"/>
    <w:rsid w:val="4DD3146B"/>
    <w:rsid w:val="4DFF4A01"/>
    <w:rsid w:val="4E14604B"/>
    <w:rsid w:val="4E1C1530"/>
    <w:rsid w:val="4E451F2B"/>
    <w:rsid w:val="4ECF1635"/>
    <w:rsid w:val="4F3F3061"/>
    <w:rsid w:val="50016797"/>
    <w:rsid w:val="500F0A42"/>
    <w:rsid w:val="501778F7"/>
    <w:rsid w:val="504A1A7A"/>
    <w:rsid w:val="507856B1"/>
    <w:rsid w:val="51102F20"/>
    <w:rsid w:val="5194257C"/>
    <w:rsid w:val="52224331"/>
    <w:rsid w:val="522554DD"/>
    <w:rsid w:val="527603B3"/>
    <w:rsid w:val="52AB030A"/>
    <w:rsid w:val="52B633F7"/>
    <w:rsid w:val="532A7941"/>
    <w:rsid w:val="533E45D0"/>
    <w:rsid w:val="5341426F"/>
    <w:rsid w:val="53650979"/>
    <w:rsid w:val="5393166C"/>
    <w:rsid w:val="53CB08E9"/>
    <w:rsid w:val="541F68F8"/>
    <w:rsid w:val="54670BF6"/>
    <w:rsid w:val="54EA61C5"/>
    <w:rsid w:val="552A6651"/>
    <w:rsid w:val="552B797A"/>
    <w:rsid w:val="554021F2"/>
    <w:rsid w:val="5567792A"/>
    <w:rsid w:val="55C65884"/>
    <w:rsid w:val="55CD3BF2"/>
    <w:rsid w:val="55F60E95"/>
    <w:rsid w:val="567571D7"/>
    <w:rsid w:val="56C52BBD"/>
    <w:rsid w:val="56DD1E56"/>
    <w:rsid w:val="570A77E8"/>
    <w:rsid w:val="571552DE"/>
    <w:rsid w:val="57295285"/>
    <w:rsid w:val="573174F0"/>
    <w:rsid w:val="573835C8"/>
    <w:rsid w:val="574277E3"/>
    <w:rsid w:val="57E06350"/>
    <w:rsid w:val="57FA44DA"/>
    <w:rsid w:val="5812545C"/>
    <w:rsid w:val="585711D8"/>
    <w:rsid w:val="58C27AD7"/>
    <w:rsid w:val="58F420D7"/>
    <w:rsid w:val="59075933"/>
    <w:rsid w:val="593908DE"/>
    <w:rsid w:val="594A6647"/>
    <w:rsid w:val="59723DF0"/>
    <w:rsid w:val="5A455C6B"/>
    <w:rsid w:val="5A6160D5"/>
    <w:rsid w:val="5AC861D5"/>
    <w:rsid w:val="5B242EC8"/>
    <w:rsid w:val="5B294982"/>
    <w:rsid w:val="5B353327"/>
    <w:rsid w:val="5B582A86"/>
    <w:rsid w:val="5B72798D"/>
    <w:rsid w:val="5B8A775E"/>
    <w:rsid w:val="5BA7450B"/>
    <w:rsid w:val="5C02145B"/>
    <w:rsid w:val="5C04215F"/>
    <w:rsid w:val="5C126916"/>
    <w:rsid w:val="5C2F6D8E"/>
    <w:rsid w:val="5C400527"/>
    <w:rsid w:val="5CE367D1"/>
    <w:rsid w:val="5CFA65D6"/>
    <w:rsid w:val="5D066D29"/>
    <w:rsid w:val="5D09626E"/>
    <w:rsid w:val="5D1D2F49"/>
    <w:rsid w:val="5D227D46"/>
    <w:rsid w:val="5D460031"/>
    <w:rsid w:val="5D62682C"/>
    <w:rsid w:val="5D70331F"/>
    <w:rsid w:val="5D761F0A"/>
    <w:rsid w:val="5DC03952"/>
    <w:rsid w:val="5E7057E9"/>
    <w:rsid w:val="5E7E20CA"/>
    <w:rsid w:val="5E88481B"/>
    <w:rsid w:val="5E951DB4"/>
    <w:rsid w:val="5ED74DC2"/>
    <w:rsid w:val="5EE4753E"/>
    <w:rsid w:val="5F374769"/>
    <w:rsid w:val="5F7C46A7"/>
    <w:rsid w:val="5F881250"/>
    <w:rsid w:val="5F8F0650"/>
    <w:rsid w:val="5FB737B5"/>
    <w:rsid w:val="601D65F5"/>
    <w:rsid w:val="607108E0"/>
    <w:rsid w:val="60CF1B28"/>
    <w:rsid w:val="61085AB0"/>
    <w:rsid w:val="61342BBF"/>
    <w:rsid w:val="619B3B50"/>
    <w:rsid w:val="620309E2"/>
    <w:rsid w:val="622163B3"/>
    <w:rsid w:val="623B15C7"/>
    <w:rsid w:val="62E60296"/>
    <w:rsid w:val="62E727E7"/>
    <w:rsid w:val="62F87114"/>
    <w:rsid w:val="636E70B7"/>
    <w:rsid w:val="637E5EA3"/>
    <w:rsid w:val="63CD59E6"/>
    <w:rsid w:val="64354B30"/>
    <w:rsid w:val="64625960"/>
    <w:rsid w:val="64736789"/>
    <w:rsid w:val="64B31FC1"/>
    <w:rsid w:val="650C3FAA"/>
    <w:rsid w:val="6521395B"/>
    <w:rsid w:val="65233296"/>
    <w:rsid w:val="654C335F"/>
    <w:rsid w:val="65CE19B5"/>
    <w:rsid w:val="65E069E0"/>
    <w:rsid w:val="65E558F7"/>
    <w:rsid w:val="65F6345B"/>
    <w:rsid w:val="66474CA3"/>
    <w:rsid w:val="66894F1E"/>
    <w:rsid w:val="66D103A8"/>
    <w:rsid w:val="66D36CBD"/>
    <w:rsid w:val="66E870B7"/>
    <w:rsid w:val="67073DC9"/>
    <w:rsid w:val="6717701A"/>
    <w:rsid w:val="672B6EAD"/>
    <w:rsid w:val="676E55BC"/>
    <w:rsid w:val="67824452"/>
    <w:rsid w:val="680614F1"/>
    <w:rsid w:val="680B32C3"/>
    <w:rsid w:val="68236982"/>
    <w:rsid w:val="6847164C"/>
    <w:rsid w:val="68BC6132"/>
    <w:rsid w:val="68D568A9"/>
    <w:rsid w:val="68F560BD"/>
    <w:rsid w:val="69120728"/>
    <w:rsid w:val="69324EAF"/>
    <w:rsid w:val="693C55FC"/>
    <w:rsid w:val="696D526D"/>
    <w:rsid w:val="697159BA"/>
    <w:rsid w:val="698D4BAC"/>
    <w:rsid w:val="699C1606"/>
    <w:rsid w:val="6A0424EB"/>
    <w:rsid w:val="6A277DA9"/>
    <w:rsid w:val="6A8B4D12"/>
    <w:rsid w:val="6A9040D6"/>
    <w:rsid w:val="6AAD49BB"/>
    <w:rsid w:val="6B00125C"/>
    <w:rsid w:val="6B833C3B"/>
    <w:rsid w:val="6B96396E"/>
    <w:rsid w:val="6C3D279C"/>
    <w:rsid w:val="6C411B2C"/>
    <w:rsid w:val="6C980046"/>
    <w:rsid w:val="6CC40254"/>
    <w:rsid w:val="6D1C473B"/>
    <w:rsid w:val="6E587601"/>
    <w:rsid w:val="6EBE362A"/>
    <w:rsid w:val="6F1A29F3"/>
    <w:rsid w:val="6F3E1612"/>
    <w:rsid w:val="6F9254F6"/>
    <w:rsid w:val="6FA16BB3"/>
    <w:rsid w:val="70045CCF"/>
    <w:rsid w:val="70123884"/>
    <w:rsid w:val="702C413F"/>
    <w:rsid w:val="70631068"/>
    <w:rsid w:val="70663752"/>
    <w:rsid w:val="707B307C"/>
    <w:rsid w:val="70931366"/>
    <w:rsid w:val="70A7783D"/>
    <w:rsid w:val="70D0056A"/>
    <w:rsid w:val="70E73EED"/>
    <w:rsid w:val="719B1CDE"/>
    <w:rsid w:val="72031A0B"/>
    <w:rsid w:val="720D038B"/>
    <w:rsid w:val="726514BB"/>
    <w:rsid w:val="72695938"/>
    <w:rsid w:val="726E3FB8"/>
    <w:rsid w:val="72BA4B01"/>
    <w:rsid w:val="731F024D"/>
    <w:rsid w:val="731F06ED"/>
    <w:rsid w:val="734463A5"/>
    <w:rsid w:val="7346509E"/>
    <w:rsid w:val="73D6621E"/>
    <w:rsid w:val="743762D7"/>
    <w:rsid w:val="744D4DE6"/>
    <w:rsid w:val="74770F38"/>
    <w:rsid w:val="74CA05D5"/>
    <w:rsid w:val="74D5261E"/>
    <w:rsid w:val="751E4CA9"/>
    <w:rsid w:val="7636055D"/>
    <w:rsid w:val="767E03DC"/>
    <w:rsid w:val="76A52295"/>
    <w:rsid w:val="76CC67D5"/>
    <w:rsid w:val="771E13DF"/>
    <w:rsid w:val="771F24F7"/>
    <w:rsid w:val="77632C57"/>
    <w:rsid w:val="77A536C6"/>
    <w:rsid w:val="78230FF4"/>
    <w:rsid w:val="784F603A"/>
    <w:rsid w:val="78E536D5"/>
    <w:rsid w:val="79173B4B"/>
    <w:rsid w:val="79A13BC8"/>
    <w:rsid w:val="79A7207A"/>
    <w:rsid w:val="79A7342F"/>
    <w:rsid w:val="7A1703EE"/>
    <w:rsid w:val="7A27676B"/>
    <w:rsid w:val="7A560BEF"/>
    <w:rsid w:val="7A967CA7"/>
    <w:rsid w:val="7A9B4AFD"/>
    <w:rsid w:val="7AC32153"/>
    <w:rsid w:val="7ACC2F08"/>
    <w:rsid w:val="7AD86553"/>
    <w:rsid w:val="7B0314CC"/>
    <w:rsid w:val="7B850506"/>
    <w:rsid w:val="7B931C78"/>
    <w:rsid w:val="7BA2673C"/>
    <w:rsid w:val="7C0F51C3"/>
    <w:rsid w:val="7C235DC1"/>
    <w:rsid w:val="7C257533"/>
    <w:rsid w:val="7C3A0345"/>
    <w:rsid w:val="7CF624BE"/>
    <w:rsid w:val="7D2E108E"/>
    <w:rsid w:val="7D3635D1"/>
    <w:rsid w:val="7D5406EB"/>
    <w:rsid w:val="7D782884"/>
    <w:rsid w:val="7DBC39B5"/>
    <w:rsid w:val="7E4D1DDB"/>
    <w:rsid w:val="7E53428E"/>
    <w:rsid w:val="7E802674"/>
    <w:rsid w:val="7E9263DE"/>
    <w:rsid w:val="7EE34F68"/>
    <w:rsid w:val="7F7A38B5"/>
    <w:rsid w:val="7FA206DC"/>
    <w:rsid w:val="7FE9630A"/>
    <w:rsid w:val="7FEE6D3D"/>
    <w:rsid w:val="7FFD3B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kern w:val="44"/>
      <w:sz w:val="44"/>
    </w:rPr>
  </w:style>
  <w:style w:type="paragraph" w:styleId="4">
    <w:name w:val="heading 2"/>
    <w:basedOn w:val="1"/>
    <w:next w:val="1"/>
    <w:qFormat/>
    <w:uiPriority w:val="0"/>
    <w:pPr>
      <w:keepNext/>
      <w:keepLines/>
      <w:spacing w:before="260" w:beforeLines="0" w:after="260" w:afterLines="0" w:line="410" w:lineRule="auto"/>
      <w:outlineLvl w:val="1"/>
    </w:pPr>
    <w:rPr>
      <w:rFonts w:ascii="Arial" w:hAnsi="Arial" w:eastAsia="黑体"/>
      <w:b/>
      <w:sz w:val="32"/>
    </w:rPr>
  </w:style>
  <w:style w:type="paragraph" w:styleId="5">
    <w:name w:val="heading 3"/>
    <w:basedOn w:val="1"/>
    <w:next w:val="1"/>
    <w:link w:val="35"/>
    <w:qFormat/>
    <w:uiPriority w:val="0"/>
    <w:pPr>
      <w:keepNext/>
      <w:keepLines/>
      <w:spacing w:line="360" w:lineRule="auto"/>
      <w:outlineLvl w:val="2"/>
    </w:pPr>
    <w:rPr>
      <w:b/>
      <w:bCs/>
      <w:sz w:val="24"/>
      <w:szCs w:val="32"/>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29">
    <w:name w:val="Default Paragraph Font"/>
    <w:qFormat/>
    <w:uiPriority w:val="0"/>
  </w:style>
  <w:style w:type="table" w:default="1" w:styleId="28">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cs="Times New Roman"/>
      <w:snapToGrid/>
      <w:kern w:val="2"/>
      <w:szCs w:val="20"/>
    </w:rPr>
  </w:style>
  <w:style w:type="paragraph" w:styleId="7">
    <w:name w:val="Document Map"/>
    <w:basedOn w:val="1"/>
    <w:link w:val="36"/>
    <w:qFormat/>
    <w:uiPriority w:val="0"/>
    <w:rPr>
      <w:rFonts w:ascii="宋体"/>
      <w:sz w:val="18"/>
      <w:szCs w:val="18"/>
    </w:rPr>
  </w:style>
  <w:style w:type="paragraph" w:styleId="8">
    <w:name w:val="annotation text"/>
    <w:basedOn w:val="1"/>
    <w:link w:val="37"/>
    <w:qFormat/>
    <w:uiPriority w:val="0"/>
    <w:pPr>
      <w:adjustRightInd w:val="0"/>
      <w:spacing w:line="360" w:lineRule="atLeast"/>
      <w:jc w:val="left"/>
    </w:pPr>
    <w:rPr>
      <w:rFonts w:ascii="宋体" w:hAnsi="宋体"/>
      <w:sz w:val="24"/>
    </w:rPr>
  </w:style>
  <w:style w:type="paragraph" w:styleId="9">
    <w:name w:val="Body Text 3"/>
    <w:basedOn w:val="1"/>
    <w:link w:val="38"/>
    <w:qFormat/>
    <w:uiPriority w:val="0"/>
    <w:pPr>
      <w:spacing w:after="120" w:afterLines="0"/>
    </w:pPr>
    <w:rPr>
      <w:sz w:val="16"/>
      <w:szCs w:val="16"/>
    </w:rPr>
  </w:style>
  <w:style w:type="paragraph" w:styleId="10">
    <w:name w:val="Body Text"/>
    <w:basedOn w:val="1"/>
    <w:link w:val="39"/>
    <w:qFormat/>
    <w:uiPriority w:val="0"/>
    <w:pPr>
      <w:spacing w:after="120" w:afterLines="0"/>
    </w:pPr>
  </w:style>
  <w:style w:type="paragraph" w:styleId="11">
    <w:name w:val="Body Text Indent"/>
    <w:basedOn w:val="1"/>
    <w:link w:val="40"/>
    <w:qFormat/>
    <w:uiPriority w:val="0"/>
    <w:pPr>
      <w:autoSpaceDE w:val="0"/>
      <w:autoSpaceDN w:val="0"/>
      <w:adjustRightInd w:val="0"/>
      <w:spacing w:line="0" w:lineRule="atLeast"/>
      <w:ind w:firstLine="525"/>
      <w:textAlignment w:val="top"/>
    </w:pPr>
    <w:rPr>
      <w:rFonts w:ascii="宋体" w:hAnsi="宋体"/>
      <w:color w:val="000000"/>
    </w:rPr>
  </w:style>
  <w:style w:type="paragraph" w:styleId="12">
    <w:name w:val="Block Text"/>
    <w:basedOn w:val="1"/>
    <w:qFormat/>
    <w:uiPriority w:val="0"/>
    <w:pPr>
      <w:adjustRightInd w:val="0"/>
      <w:ind w:left="420" w:right="33"/>
      <w:jc w:val="left"/>
      <w:textAlignment w:val="baseline"/>
    </w:pPr>
    <w:rPr>
      <w:kern w:val="0"/>
      <w:sz w:val="24"/>
      <w:szCs w:val="20"/>
    </w:rPr>
  </w:style>
  <w:style w:type="paragraph" w:styleId="13">
    <w:name w:val="toc 3"/>
    <w:basedOn w:val="1"/>
    <w:next w:val="1"/>
    <w:qFormat/>
    <w:uiPriority w:val="0"/>
    <w:pPr>
      <w:ind w:leftChars="400"/>
    </w:pPr>
  </w:style>
  <w:style w:type="paragraph" w:styleId="14">
    <w:name w:val="Plain Text"/>
    <w:basedOn w:val="1"/>
    <w:next w:val="1"/>
    <w:link w:val="41"/>
    <w:qFormat/>
    <w:uiPriority w:val="0"/>
    <w:rPr>
      <w:rFonts w:ascii="宋体" w:hAnsi="Courier New"/>
      <w:sz w:val="24"/>
    </w:rPr>
  </w:style>
  <w:style w:type="paragraph" w:styleId="15">
    <w:name w:val="Date"/>
    <w:basedOn w:val="1"/>
    <w:next w:val="1"/>
    <w:link w:val="42"/>
    <w:qFormat/>
    <w:uiPriority w:val="0"/>
    <w:pPr>
      <w:ind w:left="100" w:leftChars="2500"/>
    </w:pPr>
  </w:style>
  <w:style w:type="paragraph" w:styleId="16">
    <w:name w:val="Balloon Text"/>
    <w:basedOn w:val="1"/>
    <w:link w:val="43"/>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9">
    <w:name w:val="toc 1"/>
    <w:basedOn w:val="1"/>
    <w:next w:val="1"/>
    <w:qFormat/>
    <w:uiPriority w:val="0"/>
  </w:style>
  <w:style w:type="paragraph" w:styleId="20">
    <w:name w:val="toc 4"/>
    <w:basedOn w:val="1"/>
    <w:next w:val="1"/>
    <w:qFormat/>
    <w:uiPriority w:val="0"/>
    <w:pPr>
      <w:ind w:left="1260" w:leftChars="600"/>
    </w:pPr>
  </w:style>
  <w:style w:type="paragraph" w:styleId="21">
    <w:name w:val="toc 2"/>
    <w:basedOn w:val="1"/>
    <w:next w:val="1"/>
    <w:qFormat/>
    <w:uiPriority w:val="0"/>
    <w:pPr>
      <w:ind w:leftChars="200"/>
    </w:pPr>
  </w:style>
  <w:style w:type="paragraph" w:styleId="22">
    <w:name w:val="Body Text 2"/>
    <w:basedOn w:val="1"/>
    <w:qFormat/>
    <w:uiPriority w:val="0"/>
    <w:rPr>
      <w:sz w:val="44"/>
    </w:rPr>
  </w:style>
  <w:style w:type="paragraph" w:styleId="2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4">
    <w:name w:val="Title"/>
    <w:basedOn w:val="1"/>
    <w:qFormat/>
    <w:uiPriority w:val="0"/>
    <w:pPr>
      <w:spacing w:before="120" w:after="60"/>
      <w:jc w:val="center"/>
    </w:pPr>
    <w:rPr>
      <w:rFonts w:ascii="Arial" w:hAnsi="Arial"/>
      <w:b/>
      <w:sz w:val="44"/>
      <w:szCs w:val="20"/>
    </w:rPr>
  </w:style>
  <w:style w:type="paragraph" w:styleId="25">
    <w:name w:val="annotation subject"/>
    <w:basedOn w:val="8"/>
    <w:next w:val="8"/>
    <w:link w:val="44"/>
    <w:qFormat/>
    <w:uiPriority w:val="0"/>
    <w:pPr>
      <w:adjustRightInd/>
      <w:spacing w:line="240" w:lineRule="auto"/>
    </w:pPr>
  </w:style>
  <w:style w:type="paragraph" w:styleId="26">
    <w:name w:val="Body Text First Indent"/>
    <w:basedOn w:val="10"/>
    <w:link w:val="45"/>
    <w:qFormat/>
    <w:uiPriority w:val="0"/>
    <w:pPr>
      <w:ind w:firstLine="420" w:firstLineChars="100"/>
    </w:pPr>
  </w:style>
  <w:style w:type="paragraph" w:styleId="27">
    <w:name w:val="Body Text First Indent 2"/>
    <w:basedOn w:val="11"/>
    <w:qFormat/>
    <w:uiPriority w:val="0"/>
    <w:pPr>
      <w:ind w:firstLine="420" w:firstLineChars="200"/>
    </w:pPr>
    <w:rPr>
      <w:rFonts w:ascii="Calibri" w:hAnsi="Calibri" w:eastAsia="宋体" w:cs="Times New Roman"/>
    </w:rPr>
  </w:style>
  <w:style w:type="character" w:styleId="30">
    <w:name w:val="page number"/>
    <w:qFormat/>
    <w:uiPriority w:val="0"/>
  </w:style>
  <w:style w:type="character" w:styleId="31">
    <w:name w:val="FollowedHyperlink"/>
    <w:qFormat/>
    <w:uiPriority w:val="0"/>
    <w:rPr>
      <w:color w:val="12477D"/>
      <w:sz w:val="21"/>
      <w:szCs w:val="21"/>
      <w:u w:val="none"/>
    </w:rPr>
  </w:style>
  <w:style w:type="character" w:styleId="32">
    <w:name w:val="Emphasis"/>
    <w:qFormat/>
    <w:uiPriority w:val="0"/>
    <w:rPr>
      <w:i/>
    </w:rPr>
  </w:style>
  <w:style w:type="character" w:styleId="33">
    <w:name w:val="Hyperlink"/>
    <w:qFormat/>
    <w:uiPriority w:val="0"/>
    <w:rPr>
      <w:color w:val="12477D"/>
      <w:sz w:val="21"/>
      <w:szCs w:val="21"/>
      <w:u w:val="none"/>
    </w:rPr>
  </w:style>
  <w:style w:type="character" w:styleId="34">
    <w:name w:val="annotation reference"/>
    <w:qFormat/>
    <w:uiPriority w:val="0"/>
    <w:rPr>
      <w:sz w:val="21"/>
      <w:szCs w:val="21"/>
    </w:rPr>
  </w:style>
  <w:style w:type="character" w:customStyle="1" w:styleId="35">
    <w:name w:val="标题 3 字符"/>
    <w:link w:val="5"/>
    <w:qFormat/>
    <w:uiPriority w:val="0"/>
    <w:rPr>
      <w:rFonts w:eastAsia="宋体"/>
      <w:b/>
      <w:bCs/>
      <w:kern w:val="2"/>
      <w:sz w:val="24"/>
      <w:szCs w:val="32"/>
      <w:lang w:val="en-US" w:eastAsia="zh-CN" w:bidi="ar-SA"/>
    </w:rPr>
  </w:style>
  <w:style w:type="character" w:customStyle="1" w:styleId="36">
    <w:name w:val="文档结构图 字符"/>
    <w:link w:val="7"/>
    <w:qFormat/>
    <w:uiPriority w:val="0"/>
    <w:rPr>
      <w:rFonts w:ascii="宋体"/>
      <w:kern w:val="2"/>
      <w:sz w:val="18"/>
      <w:szCs w:val="18"/>
    </w:rPr>
  </w:style>
  <w:style w:type="character" w:customStyle="1" w:styleId="37">
    <w:name w:val="批注文字 字符"/>
    <w:link w:val="8"/>
    <w:qFormat/>
    <w:uiPriority w:val="0"/>
    <w:rPr>
      <w:rFonts w:ascii="宋体" w:hAnsi="宋体" w:eastAsia="宋体"/>
      <w:kern w:val="2"/>
      <w:sz w:val="24"/>
      <w:szCs w:val="24"/>
      <w:lang w:val="en-US" w:eastAsia="zh-CN" w:bidi="ar-SA"/>
    </w:rPr>
  </w:style>
  <w:style w:type="character" w:customStyle="1" w:styleId="38">
    <w:name w:val="正文文本 3 字符"/>
    <w:link w:val="9"/>
    <w:qFormat/>
    <w:uiPriority w:val="0"/>
    <w:rPr>
      <w:kern w:val="2"/>
      <w:sz w:val="16"/>
      <w:szCs w:val="16"/>
    </w:rPr>
  </w:style>
  <w:style w:type="character" w:customStyle="1" w:styleId="39">
    <w:name w:val="正文文本 字符"/>
    <w:link w:val="10"/>
    <w:qFormat/>
    <w:uiPriority w:val="0"/>
    <w:rPr>
      <w:kern w:val="2"/>
      <w:sz w:val="21"/>
      <w:szCs w:val="24"/>
    </w:rPr>
  </w:style>
  <w:style w:type="character" w:customStyle="1" w:styleId="40">
    <w:name w:val="正文文本缩进 字符"/>
    <w:link w:val="11"/>
    <w:qFormat/>
    <w:uiPriority w:val="0"/>
    <w:rPr>
      <w:rFonts w:ascii="宋体" w:hAnsi="宋体"/>
      <w:color w:val="000000"/>
      <w:kern w:val="2"/>
      <w:sz w:val="21"/>
      <w:szCs w:val="24"/>
    </w:rPr>
  </w:style>
  <w:style w:type="character" w:customStyle="1" w:styleId="41">
    <w:name w:val="纯文本 字符"/>
    <w:link w:val="14"/>
    <w:qFormat/>
    <w:uiPriority w:val="0"/>
    <w:rPr>
      <w:rFonts w:ascii="宋体" w:hAnsi="Courier New" w:eastAsia="宋体"/>
      <w:kern w:val="2"/>
      <w:sz w:val="24"/>
      <w:szCs w:val="24"/>
      <w:lang w:val="en-US" w:eastAsia="zh-CN" w:bidi="ar-SA"/>
    </w:rPr>
  </w:style>
  <w:style w:type="character" w:customStyle="1" w:styleId="42">
    <w:name w:val="日期 字符"/>
    <w:link w:val="15"/>
    <w:qFormat/>
    <w:uiPriority w:val="0"/>
    <w:rPr>
      <w:kern w:val="2"/>
      <w:sz w:val="21"/>
      <w:szCs w:val="24"/>
    </w:rPr>
  </w:style>
  <w:style w:type="character" w:customStyle="1" w:styleId="43">
    <w:name w:val="批注框文本 字符"/>
    <w:link w:val="16"/>
    <w:qFormat/>
    <w:uiPriority w:val="0"/>
    <w:rPr>
      <w:kern w:val="2"/>
      <w:sz w:val="18"/>
      <w:szCs w:val="18"/>
    </w:rPr>
  </w:style>
  <w:style w:type="character" w:customStyle="1" w:styleId="44">
    <w:name w:val="批注主题 字符"/>
    <w:link w:val="25"/>
    <w:qFormat/>
    <w:uiPriority w:val="0"/>
    <w:rPr>
      <w:lang w:val="en-US" w:eastAsia="zh-CN" w:bidi="ar-SA"/>
    </w:rPr>
  </w:style>
  <w:style w:type="character" w:customStyle="1" w:styleId="45">
    <w:name w:val="正文文本首行缩进 字符"/>
    <w:link w:val="26"/>
    <w:qFormat/>
    <w:uiPriority w:val="0"/>
  </w:style>
  <w:style w:type="character" w:customStyle="1" w:styleId="46">
    <w:name w:val="文一 Char Char"/>
    <w:link w:val="47"/>
    <w:qFormat/>
    <w:uiPriority w:val="0"/>
    <w:rPr>
      <w:spacing w:val="4"/>
      <w:sz w:val="24"/>
      <w:szCs w:val="24"/>
    </w:rPr>
  </w:style>
  <w:style w:type="paragraph" w:customStyle="1" w:styleId="47">
    <w:name w:val="文一"/>
    <w:basedOn w:val="1"/>
    <w:link w:val="46"/>
    <w:qFormat/>
    <w:uiPriority w:val="0"/>
    <w:pPr>
      <w:topLinePunct/>
      <w:adjustRightInd w:val="0"/>
      <w:snapToGrid w:val="0"/>
      <w:spacing w:line="360" w:lineRule="auto"/>
      <w:ind w:firstLine="200" w:firstLineChars="200"/>
    </w:pPr>
    <w:rPr>
      <w:spacing w:val="4"/>
      <w:kern w:val="0"/>
      <w:sz w:val="24"/>
    </w:rPr>
  </w:style>
  <w:style w:type="character" w:customStyle="1" w:styleId="48">
    <w:name w:val=" Char Char17"/>
    <w:qFormat/>
    <w:uiPriority w:val="0"/>
    <w:rPr>
      <w:rFonts w:ascii="Arial" w:hAnsi="Arial" w:eastAsia="黑体"/>
      <w:kern w:val="2"/>
      <w:sz w:val="24"/>
      <w:lang w:bidi="ar-SA"/>
    </w:rPr>
  </w:style>
  <w:style w:type="character" w:customStyle="1" w:styleId="49">
    <w:name w:val="列表段落 字符"/>
    <w:link w:val="50"/>
    <w:qFormat/>
    <w:uiPriority w:val="0"/>
    <w:rPr>
      <w:rFonts w:ascii="Calibri" w:hAnsi="Calibri"/>
      <w:kern w:val="2"/>
      <w:sz w:val="21"/>
      <w:szCs w:val="22"/>
    </w:rPr>
  </w:style>
  <w:style w:type="paragraph" w:styleId="50">
    <w:name w:val="List Paragraph"/>
    <w:basedOn w:val="1"/>
    <w:link w:val="49"/>
    <w:qFormat/>
    <w:uiPriority w:val="0"/>
    <w:pPr>
      <w:widowControl/>
      <w:ind w:firstLine="420" w:firstLineChars="200"/>
      <w:jc w:val="left"/>
    </w:pPr>
    <w:rPr>
      <w:rFonts w:ascii="Calibri" w:hAnsi="Calibri"/>
      <w:szCs w:val="22"/>
    </w:rPr>
  </w:style>
  <w:style w:type="character" w:customStyle="1" w:styleId="51">
    <w:name w:val="fontorange1"/>
    <w:qFormat/>
    <w:uiPriority w:val="0"/>
    <w:rPr>
      <w:rFonts w:hint="default" w:ascii="ˎ̥" w:hAnsi="ˎ̥"/>
      <w:color w:val="FF6600"/>
      <w:sz w:val="18"/>
      <w:szCs w:val="18"/>
    </w:rPr>
  </w:style>
  <w:style w:type="paragraph" w:customStyle="1" w:styleId="52">
    <w:name w:val="正文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53">
    <w:name w:val="正文 New New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54">
    <w:name w:val="WPSOffice手动目录 2"/>
    <w:qFormat/>
    <w:uiPriority w:val="0"/>
    <w:pPr>
      <w:ind w:leftChars="200"/>
    </w:pPr>
    <w:rPr>
      <w:rFonts w:ascii="Times New Roman" w:hAnsi="Times New Roman" w:eastAsia="宋体" w:cs="Times New Roman"/>
      <w:lang w:val="en-US" w:eastAsia="zh-CN" w:bidi="ar-SA"/>
    </w:rPr>
  </w:style>
  <w:style w:type="paragraph" w:customStyle="1" w:styleId="55">
    <w:name w:val="_Style 54"/>
    <w:qFormat/>
    <w:uiPriority w:val="0"/>
    <w:rPr>
      <w:rFonts w:ascii="Times New Roman" w:hAnsi="Times New Roman" w:eastAsia="宋体" w:cs="Times New Roman"/>
      <w:kern w:val="2"/>
      <w:sz w:val="21"/>
      <w:szCs w:val="24"/>
      <w:lang w:val="en-US" w:eastAsia="zh-CN" w:bidi="ar-SA"/>
    </w:rPr>
  </w:style>
  <w:style w:type="paragraph" w:customStyle="1" w:styleId="56">
    <w:name w:val="表中"/>
    <w:basedOn w:val="1"/>
    <w:qFormat/>
    <w:uiPriority w:val="0"/>
    <w:pPr>
      <w:adjustRightInd w:val="0"/>
      <w:spacing w:line="360" w:lineRule="atLeast"/>
      <w:jc w:val="center"/>
      <w:textAlignment w:val="baseline"/>
    </w:pPr>
    <w:rPr>
      <w:kern w:val="0"/>
      <w:szCs w:val="20"/>
    </w:rPr>
  </w:style>
  <w:style w:type="paragraph" w:customStyle="1" w:styleId="57">
    <w:name w:val="正文 New New New New New New New New New New New New New New New"/>
    <w:basedOn w:val="1"/>
    <w:qFormat/>
    <w:uiPriority w:val="0"/>
    <w:rPr>
      <w:rFonts w:hAnsi="宋体" w:eastAsia="仿宋_GB2312"/>
      <w:snapToGrid/>
      <w:szCs w:val="21"/>
    </w:rPr>
  </w:style>
  <w:style w:type="paragraph" w:customStyle="1" w:styleId="58">
    <w:name w:val="正  文"/>
    <w:basedOn w:val="1"/>
    <w:qFormat/>
    <w:uiPriority w:val="0"/>
    <w:pPr>
      <w:spacing w:line="360" w:lineRule="auto"/>
      <w:ind w:firstLine="200" w:firstLineChars="200"/>
    </w:pPr>
    <w:rPr>
      <w:rFonts w:ascii="宋体"/>
      <w:sz w:val="24"/>
    </w:rPr>
  </w:style>
  <w:style w:type="paragraph" w:customStyle="1" w:styleId="59">
    <w:name w:val="文二"/>
    <w:basedOn w:val="1"/>
    <w:qFormat/>
    <w:uiPriority w:val="0"/>
    <w:pPr>
      <w:jc w:val="left"/>
    </w:pPr>
    <w:rPr>
      <w:rFonts w:ascii="宋体" w:hAnsi="宋体"/>
      <w:szCs w:val="21"/>
    </w:rPr>
  </w:style>
  <w:style w:type="paragraph" w:customStyle="1" w:styleId="60">
    <w:name w:val="_Style 59"/>
    <w:basedOn w:val="3"/>
    <w:next w:val="1"/>
    <w:qFormat/>
    <w:uiPriority w:val="0"/>
    <w:pPr>
      <w:widowControl/>
      <w:spacing w:before="480" w:beforeLines="0" w:after="0" w:afterLines="0" w:line="276" w:lineRule="auto"/>
      <w:jc w:val="left"/>
      <w:outlineLvl w:val="9"/>
    </w:pPr>
    <w:rPr>
      <w:rFonts w:ascii="Cambria" w:hAnsi="Cambria" w:eastAsia="宋体" w:cs="Times New Roman"/>
      <w:bCs/>
      <w:color w:val="365F91"/>
      <w:kern w:val="0"/>
      <w:sz w:val="28"/>
      <w:szCs w:val="28"/>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able Paragraph"/>
    <w:basedOn w:val="1"/>
    <w:qFormat/>
    <w:uiPriority w:val="1"/>
    <w:pPr>
      <w:jc w:val="left"/>
    </w:pPr>
    <w:rPr>
      <w:rFonts w:eastAsia="Calibri"/>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33659</Words>
  <Characters>34223</Characters>
  <Lines>459</Lines>
  <Paragraphs>129</Paragraphs>
  <TotalTime>8</TotalTime>
  <ScaleCrop>false</ScaleCrop>
  <LinksUpToDate>false</LinksUpToDate>
  <CharactersWithSpaces>35842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2021-11-30T03:58:00Z</dcterms:created>
  <dc:creator>20080306</dc:creator>
  <cp:lastModifiedBy>07</cp:lastModifiedBy>
  <cp:lastPrinted>2022-06-22T02:26:00Z</cp:lastPrinted>
  <dcterms:modified xsi:type="dcterms:W3CDTF">2022-09-16T01:54:30Z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4E91D042CD4A454EBE47563AE817BE5B</vt:lpwstr>
  </property>
</Properties>
</file>