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等线"/>
          <w:color w:val="auto"/>
          <w:sz w:val="44"/>
          <w:szCs w:val="44"/>
          <w:highlight w:val="none"/>
        </w:rPr>
      </w:pPr>
      <w:bookmarkStart w:id="62" w:name="_GoBack"/>
      <w:r>
        <w:rPr>
          <w:rFonts w:hint="eastAsia"/>
          <w:color w:val="auto"/>
          <w:sz w:val="44"/>
          <w:szCs w:val="44"/>
          <w:highlight w:val="none"/>
        </w:rPr>
        <w:t>郁南循环热力发电项目（一期）</w:t>
      </w:r>
    </w:p>
    <w:p>
      <w:pPr>
        <w:pStyle w:val="54"/>
        <w:snapToGrid w:val="0"/>
        <w:spacing w:line="360" w:lineRule="auto"/>
        <w:ind w:firstLine="0"/>
        <w:jc w:val="center"/>
        <w:rPr>
          <w:rFonts w:hint="eastAsia" w:ascii="Times New Roman" w:hAnsi="Times New Roman" w:eastAsia="宋体" w:cs="Times New Roman"/>
          <w:b w:val="0"/>
          <w:color w:val="auto"/>
          <w:kern w:val="2"/>
          <w:sz w:val="44"/>
          <w:szCs w:val="44"/>
          <w:highlight w:val="none"/>
        </w:rPr>
      </w:pPr>
    </w:p>
    <w:p>
      <w:pPr>
        <w:pStyle w:val="54"/>
        <w:snapToGrid w:val="0"/>
        <w:spacing w:line="360" w:lineRule="auto"/>
        <w:ind w:firstLine="0"/>
        <w:jc w:val="center"/>
        <w:rPr>
          <w:rFonts w:hint="eastAsia" w:ascii="Times New Roman" w:hAnsi="Times New Roman" w:eastAsia="宋体" w:cs="Times New Roman"/>
          <w:b w:val="0"/>
          <w:color w:val="auto"/>
          <w:kern w:val="2"/>
          <w:sz w:val="44"/>
          <w:szCs w:val="44"/>
          <w:highlight w:val="none"/>
        </w:rPr>
      </w:pPr>
      <w:r>
        <w:rPr>
          <w:rFonts w:hint="eastAsia" w:ascii="Times New Roman" w:hAnsi="Times New Roman" w:eastAsia="宋体" w:cs="Times New Roman"/>
          <w:b w:val="0"/>
          <w:color w:val="auto"/>
          <w:kern w:val="2"/>
          <w:sz w:val="44"/>
          <w:szCs w:val="44"/>
          <w:highlight w:val="none"/>
        </w:rPr>
        <w:t>油罐</w:t>
      </w:r>
    </w:p>
    <w:p>
      <w:pPr>
        <w:pStyle w:val="54"/>
        <w:snapToGrid w:val="0"/>
        <w:spacing w:line="360" w:lineRule="auto"/>
        <w:jc w:val="center"/>
        <w:rPr>
          <w:rFonts w:ascii="等线" w:hAnsi="等线" w:eastAsia="等线" w:cs="Times New Roman"/>
          <w:b/>
          <w:color w:val="auto"/>
          <w:szCs w:val="21"/>
          <w:highlight w:val="none"/>
        </w:rPr>
      </w:pPr>
    </w:p>
    <w:p>
      <w:pPr>
        <w:pStyle w:val="54"/>
        <w:snapToGrid w:val="0"/>
        <w:spacing w:line="360" w:lineRule="auto"/>
        <w:ind w:firstLine="600"/>
        <w:jc w:val="center"/>
        <w:rPr>
          <w:rFonts w:ascii="等线" w:hAnsi="等线" w:eastAsia="等线" w:cs="Times New Roman"/>
          <w:color w:val="auto"/>
          <w:sz w:val="30"/>
          <w:szCs w:val="30"/>
          <w:highlight w:val="none"/>
        </w:rPr>
      </w:pPr>
    </w:p>
    <w:p>
      <w:pPr>
        <w:pStyle w:val="54"/>
        <w:snapToGrid w:val="0"/>
        <w:spacing w:line="360" w:lineRule="auto"/>
        <w:ind w:firstLine="600"/>
        <w:jc w:val="center"/>
        <w:rPr>
          <w:rFonts w:ascii="等线" w:hAnsi="等线" w:eastAsia="等线" w:cs="Times New Roman"/>
          <w:color w:val="auto"/>
          <w:sz w:val="30"/>
          <w:szCs w:val="30"/>
          <w:highlight w:val="none"/>
        </w:rPr>
      </w:pPr>
    </w:p>
    <w:p>
      <w:pPr>
        <w:snapToGrid w:val="0"/>
        <w:spacing w:line="360" w:lineRule="auto"/>
        <w:jc w:val="center"/>
        <w:rPr>
          <w:bCs/>
          <w:color w:val="auto"/>
          <w:sz w:val="72"/>
          <w:szCs w:val="96"/>
          <w:highlight w:val="none"/>
        </w:rPr>
      </w:pPr>
      <w:r>
        <w:rPr>
          <w:rFonts w:hint="eastAsia" w:ascii="宋体" w:hAnsi="宋体" w:cs="宋体"/>
          <w:bCs/>
          <w:color w:val="auto"/>
          <w:sz w:val="72"/>
          <w:szCs w:val="96"/>
          <w:highlight w:val="none"/>
        </w:rPr>
        <w:t>技术规格书</w:t>
      </w:r>
    </w:p>
    <w:p>
      <w:pPr>
        <w:pStyle w:val="54"/>
        <w:snapToGrid w:val="0"/>
        <w:spacing w:line="360" w:lineRule="auto"/>
        <w:ind w:firstLine="720"/>
        <w:jc w:val="center"/>
        <w:rPr>
          <w:rFonts w:ascii="等线" w:hAnsi="等线" w:eastAsia="等线" w:cs="Times New Roman"/>
          <w:color w:val="auto"/>
          <w:sz w:val="36"/>
          <w:szCs w:val="36"/>
          <w:highlight w:val="none"/>
        </w:rPr>
      </w:pPr>
    </w:p>
    <w:p>
      <w:pPr>
        <w:pStyle w:val="54"/>
        <w:snapToGrid w:val="0"/>
        <w:spacing w:line="360" w:lineRule="auto"/>
        <w:ind w:firstLine="720"/>
        <w:jc w:val="center"/>
        <w:rPr>
          <w:rFonts w:ascii="等线" w:hAnsi="等线" w:eastAsia="等线" w:cs="Times New Roman"/>
          <w:color w:val="auto"/>
          <w:sz w:val="36"/>
          <w:szCs w:val="36"/>
          <w:highlight w:val="none"/>
        </w:rPr>
      </w:pPr>
    </w:p>
    <w:p>
      <w:pPr>
        <w:pStyle w:val="54"/>
        <w:snapToGrid w:val="0"/>
        <w:spacing w:line="360" w:lineRule="auto"/>
        <w:ind w:firstLine="720"/>
        <w:jc w:val="center"/>
        <w:rPr>
          <w:rFonts w:ascii="等线" w:hAnsi="等线" w:eastAsia="等线" w:cs="Times New Roman"/>
          <w:color w:val="auto"/>
          <w:sz w:val="36"/>
          <w:szCs w:val="36"/>
          <w:highlight w:val="none"/>
        </w:rPr>
      </w:pPr>
    </w:p>
    <w:p>
      <w:pPr>
        <w:pStyle w:val="54"/>
        <w:snapToGrid w:val="0"/>
        <w:spacing w:line="360" w:lineRule="auto"/>
        <w:ind w:firstLine="720"/>
        <w:jc w:val="center"/>
        <w:rPr>
          <w:rFonts w:ascii="等线" w:hAnsi="等线" w:eastAsia="等线" w:cs="Times New Roman"/>
          <w:color w:val="auto"/>
          <w:sz w:val="36"/>
          <w:szCs w:val="36"/>
          <w:highlight w:val="none"/>
        </w:rPr>
      </w:pPr>
    </w:p>
    <w:p>
      <w:pPr>
        <w:pStyle w:val="54"/>
        <w:snapToGrid w:val="0"/>
        <w:spacing w:line="360" w:lineRule="auto"/>
        <w:ind w:firstLine="720"/>
        <w:jc w:val="center"/>
        <w:rPr>
          <w:rFonts w:ascii="等线" w:hAnsi="等线" w:eastAsia="等线" w:cs="Times New Roman"/>
          <w:color w:val="auto"/>
          <w:sz w:val="36"/>
          <w:szCs w:val="36"/>
          <w:highlight w:val="none"/>
        </w:rPr>
      </w:pPr>
    </w:p>
    <w:p>
      <w:pPr>
        <w:pStyle w:val="54"/>
        <w:snapToGrid w:val="0"/>
        <w:spacing w:line="360" w:lineRule="auto"/>
        <w:ind w:firstLine="720"/>
        <w:jc w:val="center"/>
        <w:rPr>
          <w:rFonts w:ascii="等线" w:hAnsi="等线" w:eastAsia="等线" w:cs="Times New Roman"/>
          <w:color w:val="auto"/>
          <w:sz w:val="36"/>
          <w:szCs w:val="36"/>
          <w:highlight w:val="none"/>
        </w:rPr>
      </w:pPr>
    </w:p>
    <w:p>
      <w:pPr>
        <w:tabs>
          <w:tab w:val="left" w:pos="6229"/>
          <w:tab w:val="left" w:pos="7501"/>
        </w:tabs>
        <w:spacing w:line="360" w:lineRule="auto"/>
        <w:jc w:val="center"/>
        <w:rPr>
          <w:rFonts w:ascii="等线" w:hAnsi="等线" w:eastAsia="等线"/>
          <w:color w:val="auto"/>
          <w:sz w:val="24"/>
          <w:szCs w:val="28"/>
          <w:highlight w:val="none"/>
        </w:rPr>
      </w:pPr>
      <w:r>
        <w:rPr>
          <w:rFonts w:hint="eastAsia" w:ascii="等线" w:hAnsi="等线" w:eastAsia="等线"/>
          <w:color w:val="auto"/>
          <w:sz w:val="24"/>
          <w:szCs w:val="28"/>
          <w:highlight w:val="none"/>
        </w:rPr>
        <w:t>2</w:t>
      </w:r>
      <w:r>
        <w:rPr>
          <w:rFonts w:ascii="等线" w:hAnsi="等线" w:eastAsia="等线"/>
          <w:color w:val="auto"/>
          <w:sz w:val="24"/>
          <w:szCs w:val="28"/>
          <w:highlight w:val="none"/>
        </w:rPr>
        <w:t>02</w:t>
      </w:r>
      <w:r>
        <w:rPr>
          <w:rFonts w:hint="eastAsia" w:ascii="等线" w:hAnsi="等线" w:eastAsia="等线"/>
          <w:color w:val="auto"/>
          <w:sz w:val="24"/>
          <w:szCs w:val="28"/>
          <w:highlight w:val="none"/>
          <w:lang w:val="en-US" w:eastAsia="zh-CN"/>
        </w:rPr>
        <w:t>5</w:t>
      </w:r>
      <w:r>
        <w:rPr>
          <w:rFonts w:hint="eastAsia" w:ascii="等线" w:hAnsi="等线" w:eastAsia="等线"/>
          <w:color w:val="auto"/>
          <w:sz w:val="24"/>
          <w:szCs w:val="28"/>
          <w:highlight w:val="none"/>
        </w:rPr>
        <w:t>年</w:t>
      </w:r>
      <w:r>
        <w:rPr>
          <w:rFonts w:hint="eastAsia" w:ascii="等线" w:hAnsi="等线" w:eastAsia="等线"/>
          <w:color w:val="auto"/>
          <w:sz w:val="24"/>
          <w:szCs w:val="28"/>
          <w:highlight w:val="none"/>
          <w:lang w:val="en-US" w:eastAsia="zh-CN"/>
        </w:rPr>
        <w:t>2</w:t>
      </w:r>
      <w:r>
        <w:rPr>
          <w:rFonts w:hint="eastAsia" w:ascii="等线" w:hAnsi="等线" w:eastAsia="等线"/>
          <w:color w:val="auto"/>
          <w:sz w:val="24"/>
          <w:szCs w:val="28"/>
          <w:highlight w:val="none"/>
        </w:rPr>
        <w:t>月</w:t>
      </w:r>
    </w:p>
    <w:p>
      <w:pPr>
        <w:spacing w:line="240" w:lineRule="auto"/>
        <w:rPr>
          <w:rFonts w:ascii="等线" w:hAnsi="等线" w:eastAsia="等线"/>
          <w:color w:val="auto"/>
          <w:sz w:val="24"/>
          <w:szCs w:val="28"/>
          <w:highlight w:val="none"/>
        </w:rPr>
      </w:pPr>
      <w:r>
        <w:rPr>
          <w:rFonts w:ascii="等线" w:hAnsi="等线" w:eastAsia="等线"/>
          <w:color w:val="auto"/>
          <w:sz w:val="24"/>
          <w:szCs w:val="28"/>
          <w:highlight w:val="none"/>
        </w:rPr>
        <w:br w:type="page"/>
      </w:r>
    </w:p>
    <w:p>
      <w:pPr>
        <w:jc w:val="center"/>
        <w:rPr>
          <w:color w:val="auto"/>
          <w:highlight w:val="none"/>
        </w:rPr>
      </w:pPr>
      <w:r>
        <w:rPr>
          <w:rFonts w:hint="eastAsia"/>
          <w:color w:val="auto"/>
          <w:highlight w:val="none"/>
        </w:rPr>
        <w:t>目 录</w:t>
      </w:r>
    </w:p>
    <w:p>
      <w:pPr>
        <w:pStyle w:val="15"/>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TOC \o "1-3" \h \u </w:instrText>
      </w:r>
      <w:r>
        <w:rPr>
          <w:color w:val="auto"/>
          <w:highlight w:val="none"/>
        </w:rPr>
        <w:fldChar w:fldCharType="separate"/>
      </w:r>
      <w:r>
        <w:rPr>
          <w:color w:val="auto"/>
          <w:highlight w:val="none"/>
        </w:rPr>
        <w:fldChar w:fldCharType="begin"/>
      </w:r>
      <w:r>
        <w:rPr>
          <w:color w:val="auto"/>
          <w:highlight w:val="none"/>
        </w:rPr>
        <w:instrText xml:space="preserve"> HYPERLINK \l "_Toc89846161" </w:instrText>
      </w:r>
      <w:r>
        <w:rPr>
          <w:color w:val="auto"/>
          <w:highlight w:val="none"/>
        </w:rPr>
        <w:fldChar w:fldCharType="separate"/>
      </w:r>
      <w:r>
        <w:rPr>
          <w:rStyle w:val="23"/>
          <w:color w:val="auto"/>
          <w:highlight w:val="none"/>
        </w:rPr>
        <w:t>1． 总则</w:t>
      </w:r>
      <w:r>
        <w:rPr>
          <w:color w:val="auto"/>
          <w:highlight w:val="none"/>
        </w:rPr>
        <w:tab/>
      </w:r>
      <w:r>
        <w:rPr>
          <w:color w:val="auto"/>
          <w:highlight w:val="none"/>
        </w:rPr>
        <w:fldChar w:fldCharType="begin"/>
      </w:r>
      <w:r>
        <w:rPr>
          <w:color w:val="auto"/>
          <w:highlight w:val="none"/>
        </w:rPr>
        <w:instrText xml:space="preserve"> PAGEREF _Toc89846161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15"/>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"_Toc89846162" </w:instrText>
      </w:r>
      <w:r>
        <w:rPr>
          <w:color w:val="auto"/>
          <w:highlight w:val="none"/>
        </w:rPr>
        <w:fldChar w:fldCharType="separate"/>
      </w:r>
      <w:r>
        <w:rPr>
          <w:rStyle w:val="23"/>
          <w:color w:val="auto"/>
          <w:highlight w:val="none"/>
        </w:rPr>
        <w:t>2． 工程概况</w:t>
      </w:r>
      <w:r>
        <w:rPr>
          <w:color w:val="auto"/>
          <w:highlight w:val="none"/>
        </w:rPr>
        <w:tab/>
      </w:r>
      <w:r>
        <w:rPr>
          <w:color w:val="auto"/>
          <w:highlight w:val="none"/>
        </w:rPr>
        <w:fldChar w:fldCharType="begin"/>
      </w:r>
      <w:r>
        <w:rPr>
          <w:color w:val="auto"/>
          <w:highlight w:val="none"/>
        </w:rPr>
        <w:instrText xml:space="preserve"> PAGEREF _Toc89846162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18"/>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"_Toc89846163" </w:instrText>
      </w:r>
      <w:r>
        <w:rPr>
          <w:color w:val="auto"/>
          <w:highlight w:val="none"/>
        </w:rPr>
        <w:fldChar w:fldCharType="separate"/>
      </w:r>
      <w:r>
        <w:rPr>
          <w:rStyle w:val="23"/>
          <w:rFonts w:asciiTheme="minorEastAsia" w:hAnsiTheme="minorEastAsia" w:cstheme="minorEastAsia"/>
          <w:color w:val="auto"/>
          <w:kern w:val="0"/>
          <w:highlight w:val="none"/>
          <w:lang w:val="zh-CN"/>
        </w:rPr>
        <w:t>2.1 建设规模</w:t>
      </w:r>
      <w:r>
        <w:rPr>
          <w:color w:val="auto"/>
          <w:highlight w:val="none"/>
        </w:rPr>
        <w:tab/>
      </w:r>
      <w:r>
        <w:rPr>
          <w:color w:val="auto"/>
          <w:highlight w:val="none"/>
        </w:rPr>
        <w:fldChar w:fldCharType="begin"/>
      </w:r>
      <w:r>
        <w:rPr>
          <w:color w:val="auto"/>
          <w:highlight w:val="none"/>
        </w:rPr>
        <w:instrText xml:space="preserve"> PAGEREF _Toc89846163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18"/>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"_Toc89846164" </w:instrText>
      </w:r>
      <w:r>
        <w:rPr>
          <w:color w:val="auto"/>
          <w:highlight w:val="none"/>
        </w:rPr>
        <w:fldChar w:fldCharType="separate"/>
      </w:r>
      <w:r>
        <w:rPr>
          <w:rStyle w:val="23"/>
          <w:rFonts w:asciiTheme="minorEastAsia" w:hAnsiTheme="minorEastAsia" w:cstheme="minorEastAsia"/>
          <w:color w:val="auto"/>
          <w:kern w:val="0"/>
          <w:highlight w:val="none"/>
          <w:lang w:val="zh-CN"/>
        </w:rPr>
        <w:t>2.2 设备的使用条件</w:t>
      </w:r>
      <w:r>
        <w:rPr>
          <w:color w:val="auto"/>
          <w:highlight w:val="none"/>
        </w:rPr>
        <w:tab/>
      </w:r>
      <w:r>
        <w:rPr>
          <w:color w:val="auto"/>
          <w:highlight w:val="none"/>
        </w:rPr>
        <w:fldChar w:fldCharType="begin"/>
      </w:r>
      <w:r>
        <w:rPr>
          <w:color w:val="auto"/>
          <w:highlight w:val="none"/>
        </w:rPr>
        <w:instrText xml:space="preserve"> PAGEREF _Toc89846164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18"/>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"_Toc89846165" </w:instrText>
      </w:r>
      <w:r>
        <w:rPr>
          <w:color w:val="auto"/>
          <w:highlight w:val="none"/>
        </w:rPr>
        <w:fldChar w:fldCharType="separate"/>
      </w:r>
      <w:r>
        <w:rPr>
          <w:rStyle w:val="23"/>
          <w:rFonts w:asciiTheme="minorEastAsia" w:hAnsiTheme="minorEastAsia" w:cstheme="minorEastAsia"/>
          <w:color w:val="auto"/>
          <w:kern w:val="0"/>
          <w:highlight w:val="none"/>
          <w:lang w:val="zh-CN"/>
        </w:rPr>
        <w:t>2.3 机组运行条件</w:t>
      </w:r>
      <w:r>
        <w:rPr>
          <w:color w:val="auto"/>
          <w:highlight w:val="none"/>
        </w:rPr>
        <w:tab/>
      </w:r>
      <w:r>
        <w:rPr>
          <w:color w:val="auto"/>
          <w:highlight w:val="none"/>
        </w:rPr>
        <w:fldChar w:fldCharType="begin"/>
      </w:r>
      <w:r>
        <w:rPr>
          <w:color w:val="auto"/>
          <w:highlight w:val="none"/>
        </w:rPr>
        <w:instrText xml:space="preserve"> PAGEREF _Toc89846165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15"/>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"_Toc89846166" </w:instrText>
      </w:r>
      <w:r>
        <w:rPr>
          <w:color w:val="auto"/>
          <w:highlight w:val="none"/>
        </w:rPr>
        <w:fldChar w:fldCharType="separate"/>
      </w:r>
      <w:r>
        <w:rPr>
          <w:rStyle w:val="23"/>
          <w:rFonts w:asciiTheme="minorEastAsia" w:hAnsiTheme="minorEastAsia" w:cstheme="minorEastAsia"/>
          <w:color w:val="auto"/>
          <w:highlight w:val="none"/>
        </w:rPr>
        <w:t>3．</w:t>
      </w:r>
      <w:r>
        <w:rPr>
          <w:rStyle w:val="23"/>
          <w:rFonts w:asciiTheme="minorEastAsia" w:hAnsiTheme="minorEastAsia" w:cstheme="minorEastAsia"/>
          <w:color w:val="auto"/>
          <w:highlight w:val="none"/>
          <w:lang w:val="zh-CN"/>
        </w:rPr>
        <w:t xml:space="preserve"> 气象条件和地理条件</w:t>
      </w:r>
      <w:r>
        <w:rPr>
          <w:color w:val="auto"/>
          <w:highlight w:val="none"/>
        </w:rPr>
        <w:tab/>
      </w:r>
      <w:r>
        <w:rPr>
          <w:color w:val="auto"/>
          <w:highlight w:val="none"/>
        </w:rPr>
        <w:fldChar w:fldCharType="begin"/>
      </w:r>
      <w:r>
        <w:rPr>
          <w:color w:val="auto"/>
          <w:highlight w:val="none"/>
        </w:rPr>
        <w:instrText xml:space="preserve"> PAGEREF _Toc89846166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18"/>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"_Toc89846167" </w:instrText>
      </w:r>
      <w:r>
        <w:rPr>
          <w:color w:val="auto"/>
          <w:highlight w:val="none"/>
        </w:rPr>
        <w:fldChar w:fldCharType="separate"/>
      </w:r>
      <w:r>
        <w:rPr>
          <w:rStyle w:val="23"/>
          <w:rFonts w:asciiTheme="minorEastAsia" w:hAnsiTheme="minorEastAsia" w:cstheme="minorEastAsia"/>
          <w:color w:val="auto"/>
          <w:kern w:val="0"/>
          <w:highlight w:val="none"/>
          <w:lang w:val="zh-CN"/>
        </w:rPr>
        <w:t>3.1 气象条件</w:t>
      </w:r>
      <w:r>
        <w:rPr>
          <w:color w:val="auto"/>
          <w:highlight w:val="none"/>
        </w:rPr>
        <w:tab/>
      </w:r>
      <w:r>
        <w:rPr>
          <w:color w:val="auto"/>
          <w:highlight w:val="none"/>
        </w:rPr>
        <w:fldChar w:fldCharType="begin"/>
      </w:r>
      <w:r>
        <w:rPr>
          <w:color w:val="auto"/>
          <w:highlight w:val="none"/>
        </w:rPr>
        <w:instrText xml:space="preserve"> PAGEREF _Toc89846167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18"/>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"_Toc89846168" </w:instrText>
      </w:r>
      <w:r>
        <w:rPr>
          <w:color w:val="auto"/>
          <w:highlight w:val="none"/>
        </w:rPr>
        <w:fldChar w:fldCharType="separate"/>
      </w:r>
      <w:r>
        <w:rPr>
          <w:rStyle w:val="23"/>
          <w:rFonts w:asciiTheme="minorEastAsia" w:hAnsiTheme="minorEastAsia" w:cstheme="minorEastAsia"/>
          <w:color w:val="auto"/>
          <w:kern w:val="0"/>
          <w:highlight w:val="none"/>
          <w:lang w:val="zh-CN"/>
        </w:rPr>
        <w:t>3.2 地理条件</w:t>
      </w:r>
      <w:r>
        <w:rPr>
          <w:color w:val="auto"/>
          <w:highlight w:val="none"/>
        </w:rPr>
        <w:tab/>
      </w:r>
      <w:r>
        <w:rPr>
          <w:color w:val="auto"/>
          <w:highlight w:val="none"/>
        </w:rPr>
        <w:fldChar w:fldCharType="begin"/>
      </w:r>
      <w:r>
        <w:rPr>
          <w:color w:val="auto"/>
          <w:highlight w:val="none"/>
        </w:rPr>
        <w:instrText xml:space="preserve"> PAGEREF _Toc89846168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18"/>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"_Toc89846169" </w:instrText>
      </w:r>
      <w:r>
        <w:rPr>
          <w:color w:val="auto"/>
          <w:highlight w:val="none"/>
        </w:rPr>
        <w:fldChar w:fldCharType="separate"/>
      </w:r>
      <w:r>
        <w:rPr>
          <w:rStyle w:val="23"/>
          <w:rFonts w:asciiTheme="minorEastAsia" w:hAnsiTheme="minorEastAsia" w:cstheme="minorEastAsia"/>
          <w:color w:val="auto"/>
          <w:kern w:val="0"/>
          <w:highlight w:val="none"/>
          <w:lang w:val="zh-CN"/>
        </w:rPr>
        <w:t>3.3 电力供应厂用电电压等级：</w:t>
      </w:r>
      <w:r>
        <w:rPr>
          <w:color w:val="auto"/>
          <w:highlight w:val="none"/>
        </w:rPr>
        <w:tab/>
      </w:r>
      <w:r>
        <w:rPr>
          <w:color w:val="auto"/>
          <w:highlight w:val="none"/>
        </w:rPr>
        <w:fldChar w:fldCharType="begin"/>
      </w:r>
      <w:r>
        <w:rPr>
          <w:color w:val="auto"/>
          <w:highlight w:val="none"/>
        </w:rPr>
        <w:instrText xml:space="preserve"> PAGEREF _Toc89846169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15"/>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"_Toc89846170" </w:instrText>
      </w:r>
      <w:r>
        <w:rPr>
          <w:color w:val="auto"/>
          <w:highlight w:val="none"/>
        </w:rPr>
        <w:fldChar w:fldCharType="separate"/>
      </w:r>
      <w:r>
        <w:rPr>
          <w:rStyle w:val="23"/>
          <w:color w:val="auto"/>
          <w:highlight w:val="none"/>
        </w:rPr>
        <w:t>4． 设计、制造、检验标准</w:t>
      </w:r>
      <w:r>
        <w:rPr>
          <w:color w:val="auto"/>
          <w:highlight w:val="none"/>
        </w:rPr>
        <w:tab/>
      </w:r>
      <w:r>
        <w:rPr>
          <w:color w:val="auto"/>
          <w:highlight w:val="none"/>
        </w:rPr>
        <w:fldChar w:fldCharType="begin"/>
      </w:r>
      <w:r>
        <w:rPr>
          <w:color w:val="auto"/>
          <w:highlight w:val="none"/>
        </w:rPr>
        <w:instrText xml:space="preserve"> PAGEREF _Toc89846170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15"/>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"_Toc89846171" </w:instrText>
      </w:r>
      <w:r>
        <w:rPr>
          <w:color w:val="auto"/>
          <w:highlight w:val="none"/>
        </w:rPr>
        <w:fldChar w:fldCharType="separate"/>
      </w:r>
      <w:r>
        <w:rPr>
          <w:rStyle w:val="23"/>
          <w:color w:val="auto"/>
          <w:highlight w:val="none"/>
        </w:rPr>
        <w:t>5． 油罐主要技术参数及要求</w:t>
      </w:r>
      <w:r>
        <w:rPr>
          <w:color w:val="auto"/>
          <w:highlight w:val="none"/>
        </w:rPr>
        <w:tab/>
      </w:r>
      <w:r>
        <w:rPr>
          <w:color w:val="auto"/>
          <w:highlight w:val="none"/>
        </w:rPr>
        <w:fldChar w:fldCharType="begin"/>
      </w:r>
      <w:r>
        <w:rPr>
          <w:color w:val="auto"/>
          <w:highlight w:val="none"/>
        </w:rPr>
        <w:instrText xml:space="preserve"> PAGEREF _Toc89846171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18"/>
        <w:tabs>
          <w:tab w:val="left" w:pos="1260"/>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"_Toc89846172" </w:instrText>
      </w:r>
      <w:r>
        <w:rPr>
          <w:color w:val="auto"/>
          <w:highlight w:val="none"/>
        </w:rPr>
        <w:fldChar w:fldCharType="separate"/>
      </w:r>
      <w:r>
        <w:rPr>
          <w:rStyle w:val="23"/>
          <w:rFonts w:ascii="宋体" w:hAnsi="宋体"/>
          <w:b/>
          <w:color w:val="auto"/>
          <w:highlight w:val="none"/>
        </w:rPr>
        <w:t>5.1 技术参数</w:t>
      </w:r>
      <w:r>
        <w:rPr>
          <w:color w:val="auto"/>
          <w:highlight w:val="none"/>
        </w:rPr>
        <w:tab/>
      </w:r>
      <w:r>
        <w:rPr>
          <w:color w:val="auto"/>
          <w:highlight w:val="none"/>
        </w:rPr>
        <w:fldChar w:fldCharType="begin"/>
      </w:r>
      <w:r>
        <w:rPr>
          <w:color w:val="auto"/>
          <w:highlight w:val="none"/>
        </w:rPr>
        <w:instrText xml:space="preserve"> PAGEREF _Toc89846172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18"/>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"_Toc89846173" </w:instrText>
      </w:r>
      <w:r>
        <w:rPr>
          <w:color w:val="auto"/>
          <w:highlight w:val="none"/>
        </w:rPr>
        <w:fldChar w:fldCharType="separate"/>
      </w:r>
      <w:r>
        <w:rPr>
          <w:rStyle w:val="23"/>
          <w:rFonts w:ascii="宋体" w:hAnsi="宋体"/>
          <w:b/>
          <w:color w:val="auto"/>
          <w:highlight w:val="none"/>
        </w:rPr>
        <w:t>5.2 技术要求</w:t>
      </w:r>
      <w:r>
        <w:rPr>
          <w:color w:val="auto"/>
          <w:highlight w:val="none"/>
        </w:rPr>
        <w:tab/>
      </w:r>
      <w:r>
        <w:rPr>
          <w:color w:val="auto"/>
          <w:highlight w:val="none"/>
        </w:rPr>
        <w:fldChar w:fldCharType="begin"/>
      </w:r>
      <w:r>
        <w:rPr>
          <w:color w:val="auto"/>
          <w:highlight w:val="none"/>
        </w:rPr>
        <w:instrText xml:space="preserve"> PAGEREF _Toc89846173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15"/>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"_Toc89846174" </w:instrText>
      </w:r>
      <w:r>
        <w:rPr>
          <w:color w:val="auto"/>
          <w:highlight w:val="none"/>
        </w:rPr>
        <w:fldChar w:fldCharType="separate"/>
      </w:r>
      <w:r>
        <w:rPr>
          <w:rStyle w:val="23"/>
          <w:color w:val="auto"/>
          <w:highlight w:val="none"/>
        </w:rPr>
        <w:t>6． 招标范围</w:t>
      </w:r>
      <w:r>
        <w:rPr>
          <w:color w:val="auto"/>
          <w:highlight w:val="none"/>
        </w:rPr>
        <w:tab/>
      </w:r>
      <w:r>
        <w:rPr>
          <w:color w:val="auto"/>
          <w:highlight w:val="none"/>
        </w:rPr>
        <w:fldChar w:fldCharType="begin"/>
      </w:r>
      <w:r>
        <w:rPr>
          <w:color w:val="auto"/>
          <w:highlight w:val="none"/>
        </w:rPr>
        <w:instrText xml:space="preserve"> PAGEREF _Toc89846174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pPr>
        <w:pStyle w:val="18"/>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"_Toc89846175" </w:instrText>
      </w:r>
      <w:r>
        <w:rPr>
          <w:color w:val="auto"/>
          <w:highlight w:val="none"/>
        </w:rPr>
        <w:fldChar w:fldCharType="separate"/>
      </w:r>
      <w:r>
        <w:rPr>
          <w:rStyle w:val="23"/>
          <w:rFonts w:ascii="宋体" w:hAnsi="宋体"/>
          <w:b/>
          <w:color w:val="auto"/>
          <w:highlight w:val="none"/>
        </w:rPr>
        <w:t>6.1 一般要求</w:t>
      </w:r>
      <w:r>
        <w:rPr>
          <w:color w:val="auto"/>
          <w:highlight w:val="none"/>
        </w:rPr>
        <w:tab/>
      </w:r>
      <w:r>
        <w:rPr>
          <w:color w:val="auto"/>
          <w:highlight w:val="none"/>
        </w:rPr>
        <w:fldChar w:fldCharType="begin"/>
      </w:r>
      <w:r>
        <w:rPr>
          <w:color w:val="auto"/>
          <w:highlight w:val="none"/>
        </w:rPr>
        <w:instrText xml:space="preserve"> PAGEREF _Toc89846175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pPr>
        <w:pStyle w:val="18"/>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"_Toc89846176" </w:instrText>
      </w:r>
      <w:r>
        <w:rPr>
          <w:color w:val="auto"/>
          <w:highlight w:val="none"/>
        </w:rPr>
        <w:fldChar w:fldCharType="separate"/>
      </w:r>
      <w:r>
        <w:rPr>
          <w:rStyle w:val="23"/>
          <w:rFonts w:ascii="宋体" w:hAnsi="宋体"/>
          <w:b/>
          <w:color w:val="auto"/>
          <w:highlight w:val="none"/>
        </w:rPr>
        <w:t>6.2 设计与供货界限及接口</w:t>
      </w:r>
      <w:r>
        <w:rPr>
          <w:color w:val="auto"/>
          <w:highlight w:val="none"/>
        </w:rPr>
        <w:tab/>
      </w:r>
      <w:r>
        <w:rPr>
          <w:color w:val="auto"/>
          <w:highlight w:val="none"/>
        </w:rPr>
        <w:fldChar w:fldCharType="begin"/>
      </w:r>
      <w:r>
        <w:rPr>
          <w:color w:val="auto"/>
          <w:highlight w:val="none"/>
        </w:rPr>
        <w:instrText xml:space="preserve"> PAGEREF _Toc89846176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pPr>
        <w:pStyle w:val="18"/>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"_Toc89846177" </w:instrText>
      </w:r>
      <w:r>
        <w:rPr>
          <w:color w:val="auto"/>
          <w:highlight w:val="none"/>
        </w:rPr>
        <w:fldChar w:fldCharType="separate"/>
      </w:r>
      <w:r>
        <w:rPr>
          <w:rStyle w:val="23"/>
          <w:rFonts w:ascii="宋体" w:hAnsi="宋体"/>
          <w:b/>
          <w:color w:val="auto"/>
          <w:highlight w:val="none"/>
        </w:rPr>
        <w:t>6.3 供货范围（包括但不仅限于此）</w:t>
      </w:r>
      <w:r>
        <w:rPr>
          <w:color w:val="auto"/>
          <w:highlight w:val="none"/>
        </w:rPr>
        <w:tab/>
      </w:r>
      <w:r>
        <w:rPr>
          <w:color w:val="auto"/>
          <w:highlight w:val="none"/>
        </w:rPr>
        <w:fldChar w:fldCharType="begin"/>
      </w:r>
      <w:r>
        <w:rPr>
          <w:color w:val="auto"/>
          <w:highlight w:val="none"/>
        </w:rPr>
        <w:instrText xml:space="preserve"> PAGEREF _Toc89846177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pPr>
        <w:pStyle w:val="15"/>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"_Toc89846178" </w:instrText>
      </w:r>
      <w:r>
        <w:rPr>
          <w:color w:val="auto"/>
          <w:highlight w:val="none"/>
        </w:rPr>
        <w:fldChar w:fldCharType="separate"/>
      </w:r>
      <w:r>
        <w:rPr>
          <w:rStyle w:val="23"/>
          <w:color w:val="auto"/>
          <w:highlight w:val="none"/>
        </w:rPr>
        <w:t>7． 技术服务</w:t>
      </w:r>
      <w:r>
        <w:rPr>
          <w:color w:val="auto"/>
          <w:highlight w:val="none"/>
        </w:rPr>
        <w:tab/>
      </w:r>
      <w:r>
        <w:rPr>
          <w:color w:val="auto"/>
          <w:highlight w:val="none"/>
        </w:rPr>
        <w:fldChar w:fldCharType="begin"/>
      </w:r>
      <w:r>
        <w:rPr>
          <w:color w:val="auto"/>
          <w:highlight w:val="none"/>
        </w:rPr>
        <w:instrText xml:space="preserve"> PAGEREF _Toc89846178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pPr>
        <w:pStyle w:val="18"/>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"_Toc89846179" </w:instrText>
      </w:r>
      <w:r>
        <w:rPr>
          <w:color w:val="auto"/>
          <w:highlight w:val="none"/>
        </w:rPr>
        <w:fldChar w:fldCharType="separate"/>
      </w:r>
      <w:r>
        <w:rPr>
          <w:rStyle w:val="23"/>
          <w:rFonts w:ascii="宋体" w:hAnsi="宋体"/>
          <w:b/>
          <w:color w:val="auto"/>
          <w:highlight w:val="none"/>
        </w:rPr>
        <w:t>7.1 一般要求</w:t>
      </w:r>
      <w:r>
        <w:rPr>
          <w:color w:val="auto"/>
          <w:highlight w:val="none"/>
        </w:rPr>
        <w:tab/>
      </w:r>
      <w:r>
        <w:rPr>
          <w:color w:val="auto"/>
          <w:highlight w:val="none"/>
        </w:rPr>
        <w:fldChar w:fldCharType="begin"/>
      </w:r>
      <w:r>
        <w:rPr>
          <w:color w:val="auto"/>
          <w:highlight w:val="none"/>
        </w:rPr>
        <w:instrText xml:space="preserve"> PAGEREF _Toc89846179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pPr>
        <w:pStyle w:val="18"/>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"_Toc89846180" </w:instrText>
      </w:r>
      <w:r>
        <w:rPr>
          <w:color w:val="auto"/>
          <w:highlight w:val="none"/>
        </w:rPr>
        <w:fldChar w:fldCharType="separate"/>
      </w:r>
      <w:r>
        <w:rPr>
          <w:rStyle w:val="23"/>
          <w:rFonts w:ascii="宋体" w:hAnsi="宋体"/>
          <w:b/>
          <w:color w:val="auto"/>
          <w:highlight w:val="none"/>
        </w:rPr>
        <w:t>7.2 文件提交的具体要求</w:t>
      </w:r>
      <w:r>
        <w:rPr>
          <w:color w:val="auto"/>
          <w:highlight w:val="none"/>
        </w:rPr>
        <w:tab/>
      </w:r>
      <w:r>
        <w:rPr>
          <w:color w:val="auto"/>
          <w:highlight w:val="none"/>
        </w:rPr>
        <w:fldChar w:fldCharType="begin"/>
      </w:r>
      <w:r>
        <w:rPr>
          <w:color w:val="auto"/>
          <w:highlight w:val="none"/>
        </w:rPr>
        <w:instrText xml:space="preserve"> PAGEREF _Toc89846180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pPr>
        <w:pStyle w:val="18"/>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"_Toc89846181" </w:instrText>
      </w:r>
      <w:r>
        <w:rPr>
          <w:color w:val="auto"/>
          <w:highlight w:val="none"/>
        </w:rPr>
        <w:fldChar w:fldCharType="separate"/>
      </w:r>
      <w:r>
        <w:rPr>
          <w:rStyle w:val="23"/>
          <w:rFonts w:ascii="宋体" w:hAnsi="宋体"/>
          <w:b/>
          <w:color w:val="auto"/>
          <w:highlight w:val="none"/>
        </w:rPr>
        <w:t>7.3 资料提交的具体要求</w:t>
      </w:r>
      <w:r>
        <w:rPr>
          <w:color w:val="auto"/>
          <w:highlight w:val="none"/>
        </w:rPr>
        <w:tab/>
      </w:r>
      <w:r>
        <w:rPr>
          <w:color w:val="auto"/>
          <w:highlight w:val="none"/>
        </w:rPr>
        <w:fldChar w:fldCharType="begin"/>
      </w:r>
      <w:r>
        <w:rPr>
          <w:color w:val="auto"/>
          <w:highlight w:val="none"/>
        </w:rPr>
        <w:instrText xml:space="preserve"> PAGEREF _Toc89846181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pPr>
        <w:pStyle w:val="15"/>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"_Toc89846182" </w:instrText>
      </w:r>
      <w:r>
        <w:rPr>
          <w:color w:val="auto"/>
          <w:highlight w:val="none"/>
        </w:rPr>
        <w:fldChar w:fldCharType="separate"/>
      </w:r>
      <w:r>
        <w:rPr>
          <w:rStyle w:val="23"/>
          <w:color w:val="auto"/>
          <w:highlight w:val="none"/>
        </w:rPr>
        <w:t>8． 监造和检验</w:t>
      </w:r>
      <w:r>
        <w:rPr>
          <w:color w:val="auto"/>
          <w:highlight w:val="none"/>
        </w:rPr>
        <w:tab/>
      </w:r>
      <w:r>
        <w:rPr>
          <w:color w:val="auto"/>
          <w:highlight w:val="none"/>
        </w:rPr>
        <w:fldChar w:fldCharType="begin"/>
      </w:r>
      <w:r>
        <w:rPr>
          <w:color w:val="auto"/>
          <w:highlight w:val="none"/>
        </w:rPr>
        <w:instrText xml:space="preserve"> PAGEREF _Toc89846182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pPr>
        <w:pStyle w:val="18"/>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"_Toc89846183" </w:instrText>
      </w:r>
      <w:r>
        <w:rPr>
          <w:color w:val="auto"/>
          <w:highlight w:val="none"/>
        </w:rPr>
        <w:fldChar w:fldCharType="separate"/>
      </w:r>
      <w:r>
        <w:rPr>
          <w:rStyle w:val="23"/>
          <w:rFonts w:ascii="宋体" w:hAnsi="宋体"/>
          <w:b/>
          <w:color w:val="auto"/>
          <w:highlight w:val="none"/>
        </w:rPr>
        <w:t>8.1 设备监造</w:t>
      </w:r>
      <w:r>
        <w:rPr>
          <w:color w:val="auto"/>
          <w:highlight w:val="none"/>
        </w:rPr>
        <w:tab/>
      </w:r>
      <w:r>
        <w:rPr>
          <w:color w:val="auto"/>
          <w:highlight w:val="none"/>
        </w:rPr>
        <w:fldChar w:fldCharType="begin"/>
      </w:r>
      <w:r>
        <w:rPr>
          <w:color w:val="auto"/>
          <w:highlight w:val="none"/>
        </w:rPr>
        <w:instrText xml:space="preserve"> PAGEREF _Toc89846183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pPr>
        <w:pStyle w:val="18"/>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"_Toc89846184" </w:instrText>
      </w:r>
      <w:r>
        <w:rPr>
          <w:color w:val="auto"/>
          <w:highlight w:val="none"/>
        </w:rPr>
        <w:fldChar w:fldCharType="separate"/>
      </w:r>
      <w:r>
        <w:rPr>
          <w:rStyle w:val="23"/>
          <w:rFonts w:ascii="宋体" w:hAnsi="宋体"/>
          <w:b/>
          <w:color w:val="auto"/>
          <w:highlight w:val="none"/>
        </w:rPr>
        <w:t>8.2 监造方式</w:t>
      </w:r>
      <w:r>
        <w:rPr>
          <w:color w:val="auto"/>
          <w:highlight w:val="none"/>
        </w:rPr>
        <w:tab/>
      </w:r>
      <w:r>
        <w:rPr>
          <w:color w:val="auto"/>
          <w:highlight w:val="none"/>
        </w:rPr>
        <w:fldChar w:fldCharType="begin"/>
      </w:r>
      <w:r>
        <w:rPr>
          <w:color w:val="auto"/>
          <w:highlight w:val="none"/>
        </w:rPr>
        <w:instrText xml:space="preserve"> PAGEREF _Toc89846184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pPr>
        <w:pStyle w:val="15"/>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"_Toc89846185" </w:instrText>
      </w:r>
      <w:r>
        <w:rPr>
          <w:color w:val="auto"/>
          <w:highlight w:val="none"/>
        </w:rPr>
        <w:fldChar w:fldCharType="separate"/>
      </w:r>
      <w:r>
        <w:rPr>
          <w:rStyle w:val="23"/>
          <w:color w:val="auto"/>
          <w:highlight w:val="none"/>
        </w:rPr>
        <w:t>9． 质量保证与性能验收</w:t>
      </w:r>
      <w:r>
        <w:rPr>
          <w:color w:val="auto"/>
          <w:highlight w:val="none"/>
        </w:rPr>
        <w:tab/>
      </w:r>
      <w:r>
        <w:rPr>
          <w:color w:val="auto"/>
          <w:highlight w:val="none"/>
        </w:rPr>
        <w:fldChar w:fldCharType="begin"/>
      </w:r>
      <w:r>
        <w:rPr>
          <w:color w:val="auto"/>
          <w:highlight w:val="none"/>
        </w:rPr>
        <w:instrText xml:space="preserve"> PAGEREF _Toc89846185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pPr>
        <w:pStyle w:val="18"/>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"_Toc89846186" </w:instrText>
      </w:r>
      <w:r>
        <w:rPr>
          <w:color w:val="auto"/>
          <w:highlight w:val="none"/>
        </w:rPr>
        <w:fldChar w:fldCharType="separate"/>
      </w:r>
      <w:r>
        <w:rPr>
          <w:rStyle w:val="23"/>
          <w:rFonts w:ascii="宋体" w:hAnsi="宋体"/>
          <w:b/>
          <w:color w:val="auto"/>
          <w:highlight w:val="none"/>
        </w:rPr>
        <w:t>9.1 质量保证</w:t>
      </w:r>
      <w:r>
        <w:rPr>
          <w:color w:val="auto"/>
          <w:highlight w:val="none"/>
        </w:rPr>
        <w:tab/>
      </w:r>
      <w:r>
        <w:rPr>
          <w:color w:val="auto"/>
          <w:highlight w:val="none"/>
        </w:rPr>
        <w:fldChar w:fldCharType="begin"/>
      </w:r>
      <w:r>
        <w:rPr>
          <w:color w:val="auto"/>
          <w:highlight w:val="none"/>
        </w:rPr>
        <w:instrText xml:space="preserve"> PAGEREF _Toc89846186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pPr>
        <w:pStyle w:val="18"/>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"_Toc89846187" </w:instrText>
      </w:r>
      <w:r>
        <w:rPr>
          <w:color w:val="auto"/>
          <w:highlight w:val="none"/>
        </w:rPr>
        <w:fldChar w:fldCharType="separate"/>
      </w:r>
      <w:r>
        <w:rPr>
          <w:rStyle w:val="23"/>
          <w:rFonts w:ascii="宋体" w:hAnsi="宋体"/>
          <w:b/>
          <w:color w:val="auto"/>
          <w:highlight w:val="none"/>
        </w:rPr>
        <w:t>9.2 性能验收</w:t>
      </w:r>
      <w:r>
        <w:rPr>
          <w:color w:val="auto"/>
          <w:highlight w:val="none"/>
        </w:rPr>
        <w:tab/>
      </w:r>
      <w:r>
        <w:rPr>
          <w:color w:val="auto"/>
          <w:highlight w:val="none"/>
        </w:rPr>
        <w:fldChar w:fldCharType="begin"/>
      </w:r>
      <w:r>
        <w:rPr>
          <w:color w:val="auto"/>
          <w:highlight w:val="none"/>
        </w:rPr>
        <w:instrText xml:space="preserve"> PAGEREF _Toc89846187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pPr>
        <w:pStyle w:val="15"/>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"_Toc89846188" </w:instrText>
      </w:r>
      <w:r>
        <w:rPr>
          <w:color w:val="auto"/>
          <w:highlight w:val="none"/>
        </w:rPr>
        <w:fldChar w:fldCharType="separate"/>
      </w:r>
      <w:r>
        <w:rPr>
          <w:rStyle w:val="23"/>
          <w:color w:val="auto"/>
          <w:highlight w:val="none"/>
        </w:rPr>
        <w:t>10． 设备出厂运输与储存</w:t>
      </w:r>
      <w:r>
        <w:rPr>
          <w:color w:val="auto"/>
          <w:highlight w:val="none"/>
        </w:rPr>
        <w:tab/>
      </w:r>
      <w:r>
        <w:rPr>
          <w:color w:val="auto"/>
          <w:highlight w:val="none"/>
        </w:rPr>
        <w:fldChar w:fldCharType="begin"/>
      </w:r>
      <w:r>
        <w:rPr>
          <w:color w:val="auto"/>
          <w:highlight w:val="none"/>
        </w:rPr>
        <w:instrText xml:space="preserve"> PAGEREF _Toc89846188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pPr>
        <w:pStyle w:val="15"/>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"_Toc89846189" </w:instrText>
      </w:r>
      <w:r>
        <w:rPr>
          <w:color w:val="auto"/>
          <w:highlight w:val="none"/>
        </w:rPr>
        <w:fldChar w:fldCharType="separate"/>
      </w:r>
      <w:r>
        <w:rPr>
          <w:rStyle w:val="23"/>
          <w:color w:val="auto"/>
          <w:highlight w:val="none"/>
        </w:rPr>
        <w:t>11． 交货时间与交货状态</w:t>
      </w:r>
      <w:r>
        <w:rPr>
          <w:color w:val="auto"/>
          <w:highlight w:val="none"/>
        </w:rPr>
        <w:tab/>
      </w:r>
      <w:r>
        <w:rPr>
          <w:color w:val="auto"/>
          <w:highlight w:val="none"/>
        </w:rPr>
        <w:fldChar w:fldCharType="begin"/>
      </w:r>
      <w:r>
        <w:rPr>
          <w:color w:val="auto"/>
          <w:highlight w:val="none"/>
        </w:rPr>
        <w:instrText xml:space="preserve"> PAGEREF _Toc89846189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pPr>
        <w:pStyle w:val="15"/>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"_Toc89846190" </w:instrText>
      </w:r>
      <w:r>
        <w:rPr>
          <w:color w:val="auto"/>
          <w:highlight w:val="none"/>
        </w:rPr>
        <w:fldChar w:fldCharType="separate"/>
      </w:r>
      <w:r>
        <w:rPr>
          <w:rStyle w:val="23"/>
          <w:color w:val="auto"/>
          <w:highlight w:val="none"/>
        </w:rPr>
        <w:t>12． 设计联络及售后服务</w:t>
      </w:r>
      <w:r>
        <w:rPr>
          <w:color w:val="auto"/>
          <w:highlight w:val="none"/>
        </w:rPr>
        <w:tab/>
      </w:r>
      <w:r>
        <w:rPr>
          <w:color w:val="auto"/>
          <w:highlight w:val="none"/>
        </w:rPr>
        <w:fldChar w:fldCharType="begin"/>
      </w:r>
      <w:r>
        <w:rPr>
          <w:color w:val="auto"/>
          <w:highlight w:val="none"/>
        </w:rPr>
        <w:instrText xml:space="preserve"> PAGEREF _Toc89846190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pPr>
        <w:pStyle w:val="15"/>
        <w:tabs>
          <w:tab w:val="right" w:leader="dot" w:pos="9060"/>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"_Toc89846191" </w:instrText>
      </w:r>
      <w:r>
        <w:rPr>
          <w:color w:val="auto"/>
          <w:highlight w:val="none"/>
        </w:rPr>
        <w:fldChar w:fldCharType="separate"/>
      </w:r>
      <w:r>
        <w:rPr>
          <w:rStyle w:val="23"/>
          <w:color w:val="auto"/>
          <w:highlight w:val="none"/>
        </w:rPr>
        <w:t>13． 调试</w:t>
      </w:r>
      <w:r>
        <w:rPr>
          <w:color w:val="auto"/>
          <w:highlight w:val="none"/>
        </w:rPr>
        <w:tab/>
      </w:r>
      <w:r>
        <w:rPr>
          <w:color w:val="auto"/>
          <w:highlight w:val="none"/>
        </w:rPr>
        <w:fldChar w:fldCharType="begin"/>
      </w:r>
      <w:r>
        <w:rPr>
          <w:color w:val="auto"/>
          <w:highlight w:val="none"/>
        </w:rPr>
        <w:instrText xml:space="preserve"> PAGEREF _Toc89846191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pPr>
        <w:rPr>
          <w:color w:val="auto"/>
          <w:highlight w:val="none"/>
        </w:rPr>
      </w:pPr>
      <w:r>
        <w:rPr>
          <w:color w:val="auto"/>
          <w:highlight w:val="none"/>
        </w:rPr>
        <w:fldChar w:fldCharType="end"/>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sectPr>
          <w:headerReference r:id="rId3" w:type="first"/>
          <w:footerReference r:id="rId4" w:type="default"/>
          <w:pgSz w:w="11906" w:h="16838"/>
          <w:pgMar w:top="1134" w:right="1418" w:bottom="1134" w:left="1418" w:header="1021" w:footer="1021" w:gutter="0"/>
          <w:cols w:space="720" w:num="1"/>
          <w:docGrid w:type="lines" w:linePitch="312" w:charSpace="0"/>
        </w:sectPr>
      </w:pPr>
    </w:p>
    <w:p>
      <w:pPr>
        <w:pStyle w:val="32"/>
        <w:numPr>
          <w:ilvl w:val="0"/>
          <w:numId w:val="4"/>
        </w:numPr>
        <w:tabs>
          <w:tab w:val="left" w:pos="720"/>
        </w:tabs>
        <w:ind w:firstLine="0"/>
        <w:outlineLvl w:val="0"/>
        <w:rPr>
          <w:color w:val="auto"/>
          <w:highlight w:val="none"/>
        </w:rPr>
      </w:pPr>
      <w:bookmarkStart w:id="0" w:name="_Toc89846161"/>
      <w:bookmarkStart w:id="1" w:name="_Toc19156"/>
      <w:r>
        <w:rPr>
          <w:rFonts w:hint="eastAsia"/>
          <w:color w:val="auto"/>
          <w:highlight w:val="none"/>
        </w:rPr>
        <w:t>总则</w:t>
      </w:r>
      <w:bookmarkEnd w:id="0"/>
    </w:p>
    <w:p>
      <w:pPr>
        <w:autoSpaceDE w:val="0"/>
        <w:autoSpaceDN w:val="0"/>
        <w:spacing w:line="360" w:lineRule="auto"/>
        <w:rPr>
          <w:color w:val="auto"/>
          <w:highlight w:val="none"/>
        </w:rPr>
      </w:pPr>
      <w:r>
        <w:rPr>
          <w:rFonts w:hint="eastAsia" w:asciiTheme="minorEastAsia" w:hAnsiTheme="minorEastAsia" w:eastAsiaTheme="minorEastAsia" w:cstheme="minorEastAsia"/>
          <w:color w:val="auto"/>
          <w:sz w:val="24"/>
          <w:highlight w:val="none"/>
        </w:rPr>
        <w:t>1.1本招标文件适用于</w:t>
      </w:r>
      <w:r>
        <w:rPr>
          <w:rFonts w:hint="eastAsia" w:ascii="宋体" w:hAnsi="宋体"/>
          <w:color w:val="auto"/>
          <w:sz w:val="24"/>
          <w:highlight w:val="none"/>
        </w:rPr>
        <w:t>郁南循环热力发电项目（一期）工程</w:t>
      </w:r>
      <w:r>
        <w:rPr>
          <w:rFonts w:hint="eastAsia" w:asciiTheme="minorEastAsia" w:hAnsiTheme="minorEastAsia" w:eastAsiaTheme="minorEastAsia" w:cstheme="minorEastAsia"/>
          <w:color w:val="auto"/>
          <w:sz w:val="24"/>
          <w:highlight w:val="none"/>
        </w:rPr>
        <w:t>,它提出了该设备的功能设计、制造、结构、性能、安装、调试、和试验等方面的技术要求。</w:t>
      </w:r>
    </w:p>
    <w:p>
      <w:pPr>
        <w:autoSpaceDE w:val="0"/>
        <w:autoSpaceDN w:val="0"/>
        <w:spacing w:line="360" w:lineRule="auto"/>
        <w:rPr>
          <w:rFonts w:asciiTheme="minorEastAsia" w:hAnsiTheme="minorEastAsia" w:eastAsiaTheme="minorEastAsia" w:cstheme="minorEastAsia"/>
          <w:snapToGrid w:val="0"/>
          <w:color w:val="auto"/>
          <w:sz w:val="24"/>
          <w:highlight w:val="none"/>
        </w:rPr>
      </w:pPr>
      <w:bookmarkStart w:id="2" w:name="_Toc30696"/>
      <w:bookmarkStart w:id="3" w:name="_Toc24044"/>
      <w:bookmarkStart w:id="4" w:name="_Toc19039"/>
      <w:r>
        <w:rPr>
          <w:rFonts w:hint="eastAsia" w:asciiTheme="minorEastAsia" w:hAnsiTheme="minorEastAsia" w:eastAsiaTheme="minorEastAsia" w:cstheme="minorEastAsia"/>
          <w:snapToGrid w:val="0"/>
          <w:color w:val="auto"/>
          <w:sz w:val="24"/>
          <w:highlight w:val="none"/>
        </w:rPr>
        <w:t>1.2 招标方在本招标文件中仅提出了最低限度的技术要求，并未规定所有的技术要求和适用的标准，投标方有责任提供一套满足本招标文件和其它标准要求的高质量产品及其相应服务。必须</w:t>
      </w:r>
      <w:r>
        <w:rPr>
          <w:rFonts w:hint="eastAsia" w:asciiTheme="minorEastAsia" w:hAnsiTheme="minorEastAsia" w:eastAsiaTheme="minorEastAsia" w:cstheme="minorEastAsia"/>
          <w:color w:val="auto"/>
          <w:sz w:val="24"/>
          <w:highlight w:val="none"/>
        </w:rPr>
        <w:t>满足国家有关安全、环保等强制性标准</w:t>
      </w:r>
      <w:r>
        <w:rPr>
          <w:rFonts w:hint="eastAsia" w:asciiTheme="minorEastAsia" w:hAnsiTheme="minorEastAsia" w:eastAsiaTheme="minorEastAsia" w:cstheme="minorEastAsia"/>
          <w:snapToGrid w:val="0"/>
          <w:color w:val="auto"/>
          <w:sz w:val="24"/>
          <w:highlight w:val="none"/>
        </w:rPr>
        <w:t>，必须满足其要求（如锅炉与压力容器、高电压设备等）。所使用的单位为国家法定计量单位制。</w:t>
      </w:r>
    </w:p>
    <w:p>
      <w:pPr>
        <w:spacing w:line="360" w:lineRule="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napToGrid w:val="0"/>
          <w:color w:val="auto"/>
          <w:sz w:val="24"/>
          <w:highlight w:val="none"/>
        </w:rPr>
        <w:t>1.3</w:t>
      </w:r>
      <w:r>
        <w:rPr>
          <w:rFonts w:hint="eastAsia" w:asciiTheme="minorEastAsia" w:hAnsiTheme="minorEastAsia" w:eastAsiaTheme="minorEastAsia" w:cstheme="minorEastAsia"/>
          <w:color w:val="auto"/>
          <w:sz w:val="24"/>
          <w:highlight w:val="none"/>
        </w:rPr>
        <w:t>投标方提供的设备应是成熟可靠、技术先进的产品，制造厂应有同等容量设备制造、运行的成功经验，并提供详细业绩清单。投标方还应在投标文件中说明投标设备的主要结构特点。</w:t>
      </w:r>
    </w:p>
    <w:p>
      <w:pPr>
        <w:spacing w:line="360" w:lineRule="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1.4</w:t>
      </w:r>
      <w:r>
        <w:rPr>
          <w:rFonts w:hint="eastAsia" w:asciiTheme="minorEastAsia" w:hAnsiTheme="minorEastAsia" w:eastAsiaTheme="minorEastAsia" w:cstheme="minorEastAsia"/>
          <w:snapToGrid w:val="0"/>
          <w:color w:val="auto"/>
          <w:sz w:val="24"/>
          <w:highlight w:val="none"/>
        </w:rPr>
        <w:t>投标方如对本招标文件任何条款存有偏差，都必须清楚地表示在本招标文件的“差异表”中，否则招标方将认为投标方完全接受和同意本招标文件的相应要求。</w:t>
      </w:r>
      <w:r>
        <w:rPr>
          <w:rFonts w:hint="eastAsia" w:asciiTheme="minorEastAsia" w:hAnsiTheme="minorEastAsia" w:eastAsiaTheme="minorEastAsia" w:cstheme="minorEastAsia"/>
          <w:color w:val="auto"/>
          <w:sz w:val="24"/>
          <w:highlight w:val="none"/>
        </w:rPr>
        <w:t>投标方如有优于本招标文件基本要求的条款，也应在投标文件中特殊说明。</w:t>
      </w:r>
    </w:p>
    <w:p>
      <w:pPr>
        <w:spacing w:line="360" w:lineRule="auto"/>
        <w:rPr>
          <w:rFonts w:asciiTheme="minorEastAsia" w:hAnsiTheme="minorEastAsia" w:eastAsiaTheme="minorEastAsia" w:cstheme="minorEastAsia"/>
          <w:snapToGrid w:val="0"/>
          <w:color w:val="auto"/>
          <w:sz w:val="24"/>
          <w:highlight w:val="none"/>
        </w:rPr>
      </w:pPr>
      <w:r>
        <w:rPr>
          <w:rFonts w:hint="eastAsia" w:asciiTheme="minorEastAsia" w:hAnsiTheme="minorEastAsia" w:eastAsiaTheme="minorEastAsia" w:cstheme="minorEastAsia"/>
          <w:snapToGrid w:val="0"/>
          <w:color w:val="auto"/>
          <w:sz w:val="24"/>
          <w:highlight w:val="none"/>
        </w:rPr>
        <w:t>1.5投标方若有国外制造商的技术支持和性能保证，应在投标文件中详细说明。</w:t>
      </w:r>
    </w:p>
    <w:p>
      <w:pPr>
        <w:spacing w:line="360" w:lineRule="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1.6 投标方应执行本招标文件所列标准，有不一致时，按较高标准执行。投标方在设备设计和制造中所涉及的各项规程、规范和标准必须遵循现行最新标准版本。若投标方所提供的投标文件前后有不一致的地方，应以更有利于设备安装运行、工程质量为原则，由招标方确定。</w:t>
      </w:r>
    </w:p>
    <w:p>
      <w:pPr>
        <w:spacing w:line="360" w:lineRule="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1.7投标方对供货范围内的成套系统设备（含辅助系统及设备、附件等）负有全责，即包括分包（或对外采购）的产品。分包（或对外采购）的主要产品制造商应征得招标方的认可。对于投标方配套的控制装置、仪表设备，投标方应考虑和提供与DCS控制系统的接口并负责与DCS控制系统的协调配合，直至接口完备。</w:t>
      </w:r>
    </w:p>
    <w:p>
      <w:pPr>
        <w:spacing w:line="360" w:lineRule="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1.8在合同签定后，招标方有权因规范、标准、规程发生变化而提出一些补充要求，在设备投料生产前，投标方将在设计上给以修改。</w:t>
      </w:r>
    </w:p>
    <w:p>
      <w:pPr>
        <w:spacing w:line="360" w:lineRule="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1.9投标方应承诺同相关方相配合，以提供一个技术性能最优的供货范围内的成套系统设备，且投标方需配合招标方完成项目达标投产、等级评定、节能评估、项目后评估等。</w:t>
      </w:r>
    </w:p>
    <w:p>
      <w:pPr>
        <w:spacing w:line="360" w:lineRule="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1.10本招标文件将为订货合同的附件，与合同正文具有同等效力。</w:t>
      </w:r>
    </w:p>
    <w:p>
      <w:pPr>
        <w:spacing w:line="360" w:lineRule="auto"/>
        <w:rPr>
          <w:rFonts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1.11投标人后续经招投标双方确认的澄清文件内容的理解如有异议，解释权归招标人。</w:t>
      </w:r>
    </w:p>
    <w:p>
      <w:pPr>
        <w:spacing w:line="360" w:lineRule="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1.12本工程采用电厂标识系统，编码深度到元件级，投标方提供的技术资料（包括图纸）和设备的标识有编码，编码标准符合电厂标识系统编码标准（GB/T 50549-2010）的要求。具体标识要求由设计院在以后的设计联络会上提出。</w:t>
      </w:r>
    </w:p>
    <w:p>
      <w:pPr>
        <w:spacing w:line="360" w:lineRule="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1.14设备采用的专利涉及到的全部费用均被认为已包含在设备价中，投标方应保证招标方不承担有关设备专利的一切责任。</w:t>
      </w:r>
    </w:p>
    <w:p>
      <w:pPr>
        <w:tabs>
          <w:tab w:val="left" w:pos="360"/>
          <w:tab w:val="left" w:pos="525"/>
          <w:tab w:val="left" w:pos="567"/>
        </w:tabs>
        <w:spacing w:line="360" w:lineRule="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1.15本次供货设备采用的专利涉及到的全部费用均被认为已包含在合同中，投标方应保证招标方不承担有关设备专利的一切责任；</w:t>
      </w:r>
    </w:p>
    <w:p>
      <w:pPr>
        <w:tabs>
          <w:tab w:val="left" w:pos="360"/>
          <w:tab w:val="left" w:pos="525"/>
          <w:tab w:val="left" w:pos="567"/>
        </w:tabs>
        <w:spacing w:line="360" w:lineRule="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1.16投标方有责任配合招标方进行工程设计，包括应招标方要求参加工程联络会。</w:t>
      </w:r>
    </w:p>
    <w:p>
      <w:pPr>
        <w:tabs>
          <w:tab w:val="left" w:pos="360"/>
          <w:tab w:val="left" w:pos="525"/>
          <w:tab w:val="left" w:pos="567"/>
        </w:tabs>
        <w:spacing w:line="360" w:lineRule="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1.17承包商负责供货范围内的进出口正反法兰及其附件的设计及供货，法兰垫片采用金属缠绕垫片，严禁使用含有石棉材料的垫片。</w:t>
      </w:r>
    </w:p>
    <w:p>
      <w:pPr>
        <w:pStyle w:val="32"/>
        <w:numPr>
          <w:ilvl w:val="0"/>
          <w:numId w:val="4"/>
        </w:numPr>
        <w:tabs>
          <w:tab w:val="left" w:pos="720"/>
        </w:tabs>
        <w:ind w:firstLine="0"/>
        <w:outlineLvl w:val="0"/>
        <w:rPr>
          <w:color w:val="auto"/>
          <w:highlight w:val="none"/>
        </w:rPr>
      </w:pPr>
      <w:bookmarkStart w:id="5" w:name="_Toc89846162"/>
      <w:r>
        <w:rPr>
          <w:rFonts w:hint="eastAsia"/>
          <w:color w:val="auto"/>
          <w:highlight w:val="none"/>
        </w:rPr>
        <w:t>工程概况</w:t>
      </w:r>
      <w:bookmarkEnd w:id="2"/>
      <w:bookmarkEnd w:id="3"/>
      <w:bookmarkEnd w:id="4"/>
      <w:bookmarkEnd w:id="5"/>
    </w:p>
    <w:p>
      <w:pPr>
        <w:autoSpaceDE w:val="0"/>
        <w:autoSpaceDN w:val="0"/>
        <w:adjustRightInd w:val="0"/>
        <w:spacing w:line="360" w:lineRule="auto"/>
        <w:outlineLvl w:val="1"/>
        <w:rPr>
          <w:rFonts w:asciiTheme="minorEastAsia" w:hAnsiTheme="minorEastAsia" w:eastAsiaTheme="minorEastAsia" w:cstheme="minorEastAsia"/>
          <w:color w:val="auto"/>
          <w:kern w:val="0"/>
          <w:sz w:val="24"/>
          <w:highlight w:val="none"/>
          <w:lang w:val="zh-CN"/>
        </w:rPr>
      </w:pPr>
      <w:bookmarkStart w:id="6" w:name="_Toc89846163"/>
      <w:r>
        <w:rPr>
          <w:rFonts w:hint="eastAsia" w:asciiTheme="minorEastAsia" w:hAnsiTheme="minorEastAsia" w:eastAsiaTheme="minorEastAsia" w:cstheme="minorEastAsia"/>
          <w:color w:val="auto"/>
          <w:kern w:val="0"/>
          <w:sz w:val="24"/>
          <w:highlight w:val="none"/>
          <w:lang w:val="zh-CN"/>
        </w:rPr>
        <w:t>2.1</w:t>
      </w:r>
      <w:r>
        <w:rPr>
          <w:rFonts w:asciiTheme="minorEastAsia" w:hAnsiTheme="minorEastAsia" w:eastAsiaTheme="minorEastAsia" w:cstheme="minorEastAsia"/>
          <w:color w:val="auto"/>
          <w:kern w:val="0"/>
          <w:sz w:val="24"/>
          <w:highlight w:val="none"/>
          <w:lang w:val="zh-CN"/>
        </w:rPr>
        <w:t xml:space="preserve"> </w:t>
      </w:r>
      <w:r>
        <w:rPr>
          <w:rFonts w:hint="eastAsia" w:asciiTheme="minorEastAsia" w:hAnsiTheme="minorEastAsia" w:eastAsiaTheme="minorEastAsia" w:cstheme="minorEastAsia"/>
          <w:color w:val="auto"/>
          <w:kern w:val="0"/>
          <w:sz w:val="24"/>
          <w:highlight w:val="none"/>
          <w:lang w:val="zh-CN"/>
        </w:rPr>
        <w:t>建设规模</w:t>
      </w:r>
      <w:bookmarkEnd w:id="6"/>
    </w:p>
    <w:p>
      <w:pPr>
        <w:autoSpaceDE w:val="0"/>
        <w:autoSpaceDN w:val="0"/>
        <w:adjustRightInd w:val="0"/>
        <w:spacing w:line="360" w:lineRule="auto"/>
        <w:ind w:firstLine="480" w:firstLineChars="200"/>
        <w:rPr>
          <w:color w:val="auto"/>
          <w:kern w:val="0"/>
          <w:sz w:val="24"/>
          <w:highlight w:val="none"/>
        </w:rPr>
      </w:pPr>
      <w:r>
        <w:rPr>
          <w:rFonts w:hint="eastAsia"/>
          <w:color w:val="auto"/>
          <w:kern w:val="0"/>
          <w:sz w:val="24"/>
          <w:highlight w:val="none"/>
        </w:rPr>
        <w:t>项目</w:t>
      </w:r>
      <w:r>
        <w:rPr>
          <w:color w:val="auto"/>
          <w:kern w:val="0"/>
          <w:sz w:val="24"/>
          <w:highlight w:val="none"/>
        </w:rPr>
        <w:t>总规模为</w:t>
      </w:r>
      <w:r>
        <w:rPr>
          <w:rFonts w:hint="eastAsia"/>
          <w:color w:val="auto"/>
          <w:kern w:val="0"/>
          <w:sz w:val="24"/>
          <w:highlight w:val="none"/>
        </w:rPr>
        <w:t>1050t/d，</w:t>
      </w:r>
      <w:r>
        <w:rPr>
          <w:color w:val="auto"/>
          <w:kern w:val="0"/>
          <w:sz w:val="24"/>
          <w:highlight w:val="none"/>
        </w:rPr>
        <w:t>分两期建设。</w:t>
      </w:r>
      <w:r>
        <w:rPr>
          <w:rFonts w:hint="eastAsia"/>
          <w:color w:val="auto"/>
          <w:kern w:val="0"/>
          <w:sz w:val="24"/>
          <w:highlight w:val="none"/>
        </w:rPr>
        <w:t>一期</w:t>
      </w:r>
      <w:r>
        <w:rPr>
          <w:color w:val="auto"/>
          <w:kern w:val="0"/>
          <w:sz w:val="24"/>
          <w:highlight w:val="none"/>
        </w:rPr>
        <w:t>（</w:t>
      </w:r>
      <w:r>
        <w:rPr>
          <w:rFonts w:hint="eastAsia"/>
          <w:color w:val="auto"/>
          <w:kern w:val="0"/>
          <w:sz w:val="24"/>
          <w:highlight w:val="none"/>
        </w:rPr>
        <w:t>本期</w:t>
      </w:r>
      <w:r>
        <w:rPr>
          <w:color w:val="auto"/>
          <w:kern w:val="0"/>
          <w:sz w:val="24"/>
          <w:highlight w:val="none"/>
        </w:rPr>
        <w:t>）</w:t>
      </w:r>
      <w:r>
        <w:rPr>
          <w:rFonts w:hint="eastAsia"/>
          <w:color w:val="auto"/>
          <w:kern w:val="0"/>
          <w:sz w:val="24"/>
          <w:highlight w:val="none"/>
        </w:rPr>
        <w:t>工程日处理生活垃圾700t，建设</w:t>
      </w:r>
      <w:r>
        <w:rPr>
          <w:color w:val="auto"/>
          <w:kern w:val="0"/>
          <w:sz w:val="24"/>
          <w:highlight w:val="none"/>
        </w:rPr>
        <w:t>2</w:t>
      </w:r>
      <w:r>
        <w:rPr>
          <w:rFonts w:hint="eastAsia"/>
          <w:color w:val="auto"/>
          <w:kern w:val="0"/>
          <w:sz w:val="24"/>
          <w:highlight w:val="none"/>
        </w:rPr>
        <w:t>条处理能力350t/d的生活垃圾炉排炉焚烧线，配套安装</w:t>
      </w:r>
      <w:r>
        <w:rPr>
          <w:color w:val="auto"/>
          <w:kern w:val="0"/>
          <w:sz w:val="24"/>
          <w:highlight w:val="none"/>
        </w:rPr>
        <w:t>1</w:t>
      </w:r>
      <w:r>
        <w:rPr>
          <w:rFonts w:hint="eastAsia"/>
          <w:color w:val="auto"/>
          <w:kern w:val="0"/>
          <w:sz w:val="24"/>
          <w:highlight w:val="none"/>
        </w:rPr>
        <w:t>台额定18MW的凝汽式汽轮发电机组。年处理原生生活垃圾25</w:t>
      </w:r>
      <w:r>
        <w:rPr>
          <w:color w:val="auto"/>
          <w:kern w:val="0"/>
          <w:sz w:val="24"/>
          <w:highlight w:val="none"/>
        </w:rPr>
        <w:t>.5</w:t>
      </w:r>
      <w:r>
        <w:rPr>
          <w:rFonts w:hint="eastAsia"/>
          <w:color w:val="auto"/>
          <w:kern w:val="0"/>
          <w:sz w:val="24"/>
          <w:highlight w:val="none"/>
        </w:rPr>
        <w:t>5×10</w:t>
      </w:r>
      <w:r>
        <w:rPr>
          <w:rFonts w:hint="eastAsia"/>
          <w:color w:val="auto"/>
          <w:kern w:val="0"/>
          <w:sz w:val="24"/>
          <w:highlight w:val="none"/>
          <w:vertAlign w:val="superscript"/>
        </w:rPr>
        <w:t>4</w:t>
      </w:r>
      <w:r>
        <w:rPr>
          <w:rFonts w:hint="eastAsia"/>
          <w:color w:val="auto"/>
          <w:kern w:val="0"/>
          <w:sz w:val="24"/>
          <w:highlight w:val="none"/>
        </w:rPr>
        <w:t>t。渗沥液处理站工程设计规模为2</w:t>
      </w:r>
      <w:r>
        <w:rPr>
          <w:color w:val="auto"/>
          <w:kern w:val="0"/>
          <w:sz w:val="24"/>
          <w:highlight w:val="none"/>
        </w:rPr>
        <w:t>50m</w:t>
      </w:r>
      <w:r>
        <w:rPr>
          <w:color w:val="auto"/>
          <w:kern w:val="0"/>
          <w:sz w:val="24"/>
          <w:highlight w:val="none"/>
          <w:vertAlign w:val="superscript"/>
        </w:rPr>
        <w:t>3</w:t>
      </w:r>
      <w:r>
        <w:rPr>
          <w:color w:val="auto"/>
          <w:kern w:val="0"/>
          <w:sz w:val="24"/>
          <w:highlight w:val="none"/>
        </w:rPr>
        <w:t>/d</w:t>
      </w:r>
      <w:r>
        <w:rPr>
          <w:rFonts w:hint="eastAsia"/>
          <w:color w:val="auto"/>
          <w:kern w:val="0"/>
          <w:sz w:val="24"/>
          <w:highlight w:val="none"/>
        </w:rPr>
        <w:t>。预留</w:t>
      </w:r>
      <w:r>
        <w:rPr>
          <w:color w:val="auto"/>
          <w:kern w:val="0"/>
          <w:sz w:val="24"/>
          <w:highlight w:val="none"/>
        </w:rPr>
        <w:t>二期扩建</w:t>
      </w:r>
      <w:r>
        <w:rPr>
          <w:rFonts w:hint="eastAsia"/>
          <w:color w:val="auto"/>
          <w:kern w:val="0"/>
          <w:sz w:val="24"/>
          <w:highlight w:val="none"/>
        </w:rPr>
        <w:t>350</w:t>
      </w:r>
      <w:r>
        <w:rPr>
          <w:color w:val="auto"/>
          <w:kern w:val="0"/>
          <w:sz w:val="24"/>
          <w:highlight w:val="none"/>
        </w:rPr>
        <w:t>t/d</w:t>
      </w:r>
      <w:r>
        <w:rPr>
          <w:rFonts w:hint="eastAsia"/>
          <w:color w:val="auto"/>
          <w:kern w:val="0"/>
          <w:sz w:val="24"/>
          <w:highlight w:val="none"/>
        </w:rPr>
        <w:t>生产线</w:t>
      </w:r>
      <w:r>
        <w:rPr>
          <w:color w:val="auto"/>
          <w:kern w:val="0"/>
          <w:sz w:val="24"/>
          <w:highlight w:val="none"/>
        </w:rPr>
        <w:t>场地。</w:t>
      </w:r>
    </w:p>
    <w:p>
      <w:pPr>
        <w:autoSpaceDE w:val="0"/>
        <w:autoSpaceDN w:val="0"/>
        <w:adjustRightInd w:val="0"/>
        <w:spacing w:line="360" w:lineRule="auto"/>
        <w:ind w:firstLine="480"/>
        <w:outlineLvl w:val="9"/>
        <w:rPr>
          <w:rFonts w:hint="eastAsia" w:asciiTheme="minorEastAsia" w:hAnsiTheme="minorEastAsia" w:eastAsiaTheme="minorEastAsia" w:cstheme="minorEastAsia"/>
          <w:color w:val="auto"/>
          <w:kern w:val="0"/>
          <w:sz w:val="24"/>
          <w:highlight w:val="none"/>
          <w:lang w:val="zh-CN"/>
        </w:rPr>
      </w:pPr>
      <w:r>
        <w:rPr>
          <w:rFonts w:hint="eastAsia"/>
          <w:color w:val="auto"/>
          <w:kern w:val="0"/>
          <w:sz w:val="24"/>
          <w:highlight w:val="none"/>
          <w:u w:val="single"/>
          <w:lang w:val="zh-CN"/>
        </w:rPr>
        <w:t>本技术文件所提及的要求是最低限度的要求，并未对一切技术细节作出规定，也未充分地引用有关标准和规程的条文，但投标方必须保证提供符合本技术文件及国家有关工业标准的优质产品。</w:t>
      </w:r>
      <w:bookmarkStart w:id="7" w:name="_Toc89846164"/>
    </w:p>
    <w:p>
      <w:pPr>
        <w:autoSpaceDE w:val="0"/>
        <w:autoSpaceDN w:val="0"/>
        <w:adjustRightInd w:val="0"/>
        <w:spacing w:line="360" w:lineRule="auto"/>
        <w:outlineLvl w:val="1"/>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2.2 设备的使用条件</w:t>
      </w:r>
      <w:bookmarkEnd w:id="7"/>
    </w:p>
    <w:p>
      <w:pPr>
        <w:autoSpaceDE w:val="0"/>
        <w:autoSpaceDN w:val="0"/>
        <w:adjustRightInd w:val="0"/>
        <w:spacing w:line="360" w:lineRule="auto"/>
        <w:ind w:firstLine="480"/>
        <w:rPr>
          <w:color w:val="auto"/>
          <w:kern w:val="0"/>
          <w:sz w:val="24"/>
          <w:highlight w:val="none"/>
        </w:rPr>
      </w:pPr>
      <w:r>
        <w:rPr>
          <w:rFonts w:hint="eastAsia"/>
          <w:color w:val="auto"/>
          <w:kern w:val="0"/>
          <w:sz w:val="24"/>
          <w:highlight w:val="none"/>
        </w:rPr>
        <w:t>采用0#（-10#）轻柴油作为点火及辅助燃料，轻柴油由供应商用油罐车运入厂内，输入储油罐。用油泵房的供油泵将油送至焚烧间。</w:t>
      </w:r>
    </w:p>
    <w:p>
      <w:pPr>
        <w:autoSpaceDE w:val="0"/>
        <w:autoSpaceDN w:val="0"/>
        <w:adjustRightInd w:val="0"/>
        <w:spacing w:line="360" w:lineRule="auto"/>
        <w:outlineLvl w:val="1"/>
        <w:rPr>
          <w:rFonts w:asciiTheme="minorEastAsia" w:hAnsiTheme="minorEastAsia" w:eastAsiaTheme="minorEastAsia" w:cstheme="minorEastAsia"/>
          <w:color w:val="auto"/>
          <w:kern w:val="0"/>
          <w:sz w:val="24"/>
          <w:highlight w:val="none"/>
          <w:lang w:val="zh-CN"/>
        </w:rPr>
      </w:pPr>
      <w:bookmarkStart w:id="8" w:name="_Toc89846165"/>
      <w:r>
        <w:rPr>
          <w:rFonts w:hint="eastAsia" w:asciiTheme="minorEastAsia" w:hAnsiTheme="minorEastAsia" w:eastAsiaTheme="minorEastAsia" w:cstheme="minorEastAsia"/>
          <w:color w:val="auto"/>
          <w:kern w:val="0"/>
          <w:sz w:val="24"/>
          <w:highlight w:val="none"/>
          <w:lang w:val="zh-CN"/>
        </w:rPr>
        <w:t>2.3 机组运行条件</w:t>
      </w:r>
      <w:bookmarkEnd w:id="8"/>
    </w:p>
    <w:p>
      <w:pPr>
        <w:autoSpaceDE w:val="0"/>
        <w:autoSpaceDN w:val="0"/>
        <w:adjustRightInd w:val="0"/>
        <w:spacing w:line="360" w:lineRule="auto"/>
        <w:ind w:firstLine="480"/>
        <w:rPr>
          <w:color w:val="auto"/>
          <w:kern w:val="0"/>
          <w:sz w:val="24"/>
          <w:highlight w:val="none"/>
        </w:rPr>
      </w:pPr>
      <w:r>
        <w:rPr>
          <w:rFonts w:hint="eastAsia"/>
          <w:color w:val="auto"/>
          <w:kern w:val="0"/>
          <w:sz w:val="24"/>
          <w:highlight w:val="none"/>
        </w:rPr>
        <w:t>机组全年连续运行，每天24小时连续运行，年运行小时数≥8000h。</w:t>
      </w:r>
    </w:p>
    <w:p>
      <w:pPr>
        <w:autoSpaceDE w:val="0"/>
        <w:autoSpaceDN w:val="0"/>
        <w:adjustRightInd w:val="0"/>
        <w:spacing w:line="360" w:lineRule="auto"/>
        <w:ind w:firstLine="480"/>
        <w:rPr>
          <w:rFonts w:asciiTheme="minorEastAsia" w:hAnsiTheme="minorEastAsia" w:eastAsiaTheme="minorEastAsia" w:cstheme="minorEastAsia"/>
          <w:color w:val="auto"/>
          <w:kern w:val="0"/>
          <w:sz w:val="24"/>
          <w:highlight w:val="none"/>
          <w:u w:val="single"/>
          <w:lang w:val="zh-CN"/>
        </w:rPr>
      </w:pPr>
      <w:r>
        <w:rPr>
          <w:rFonts w:hint="eastAsia"/>
          <w:color w:val="auto"/>
          <w:kern w:val="0"/>
          <w:sz w:val="24"/>
          <w:highlight w:val="none"/>
        </w:rPr>
        <w:t>本技术文件所提及的要求是最低限度的要求，并未对一切技术细节作出规定，也未充分地引用有关标准和规程的条文，但投标方必须保证提供符合本技术文件及国家有关工业标准的优质产品。</w:t>
      </w:r>
    </w:p>
    <w:p>
      <w:pPr>
        <w:pStyle w:val="32"/>
        <w:numPr>
          <w:ilvl w:val="0"/>
          <w:numId w:val="4"/>
        </w:numPr>
        <w:tabs>
          <w:tab w:val="left" w:pos="720"/>
        </w:tabs>
        <w:ind w:firstLine="0"/>
        <w:outlineLvl w:val="0"/>
        <w:rPr>
          <w:rFonts w:asciiTheme="minorEastAsia" w:hAnsiTheme="minorEastAsia" w:eastAsiaTheme="minorEastAsia" w:cstheme="minorEastAsia"/>
          <w:color w:val="auto"/>
          <w:highlight w:val="none"/>
        </w:rPr>
      </w:pPr>
      <w:bookmarkStart w:id="9" w:name="_Toc17695"/>
      <w:bookmarkStart w:id="10" w:name="_Toc89846166"/>
      <w:r>
        <w:rPr>
          <w:rFonts w:hint="eastAsia" w:asciiTheme="minorEastAsia" w:hAnsiTheme="minorEastAsia" w:eastAsiaTheme="minorEastAsia" w:cstheme="minorEastAsia"/>
          <w:color w:val="auto"/>
          <w:highlight w:val="none"/>
          <w:lang w:val="zh-CN"/>
        </w:rPr>
        <w:t>气象条件和地理条件</w:t>
      </w:r>
      <w:bookmarkEnd w:id="9"/>
      <w:bookmarkEnd w:id="10"/>
    </w:p>
    <w:p>
      <w:pPr>
        <w:autoSpaceDE w:val="0"/>
        <w:autoSpaceDN w:val="0"/>
        <w:adjustRightInd w:val="0"/>
        <w:spacing w:line="360" w:lineRule="auto"/>
        <w:outlineLvl w:val="1"/>
        <w:rPr>
          <w:rFonts w:asciiTheme="minorEastAsia" w:hAnsiTheme="minorEastAsia" w:eastAsiaTheme="minorEastAsia" w:cstheme="minorEastAsia"/>
          <w:color w:val="auto"/>
          <w:kern w:val="0"/>
          <w:sz w:val="24"/>
          <w:highlight w:val="none"/>
          <w:lang w:val="zh-CN"/>
        </w:rPr>
      </w:pPr>
      <w:bookmarkStart w:id="11" w:name="_Toc30228841"/>
      <w:bookmarkStart w:id="12" w:name="_Toc109534494"/>
      <w:bookmarkStart w:id="13" w:name="_Toc113432116"/>
      <w:bookmarkStart w:id="14" w:name="_Toc89846167"/>
      <w:bookmarkStart w:id="15" w:name="_Toc10187"/>
      <w:bookmarkStart w:id="16" w:name="_Toc454522452"/>
      <w:r>
        <w:rPr>
          <w:rFonts w:hint="eastAsia" w:asciiTheme="minorEastAsia" w:hAnsiTheme="minorEastAsia" w:eastAsiaTheme="minorEastAsia" w:cstheme="minorEastAsia"/>
          <w:color w:val="auto"/>
          <w:kern w:val="0"/>
          <w:sz w:val="24"/>
          <w:highlight w:val="none"/>
          <w:lang w:val="zh-CN"/>
        </w:rPr>
        <w:t>3.1 气象条件</w:t>
      </w:r>
      <w:bookmarkEnd w:id="11"/>
      <w:bookmarkEnd w:id="12"/>
      <w:bookmarkEnd w:id="13"/>
      <w:bookmarkEnd w:id="14"/>
      <w:bookmarkEnd w:id="15"/>
      <w:bookmarkEnd w:id="16"/>
    </w:p>
    <w:p>
      <w:pPr>
        <w:autoSpaceDE w:val="0"/>
        <w:autoSpaceDN w:val="0"/>
        <w:adjustRightInd w:val="0"/>
        <w:spacing w:line="360" w:lineRule="auto"/>
        <w:ind w:firstLine="480"/>
        <w:rPr>
          <w:rFonts w:hint="eastAsia"/>
          <w:color w:val="auto"/>
          <w:kern w:val="0"/>
          <w:sz w:val="24"/>
          <w:highlight w:val="none"/>
        </w:rPr>
      </w:pPr>
      <w:r>
        <w:rPr>
          <w:rFonts w:hint="eastAsia"/>
          <w:color w:val="auto"/>
          <w:kern w:val="0"/>
          <w:sz w:val="24"/>
          <w:highlight w:val="none"/>
        </w:rPr>
        <w:t>项目拟建厂址所在区域属亚热带季风气候。气温温和，无严寒酷暑，雨量充沛，且多集中在5～9月（占全年降雨量的78%），1月份平均气温创历史新低。开汛比常年偏晚，降水比常年偏少，气象干旱特别严重，高温日数多，台风影响小。气候影响综合评价为一般年景。全市平均降水量2011年市平均降水量为1144毫米，比历年均值1527.9毫米偏少251%；年平均气温21.6℃，比历年均值偏低01℃C，年日照时数172561时，偏少28%。</w:t>
      </w:r>
    </w:p>
    <w:p>
      <w:pPr>
        <w:autoSpaceDE w:val="0"/>
        <w:autoSpaceDN w:val="0"/>
        <w:adjustRightInd w:val="0"/>
        <w:spacing w:line="360" w:lineRule="auto"/>
        <w:ind w:firstLine="480"/>
        <w:rPr>
          <w:color w:val="auto"/>
          <w:kern w:val="0"/>
          <w:sz w:val="24"/>
          <w:highlight w:val="none"/>
        </w:rPr>
      </w:pPr>
      <w:r>
        <w:rPr>
          <w:rFonts w:hint="eastAsia"/>
          <w:color w:val="auto"/>
          <w:kern w:val="0"/>
          <w:sz w:val="24"/>
          <w:highlight w:val="none"/>
        </w:rPr>
        <w:t>年平均气压：</w:t>
      </w:r>
      <w:r>
        <w:rPr>
          <w:rFonts w:hint="eastAsia"/>
          <w:color w:val="auto"/>
          <w:kern w:val="0"/>
          <w:sz w:val="24"/>
          <w:highlight w:val="none"/>
        </w:rPr>
        <w:tab/>
      </w:r>
      <w:r>
        <w:rPr>
          <w:color w:val="auto"/>
          <w:kern w:val="0"/>
          <w:sz w:val="24"/>
          <w:highlight w:val="none"/>
        </w:rPr>
        <w:t xml:space="preserve">          </w:t>
      </w:r>
      <w:r>
        <w:rPr>
          <w:rFonts w:hint="eastAsia"/>
          <w:color w:val="auto"/>
          <w:kern w:val="0"/>
          <w:sz w:val="24"/>
          <w:highlight w:val="none"/>
          <w:lang w:val="en-US" w:eastAsia="zh-CN"/>
        </w:rPr>
        <w:t xml:space="preserve"> </w:t>
      </w:r>
      <w:r>
        <w:rPr>
          <w:rFonts w:hint="eastAsia"/>
          <w:color w:val="auto"/>
          <w:kern w:val="0"/>
          <w:sz w:val="24"/>
          <w:highlight w:val="none"/>
        </w:rPr>
        <w:t>1011.35hPa</w:t>
      </w:r>
    </w:p>
    <w:p>
      <w:pPr>
        <w:autoSpaceDE w:val="0"/>
        <w:autoSpaceDN w:val="0"/>
        <w:adjustRightInd w:val="0"/>
        <w:spacing w:line="360" w:lineRule="auto"/>
        <w:ind w:firstLine="480"/>
        <w:rPr>
          <w:rFonts w:hint="eastAsia"/>
          <w:color w:val="auto"/>
          <w:kern w:val="0"/>
          <w:sz w:val="24"/>
          <w:highlight w:val="none"/>
        </w:rPr>
      </w:pPr>
      <w:r>
        <w:rPr>
          <w:rFonts w:hint="eastAsia"/>
          <w:color w:val="auto"/>
          <w:kern w:val="0"/>
          <w:sz w:val="24"/>
          <w:highlight w:val="none"/>
        </w:rPr>
        <w:t>累年平均气温            22.3℃</w:t>
      </w:r>
    </w:p>
    <w:p>
      <w:pPr>
        <w:autoSpaceDE w:val="0"/>
        <w:autoSpaceDN w:val="0"/>
        <w:adjustRightInd w:val="0"/>
        <w:spacing w:line="360" w:lineRule="auto"/>
        <w:ind w:firstLine="480"/>
        <w:rPr>
          <w:rFonts w:hint="eastAsia"/>
          <w:color w:val="auto"/>
          <w:kern w:val="0"/>
          <w:sz w:val="24"/>
          <w:highlight w:val="none"/>
        </w:rPr>
      </w:pPr>
      <w:r>
        <w:rPr>
          <w:rFonts w:hint="eastAsia"/>
          <w:color w:val="auto"/>
          <w:kern w:val="0"/>
          <w:sz w:val="24"/>
          <w:highlight w:val="none"/>
        </w:rPr>
        <w:t>年平均相对湿度：</w:t>
      </w:r>
      <w:r>
        <w:rPr>
          <w:rFonts w:hint="eastAsia"/>
          <w:color w:val="auto"/>
          <w:kern w:val="0"/>
          <w:sz w:val="24"/>
          <w:highlight w:val="none"/>
        </w:rPr>
        <w:tab/>
      </w:r>
      <w:r>
        <w:rPr>
          <w:color w:val="auto"/>
          <w:kern w:val="0"/>
          <w:sz w:val="24"/>
          <w:highlight w:val="none"/>
        </w:rPr>
        <w:t xml:space="preserve">      </w:t>
      </w:r>
      <w:r>
        <w:rPr>
          <w:rFonts w:hint="eastAsia"/>
          <w:color w:val="auto"/>
          <w:kern w:val="0"/>
          <w:sz w:val="24"/>
          <w:highlight w:val="none"/>
          <w:lang w:val="en-US" w:eastAsia="zh-CN"/>
        </w:rPr>
        <w:t xml:space="preserve"> </w:t>
      </w:r>
      <w:r>
        <w:rPr>
          <w:rFonts w:hint="eastAsia"/>
          <w:color w:val="auto"/>
          <w:kern w:val="0"/>
          <w:sz w:val="24"/>
          <w:highlight w:val="none"/>
        </w:rPr>
        <w:t>71%</w:t>
      </w:r>
    </w:p>
    <w:p>
      <w:pPr>
        <w:autoSpaceDE w:val="0"/>
        <w:autoSpaceDN w:val="0"/>
        <w:adjustRightInd w:val="0"/>
        <w:spacing w:line="360" w:lineRule="auto"/>
        <w:ind w:firstLine="480"/>
        <w:rPr>
          <w:rFonts w:hint="eastAsia"/>
          <w:color w:val="auto"/>
          <w:kern w:val="0"/>
          <w:sz w:val="24"/>
          <w:highlight w:val="none"/>
        </w:rPr>
      </w:pPr>
      <w:r>
        <w:rPr>
          <w:rFonts w:hint="eastAsia"/>
          <w:color w:val="auto"/>
          <w:kern w:val="0"/>
          <w:sz w:val="24"/>
          <w:highlight w:val="none"/>
        </w:rPr>
        <w:t xml:space="preserve">极端最高气温           </w:t>
      </w:r>
      <w:r>
        <w:rPr>
          <w:rFonts w:hint="eastAsia"/>
          <w:color w:val="auto"/>
          <w:kern w:val="0"/>
          <w:sz w:val="24"/>
          <w:highlight w:val="none"/>
        </w:rPr>
        <w:tab/>
      </w:r>
      <w:r>
        <w:rPr>
          <w:rFonts w:hint="eastAsia"/>
          <w:color w:val="auto"/>
          <w:kern w:val="0"/>
          <w:sz w:val="24"/>
          <w:highlight w:val="none"/>
        </w:rPr>
        <w:t>38.7℃</w:t>
      </w:r>
    </w:p>
    <w:p>
      <w:pPr>
        <w:autoSpaceDE w:val="0"/>
        <w:autoSpaceDN w:val="0"/>
        <w:adjustRightInd w:val="0"/>
        <w:spacing w:line="360" w:lineRule="auto"/>
        <w:ind w:firstLine="480"/>
        <w:rPr>
          <w:rFonts w:hint="eastAsia"/>
          <w:color w:val="auto"/>
          <w:kern w:val="0"/>
          <w:sz w:val="24"/>
          <w:highlight w:val="none"/>
        </w:rPr>
      </w:pPr>
      <w:r>
        <w:rPr>
          <w:rFonts w:hint="eastAsia"/>
          <w:color w:val="auto"/>
          <w:kern w:val="0"/>
          <w:sz w:val="24"/>
          <w:highlight w:val="none"/>
        </w:rPr>
        <w:t xml:space="preserve">极端最低气温         </w:t>
      </w:r>
      <w:r>
        <w:rPr>
          <w:rFonts w:hint="eastAsia"/>
          <w:color w:val="auto"/>
          <w:kern w:val="0"/>
          <w:sz w:val="24"/>
          <w:highlight w:val="none"/>
        </w:rPr>
        <w:tab/>
      </w:r>
      <w:r>
        <w:rPr>
          <w:rFonts w:hint="eastAsia"/>
          <w:color w:val="auto"/>
          <w:kern w:val="0"/>
          <w:sz w:val="24"/>
          <w:highlight w:val="none"/>
        </w:rPr>
        <w:t>1℃</w:t>
      </w:r>
    </w:p>
    <w:p>
      <w:pPr>
        <w:autoSpaceDE w:val="0"/>
        <w:autoSpaceDN w:val="0"/>
        <w:adjustRightInd w:val="0"/>
        <w:spacing w:line="360" w:lineRule="auto"/>
        <w:ind w:firstLine="480"/>
        <w:rPr>
          <w:rFonts w:hint="eastAsia"/>
          <w:color w:val="auto"/>
          <w:kern w:val="0"/>
          <w:sz w:val="24"/>
          <w:highlight w:val="none"/>
        </w:rPr>
      </w:pPr>
      <w:r>
        <w:rPr>
          <w:rFonts w:hint="eastAsia"/>
          <w:color w:val="auto"/>
          <w:kern w:val="0"/>
          <w:sz w:val="24"/>
          <w:highlight w:val="none"/>
        </w:rPr>
        <w:t xml:space="preserve">年平均降雨量          </w:t>
      </w:r>
      <w:r>
        <w:rPr>
          <w:rFonts w:hint="eastAsia"/>
          <w:color w:val="auto"/>
          <w:kern w:val="0"/>
          <w:sz w:val="24"/>
          <w:highlight w:val="none"/>
        </w:rPr>
        <w:tab/>
      </w:r>
      <w:r>
        <w:rPr>
          <w:rFonts w:hint="eastAsia"/>
          <w:color w:val="auto"/>
          <w:kern w:val="0"/>
          <w:sz w:val="24"/>
          <w:highlight w:val="none"/>
        </w:rPr>
        <w:t>1527.9mm</w:t>
      </w:r>
    </w:p>
    <w:p>
      <w:pPr>
        <w:autoSpaceDE w:val="0"/>
        <w:autoSpaceDN w:val="0"/>
        <w:adjustRightInd w:val="0"/>
        <w:spacing w:line="360" w:lineRule="auto"/>
        <w:ind w:firstLine="480"/>
        <w:rPr>
          <w:color w:val="auto"/>
          <w:kern w:val="0"/>
          <w:sz w:val="24"/>
          <w:highlight w:val="none"/>
        </w:rPr>
      </w:pPr>
      <w:r>
        <w:rPr>
          <w:rFonts w:hint="eastAsia"/>
          <w:color w:val="auto"/>
          <w:kern w:val="0"/>
          <w:sz w:val="24"/>
          <w:highlight w:val="none"/>
        </w:rPr>
        <w:t xml:space="preserve">年平均风速            </w:t>
      </w:r>
      <w:r>
        <w:rPr>
          <w:rFonts w:hint="eastAsia"/>
          <w:color w:val="auto"/>
          <w:kern w:val="0"/>
          <w:sz w:val="24"/>
          <w:highlight w:val="none"/>
        </w:rPr>
        <w:tab/>
      </w:r>
      <w:r>
        <w:rPr>
          <w:rFonts w:hint="eastAsia"/>
          <w:color w:val="auto"/>
          <w:kern w:val="0"/>
          <w:sz w:val="24"/>
          <w:highlight w:val="none"/>
        </w:rPr>
        <w:t>1.65m/s</w:t>
      </w:r>
    </w:p>
    <w:p>
      <w:pPr>
        <w:autoSpaceDE w:val="0"/>
        <w:autoSpaceDN w:val="0"/>
        <w:adjustRightInd w:val="0"/>
        <w:spacing w:line="360" w:lineRule="auto"/>
        <w:outlineLvl w:val="1"/>
        <w:rPr>
          <w:rFonts w:asciiTheme="minorEastAsia" w:hAnsiTheme="minorEastAsia" w:eastAsiaTheme="minorEastAsia" w:cstheme="minorEastAsia"/>
          <w:color w:val="auto"/>
          <w:kern w:val="0"/>
          <w:sz w:val="24"/>
          <w:highlight w:val="none"/>
          <w:lang w:val="zh-CN"/>
        </w:rPr>
      </w:pPr>
      <w:bookmarkStart w:id="17" w:name="_Toc454522453"/>
      <w:bookmarkStart w:id="18" w:name="_Toc32372"/>
      <w:bookmarkStart w:id="19" w:name="_Toc89846168"/>
      <w:bookmarkStart w:id="20" w:name="_Toc30228842"/>
      <w:bookmarkStart w:id="21" w:name="_Toc113432117"/>
      <w:bookmarkStart w:id="22" w:name="_Toc109534495"/>
      <w:r>
        <w:rPr>
          <w:rFonts w:hint="eastAsia" w:asciiTheme="minorEastAsia" w:hAnsiTheme="minorEastAsia" w:eastAsiaTheme="minorEastAsia" w:cstheme="minorEastAsia"/>
          <w:color w:val="auto"/>
          <w:kern w:val="0"/>
          <w:sz w:val="24"/>
          <w:highlight w:val="none"/>
          <w:lang w:val="zh-CN"/>
        </w:rPr>
        <w:t>3.2 地理条件</w:t>
      </w:r>
      <w:bookmarkEnd w:id="17"/>
      <w:bookmarkEnd w:id="18"/>
      <w:bookmarkEnd w:id="19"/>
      <w:bookmarkEnd w:id="20"/>
      <w:bookmarkEnd w:id="21"/>
      <w:bookmarkEnd w:id="22"/>
    </w:p>
    <w:p>
      <w:pPr>
        <w:spacing w:line="360" w:lineRule="auto"/>
        <w:ind w:firstLine="480" w:firstLineChars="200"/>
        <w:rPr>
          <w:rFonts w:hint="eastAsia"/>
          <w:snapToGrid w:val="0"/>
          <w:color w:val="auto"/>
          <w:kern w:val="0"/>
          <w:sz w:val="24"/>
          <w:highlight w:val="none"/>
        </w:rPr>
      </w:pPr>
      <w:bookmarkStart w:id="23" w:name="_Toc454522457"/>
      <w:bookmarkStart w:id="24" w:name="_Toc109534499"/>
      <w:bookmarkStart w:id="25" w:name="_Toc113432121"/>
      <w:r>
        <w:rPr>
          <w:rFonts w:hint="eastAsia"/>
          <w:snapToGrid w:val="0"/>
          <w:color w:val="auto"/>
          <w:kern w:val="0"/>
          <w:sz w:val="24"/>
          <w:highlight w:val="none"/>
        </w:rPr>
        <w:t>场区更新世断裂活动较强，全新世断裂活动较弱，勘察场区地质构造条件简单，钻孔内未发现断层、断裂构造形迹，总体上区域地壳基本稳定，断裂活动对建设工程影响小。</w:t>
      </w:r>
    </w:p>
    <w:p>
      <w:pPr>
        <w:spacing w:line="360" w:lineRule="auto"/>
        <w:ind w:firstLine="480" w:firstLineChars="200"/>
        <w:rPr>
          <w:rFonts w:asciiTheme="minorEastAsia" w:hAnsiTheme="minorEastAsia" w:eastAsiaTheme="minorEastAsia" w:cstheme="minorEastAsia"/>
          <w:snapToGrid w:val="0"/>
          <w:color w:val="auto"/>
          <w:kern w:val="0"/>
          <w:sz w:val="24"/>
          <w:highlight w:val="none"/>
          <w:lang w:val="zh-CN"/>
        </w:rPr>
      </w:pPr>
      <w:r>
        <w:rPr>
          <w:rFonts w:hint="eastAsia"/>
          <w:snapToGrid w:val="0"/>
          <w:color w:val="auto"/>
          <w:kern w:val="0"/>
          <w:sz w:val="24"/>
          <w:highlight w:val="none"/>
        </w:rPr>
        <w:t>抗震设防烈度小于6度，设计基本地震加速度小于0.05g。</w:t>
      </w:r>
    </w:p>
    <w:p>
      <w:pPr>
        <w:autoSpaceDE w:val="0"/>
        <w:autoSpaceDN w:val="0"/>
        <w:adjustRightInd w:val="0"/>
        <w:spacing w:line="360" w:lineRule="auto"/>
        <w:outlineLvl w:val="1"/>
        <w:rPr>
          <w:rFonts w:asciiTheme="minorEastAsia" w:hAnsiTheme="minorEastAsia" w:eastAsiaTheme="minorEastAsia" w:cstheme="minorEastAsia"/>
          <w:color w:val="auto"/>
          <w:kern w:val="0"/>
          <w:sz w:val="24"/>
          <w:highlight w:val="none"/>
          <w:lang w:val="zh-CN"/>
        </w:rPr>
      </w:pPr>
      <w:bookmarkStart w:id="26" w:name="_Toc30228843"/>
      <w:bookmarkStart w:id="27" w:name="_Toc89846169"/>
      <w:bookmarkStart w:id="28" w:name="_Toc30627"/>
      <w:r>
        <w:rPr>
          <w:rFonts w:hint="eastAsia" w:asciiTheme="minorEastAsia" w:hAnsiTheme="minorEastAsia" w:eastAsiaTheme="minorEastAsia" w:cstheme="minorEastAsia"/>
          <w:color w:val="auto"/>
          <w:kern w:val="0"/>
          <w:sz w:val="24"/>
          <w:highlight w:val="none"/>
          <w:lang w:val="zh-CN"/>
        </w:rPr>
        <w:t>3.3 电力供应</w:t>
      </w:r>
      <w:bookmarkEnd w:id="23"/>
      <w:bookmarkEnd w:id="24"/>
      <w:bookmarkEnd w:id="25"/>
      <w:r>
        <w:rPr>
          <w:rFonts w:hint="eastAsia" w:asciiTheme="minorEastAsia" w:hAnsiTheme="minorEastAsia" w:eastAsiaTheme="minorEastAsia" w:cstheme="minorEastAsia"/>
          <w:color w:val="auto"/>
          <w:kern w:val="0"/>
          <w:sz w:val="24"/>
          <w:highlight w:val="none"/>
          <w:lang w:val="zh-CN"/>
        </w:rPr>
        <w:t>厂用电电压等级：</w:t>
      </w:r>
      <w:bookmarkEnd w:id="26"/>
      <w:bookmarkEnd w:id="27"/>
      <w:bookmarkEnd w:id="28"/>
    </w:p>
    <w:p>
      <w:pPr>
        <w:widowControl/>
        <w:spacing w:line="360" w:lineRule="auto"/>
        <w:rPr>
          <w:rFonts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color w:val="auto"/>
          <w:kern w:val="0"/>
          <w:sz w:val="24"/>
          <w:highlight w:val="none"/>
          <w:lang w:val="zh-CN"/>
        </w:rPr>
        <w:tab/>
      </w:r>
      <w:r>
        <w:rPr>
          <w:color w:val="auto"/>
          <w:kern w:val="0"/>
          <w:sz w:val="24"/>
          <w:highlight w:val="none"/>
          <w:lang w:val="zh-CN"/>
        </w:rPr>
        <w:t>10kV\380V\220V</w:t>
      </w:r>
      <w:r>
        <w:rPr>
          <w:rFonts w:hint="eastAsia"/>
          <w:color w:val="auto"/>
          <w:kern w:val="0"/>
          <w:sz w:val="24"/>
          <w:highlight w:val="none"/>
          <w:lang w:val="zh-CN"/>
        </w:rPr>
        <w:t>；</w:t>
      </w:r>
      <w:r>
        <w:rPr>
          <w:color w:val="auto"/>
          <w:kern w:val="0"/>
          <w:sz w:val="24"/>
          <w:highlight w:val="none"/>
          <w:lang w:val="zh-CN"/>
        </w:rPr>
        <w:t>50Hz</w:t>
      </w:r>
    </w:p>
    <w:p>
      <w:pPr>
        <w:pStyle w:val="32"/>
        <w:numPr>
          <w:ilvl w:val="0"/>
          <w:numId w:val="4"/>
        </w:numPr>
        <w:tabs>
          <w:tab w:val="left" w:pos="720"/>
        </w:tabs>
        <w:ind w:firstLine="0"/>
        <w:outlineLvl w:val="0"/>
        <w:rPr>
          <w:color w:val="auto"/>
          <w:highlight w:val="none"/>
        </w:rPr>
      </w:pPr>
      <w:bookmarkStart w:id="29" w:name="_Toc89846170"/>
      <w:r>
        <w:rPr>
          <w:rFonts w:hint="eastAsia"/>
          <w:color w:val="auto"/>
          <w:highlight w:val="none"/>
        </w:rPr>
        <w:t>设计、制造、检验标准</w:t>
      </w:r>
      <w:bookmarkEnd w:id="29"/>
    </w:p>
    <w:p>
      <w:pPr>
        <w:spacing w:line="360" w:lineRule="auto"/>
        <w:ind w:firstLine="480" w:firstLineChars="200"/>
        <w:rPr>
          <w:color w:val="auto"/>
          <w:sz w:val="24"/>
          <w:szCs w:val="20"/>
          <w:highlight w:val="none"/>
        </w:rPr>
      </w:pPr>
      <w:r>
        <w:rPr>
          <w:color w:val="auto"/>
          <w:sz w:val="24"/>
          <w:szCs w:val="20"/>
          <w:highlight w:val="none"/>
        </w:rPr>
        <w:t>产品的设计、制造、检验应符合国内外相关</w:t>
      </w:r>
      <w:r>
        <w:rPr>
          <w:rFonts w:hint="eastAsia"/>
          <w:color w:val="auto"/>
          <w:sz w:val="24"/>
          <w:szCs w:val="20"/>
          <w:highlight w:val="none"/>
        </w:rPr>
        <w:t>技术协议</w:t>
      </w:r>
      <w:r>
        <w:rPr>
          <w:color w:val="auto"/>
          <w:sz w:val="24"/>
          <w:szCs w:val="20"/>
          <w:highlight w:val="none"/>
        </w:rPr>
        <w:t>和标准，</w:t>
      </w:r>
      <w:r>
        <w:rPr>
          <w:rFonts w:hint="eastAsia"/>
          <w:color w:val="auto"/>
          <w:sz w:val="24"/>
          <w:szCs w:val="20"/>
          <w:highlight w:val="none"/>
        </w:rPr>
        <w:t>并且为现行的最新版本。包括但不限于下列规范和标准：</w:t>
      </w:r>
    </w:p>
    <w:p>
      <w:pPr>
        <w:spacing w:line="360" w:lineRule="auto"/>
        <w:ind w:firstLine="480" w:firstLineChars="200"/>
        <w:rPr>
          <w:color w:val="auto"/>
          <w:sz w:val="24"/>
          <w:szCs w:val="20"/>
          <w:highlight w:val="none"/>
        </w:rPr>
      </w:pPr>
      <w:r>
        <w:rPr>
          <w:color w:val="auto"/>
          <w:sz w:val="24"/>
          <w:szCs w:val="20"/>
          <w:highlight w:val="none"/>
        </w:rPr>
        <w:t>中国国家标准及电力行业标准</w:t>
      </w:r>
    </w:p>
    <w:p>
      <w:pPr>
        <w:pStyle w:val="29"/>
        <w:shd w:val="clear" w:color="auto" w:fill="FFFFFF"/>
        <w:snapToGrid w:val="0"/>
        <w:ind w:firstLineChars="0"/>
        <w:rPr>
          <w:color w:val="auto"/>
          <w:highlight w:val="none"/>
        </w:rPr>
      </w:pPr>
      <w:r>
        <w:rPr>
          <w:rFonts w:hint="eastAsia" w:hAnsi="宋体"/>
          <w:color w:val="auto"/>
          <w:highlight w:val="none"/>
        </w:rPr>
        <w:t>《滚动轴承通用技术规则》GB/T307.3－1996</w:t>
      </w:r>
    </w:p>
    <w:p>
      <w:pPr>
        <w:pStyle w:val="29"/>
        <w:shd w:val="clear" w:color="auto" w:fill="FFFFFF"/>
        <w:snapToGrid w:val="0"/>
        <w:ind w:firstLineChars="0"/>
        <w:rPr>
          <w:color w:val="auto"/>
          <w:highlight w:val="none"/>
        </w:rPr>
      </w:pPr>
      <w:r>
        <w:rPr>
          <w:rFonts w:hint="eastAsia" w:hAnsi="宋体"/>
          <w:color w:val="auto"/>
          <w:highlight w:val="none"/>
        </w:rPr>
        <w:t>《球墨铸铁件》GB1348-1988</w:t>
      </w:r>
    </w:p>
    <w:p>
      <w:pPr>
        <w:pStyle w:val="29"/>
        <w:shd w:val="clear" w:color="auto" w:fill="FFFFFF"/>
        <w:snapToGrid w:val="0"/>
        <w:ind w:firstLineChars="0"/>
        <w:rPr>
          <w:color w:val="auto"/>
          <w:highlight w:val="none"/>
        </w:rPr>
      </w:pPr>
      <w:r>
        <w:rPr>
          <w:rFonts w:hint="eastAsia" w:hAnsi="宋体"/>
          <w:color w:val="auto"/>
          <w:highlight w:val="none"/>
        </w:rPr>
        <w:t>《灰铸铁件》GB9439-1988</w:t>
      </w:r>
    </w:p>
    <w:p>
      <w:pPr>
        <w:pStyle w:val="29"/>
        <w:shd w:val="clear" w:color="auto" w:fill="FFFFFF"/>
        <w:snapToGrid w:val="0"/>
        <w:rPr>
          <w:color w:val="auto"/>
          <w:highlight w:val="none"/>
          <w:lang w:val="zh-CN"/>
        </w:rPr>
      </w:pPr>
      <w:r>
        <w:rPr>
          <w:rFonts w:hint="eastAsia" w:hAnsi="宋体"/>
          <w:color w:val="auto"/>
          <w:highlight w:val="none"/>
          <w:lang w:val="zh-CN"/>
        </w:rPr>
        <w:t>《钢制焊接常压容器》JB</w:t>
      </w:r>
      <w:r>
        <w:rPr>
          <w:color w:val="auto"/>
          <w:highlight w:val="none"/>
          <w:lang w:val="zh-CN"/>
        </w:rPr>
        <w:t>/T4735-1997</w:t>
      </w:r>
    </w:p>
    <w:p>
      <w:pPr>
        <w:pStyle w:val="29"/>
        <w:shd w:val="clear" w:color="auto" w:fill="FFFFFF"/>
        <w:snapToGrid w:val="0"/>
        <w:rPr>
          <w:color w:val="auto"/>
          <w:highlight w:val="none"/>
          <w:lang w:val="zh-CN"/>
        </w:rPr>
      </w:pPr>
      <w:r>
        <w:rPr>
          <w:rFonts w:hint="eastAsia" w:hAnsi="宋体"/>
          <w:color w:val="auto"/>
          <w:highlight w:val="none"/>
          <w:lang w:val="zh-CN"/>
        </w:rPr>
        <w:t>《普通碳素结构钢和低合金结构钢热轧厚钢板技术条件》GB3272-82</w:t>
      </w:r>
    </w:p>
    <w:p>
      <w:pPr>
        <w:pStyle w:val="29"/>
        <w:shd w:val="clear" w:color="auto" w:fill="FFFFFF"/>
        <w:snapToGrid w:val="0"/>
        <w:rPr>
          <w:color w:val="auto"/>
          <w:highlight w:val="none"/>
          <w:lang w:val="zh-CN"/>
        </w:rPr>
      </w:pPr>
      <w:r>
        <w:rPr>
          <w:rFonts w:hint="eastAsia" w:hAnsi="宋体"/>
          <w:color w:val="auto"/>
          <w:highlight w:val="none"/>
          <w:lang w:val="zh-CN"/>
        </w:rPr>
        <w:t>《低碳钢焊条》GBE4313</w:t>
      </w:r>
    </w:p>
    <w:p>
      <w:pPr>
        <w:pStyle w:val="29"/>
        <w:shd w:val="clear" w:color="auto" w:fill="FFFFFF"/>
        <w:snapToGrid w:val="0"/>
        <w:rPr>
          <w:color w:val="auto"/>
          <w:highlight w:val="none"/>
          <w:lang w:val="zh-CN"/>
        </w:rPr>
      </w:pPr>
      <w:r>
        <w:rPr>
          <w:rFonts w:hint="eastAsia" w:hAnsi="宋体"/>
          <w:color w:val="auto"/>
          <w:highlight w:val="none"/>
          <w:lang w:val="zh-CN"/>
        </w:rPr>
        <w:t>《钢制管法兰型式、参数</w:t>
      </w:r>
      <w:r>
        <w:rPr>
          <w:color w:val="auto"/>
          <w:highlight w:val="none"/>
          <w:lang w:val="zh-CN"/>
        </w:rPr>
        <w:t>(</w:t>
      </w:r>
      <w:r>
        <w:rPr>
          <w:rFonts w:hint="eastAsia" w:hAnsi="宋体"/>
          <w:color w:val="auto"/>
          <w:highlight w:val="none"/>
          <w:lang w:val="zh-CN"/>
        </w:rPr>
        <w:t>欧洲体系)》HG20592-97</w:t>
      </w:r>
    </w:p>
    <w:p>
      <w:pPr>
        <w:pStyle w:val="29"/>
        <w:shd w:val="clear" w:color="auto" w:fill="FFFFFF"/>
        <w:snapToGrid w:val="0"/>
        <w:rPr>
          <w:color w:val="auto"/>
          <w:highlight w:val="none"/>
          <w:lang w:val="zh-CN"/>
        </w:rPr>
      </w:pPr>
      <w:r>
        <w:rPr>
          <w:rFonts w:hint="eastAsia" w:hAnsi="宋体"/>
          <w:color w:val="auto"/>
          <w:highlight w:val="none"/>
          <w:lang w:val="zh-CN"/>
        </w:rPr>
        <w:t>《钢制压力容器》GB 150-1998</w:t>
      </w:r>
    </w:p>
    <w:p>
      <w:pPr>
        <w:pStyle w:val="29"/>
        <w:shd w:val="clear" w:color="auto" w:fill="FFFFFF"/>
        <w:snapToGrid w:val="0"/>
        <w:rPr>
          <w:color w:val="auto"/>
          <w:highlight w:val="none"/>
          <w:lang w:val="zh-CN"/>
        </w:rPr>
      </w:pPr>
      <w:r>
        <w:rPr>
          <w:rFonts w:hint="eastAsia" w:hAnsi="宋体"/>
          <w:color w:val="auto"/>
          <w:highlight w:val="none"/>
          <w:lang w:val="zh-CN"/>
        </w:rPr>
        <w:t>《钢制焊接常压容器》JB/T 4735-1997</w:t>
      </w:r>
    </w:p>
    <w:p>
      <w:pPr>
        <w:pStyle w:val="29"/>
        <w:shd w:val="clear" w:color="auto" w:fill="FFFFFF"/>
        <w:snapToGrid w:val="0"/>
        <w:rPr>
          <w:color w:val="auto"/>
          <w:highlight w:val="none"/>
          <w:lang w:val="zh-CN"/>
        </w:rPr>
      </w:pPr>
      <w:r>
        <w:rPr>
          <w:rFonts w:hint="eastAsia" w:hAnsi="宋体"/>
          <w:color w:val="auto"/>
          <w:highlight w:val="none"/>
          <w:lang w:val="zh-CN"/>
        </w:rPr>
        <w:t>《钢制压力容器焊接规程》JB/T4709-2000</w:t>
      </w:r>
    </w:p>
    <w:p>
      <w:pPr>
        <w:pStyle w:val="29"/>
        <w:shd w:val="clear" w:color="auto" w:fill="FFFFFF"/>
        <w:snapToGrid w:val="0"/>
        <w:rPr>
          <w:color w:val="auto"/>
          <w:highlight w:val="none"/>
          <w:lang w:val="zh-CN"/>
        </w:rPr>
      </w:pPr>
      <w:r>
        <w:rPr>
          <w:rFonts w:hint="eastAsia" w:hAnsi="宋体"/>
          <w:color w:val="auto"/>
          <w:highlight w:val="none"/>
          <w:lang w:val="zh-CN"/>
        </w:rPr>
        <w:t>《气焊、手工电弧焊及气体保护焊焊缝坡口的基本形式与尺寸》GB985-88</w:t>
      </w:r>
    </w:p>
    <w:p>
      <w:pPr>
        <w:pStyle w:val="29"/>
        <w:shd w:val="clear" w:color="auto" w:fill="FFFFFF"/>
        <w:snapToGrid w:val="0"/>
        <w:rPr>
          <w:color w:val="auto"/>
          <w:highlight w:val="none"/>
          <w:lang w:val="zh-CN"/>
        </w:rPr>
      </w:pPr>
      <w:r>
        <w:rPr>
          <w:rFonts w:hint="eastAsia" w:hAnsi="宋体"/>
          <w:color w:val="auto"/>
          <w:highlight w:val="none"/>
          <w:lang w:val="zh-CN"/>
        </w:rPr>
        <w:t>《压力容器无损检测》JB 4730-94</w:t>
      </w:r>
    </w:p>
    <w:p>
      <w:pPr>
        <w:pStyle w:val="29"/>
        <w:shd w:val="clear" w:color="auto" w:fill="FFFFFF"/>
        <w:snapToGrid w:val="0"/>
        <w:rPr>
          <w:color w:val="auto"/>
          <w:highlight w:val="none"/>
          <w:lang w:val="zh-CN"/>
        </w:rPr>
      </w:pPr>
      <w:r>
        <w:rPr>
          <w:rFonts w:hint="eastAsia" w:hAnsi="宋体"/>
          <w:color w:val="auto"/>
          <w:highlight w:val="none"/>
          <w:lang w:val="zh-CN"/>
        </w:rPr>
        <w:t>《爆炸和火灾危险环境电力装置设计规范》GB50058-92</w:t>
      </w:r>
    </w:p>
    <w:p>
      <w:pPr>
        <w:pStyle w:val="29"/>
        <w:shd w:val="clear" w:color="auto" w:fill="FFFFFF"/>
        <w:snapToGrid w:val="0"/>
        <w:rPr>
          <w:color w:val="auto"/>
          <w:highlight w:val="none"/>
          <w:lang w:val="zh-CN"/>
        </w:rPr>
      </w:pPr>
      <w:r>
        <w:rPr>
          <w:rFonts w:hint="eastAsia" w:hAnsi="宋体"/>
          <w:color w:val="auto"/>
          <w:highlight w:val="none"/>
          <w:lang w:val="zh-CN"/>
        </w:rPr>
        <w:t>《石油与石油设施雷电安全规范》GB15599-1995</w:t>
      </w:r>
    </w:p>
    <w:p>
      <w:pPr>
        <w:pStyle w:val="29"/>
        <w:shd w:val="clear" w:color="auto" w:fill="FFFFFF"/>
        <w:snapToGrid w:val="0"/>
        <w:rPr>
          <w:color w:val="auto"/>
          <w:highlight w:val="none"/>
          <w:lang w:val="zh-CN"/>
        </w:rPr>
      </w:pPr>
      <w:r>
        <w:rPr>
          <w:rFonts w:hint="eastAsia" w:hAnsi="宋体"/>
          <w:color w:val="auto"/>
          <w:highlight w:val="none"/>
          <w:lang w:val="zh-CN"/>
        </w:rPr>
        <w:t>《防止静电事故通用导则》GB12158-90</w:t>
      </w:r>
    </w:p>
    <w:p>
      <w:pPr>
        <w:pStyle w:val="29"/>
        <w:shd w:val="clear" w:color="auto" w:fill="FFFFFF"/>
        <w:snapToGrid w:val="0"/>
        <w:rPr>
          <w:color w:val="auto"/>
          <w:highlight w:val="none"/>
          <w:lang w:val="zh-CN"/>
        </w:rPr>
      </w:pPr>
      <w:r>
        <w:rPr>
          <w:rFonts w:hint="eastAsia" w:hAnsi="宋体"/>
          <w:color w:val="auto"/>
          <w:highlight w:val="none"/>
          <w:lang w:val="zh-CN"/>
        </w:rPr>
        <w:t>《小型立、卧式油罐图集》02R111</w:t>
      </w:r>
    </w:p>
    <w:p>
      <w:pPr>
        <w:pStyle w:val="29"/>
        <w:shd w:val="clear" w:color="auto" w:fill="FFFFFF"/>
        <w:snapToGrid w:val="0"/>
        <w:ind w:firstLineChars="0"/>
        <w:rPr>
          <w:color w:val="auto"/>
          <w:highlight w:val="none"/>
        </w:rPr>
      </w:pPr>
      <w:r>
        <w:rPr>
          <w:rFonts w:hint="eastAsia" w:hAnsi="宋体"/>
          <w:color w:val="auto"/>
          <w:highlight w:val="none"/>
        </w:rPr>
        <w:t>其他投标方应提供的国内、国际技术标准</w:t>
      </w:r>
    </w:p>
    <w:bookmarkEnd w:id="1"/>
    <w:p>
      <w:pPr>
        <w:pStyle w:val="32"/>
        <w:numPr>
          <w:ilvl w:val="0"/>
          <w:numId w:val="4"/>
        </w:numPr>
        <w:tabs>
          <w:tab w:val="left" w:pos="720"/>
        </w:tabs>
        <w:ind w:firstLine="0"/>
        <w:outlineLvl w:val="0"/>
        <w:rPr>
          <w:color w:val="auto"/>
          <w:highlight w:val="none"/>
        </w:rPr>
      </w:pPr>
      <w:bookmarkStart w:id="30" w:name="_Toc89846171"/>
      <w:r>
        <w:rPr>
          <w:rFonts w:hint="eastAsia"/>
          <w:color w:val="auto"/>
          <w:highlight w:val="none"/>
        </w:rPr>
        <w:t>油罐主要技术参数及要求</w:t>
      </w:r>
      <w:bookmarkEnd w:id="30"/>
    </w:p>
    <w:p>
      <w:pPr>
        <w:numPr>
          <w:ilvl w:val="1"/>
          <w:numId w:val="4"/>
        </w:numPr>
        <w:spacing w:line="360" w:lineRule="auto"/>
        <w:jc w:val="left"/>
        <w:outlineLvl w:val="1"/>
        <w:rPr>
          <w:rFonts w:ascii="宋体" w:hAnsi="宋体"/>
          <w:b/>
          <w:color w:val="auto"/>
          <w:sz w:val="24"/>
          <w:highlight w:val="none"/>
        </w:rPr>
      </w:pPr>
      <w:bookmarkStart w:id="31" w:name="_Toc89846172"/>
      <w:r>
        <w:rPr>
          <w:rFonts w:hint="eastAsia" w:ascii="宋体" w:hAnsi="宋体"/>
          <w:b/>
          <w:color w:val="auto"/>
          <w:sz w:val="24"/>
          <w:highlight w:val="none"/>
        </w:rPr>
        <w:t>技术参数</w:t>
      </w:r>
      <w:bookmarkEnd w:id="31"/>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1755"/>
        <w:gridCol w:w="796"/>
        <w:gridCol w:w="5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993" w:type="dxa"/>
            <w:shd w:val="clear" w:color="auto" w:fill="auto"/>
            <w:vAlign w:val="center"/>
          </w:tcPr>
          <w:p>
            <w:pPr>
              <w:spacing w:line="240" w:lineRule="atLeast"/>
              <w:jc w:val="center"/>
              <w:rPr>
                <w:rFonts w:ascii="宋体" w:hAnsi="宋体"/>
                <w:b/>
                <w:color w:val="auto"/>
                <w:szCs w:val="21"/>
                <w:highlight w:val="none"/>
              </w:rPr>
            </w:pPr>
            <w:r>
              <w:rPr>
                <w:rFonts w:hint="eastAsia" w:ascii="宋体" w:hAnsi="宋体"/>
                <w:b/>
                <w:color w:val="auto"/>
                <w:szCs w:val="21"/>
                <w:highlight w:val="none"/>
              </w:rPr>
              <w:t>序号</w:t>
            </w:r>
          </w:p>
        </w:tc>
        <w:tc>
          <w:tcPr>
            <w:tcW w:w="1755" w:type="dxa"/>
            <w:shd w:val="clear" w:color="auto" w:fill="auto"/>
            <w:vAlign w:val="center"/>
          </w:tcPr>
          <w:p>
            <w:pPr>
              <w:spacing w:line="240" w:lineRule="atLeast"/>
              <w:jc w:val="center"/>
              <w:rPr>
                <w:rFonts w:ascii="宋体" w:hAnsi="宋体"/>
                <w:b/>
                <w:color w:val="auto"/>
                <w:szCs w:val="21"/>
                <w:highlight w:val="none"/>
              </w:rPr>
            </w:pPr>
            <w:r>
              <w:rPr>
                <w:rFonts w:hint="eastAsia" w:ascii="宋体" w:hAnsi="宋体"/>
                <w:b/>
                <w:color w:val="auto"/>
                <w:szCs w:val="21"/>
                <w:highlight w:val="none"/>
              </w:rPr>
              <w:t>项目</w:t>
            </w:r>
          </w:p>
        </w:tc>
        <w:tc>
          <w:tcPr>
            <w:tcW w:w="796" w:type="dxa"/>
            <w:shd w:val="clear" w:color="auto" w:fill="auto"/>
            <w:vAlign w:val="center"/>
          </w:tcPr>
          <w:p>
            <w:pPr>
              <w:spacing w:line="240" w:lineRule="atLeast"/>
              <w:jc w:val="center"/>
              <w:rPr>
                <w:rFonts w:ascii="宋体" w:hAnsi="宋体"/>
                <w:b/>
                <w:color w:val="auto"/>
                <w:szCs w:val="21"/>
                <w:highlight w:val="none"/>
              </w:rPr>
            </w:pPr>
            <w:r>
              <w:rPr>
                <w:rFonts w:hint="eastAsia" w:ascii="宋体" w:hAnsi="宋体"/>
                <w:b/>
                <w:color w:val="auto"/>
                <w:szCs w:val="21"/>
                <w:highlight w:val="none"/>
              </w:rPr>
              <w:t>单位</w:t>
            </w:r>
          </w:p>
        </w:tc>
        <w:tc>
          <w:tcPr>
            <w:tcW w:w="5409" w:type="dxa"/>
            <w:shd w:val="clear" w:color="auto" w:fill="auto"/>
            <w:vAlign w:val="center"/>
          </w:tcPr>
          <w:p>
            <w:pPr>
              <w:spacing w:line="240" w:lineRule="atLeast"/>
              <w:jc w:val="center"/>
              <w:rPr>
                <w:rFonts w:ascii="宋体" w:hAnsi="宋体"/>
                <w:b/>
                <w:color w:val="auto"/>
                <w:szCs w:val="21"/>
                <w:highlight w:val="none"/>
              </w:rPr>
            </w:pPr>
            <w:r>
              <w:rPr>
                <w:rFonts w:ascii="宋体" w:hAnsi="宋体"/>
                <w:b/>
                <w:color w:val="auto"/>
                <w:szCs w:val="21"/>
                <w:highlight w:val="none"/>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93"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1</w:t>
            </w:r>
          </w:p>
        </w:tc>
        <w:tc>
          <w:tcPr>
            <w:tcW w:w="1755"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设备名称</w:t>
            </w:r>
          </w:p>
        </w:tc>
        <w:tc>
          <w:tcPr>
            <w:tcW w:w="796" w:type="dxa"/>
            <w:shd w:val="clear" w:color="auto" w:fill="auto"/>
            <w:vAlign w:val="center"/>
          </w:tcPr>
          <w:p>
            <w:pPr>
              <w:spacing w:line="240" w:lineRule="atLeast"/>
              <w:jc w:val="center"/>
              <w:rPr>
                <w:rFonts w:ascii="宋体" w:hAnsi="宋体"/>
                <w:color w:val="auto"/>
                <w:szCs w:val="21"/>
                <w:highlight w:val="none"/>
              </w:rPr>
            </w:pPr>
          </w:p>
        </w:tc>
        <w:tc>
          <w:tcPr>
            <w:tcW w:w="5409" w:type="dxa"/>
            <w:shd w:val="clear" w:color="auto" w:fill="auto"/>
            <w:vAlign w:val="center"/>
          </w:tcPr>
          <w:p>
            <w:pPr>
              <w:spacing w:line="240" w:lineRule="atLeast"/>
              <w:jc w:val="left"/>
              <w:rPr>
                <w:rFonts w:ascii="宋体" w:hAnsi="宋体"/>
                <w:color w:val="auto"/>
                <w:szCs w:val="21"/>
                <w:highlight w:val="none"/>
              </w:rPr>
            </w:pPr>
            <w:r>
              <w:rPr>
                <w:rFonts w:hint="eastAsia" w:ascii="宋体" w:hAnsi="宋体"/>
                <w:color w:val="auto"/>
                <w:szCs w:val="21"/>
                <w:highlight w:val="none"/>
              </w:rPr>
              <w:t>油罐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93"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1755"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物料</w:t>
            </w:r>
          </w:p>
        </w:tc>
        <w:tc>
          <w:tcPr>
            <w:tcW w:w="796" w:type="dxa"/>
            <w:shd w:val="clear" w:color="auto" w:fill="auto"/>
            <w:vAlign w:val="center"/>
          </w:tcPr>
          <w:p>
            <w:pPr>
              <w:spacing w:line="240" w:lineRule="atLeast"/>
              <w:jc w:val="center"/>
              <w:rPr>
                <w:color w:val="auto"/>
                <w:highlight w:val="none"/>
              </w:rPr>
            </w:pPr>
          </w:p>
        </w:tc>
        <w:tc>
          <w:tcPr>
            <w:tcW w:w="5409" w:type="dxa"/>
            <w:shd w:val="clear" w:color="auto" w:fill="auto"/>
            <w:vAlign w:val="center"/>
          </w:tcPr>
          <w:p>
            <w:pPr>
              <w:spacing w:line="240" w:lineRule="atLeast"/>
              <w:rPr>
                <w:rFonts w:ascii="宋体" w:hAnsi="宋体"/>
                <w:bCs/>
                <w:color w:val="auto"/>
                <w:szCs w:val="21"/>
                <w:highlight w:val="none"/>
              </w:rPr>
            </w:pPr>
            <w:r>
              <w:rPr>
                <w:rFonts w:hint="eastAsia"/>
                <w:color w:val="auto"/>
                <w:highlight w:val="none"/>
              </w:rPr>
              <w:t>0号（</w:t>
            </w:r>
            <w:r>
              <w:rPr>
                <w:rFonts w:hint="eastAsia"/>
                <w:color w:val="auto"/>
                <w:highlight w:val="none"/>
                <w:lang w:val="en-US" w:eastAsia="zh-CN"/>
              </w:rPr>
              <w:t>或</w:t>
            </w:r>
            <w:r>
              <w:rPr>
                <w:rFonts w:hint="eastAsia"/>
                <w:color w:val="auto"/>
                <w:highlight w:val="none"/>
              </w:rPr>
              <w:t>-10#）轻柴油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93"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3</w:t>
            </w:r>
          </w:p>
        </w:tc>
        <w:tc>
          <w:tcPr>
            <w:tcW w:w="1755"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计算容积m³</w:t>
            </w:r>
          </w:p>
        </w:tc>
        <w:tc>
          <w:tcPr>
            <w:tcW w:w="796" w:type="dxa"/>
            <w:shd w:val="clear" w:color="auto" w:fill="auto"/>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m</w:t>
            </w:r>
            <w:r>
              <w:rPr>
                <w:rFonts w:ascii="宋体" w:hAnsi="宋体"/>
                <w:color w:val="auto"/>
                <w:szCs w:val="21"/>
                <w:highlight w:val="none"/>
                <w:vertAlign w:val="superscript"/>
              </w:rPr>
              <w:t>3</w:t>
            </w:r>
          </w:p>
        </w:tc>
        <w:tc>
          <w:tcPr>
            <w:tcW w:w="5409" w:type="dxa"/>
            <w:shd w:val="clear" w:color="auto" w:fill="auto"/>
            <w:vAlign w:val="center"/>
          </w:tcPr>
          <w:p>
            <w:pPr>
              <w:spacing w:line="240" w:lineRule="atLeast"/>
              <w:rPr>
                <w:rFonts w:ascii="宋体" w:hAnsi="宋体"/>
                <w:color w:val="auto"/>
                <w:szCs w:val="21"/>
                <w:highlight w:val="none"/>
              </w:rPr>
            </w:pPr>
            <w:r>
              <w:rPr>
                <w:rFonts w:hint="eastAsia"/>
                <w:color w:val="auto"/>
                <w:highlight w:val="none"/>
                <w:lang w:val="en-US" w:eastAsia="zh-CN"/>
              </w:rPr>
              <w:t>16.67</w:t>
            </w:r>
            <w:r>
              <w:rPr>
                <w:rFonts w:hint="eastAsia"/>
                <w:color w:val="auto"/>
                <w:highlight w:val="none"/>
              </w:rPr>
              <w:t>（投标方核实）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93"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4</w:t>
            </w:r>
          </w:p>
        </w:tc>
        <w:tc>
          <w:tcPr>
            <w:tcW w:w="1755"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公称容积m³</w:t>
            </w:r>
          </w:p>
        </w:tc>
        <w:tc>
          <w:tcPr>
            <w:tcW w:w="796" w:type="dxa"/>
            <w:shd w:val="clear" w:color="auto" w:fill="auto"/>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m</w:t>
            </w:r>
            <w:r>
              <w:rPr>
                <w:rFonts w:ascii="宋体" w:hAnsi="宋体"/>
                <w:color w:val="auto"/>
                <w:szCs w:val="21"/>
                <w:highlight w:val="none"/>
                <w:vertAlign w:val="superscript"/>
              </w:rPr>
              <w:t>3</w:t>
            </w:r>
          </w:p>
        </w:tc>
        <w:tc>
          <w:tcPr>
            <w:tcW w:w="5409" w:type="dxa"/>
            <w:shd w:val="clear" w:color="auto" w:fill="auto"/>
            <w:vAlign w:val="center"/>
          </w:tcPr>
          <w:p>
            <w:pPr>
              <w:spacing w:line="240" w:lineRule="atLeas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93"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5</w:t>
            </w:r>
          </w:p>
        </w:tc>
        <w:tc>
          <w:tcPr>
            <w:tcW w:w="1755" w:type="dxa"/>
            <w:shd w:val="clear" w:color="auto" w:fill="auto"/>
            <w:vAlign w:val="center"/>
          </w:tcPr>
          <w:p>
            <w:pPr>
              <w:spacing w:line="240" w:lineRule="atLeast"/>
              <w:jc w:val="center"/>
              <w:rPr>
                <w:rFonts w:ascii="宋体" w:hAnsi="宋体"/>
                <w:color w:val="auto"/>
                <w:szCs w:val="21"/>
                <w:highlight w:val="none"/>
              </w:rPr>
            </w:pPr>
            <w:r>
              <w:rPr>
                <w:rFonts w:hint="eastAsia"/>
                <w:color w:val="auto"/>
                <w:highlight w:val="none"/>
                <w:lang w:val="zh-CN"/>
              </w:rPr>
              <w:t>装量系数</w:t>
            </w:r>
          </w:p>
        </w:tc>
        <w:tc>
          <w:tcPr>
            <w:tcW w:w="796" w:type="dxa"/>
            <w:shd w:val="clear" w:color="auto" w:fill="auto"/>
            <w:vAlign w:val="center"/>
          </w:tcPr>
          <w:p>
            <w:pPr>
              <w:spacing w:line="240" w:lineRule="atLeast"/>
              <w:jc w:val="center"/>
              <w:rPr>
                <w:rFonts w:ascii="宋体" w:hAnsi="宋体"/>
                <w:color w:val="auto"/>
                <w:szCs w:val="21"/>
                <w:highlight w:val="none"/>
              </w:rPr>
            </w:pPr>
          </w:p>
        </w:tc>
        <w:tc>
          <w:tcPr>
            <w:tcW w:w="5409" w:type="dxa"/>
            <w:shd w:val="clear" w:color="auto" w:fill="auto"/>
            <w:vAlign w:val="center"/>
          </w:tcPr>
          <w:p>
            <w:pPr>
              <w:spacing w:line="240" w:lineRule="atLeast"/>
              <w:rPr>
                <w:rFonts w:ascii="宋体" w:hAnsi="宋体"/>
                <w:color w:val="auto"/>
                <w:szCs w:val="21"/>
                <w:highlight w:val="none"/>
              </w:rPr>
            </w:pPr>
            <w:r>
              <w:rPr>
                <w:rFonts w:hint="eastAsia" w:ascii="宋体" w:hAnsi="宋体"/>
                <w:color w:val="auto"/>
                <w:szCs w:val="21"/>
                <w:highlight w:val="none"/>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93"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6</w:t>
            </w:r>
          </w:p>
        </w:tc>
        <w:tc>
          <w:tcPr>
            <w:tcW w:w="1755"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数量</w:t>
            </w:r>
          </w:p>
        </w:tc>
        <w:tc>
          <w:tcPr>
            <w:tcW w:w="796"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台</w:t>
            </w:r>
          </w:p>
        </w:tc>
        <w:tc>
          <w:tcPr>
            <w:tcW w:w="5409" w:type="dxa"/>
            <w:shd w:val="clear" w:color="auto" w:fill="auto"/>
            <w:vAlign w:val="center"/>
          </w:tcPr>
          <w:p>
            <w:pPr>
              <w:spacing w:line="240" w:lineRule="atLeast"/>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93"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7</w:t>
            </w:r>
          </w:p>
        </w:tc>
        <w:tc>
          <w:tcPr>
            <w:tcW w:w="1755"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形式</w:t>
            </w:r>
          </w:p>
        </w:tc>
        <w:tc>
          <w:tcPr>
            <w:tcW w:w="796" w:type="dxa"/>
            <w:shd w:val="clear" w:color="auto" w:fill="auto"/>
            <w:vAlign w:val="center"/>
          </w:tcPr>
          <w:p>
            <w:pPr>
              <w:spacing w:line="240" w:lineRule="atLeast"/>
              <w:rPr>
                <w:color w:val="auto"/>
                <w:highlight w:val="none"/>
              </w:rPr>
            </w:pPr>
          </w:p>
        </w:tc>
        <w:tc>
          <w:tcPr>
            <w:tcW w:w="5409" w:type="dxa"/>
            <w:shd w:val="clear" w:color="auto" w:fill="auto"/>
            <w:vAlign w:val="center"/>
          </w:tcPr>
          <w:p>
            <w:pPr>
              <w:spacing w:line="240" w:lineRule="atLeast"/>
              <w:rPr>
                <w:rFonts w:ascii="宋体" w:hAnsi="宋体"/>
                <w:color w:val="auto"/>
                <w:szCs w:val="21"/>
                <w:highlight w:val="none"/>
              </w:rPr>
            </w:pPr>
            <w:r>
              <w:rPr>
                <w:color w:val="auto"/>
                <w:highlight w:val="none"/>
              </w:rPr>
              <w:t>埋地卧式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93" w:type="dxa"/>
            <w:shd w:val="clear" w:color="auto" w:fill="auto"/>
            <w:vAlign w:val="center"/>
          </w:tcPr>
          <w:p>
            <w:pPr>
              <w:spacing w:line="240" w:lineRule="atLeast"/>
              <w:jc w:val="center"/>
              <w:rPr>
                <w:color w:val="auto"/>
                <w:highlight w:val="none"/>
              </w:rPr>
            </w:pPr>
            <w:r>
              <w:rPr>
                <w:rFonts w:hint="eastAsia"/>
                <w:color w:val="auto"/>
                <w:highlight w:val="none"/>
              </w:rPr>
              <w:t>8</w:t>
            </w:r>
          </w:p>
        </w:tc>
        <w:tc>
          <w:tcPr>
            <w:tcW w:w="1755"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设计压力</w:t>
            </w:r>
          </w:p>
        </w:tc>
        <w:tc>
          <w:tcPr>
            <w:tcW w:w="796" w:type="dxa"/>
            <w:shd w:val="clear" w:color="auto" w:fill="auto"/>
            <w:vAlign w:val="center"/>
          </w:tcPr>
          <w:p>
            <w:pPr>
              <w:spacing w:line="240" w:lineRule="atLeast"/>
              <w:rPr>
                <w:rFonts w:ascii="宋体" w:hAnsi="宋体"/>
                <w:color w:val="auto"/>
                <w:szCs w:val="21"/>
                <w:highlight w:val="none"/>
              </w:rPr>
            </w:pPr>
          </w:p>
        </w:tc>
        <w:tc>
          <w:tcPr>
            <w:tcW w:w="5409" w:type="dxa"/>
            <w:shd w:val="clear" w:color="auto" w:fill="auto"/>
            <w:vAlign w:val="center"/>
          </w:tcPr>
          <w:p>
            <w:pPr>
              <w:spacing w:line="240" w:lineRule="atLeast"/>
              <w:rPr>
                <w:rFonts w:ascii="宋体" w:hAnsi="宋体"/>
                <w:color w:val="auto"/>
                <w:szCs w:val="21"/>
                <w:highlight w:val="none"/>
              </w:rPr>
            </w:pPr>
            <w:r>
              <w:rPr>
                <w:rFonts w:hint="eastAsia" w:ascii="宋体" w:hAnsi="宋体"/>
                <w:color w:val="auto"/>
                <w:szCs w:val="21"/>
                <w:highlight w:val="none"/>
              </w:rPr>
              <w:t>常压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93" w:type="dxa"/>
            <w:shd w:val="clear" w:color="auto" w:fill="auto"/>
            <w:vAlign w:val="center"/>
          </w:tcPr>
          <w:p>
            <w:pPr>
              <w:spacing w:line="240" w:lineRule="atLeast"/>
              <w:jc w:val="center"/>
              <w:rPr>
                <w:color w:val="auto"/>
                <w:highlight w:val="none"/>
              </w:rPr>
            </w:pPr>
            <w:r>
              <w:rPr>
                <w:rFonts w:hint="eastAsia"/>
                <w:color w:val="auto"/>
                <w:highlight w:val="none"/>
              </w:rPr>
              <w:t>9</w:t>
            </w:r>
          </w:p>
        </w:tc>
        <w:tc>
          <w:tcPr>
            <w:tcW w:w="1755"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设计温度</w:t>
            </w:r>
          </w:p>
        </w:tc>
        <w:tc>
          <w:tcPr>
            <w:tcW w:w="796" w:type="dxa"/>
            <w:shd w:val="clear" w:color="auto" w:fill="auto"/>
            <w:vAlign w:val="center"/>
          </w:tcPr>
          <w:p>
            <w:pPr>
              <w:spacing w:line="240" w:lineRule="atLeast"/>
              <w:rPr>
                <w:color w:val="auto"/>
                <w:highlight w:val="none"/>
                <w:lang w:val="zh-CN"/>
              </w:rPr>
            </w:pPr>
          </w:p>
        </w:tc>
        <w:tc>
          <w:tcPr>
            <w:tcW w:w="5409" w:type="dxa"/>
            <w:shd w:val="clear" w:color="auto" w:fill="auto"/>
            <w:vAlign w:val="center"/>
          </w:tcPr>
          <w:p>
            <w:pPr>
              <w:spacing w:line="240" w:lineRule="atLeast"/>
              <w:rPr>
                <w:rFonts w:ascii="宋体" w:hAnsi="宋体"/>
                <w:color w:val="auto"/>
                <w:szCs w:val="21"/>
                <w:highlight w:val="none"/>
              </w:rPr>
            </w:pPr>
            <w:r>
              <w:rPr>
                <w:color w:val="auto"/>
                <w:highlight w:val="none"/>
                <w:lang w:val="zh-CN"/>
              </w:rPr>
              <w:t>-19~20</w:t>
            </w:r>
            <w:r>
              <w:rPr>
                <w:rFonts w:hint="eastAsia"/>
                <w:color w:val="auto"/>
                <w:highlight w:val="none"/>
                <w:lang w:val="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93" w:type="dxa"/>
            <w:shd w:val="clear" w:color="auto" w:fill="auto"/>
            <w:vAlign w:val="center"/>
          </w:tcPr>
          <w:p>
            <w:pPr>
              <w:spacing w:line="240" w:lineRule="atLeast"/>
              <w:jc w:val="center"/>
              <w:rPr>
                <w:color w:val="auto"/>
                <w:highlight w:val="none"/>
              </w:rPr>
            </w:pPr>
            <w:r>
              <w:rPr>
                <w:rFonts w:hint="eastAsia"/>
                <w:color w:val="auto"/>
                <w:highlight w:val="none"/>
              </w:rPr>
              <w:t>10</w:t>
            </w:r>
          </w:p>
        </w:tc>
        <w:tc>
          <w:tcPr>
            <w:tcW w:w="1755"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水压试验压力</w:t>
            </w:r>
          </w:p>
        </w:tc>
        <w:tc>
          <w:tcPr>
            <w:tcW w:w="796" w:type="dxa"/>
            <w:shd w:val="clear" w:color="auto" w:fill="auto"/>
            <w:vAlign w:val="center"/>
          </w:tcPr>
          <w:p>
            <w:pPr>
              <w:spacing w:line="360" w:lineRule="auto"/>
              <w:rPr>
                <w:color w:val="auto"/>
                <w:highlight w:val="none"/>
                <w:lang w:val="zh-CN"/>
              </w:rPr>
            </w:pPr>
          </w:p>
        </w:tc>
        <w:tc>
          <w:tcPr>
            <w:tcW w:w="5409" w:type="dxa"/>
            <w:shd w:val="clear" w:color="auto" w:fill="auto"/>
            <w:vAlign w:val="center"/>
          </w:tcPr>
          <w:p>
            <w:pPr>
              <w:spacing w:line="360" w:lineRule="auto"/>
              <w:rPr>
                <w:rFonts w:ascii="宋体" w:hAnsi="宋体"/>
                <w:color w:val="auto"/>
                <w:szCs w:val="21"/>
                <w:highlight w:val="none"/>
              </w:rPr>
            </w:pPr>
            <w:r>
              <w:rPr>
                <w:rFonts w:hint="eastAsia"/>
                <w:color w:val="auto"/>
                <w:highlight w:val="none"/>
                <w:lang w:val="zh-CN"/>
              </w:rPr>
              <w:t>盛水试漏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93" w:type="dxa"/>
            <w:shd w:val="clear" w:color="auto" w:fill="auto"/>
            <w:vAlign w:val="center"/>
          </w:tcPr>
          <w:p>
            <w:pPr>
              <w:spacing w:line="240" w:lineRule="atLeast"/>
              <w:jc w:val="center"/>
              <w:rPr>
                <w:color w:val="auto"/>
                <w:highlight w:val="none"/>
              </w:rPr>
            </w:pPr>
            <w:r>
              <w:rPr>
                <w:rFonts w:hint="eastAsia"/>
                <w:color w:val="auto"/>
                <w:highlight w:val="none"/>
              </w:rPr>
              <w:t>11</w:t>
            </w:r>
          </w:p>
        </w:tc>
        <w:tc>
          <w:tcPr>
            <w:tcW w:w="1755" w:type="dxa"/>
            <w:shd w:val="clear" w:color="auto" w:fill="auto"/>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使用寿命</w:t>
            </w:r>
          </w:p>
        </w:tc>
        <w:tc>
          <w:tcPr>
            <w:tcW w:w="796" w:type="dxa"/>
            <w:shd w:val="clear" w:color="auto" w:fill="auto"/>
            <w:vAlign w:val="center"/>
          </w:tcPr>
          <w:p>
            <w:pPr>
              <w:spacing w:line="360" w:lineRule="auto"/>
              <w:rPr>
                <w:rFonts w:ascii="宋体" w:hAnsi="宋体"/>
                <w:color w:val="auto"/>
                <w:szCs w:val="21"/>
                <w:highlight w:val="none"/>
              </w:rPr>
            </w:pPr>
          </w:p>
        </w:tc>
        <w:tc>
          <w:tcPr>
            <w:tcW w:w="5409" w:type="dxa"/>
            <w:shd w:val="clear" w:color="auto" w:fill="auto"/>
            <w:vAlign w:val="center"/>
          </w:tcPr>
          <w:p>
            <w:pPr>
              <w:spacing w:line="360" w:lineRule="auto"/>
              <w:rPr>
                <w:rFonts w:ascii="宋体" w:hAnsi="宋体"/>
                <w:color w:val="auto"/>
                <w:szCs w:val="21"/>
                <w:highlight w:val="none"/>
              </w:rPr>
            </w:pPr>
            <w:r>
              <w:rPr>
                <w:rFonts w:hint="eastAsia" w:ascii="宋体" w:hAnsi="宋体"/>
                <w:color w:val="auto"/>
                <w:szCs w:val="21"/>
                <w:highlight w:val="none"/>
              </w:rPr>
              <w:t>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93" w:type="dxa"/>
            <w:shd w:val="clear" w:color="auto" w:fill="auto"/>
            <w:vAlign w:val="center"/>
          </w:tcPr>
          <w:p>
            <w:pPr>
              <w:spacing w:line="240" w:lineRule="atLeast"/>
              <w:jc w:val="center"/>
              <w:rPr>
                <w:color w:val="auto"/>
                <w:highlight w:val="none"/>
                <w:lang w:val="zh-CN"/>
              </w:rPr>
            </w:pPr>
            <w:r>
              <w:rPr>
                <w:rFonts w:hint="eastAsia"/>
                <w:color w:val="auto"/>
                <w:highlight w:val="none"/>
                <w:lang w:val="zh-CN"/>
              </w:rPr>
              <w:t>12</w:t>
            </w:r>
          </w:p>
        </w:tc>
        <w:tc>
          <w:tcPr>
            <w:tcW w:w="1755" w:type="dxa"/>
            <w:shd w:val="clear" w:color="auto" w:fill="auto"/>
            <w:vAlign w:val="center"/>
          </w:tcPr>
          <w:p>
            <w:pPr>
              <w:spacing w:line="240" w:lineRule="atLeast"/>
              <w:jc w:val="center"/>
              <w:rPr>
                <w:rFonts w:ascii="宋体" w:hAnsi="宋体"/>
                <w:color w:val="auto"/>
                <w:szCs w:val="21"/>
                <w:highlight w:val="none"/>
              </w:rPr>
            </w:pPr>
            <w:r>
              <w:rPr>
                <w:rFonts w:hint="eastAsia"/>
                <w:color w:val="auto"/>
                <w:highlight w:val="none"/>
                <w:lang w:val="zh-CN"/>
              </w:rPr>
              <w:t>腐蚀裕量</w:t>
            </w:r>
          </w:p>
        </w:tc>
        <w:tc>
          <w:tcPr>
            <w:tcW w:w="796" w:type="dxa"/>
            <w:shd w:val="clear" w:color="auto" w:fill="auto"/>
            <w:vAlign w:val="center"/>
          </w:tcPr>
          <w:p>
            <w:pPr>
              <w:spacing w:line="360" w:lineRule="auto"/>
              <w:rPr>
                <w:color w:val="auto"/>
                <w:highlight w:val="none"/>
                <w:lang w:val="zh-CN"/>
              </w:rPr>
            </w:pPr>
          </w:p>
        </w:tc>
        <w:tc>
          <w:tcPr>
            <w:tcW w:w="5409" w:type="dxa"/>
            <w:shd w:val="clear" w:color="auto" w:fill="auto"/>
            <w:vAlign w:val="center"/>
          </w:tcPr>
          <w:p>
            <w:pPr>
              <w:spacing w:line="360" w:lineRule="auto"/>
              <w:rPr>
                <w:rFonts w:ascii="宋体" w:hAnsi="宋体"/>
                <w:color w:val="auto"/>
                <w:szCs w:val="21"/>
                <w:highlight w:val="none"/>
              </w:rPr>
            </w:pPr>
            <w:r>
              <w:rPr>
                <w:color w:val="auto"/>
                <w:highlight w:val="none"/>
                <w:lang w:val="zh-CN"/>
              </w:rPr>
              <w:t>1.5mm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93" w:type="dxa"/>
            <w:shd w:val="clear" w:color="auto" w:fill="auto"/>
            <w:vAlign w:val="center"/>
          </w:tcPr>
          <w:p>
            <w:pPr>
              <w:spacing w:line="240" w:lineRule="atLeast"/>
              <w:jc w:val="center"/>
              <w:rPr>
                <w:color w:val="auto"/>
                <w:highlight w:val="none"/>
                <w:lang w:val="zh-CN"/>
              </w:rPr>
            </w:pPr>
            <w:r>
              <w:rPr>
                <w:rFonts w:hint="eastAsia"/>
                <w:color w:val="auto"/>
                <w:highlight w:val="none"/>
                <w:lang w:val="zh-CN"/>
              </w:rPr>
              <w:t>13</w:t>
            </w:r>
          </w:p>
        </w:tc>
        <w:tc>
          <w:tcPr>
            <w:tcW w:w="1755" w:type="dxa"/>
            <w:shd w:val="clear" w:color="auto" w:fill="auto"/>
            <w:vAlign w:val="center"/>
          </w:tcPr>
          <w:p>
            <w:pPr>
              <w:spacing w:line="240" w:lineRule="atLeast"/>
              <w:jc w:val="center"/>
              <w:rPr>
                <w:rFonts w:ascii="宋体" w:hAnsi="宋体"/>
                <w:color w:val="auto"/>
                <w:szCs w:val="21"/>
                <w:highlight w:val="none"/>
              </w:rPr>
            </w:pPr>
            <w:r>
              <w:rPr>
                <w:rFonts w:hint="eastAsia"/>
                <w:color w:val="auto"/>
                <w:highlight w:val="none"/>
                <w:lang w:val="zh-CN"/>
              </w:rPr>
              <w:t>焊接接头系数</w:t>
            </w:r>
          </w:p>
        </w:tc>
        <w:tc>
          <w:tcPr>
            <w:tcW w:w="796" w:type="dxa"/>
            <w:shd w:val="clear" w:color="auto" w:fill="auto"/>
            <w:vAlign w:val="center"/>
          </w:tcPr>
          <w:p>
            <w:pPr>
              <w:spacing w:line="360" w:lineRule="auto"/>
              <w:rPr>
                <w:rFonts w:ascii="宋体" w:hAnsi="宋体"/>
                <w:color w:val="auto"/>
                <w:szCs w:val="21"/>
                <w:highlight w:val="none"/>
              </w:rPr>
            </w:pPr>
          </w:p>
        </w:tc>
        <w:tc>
          <w:tcPr>
            <w:tcW w:w="5409" w:type="dxa"/>
            <w:shd w:val="clear" w:color="auto" w:fill="auto"/>
            <w:vAlign w:val="center"/>
          </w:tcPr>
          <w:p>
            <w:pPr>
              <w:spacing w:line="360" w:lineRule="auto"/>
              <w:rPr>
                <w:rFonts w:ascii="宋体" w:hAnsi="宋体"/>
                <w:color w:val="auto"/>
                <w:szCs w:val="21"/>
                <w:highlight w:val="none"/>
              </w:rPr>
            </w:pPr>
            <w:r>
              <w:rPr>
                <w:rFonts w:hint="eastAsia" w:ascii="宋体" w:hAnsi="宋体"/>
                <w:color w:val="auto"/>
                <w:szCs w:val="21"/>
                <w:highlight w:val="none"/>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93" w:type="dxa"/>
            <w:shd w:val="clear" w:color="auto" w:fill="auto"/>
            <w:vAlign w:val="center"/>
          </w:tcPr>
          <w:p>
            <w:pPr>
              <w:spacing w:line="240" w:lineRule="atLeast"/>
              <w:jc w:val="center"/>
              <w:rPr>
                <w:color w:val="auto"/>
                <w:highlight w:val="none"/>
              </w:rPr>
            </w:pPr>
            <w:r>
              <w:rPr>
                <w:rFonts w:hint="eastAsia"/>
                <w:color w:val="auto"/>
                <w:highlight w:val="none"/>
              </w:rPr>
              <w:t>14</w:t>
            </w:r>
          </w:p>
        </w:tc>
        <w:tc>
          <w:tcPr>
            <w:tcW w:w="1755" w:type="dxa"/>
            <w:shd w:val="clear" w:color="auto" w:fill="auto"/>
            <w:vAlign w:val="center"/>
          </w:tcPr>
          <w:p>
            <w:pPr>
              <w:spacing w:line="240" w:lineRule="atLeast"/>
              <w:jc w:val="center"/>
              <w:rPr>
                <w:rFonts w:ascii="宋体" w:hAnsi="宋体"/>
                <w:color w:val="auto"/>
                <w:szCs w:val="21"/>
                <w:highlight w:val="none"/>
              </w:rPr>
            </w:pPr>
            <w:r>
              <w:rPr>
                <w:rFonts w:hint="eastAsia"/>
                <w:color w:val="auto"/>
                <w:highlight w:val="none"/>
              </w:rPr>
              <w:t>介质温度</w:t>
            </w:r>
          </w:p>
        </w:tc>
        <w:tc>
          <w:tcPr>
            <w:tcW w:w="796" w:type="dxa"/>
            <w:shd w:val="clear" w:color="auto" w:fill="auto"/>
            <w:vAlign w:val="center"/>
          </w:tcPr>
          <w:p>
            <w:pPr>
              <w:spacing w:line="360" w:lineRule="auto"/>
              <w:rPr>
                <w:rFonts w:ascii="宋体" w:hAnsi="宋体"/>
                <w:color w:val="auto"/>
                <w:szCs w:val="21"/>
                <w:highlight w:val="none"/>
              </w:rPr>
            </w:pPr>
          </w:p>
        </w:tc>
        <w:tc>
          <w:tcPr>
            <w:tcW w:w="5409" w:type="dxa"/>
            <w:shd w:val="clear" w:color="auto" w:fill="auto"/>
            <w:vAlign w:val="center"/>
          </w:tcPr>
          <w:p>
            <w:pPr>
              <w:spacing w:line="360" w:lineRule="auto"/>
              <w:rPr>
                <w:rFonts w:ascii="宋体" w:hAnsi="宋体"/>
                <w:color w:val="auto"/>
                <w:szCs w:val="21"/>
                <w:highlight w:val="none"/>
              </w:rPr>
            </w:pPr>
            <w:r>
              <w:rPr>
                <w:rFonts w:hint="eastAsia" w:ascii="宋体" w:hAnsi="宋体"/>
                <w:color w:val="auto"/>
                <w:szCs w:val="21"/>
                <w:highlight w:val="none"/>
              </w:rPr>
              <w:t>不大于50℃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993" w:type="dxa"/>
            <w:shd w:val="clear" w:color="auto" w:fill="auto"/>
            <w:vAlign w:val="center"/>
          </w:tcPr>
          <w:p>
            <w:pPr>
              <w:spacing w:line="240" w:lineRule="atLeast"/>
              <w:jc w:val="center"/>
              <w:rPr>
                <w:color w:val="auto"/>
                <w:highlight w:val="none"/>
              </w:rPr>
            </w:pPr>
            <w:r>
              <w:rPr>
                <w:rFonts w:hint="eastAsia"/>
                <w:color w:val="auto"/>
                <w:highlight w:val="none"/>
              </w:rPr>
              <w:t>15</w:t>
            </w:r>
          </w:p>
        </w:tc>
        <w:tc>
          <w:tcPr>
            <w:tcW w:w="1755" w:type="dxa"/>
            <w:shd w:val="clear" w:color="auto" w:fill="auto"/>
            <w:vAlign w:val="center"/>
          </w:tcPr>
          <w:p>
            <w:pPr>
              <w:spacing w:line="240" w:lineRule="atLeast"/>
              <w:jc w:val="center"/>
              <w:rPr>
                <w:rFonts w:ascii="宋体" w:hAnsi="宋体"/>
                <w:color w:val="auto"/>
                <w:szCs w:val="21"/>
                <w:highlight w:val="none"/>
              </w:rPr>
            </w:pPr>
            <w:r>
              <w:rPr>
                <w:rFonts w:hint="eastAsia"/>
                <w:color w:val="auto"/>
                <w:highlight w:val="none"/>
              </w:rPr>
              <w:t>罐体材质</w:t>
            </w:r>
          </w:p>
        </w:tc>
        <w:tc>
          <w:tcPr>
            <w:tcW w:w="796" w:type="dxa"/>
            <w:shd w:val="clear" w:color="auto" w:fill="auto"/>
            <w:vAlign w:val="center"/>
          </w:tcPr>
          <w:p>
            <w:pPr>
              <w:adjustRightInd w:val="0"/>
              <w:snapToGrid w:val="0"/>
              <w:spacing w:line="240" w:lineRule="atLeast"/>
              <w:rPr>
                <w:rFonts w:ascii="宋体" w:hAnsi="宋体"/>
                <w:color w:val="auto"/>
                <w:highlight w:val="none"/>
              </w:rPr>
            </w:pPr>
          </w:p>
        </w:tc>
        <w:tc>
          <w:tcPr>
            <w:tcW w:w="5409" w:type="dxa"/>
            <w:shd w:val="clear" w:color="auto" w:fill="auto"/>
            <w:vAlign w:val="center"/>
          </w:tcPr>
          <w:p>
            <w:pPr>
              <w:adjustRightInd w:val="0"/>
              <w:snapToGrid w:val="0"/>
              <w:spacing w:line="240" w:lineRule="atLeast"/>
              <w:rPr>
                <w:rFonts w:ascii="宋体" w:hAnsi="宋体"/>
                <w:color w:val="auto"/>
                <w:szCs w:val="21"/>
                <w:highlight w:val="none"/>
              </w:rPr>
            </w:pPr>
            <w:r>
              <w:rPr>
                <w:rFonts w:ascii="宋体" w:hAnsi="宋体"/>
                <w:color w:val="auto"/>
                <w:highlight w:val="none"/>
              </w:rPr>
              <w:t>Q245R</w:t>
            </w:r>
            <w:r>
              <w:rPr>
                <w:rFonts w:hint="eastAsia" w:ascii="宋体" w:hAnsi="宋体"/>
                <w:color w:val="auto"/>
                <w:highlight w:val="none"/>
              </w:rPr>
              <w:t>（投标方核实）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993" w:type="dxa"/>
            <w:shd w:val="clear" w:color="auto" w:fill="auto"/>
            <w:vAlign w:val="center"/>
          </w:tcPr>
          <w:p>
            <w:pPr>
              <w:spacing w:line="240" w:lineRule="atLeast"/>
              <w:jc w:val="center"/>
              <w:rPr>
                <w:color w:val="auto"/>
                <w:highlight w:val="none"/>
              </w:rPr>
            </w:pPr>
            <w:r>
              <w:rPr>
                <w:rFonts w:hint="eastAsia"/>
                <w:color w:val="auto"/>
                <w:highlight w:val="none"/>
              </w:rPr>
              <w:t>16</w:t>
            </w:r>
          </w:p>
        </w:tc>
        <w:tc>
          <w:tcPr>
            <w:tcW w:w="1755" w:type="dxa"/>
            <w:shd w:val="clear" w:color="auto" w:fill="auto"/>
            <w:vAlign w:val="center"/>
          </w:tcPr>
          <w:p>
            <w:pPr>
              <w:spacing w:line="240" w:lineRule="atLeast"/>
              <w:jc w:val="center"/>
              <w:rPr>
                <w:rFonts w:ascii="宋体" w:hAnsi="宋体"/>
                <w:color w:val="auto"/>
                <w:szCs w:val="21"/>
                <w:highlight w:val="none"/>
              </w:rPr>
            </w:pPr>
            <w:r>
              <w:rPr>
                <w:rFonts w:hint="eastAsia"/>
                <w:color w:val="auto"/>
                <w:highlight w:val="none"/>
              </w:rPr>
              <w:t>罐壁厚度</w:t>
            </w:r>
          </w:p>
        </w:tc>
        <w:tc>
          <w:tcPr>
            <w:tcW w:w="796" w:type="dxa"/>
            <w:shd w:val="clear" w:color="auto" w:fill="auto"/>
            <w:vAlign w:val="center"/>
          </w:tcPr>
          <w:p>
            <w:pPr>
              <w:spacing w:line="360" w:lineRule="auto"/>
              <w:rPr>
                <w:rFonts w:ascii="宋体" w:hAnsi="宋体"/>
                <w:color w:val="auto"/>
                <w:szCs w:val="21"/>
                <w:highlight w:val="none"/>
              </w:rPr>
            </w:pPr>
          </w:p>
        </w:tc>
        <w:tc>
          <w:tcPr>
            <w:tcW w:w="5409" w:type="dxa"/>
            <w:shd w:val="clear" w:color="auto" w:fill="auto"/>
            <w:vAlign w:val="center"/>
          </w:tcPr>
          <w:p>
            <w:pPr>
              <w:spacing w:line="360" w:lineRule="auto"/>
              <w:rPr>
                <w:rFonts w:ascii="宋体" w:hAnsi="宋体"/>
                <w:color w:val="auto"/>
                <w:szCs w:val="21"/>
                <w:highlight w:val="none"/>
              </w:rPr>
            </w:pPr>
            <w:r>
              <w:rPr>
                <w:rFonts w:hint="eastAsia" w:ascii="宋体" w:hAnsi="宋体"/>
                <w:color w:val="auto"/>
                <w:szCs w:val="21"/>
                <w:highlight w:val="none"/>
              </w:rPr>
              <w:t>≥10mm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993" w:type="dxa"/>
            <w:shd w:val="clear" w:color="auto" w:fill="auto"/>
            <w:vAlign w:val="center"/>
          </w:tcPr>
          <w:p>
            <w:pPr>
              <w:spacing w:line="240" w:lineRule="atLeast"/>
              <w:jc w:val="center"/>
              <w:rPr>
                <w:color w:val="auto"/>
                <w:highlight w:val="none"/>
              </w:rPr>
            </w:pPr>
            <w:r>
              <w:rPr>
                <w:rFonts w:hint="eastAsia"/>
                <w:color w:val="auto"/>
                <w:highlight w:val="none"/>
              </w:rPr>
              <w:t>17</w:t>
            </w:r>
          </w:p>
        </w:tc>
        <w:tc>
          <w:tcPr>
            <w:tcW w:w="1755" w:type="dxa"/>
            <w:shd w:val="clear" w:color="auto" w:fill="auto"/>
            <w:vAlign w:val="center"/>
          </w:tcPr>
          <w:p>
            <w:pPr>
              <w:spacing w:line="240" w:lineRule="atLeast"/>
              <w:jc w:val="center"/>
              <w:rPr>
                <w:color w:val="auto"/>
                <w:highlight w:val="none"/>
              </w:rPr>
            </w:pPr>
            <w:r>
              <w:rPr>
                <w:rFonts w:hint="eastAsia"/>
                <w:color w:val="auto"/>
                <w:highlight w:val="none"/>
              </w:rPr>
              <w:t>其他要求</w:t>
            </w:r>
          </w:p>
        </w:tc>
        <w:tc>
          <w:tcPr>
            <w:tcW w:w="796" w:type="dxa"/>
            <w:shd w:val="clear" w:color="auto" w:fill="auto"/>
            <w:vAlign w:val="center"/>
          </w:tcPr>
          <w:p>
            <w:pPr>
              <w:spacing w:line="360" w:lineRule="auto"/>
              <w:rPr>
                <w:rFonts w:ascii="宋体" w:hAnsi="宋体"/>
                <w:color w:val="auto"/>
                <w:szCs w:val="21"/>
                <w:highlight w:val="none"/>
              </w:rPr>
            </w:pPr>
          </w:p>
        </w:tc>
        <w:tc>
          <w:tcPr>
            <w:tcW w:w="5409" w:type="dxa"/>
            <w:shd w:val="clear" w:color="auto" w:fill="auto"/>
            <w:vAlign w:val="center"/>
          </w:tcPr>
          <w:p>
            <w:pPr>
              <w:spacing w:line="360" w:lineRule="auto"/>
              <w:rPr>
                <w:rFonts w:ascii="宋体" w:hAnsi="宋体"/>
                <w:color w:val="auto"/>
                <w:szCs w:val="21"/>
                <w:highlight w:val="none"/>
              </w:rPr>
            </w:pPr>
            <w:r>
              <w:rPr>
                <w:rFonts w:hint="eastAsia" w:ascii="宋体" w:hAnsi="宋体"/>
                <w:color w:val="auto"/>
                <w:szCs w:val="21"/>
                <w:highlight w:val="none"/>
              </w:rPr>
              <w:t>设置两个钢制观察井并供货，每个检修井内管口设置见附图中的系统图和布置图</w:t>
            </w:r>
          </w:p>
        </w:tc>
      </w:tr>
    </w:tbl>
    <w:p>
      <w:pPr>
        <w:spacing w:line="360" w:lineRule="auto"/>
        <w:jc w:val="left"/>
        <w:outlineLvl w:val="1"/>
        <w:rPr>
          <w:rFonts w:ascii="宋体" w:hAnsi="宋体"/>
          <w:b/>
          <w:color w:val="auto"/>
          <w:sz w:val="24"/>
          <w:highlight w:val="none"/>
        </w:rPr>
      </w:pPr>
      <w:bookmarkStart w:id="32" w:name="_Toc89846173"/>
      <w:r>
        <w:rPr>
          <w:rFonts w:hint="eastAsia" w:ascii="宋体" w:hAnsi="宋体"/>
          <w:b/>
          <w:color w:val="auto"/>
          <w:sz w:val="24"/>
          <w:highlight w:val="none"/>
        </w:rPr>
        <w:t>5.2 技术要求</w:t>
      </w:r>
      <w:bookmarkEnd w:id="32"/>
    </w:p>
    <w:p>
      <w:pPr>
        <w:pStyle w:val="29"/>
        <w:shd w:val="clear" w:color="auto" w:fill="FFFFFF"/>
        <w:snapToGrid w:val="0"/>
        <w:rPr>
          <w:color w:val="auto"/>
          <w:highlight w:val="none"/>
          <w:lang w:val="zh-CN"/>
        </w:rPr>
      </w:pPr>
      <w:r>
        <w:rPr>
          <w:rFonts w:hint="eastAsia"/>
          <w:color w:val="auto"/>
          <w:highlight w:val="none"/>
        </w:rPr>
        <w:t xml:space="preserve">1. </w:t>
      </w:r>
      <w:r>
        <w:rPr>
          <w:rFonts w:hint="eastAsia" w:hAnsi="宋体"/>
          <w:color w:val="auto"/>
          <w:highlight w:val="none"/>
          <w:lang w:val="zh-CN"/>
        </w:rPr>
        <w:t>焊接要求：符合焊接规程JB/T709-2000、焊接接头型式与尺寸GB985-88。</w:t>
      </w:r>
    </w:p>
    <w:p>
      <w:pPr>
        <w:pStyle w:val="29"/>
        <w:shd w:val="clear" w:color="auto" w:fill="FFFFFF"/>
        <w:snapToGrid w:val="0"/>
        <w:ind w:firstLineChars="0"/>
        <w:rPr>
          <w:color w:val="auto"/>
          <w:highlight w:val="none"/>
          <w:lang w:val="zh-CN"/>
        </w:rPr>
      </w:pPr>
      <w:r>
        <w:rPr>
          <w:rFonts w:hint="eastAsia" w:hAnsi="宋体"/>
          <w:color w:val="auto"/>
          <w:highlight w:val="none"/>
          <w:lang w:val="zh-CN"/>
        </w:rPr>
        <w:t>2. 角焊缝焊脚高度：等于两相焊件中较薄者厚度，且需连续焊。</w:t>
      </w:r>
    </w:p>
    <w:p>
      <w:pPr>
        <w:pStyle w:val="29"/>
        <w:shd w:val="clear" w:color="auto" w:fill="FFFFFF"/>
        <w:snapToGrid w:val="0"/>
        <w:ind w:firstLineChars="0"/>
        <w:rPr>
          <w:rFonts w:hAnsi="宋体"/>
          <w:color w:val="auto"/>
          <w:highlight w:val="none"/>
          <w:lang w:val="zh-CN"/>
        </w:rPr>
      </w:pPr>
      <w:r>
        <w:rPr>
          <w:rFonts w:hint="eastAsia" w:hAnsi="宋体"/>
          <w:color w:val="auto"/>
          <w:highlight w:val="none"/>
          <w:lang w:val="zh-CN"/>
        </w:rPr>
        <w:t>3. 设备外壁防腐：</w:t>
      </w:r>
    </w:p>
    <w:p>
      <w:pPr>
        <w:pStyle w:val="29"/>
        <w:shd w:val="clear" w:color="auto" w:fill="FFFFFF"/>
        <w:snapToGrid w:val="0"/>
        <w:ind w:firstLineChars="0"/>
        <w:rPr>
          <w:rFonts w:hAnsi="宋体"/>
          <w:color w:val="auto"/>
          <w:highlight w:val="none"/>
          <w:lang w:val="zh-CN"/>
        </w:rPr>
      </w:pPr>
      <w:r>
        <w:rPr>
          <w:rFonts w:hint="eastAsia" w:hAnsi="宋体"/>
          <w:color w:val="auto"/>
          <w:highlight w:val="none"/>
          <w:lang w:val="zh-CN"/>
        </w:rPr>
        <w:t>防腐执行标准SH3022-1999；</w:t>
      </w:r>
    </w:p>
    <w:p>
      <w:pPr>
        <w:pStyle w:val="29"/>
        <w:shd w:val="clear" w:color="auto" w:fill="FFFFFF"/>
        <w:snapToGrid w:val="0"/>
        <w:ind w:firstLineChars="0"/>
        <w:rPr>
          <w:color w:val="auto"/>
          <w:highlight w:val="none"/>
          <w:lang w:val="zh-CN"/>
        </w:rPr>
      </w:pPr>
      <w:r>
        <w:rPr>
          <w:rFonts w:hint="eastAsia" w:hAnsi="宋体"/>
          <w:color w:val="auto"/>
          <w:highlight w:val="none"/>
          <w:lang w:val="zh-CN"/>
        </w:rPr>
        <w:t>防腐等级：特加强级防腐处理</w:t>
      </w:r>
      <w:r>
        <w:rPr>
          <w:rFonts w:hint="eastAsia"/>
          <w:color w:val="auto"/>
          <w:highlight w:val="none"/>
          <w:lang w:val="zh-CN"/>
        </w:rPr>
        <w:t>；</w:t>
      </w:r>
    </w:p>
    <w:p>
      <w:pPr>
        <w:pStyle w:val="29"/>
        <w:shd w:val="clear" w:color="auto" w:fill="FFFFFF"/>
        <w:snapToGrid w:val="0"/>
        <w:ind w:firstLineChars="0"/>
        <w:rPr>
          <w:rFonts w:hAnsi="宋体"/>
          <w:color w:val="auto"/>
          <w:highlight w:val="none"/>
          <w:lang w:val="zh-CN"/>
        </w:rPr>
      </w:pPr>
      <w:r>
        <w:rPr>
          <w:rFonts w:hint="eastAsia" w:hAnsi="宋体"/>
          <w:color w:val="auto"/>
          <w:highlight w:val="none"/>
          <w:lang w:val="zh-CN"/>
        </w:rPr>
        <w:t>防腐涂层：石油沥青</w:t>
      </w:r>
    </w:p>
    <w:p>
      <w:pPr>
        <w:pStyle w:val="29"/>
        <w:shd w:val="clear" w:color="auto" w:fill="FFFFFF"/>
        <w:snapToGrid w:val="0"/>
        <w:ind w:firstLineChars="0"/>
        <w:rPr>
          <w:color w:val="auto"/>
          <w:highlight w:val="none"/>
          <w:lang w:val="zh-CN"/>
        </w:rPr>
      </w:pPr>
      <w:r>
        <w:rPr>
          <w:rFonts w:hint="eastAsia" w:hAnsi="宋体"/>
          <w:color w:val="auto"/>
          <w:highlight w:val="none"/>
          <w:lang w:val="zh-CN"/>
        </w:rPr>
        <w:t>防腐前设备外壁处理：St3级防腐处理</w:t>
      </w:r>
    </w:p>
    <w:p>
      <w:pPr>
        <w:pStyle w:val="29"/>
        <w:shd w:val="clear" w:color="auto" w:fill="FFFFFF"/>
        <w:snapToGrid w:val="0"/>
        <w:rPr>
          <w:color w:val="auto"/>
          <w:highlight w:val="none"/>
          <w:lang w:val="zh-CN"/>
        </w:rPr>
      </w:pPr>
      <w:r>
        <w:rPr>
          <w:rFonts w:hint="eastAsia" w:hAnsi="宋体"/>
          <w:color w:val="auto"/>
          <w:highlight w:val="none"/>
          <w:lang w:val="zh-CN"/>
        </w:rPr>
        <w:t>4. 内壁防腐执行</w:t>
      </w:r>
      <w:r>
        <w:rPr>
          <w:rFonts w:hAnsi="宋体"/>
          <w:color w:val="auto"/>
          <w:highlight w:val="none"/>
          <w:lang w:val="zh-CN"/>
        </w:rPr>
        <w:t>标准</w:t>
      </w:r>
      <w:r>
        <w:rPr>
          <w:rFonts w:hint="eastAsia" w:hAnsi="宋体"/>
          <w:color w:val="auto"/>
          <w:highlight w:val="none"/>
          <w:lang w:val="zh-CN"/>
        </w:rPr>
        <w:t>《钢制</w:t>
      </w:r>
      <w:r>
        <w:rPr>
          <w:rFonts w:hAnsi="宋体"/>
          <w:color w:val="auto"/>
          <w:highlight w:val="none"/>
          <w:lang w:val="zh-CN"/>
        </w:rPr>
        <w:t>石油储罐防腐蚀工程技术规范</w:t>
      </w:r>
      <w:r>
        <w:rPr>
          <w:rFonts w:hint="eastAsia" w:hAnsi="宋体"/>
          <w:color w:val="auto"/>
          <w:highlight w:val="none"/>
          <w:lang w:val="zh-CN"/>
        </w:rPr>
        <w:t>》</w:t>
      </w:r>
      <w:r>
        <w:rPr>
          <w:rFonts w:hAnsi="宋体"/>
          <w:color w:val="auto"/>
          <w:highlight w:val="none"/>
          <w:lang w:val="zh-CN"/>
        </w:rPr>
        <w:t>GB50393-2008</w:t>
      </w:r>
      <w:r>
        <w:rPr>
          <w:rFonts w:hint="eastAsia" w:hAnsi="宋体"/>
          <w:color w:val="auto"/>
          <w:highlight w:val="none"/>
          <w:lang w:val="zh-CN"/>
        </w:rPr>
        <w:t>，</w:t>
      </w:r>
      <w:r>
        <w:rPr>
          <w:rFonts w:hAnsi="宋体"/>
          <w:color w:val="auto"/>
          <w:highlight w:val="none"/>
          <w:lang w:val="zh-CN"/>
        </w:rPr>
        <w:t>应采用</w:t>
      </w:r>
      <w:r>
        <w:rPr>
          <w:rFonts w:hint="eastAsia" w:hAnsi="宋体"/>
          <w:color w:val="auto"/>
          <w:highlight w:val="none"/>
          <w:lang w:val="zh-CN"/>
        </w:rPr>
        <w:t>耐油性</w:t>
      </w:r>
      <w:r>
        <w:rPr>
          <w:rFonts w:hAnsi="宋体"/>
          <w:color w:val="auto"/>
          <w:highlight w:val="none"/>
          <w:lang w:val="zh-CN"/>
        </w:rPr>
        <w:t>导静电防腐蚀涂料，底漆宜</w:t>
      </w:r>
      <w:r>
        <w:rPr>
          <w:rFonts w:hint="eastAsia" w:hAnsi="宋体"/>
          <w:color w:val="auto"/>
          <w:highlight w:val="none"/>
          <w:lang w:val="zh-CN"/>
        </w:rPr>
        <w:t>采用</w:t>
      </w:r>
      <w:r>
        <w:rPr>
          <w:rFonts w:hAnsi="宋体"/>
          <w:color w:val="auto"/>
          <w:highlight w:val="none"/>
          <w:lang w:val="zh-CN"/>
        </w:rPr>
        <w:t>富</w:t>
      </w:r>
      <w:r>
        <w:rPr>
          <w:rFonts w:hint="eastAsia" w:hAnsi="宋体"/>
          <w:color w:val="auto"/>
          <w:highlight w:val="none"/>
          <w:lang w:val="zh-CN"/>
        </w:rPr>
        <w:t>锌</w:t>
      </w:r>
      <w:r>
        <w:rPr>
          <w:rFonts w:hAnsi="宋体"/>
          <w:color w:val="auto"/>
          <w:highlight w:val="none"/>
          <w:lang w:val="zh-CN"/>
        </w:rPr>
        <w:t>类防腐蚀涂料，面漆可采用本征型或浅色的环氧类或聚氨酯类等导静电防腐蚀涂料，涂层干膜厚度不宜低于</w:t>
      </w:r>
      <w:r>
        <w:rPr>
          <w:rFonts w:hint="eastAsia" w:hAnsi="宋体"/>
          <w:color w:val="auto"/>
          <w:highlight w:val="none"/>
          <w:lang w:val="zh-CN"/>
        </w:rPr>
        <w:t>200</w:t>
      </w:r>
      <w:r>
        <w:rPr>
          <w:rFonts w:hAnsi="宋体"/>
          <w:color w:val="auto"/>
          <w:highlight w:val="none"/>
          <w:lang w:val="zh-CN"/>
        </w:rPr>
        <w:t>um，其中底板内表面不宜低于</w:t>
      </w:r>
      <w:r>
        <w:rPr>
          <w:rFonts w:hint="eastAsia" w:hAnsi="宋体"/>
          <w:color w:val="auto"/>
          <w:highlight w:val="none"/>
          <w:lang w:val="zh-CN"/>
        </w:rPr>
        <w:t>300</w:t>
      </w:r>
      <w:r>
        <w:rPr>
          <w:rFonts w:hAnsi="宋体"/>
          <w:color w:val="auto"/>
          <w:highlight w:val="none"/>
          <w:lang w:val="zh-CN"/>
        </w:rPr>
        <w:t>um</w:t>
      </w:r>
      <w:r>
        <w:rPr>
          <w:rFonts w:hint="eastAsia" w:hAnsi="宋体"/>
          <w:color w:val="auto"/>
          <w:highlight w:val="none"/>
          <w:lang w:val="zh-CN"/>
        </w:rPr>
        <w:t>。油罐操作井内外表面防腐按SH3022特加强级，防腐前外壁做St3防锈处理；操作井和接地板与油罐焊接后,焊接部位补做特加强级防腐。</w:t>
      </w:r>
    </w:p>
    <w:p>
      <w:pPr>
        <w:pStyle w:val="29"/>
        <w:shd w:val="clear" w:color="auto" w:fill="FFFFFF"/>
        <w:snapToGrid w:val="0"/>
        <w:rPr>
          <w:rStyle w:val="50"/>
          <w:color w:val="auto"/>
          <w:highlight w:val="none"/>
          <w:lang w:val="zh-CN"/>
        </w:rPr>
      </w:pPr>
      <w:r>
        <w:rPr>
          <w:rFonts w:hint="eastAsia" w:ascii="宋体" w:hAnsi="宋体"/>
          <w:color w:val="auto"/>
          <w:highlight w:val="none"/>
        </w:rPr>
        <w:t>5．</w:t>
      </w:r>
      <w:r>
        <w:rPr>
          <w:rStyle w:val="50"/>
          <w:rFonts w:hint="eastAsia" w:hAnsi="宋体"/>
          <w:b/>
          <w:bCs/>
          <w:color w:val="auto"/>
          <w:highlight w:val="none"/>
          <w:lang w:val="zh-CN"/>
        </w:rPr>
        <w:t>在报价、设计、制造过程中，本规格书中未明确事项，参照《小型立、卧式油罐图集》（图集号02R111）中</w:t>
      </w:r>
      <w:r>
        <w:rPr>
          <w:rStyle w:val="50"/>
          <w:rFonts w:hint="eastAsia" w:hAnsi="宋体"/>
          <w:b/>
          <w:bCs/>
          <w:color w:val="auto"/>
          <w:highlight w:val="none"/>
          <w:lang w:val="en-US" w:eastAsia="zh-CN"/>
        </w:rPr>
        <w:t>15</w:t>
      </w:r>
      <w:r>
        <w:rPr>
          <w:rStyle w:val="50"/>
          <w:b/>
          <w:bCs/>
          <w:color w:val="auto"/>
          <w:highlight w:val="none"/>
          <w:lang w:val="zh-CN"/>
        </w:rPr>
        <w:t>m³埋地卧式油罐的标准实行。</w:t>
      </w:r>
    </w:p>
    <w:p>
      <w:pPr>
        <w:pStyle w:val="29"/>
        <w:shd w:val="clear" w:color="auto" w:fill="FFFFFF"/>
        <w:snapToGrid w:val="0"/>
        <w:rPr>
          <w:rFonts w:ascii="宋体" w:hAnsi="宋体"/>
          <w:bCs/>
          <w:color w:val="auto"/>
          <w:highlight w:val="none"/>
        </w:rPr>
      </w:pPr>
      <w:r>
        <w:rPr>
          <w:rStyle w:val="50"/>
          <w:rFonts w:hint="eastAsia"/>
          <w:color w:val="auto"/>
          <w:highlight w:val="none"/>
          <w:lang w:val="zh-CN"/>
        </w:rPr>
        <w:t xml:space="preserve">6. </w:t>
      </w:r>
      <w:r>
        <w:rPr>
          <w:rFonts w:hint="eastAsia" w:ascii="宋体" w:hAnsi="宋体"/>
          <w:bCs/>
          <w:color w:val="auto"/>
          <w:highlight w:val="none"/>
        </w:rPr>
        <w:t>通气孔上应设置阻火呼吸阀。</w:t>
      </w:r>
    </w:p>
    <w:p>
      <w:pPr>
        <w:pStyle w:val="29"/>
        <w:shd w:val="clear" w:color="auto" w:fill="FFFFFF"/>
        <w:snapToGrid w:val="0"/>
        <w:rPr>
          <w:rFonts w:ascii="宋体" w:hAnsi="宋体"/>
          <w:bCs/>
          <w:color w:val="auto"/>
          <w:highlight w:val="none"/>
        </w:rPr>
      </w:pPr>
      <w:r>
        <w:rPr>
          <w:rFonts w:ascii="宋体" w:hAnsi="宋体"/>
          <w:bCs/>
          <w:color w:val="auto"/>
          <w:highlight w:val="none"/>
        </w:rPr>
        <w:t xml:space="preserve">7. </w:t>
      </w:r>
      <w:r>
        <w:rPr>
          <w:rFonts w:hint="eastAsia" w:ascii="宋体" w:hAnsi="宋体"/>
          <w:bCs/>
          <w:color w:val="auto"/>
          <w:highlight w:val="none"/>
        </w:rPr>
        <w:t>油罐上设置人孔、液位计接口、</w:t>
      </w:r>
      <w:r>
        <w:rPr>
          <w:rFonts w:hint="eastAsia" w:ascii="宋体" w:hAnsi="宋体"/>
          <w:bCs/>
          <w:color w:val="auto"/>
          <w:highlight w:val="none"/>
          <w:lang w:val="en-US" w:eastAsia="zh-CN"/>
        </w:rPr>
        <w:t>温度计接口，</w:t>
      </w:r>
      <w:r>
        <w:rPr>
          <w:rFonts w:hint="eastAsia" w:ascii="宋体" w:hAnsi="宋体"/>
          <w:bCs/>
          <w:color w:val="auto"/>
          <w:highlight w:val="none"/>
        </w:rPr>
        <w:t>进油口、出油口、回油口、量油口、呼吸阀、阻火器、出油底阀等。</w:t>
      </w:r>
    </w:p>
    <w:p>
      <w:pPr>
        <w:pStyle w:val="29"/>
        <w:shd w:val="clear" w:color="auto" w:fill="FFFFFF"/>
        <w:snapToGrid w:val="0"/>
        <w:rPr>
          <w:rFonts w:ascii="宋体" w:hAnsi="宋体"/>
          <w:bCs/>
          <w:color w:val="auto"/>
          <w:highlight w:val="none"/>
          <w:lang w:val="zh-CN"/>
        </w:rPr>
      </w:pPr>
      <w:r>
        <w:rPr>
          <w:rFonts w:hint="eastAsia" w:ascii="宋体" w:hAnsi="宋体"/>
          <w:bCs/>
          <w:color w:val="auto"/>
          <w:highlight w:val="none"/>
        </w:rPr>
        <w:t>8.油罐应有两种不同类型</w:t>
      </w:r>
      <w:r>
        <w:rPr>
          <w:rFonts w:hint="eastAsia" w:ascii="宋体" w:hAnsi="宋体"/>
          <w:bCs/>
          <w:color w:val="auto"/>
          <w:highlight w:val="none"/>
          <w:lang w:eastAsia="zh-CN"/>
        </w:rPr>
        <w:t>的</w:t>
      </w:r>
      <w:r>
        <w:rPr>
          <w:rFonts w:hint="eastAsia" w:ascii="宋体" w:hAnsi="宋体"/>
          <w:bCs/>
          <w:color w:val="auto"/>
          <w:highlight w:val="none"/>
          <w:lang w:val="en-US" w:eastAsia="zh-CN"/>
        </w:rPr>
        <w:t>顶装</w:t>
      </w:r>
      <w:r>
        <w:rPr>
          <w:rFonts w:hint="eastAsia" w:ascii="宋体" w:hAnsi="宋体"/>
          <w:bCs/>
          <w:color w:val="auto"/>
          <w:highlight w:val="none"/>
        </w:rPr>
        <w:t>液位计</w:t>
      </w:r>
      <w:r>
        <w:rPr>
          <w:rFonts w:hint="eastAsia" w:ascii="宋体" w:hAnsi="宋体"/>
          <w:bCs/>
          <w:color w:val="auto"/>
          <w:highlight w:val="none"/>
          <w:lang w:val="en-US" w:eastAsia="zh-CN"/>
        </w:rPr>
        <w:t>接口</w:t>
      </w:r>
      <w:r>
        <w:rPr>
          <w:rFonts w:hint="eastAsia" w:ascii="宋体" w:hAnsi="宋体"/>
          <w:bCs/>
          <w:color w:val="auto"/>
          <w:highlight w:val="none"/>
          <w:lang w:eastAsia="zh-CN"/>
        </w:rPr>
        <w:t>，</w:t>
      </w:r>
      <w:r>
        <w:rPr>
          <w:rFonts w:hint="eastAsia" w:ascii="宋体" w:hAnsi="宋体"/>
          <w:bCs/>
          <w:color w:val="auto"/>
          <w:highlight w:val="none"/>
          <w:lang w:val="en-US" w:eastAsia="zh-CN"/>
        </w:rPr>
        <w:t>液位计接口规格为：DN150 PN1.6MPa HG/T20592-2009，法兰短管长度为100mm。</w:t>
      </w:r>
      <w:r>
        <w:rPr>
          <w:rFonts w:hint="eastAsia" w:ascii="宋体" w:hAnsi="宋体"/>
          <w:bCs/>
          <w:color w:val="auto"/>
          <w:highlight w:val="none"/>
        </w:rPr>
        <w:t>油罐</w:t>
      </w:r>
      <w:r>
        <w:rPr>
          <w:rFonts w:hint="eastAsia" w:ascii="宋体" w:hAnsi="宋体"/>
          <w:bCs/>
          <w:color w:val="auto"/>
          <w:highlight w:val="none"/>
          <w:lang w:val="en-US" w:eastAsia="zh-CN"/>
        </w:rPr>
        <w:t>预留</w:t>
      </w:r>
      <w:r>
        <w:rPr>
          <w:rFonts w:hint="eastAsia" w:ascii="宋体" w:hAnsi="宋体"/>
          <w:bCs/>
          <w:color w:val="auto"/>
          <w:highlight w:val="none"/>
        </w:rPr>
        <w:t>温度计</w:t>
      </w:r>
      <w:r>
        <w:rPr>
          <w:rFonts w:hint="eastAsia" w:ascii="宋体" w:hAnsi="宋体"/>
          <w:bCs/>
          <w:color w:val="auto"/>
          <w:highlight w:val="none"/>
          <w:lang w:val="en-US" w:eastAsia="zh-CN"/>
        </w:rPr>
        <w:t>接口及温度计套管，接口规格为：DN40 PN1.6MPa HG/T20592-2009；温度计套管与法兰短管一体，套管材质同设备材质，套管长度为1.5m（需厂家核实确定）</w:t>
      </w:r>
      <w:r>
        <w:rPr>
          <w:rFonts w:hint="eastAsia" w:ascii="宋体" w:hAnsi="宋体"/>
          <w:bCs/>
          <w:color w:val="auto"/>
          <w:highlight w:val="none"/>
        </w:rPr>
        <w:t>。供货范围含油罐接口配对法兰（包括螺栓、螺母和垫片）、底座（包括调整垫片和地脚螺栓）</w:t>
      </w:r>
    </w:p>
    <w:p>
      <w:pPr>
        <w:pStyle w:val="29"/>
        <w:shd w:val="clear" w:color="auto" w:fill="FFFFFF"/>
        <w:snapToGrid w:val="0"/>
        <w:rPr>
          <w:rFonts w:ascii="宋体" w:hAnsi="宋体"/>
          <w:bCs/>
          <w:color w:val="auto"/>
          <w:highlight w:val="none"/>
        </w:rPr>
      </w:pPr>
      <w:r>
        <w:rPr>
          <w:rFonts w:hint="eastAsia" w:ascii="宋体" w:hAnsi="宋体"/>
          <w:bCs/>
          <w:color w:val="auto"/>
          <w:highlight w:val="none"/>
        </w:rPr>
        <w:t>9. 油罐应有避雷、防静电措施；</w:t>
      </w:r>
    </w:p>
    <w:p>
      <w:pPr>
        <w:pStyle w:val="29"/>
        <w:shd w:val="clear" w:color="auto" w:fill="FFFFFF"/>
        <w:snapToGrid w:val="0"/>
        <w:rPr>
          <w:rFonts w:ascii="宋体" w:hAnsi="宋体"/>
          <w:bCs/>
          <w:color w:val="auto"/>
          <w:highlight w:val="none"/>
        </w:rPr>
      </w:pPr>
      <w:r>
        <w:rPr>
          <w:rFonts w:hint="eastAsia" w:ascii="宋体" w:hAnsi="宋体"/>
          <w:bCs/>
          <w:color w:val="auto"/>
          <w:highlight w:val="none"/>
        </w:rPr>
        <w:t>10.</w:t>
      </w:r>
      <w:r>
        <w:rPr>
          <w:rFonts w:ascii="宋体" w:hAnsi="宋体"/>
          <w:bCs/>
          <w:color w:val="auto"/>
          <w:highlight w:val="none"/>
        </w:rPr>
        <w:t xml:space="preserve"> </w:t>
      </w:r>
      <w:r>
        <w:rPr>
          <w:rFonts w:hint="eastAsia" w:ascii="宋体" w:hAnsi="宋体"/>
          <w:bCs/>
          <w:color w:val="auto"/>
          <w:highlight w:val="none"/>
        </w:rPr>
        <w:t>应允许现场在设备上焊接平台支架等构件。</w:t>
      </w:r>
    </w:p>
    <w:p>
      <w:pPr>
        <w:pStyle w:val="29"/>
        <w:shd w:val="clear" w:color="auto" w:fill="FFFFFF"/>
        <w:snapToGrid w:val="0"/>
        <w:rPr>
          <w:rFonts w:ascii="宋体" w:hAnsi="宋体"/>
          <w:bCs/>
          <w:color w:val="auto"/>
          <w:highlight w:val="none"/>
        </w:rPr>
      </w:pPr>
      <w:r>
        <w:rPr>
          <w:rFonts w:hint="eastAsia" w:ascii="宋体" w:hAnsi="宋体"/>
          <w:bCs/>
          <w:color w:val="auto"/>
          <w:highlight w:val="none"/>
        </w:rPr>
        <w:t>11.需带钢</w:t>
      </w:r>
      <w:r>
        <w:rPr>
          <w:rFonts w:hint="eastAsia"/>
          <w:color w:val="auto"/>
          <w:highlight w:val="none"/>
        </w:rPr>
        <w:t>制的两个检修孔及雨棚</w:t>
      </w:r>
    </w:p>
    <w:p>
      <w:pPr>
        <w:pStyle w:val="32"/>
        <w:numPr>
          <w:ilvl w:val="0"/>
          <w:numId w:val="4"/>
        </w:numPr>
        <w:tabs>
          <w:tab w:val="left" w:pos="720"/>
        </w:tabs>
        <w:ind w:firstLine="0"/>
        <w:outlineLvl w:val="0"/>
        <w:rPr>
          <w:color w:val="auto"/>
          <w:highlight w:val="none"/>
        </w:rPr>
      </w:pPr>
      <w:bookmarkStart w:id="33" w:name="_Toc89846174"/>
      <w:r>
        <w:rPr>
          <w:rFonts w:hint="eastAsia"/>
          <w:color w:val="auto"/>
          <w:highlight w:val="none"/>
        </w:rPr>
        <w:t>招标范围</w:t>
      </w:r>
      <w:bookmarkEnd w:id="33"/>
    </w:p>
    <w:p>
      <w:pPr>
        <w:spacing w:line="360" w:lineRule="auto"/>
        <w:jc w:val="left"/>
        <w:outlineLvl w:val="1"/>
        <w:rPr>
          <w:rFonts w:ascii="宋体" w:hAnsi="宋体"/>
          <w:b/>
          <w:color w:val="auto"/>
          <w:sz w:val="24"/>
          <w:highlight w:val="none"/>
        </w:rPr>
      </w:pPr>
      <w:bookmarkStart w:id="34" w:name="_Toc89846175"/>
      <w:r>
        <w:rPr>
          <w:rFonts w:hint="eastAsia" w:ascii="宋体" w:hAnsi="宋体"/>
          <w:b/>
          <w:color w:val="auto"/>
          <w:sz w:val="24"/>
          <w:highlight w:val="none"/>
        </w:rPr>
        <w:t>6.1 一般要求</w:t>
      </w:r>
      <w:bookmarkEnd w:id="34"/>
    </w:p>
    <w:p>
      <w:pPr>
        <w:pStyle w:val="29"/>
        <w:numPr>
          <w:ilvl w:val="0"/>
          <w:numId w:val="5"/>
        </w:numPr>
        <w:ind w:firstLine="480"/>
        <w:rPr>
          <w:color w:val="auto"/>
          <w:highlight w:val="none"/>
        </w:rPr>
      </w:pPr>
      <w:r>
        <w:rPr>
          <w:rFonts w:hint="eastAsia"/>
          <w:color w:val="auto"/>
          <w:highlight w:val="none"/>
        </w:rPr>
        <w:t>投标方提供全新的、先进的、成熟的、完整的和安全可靠的产品，符合国家有关法律、法规、规范和标准的要求。</w:t>
      </w:r>
    </w:p>
    <w:p>
      <w:pPr>
        <w:pStyle w:val="29"/>
        <w:numPr>
          <w:ilvl w:val="0"/>
          <w:numId w:val="5"/>
        </w:numPr>
        <w:ind w:firstLine="480"/>
        <w:rPr>
          <w:color w:val="auto"/>
          <w:highlight w:val="none"/>
        </w:rPr>
      </w:pPr>
      <w:r>
        <w:rPr>
          <w:rFonts w:hint="eastAsia"/>
          <w:color w:val="auto"/>
          <w:highlight w:val="none"/>
        </w:rPr>
        <w:t>投标方提供的设备应包括完整的油罐装置，包括但不限于</w:t>
      </w:r>
      <w:r>
        <w:rPr>
          <w:color w:val="auto"/>
          <w:highlight w:val="none"/>
        </w:rPr>
        <w:t>油罐、</w:t>
      </w:r>
      <w:r>
        <w:rPr>
          <w:rFonts w:hint="eastAsia"/>
          <w:color w:val="auto"/>
          <w:highlight w:val="none"/>
        </w:rPr>
        <w:t>阻火</w:t>
      </w:r>
      <w:r>
        <w:rPr>
          <w:color w:val="auto"/>
          <w:highlight w:val="none"/>
        </w:rPr>
        <w:t>透气阀</w:t>
      </w:r>
      <w:r>
        <w:rPr>
          <w:rFonts w:hint="eastAsia"/>
          <w:color w:val="auto"/>
          <w:highlight w:val="none"/>
        </w:rPr>
        <w:t>、底阀</w:t>
      </w:r>
      <w:r>
        <w:rPr>
          <w:color w:val="auto"/>
          <w:highlight w:val="none"/>
        </w:rPr>
        <w:t>、油罐地脚螺栓及附件</w:t>
      </w:r>
      <w:r>
        <w:rPr>
          <w:rFonts w:hint="eastAsia"/>
          <w:color w:val="auto"/>
          <w:highlight w:val="none"/>
        </w:rPr>
        <w:t>、密封件及其它附件等设备的供货。凡属于整套设备安装和运行所必需的部件或附件，即使签订的合同中未详细列出或已列出而数量不够，执行合同时，投标方仍需免费补足。</w:t>
      </w:r>
    </w:p>
    <w:p>
      <w:pPr>
        <w:pStyle w:val="29"/>
        <w:numPr>
          <w:ilvl w:val="0"/>
          <w:numId w:val="5"/>
        </w:numPr>
        <w:ind w:firstLine="480"/>
        <w:rPr>
          <w:color w:val="auto"/>
          <w:highlight w:val="none"/>
        </w:rPr>
      </w:pPr>
      <w:r>
        <w:rPr>
          <w:rFonts w:hint="eastAsia"/>
          <w:color w:val="auto"/>
          <w:highlight w:val="none"/>
        </w:rPr>
        <w:t>非投标方自行生产，即从其他供应商采购的设备、零部件，必须获得招标方的批准方可采用。不论招标方是否批准，均不能免除或减轻投标方应承担的质量保证责任。</w:t>
      </w:r>
    </w:p>
    <w:p>
      <w:pPr>
        <w:pStyle w:val="29"/>
        <w:numPr>
          <w:ilvl w:val="0"/>
          <w:numId w:val="5"/>
        </w:numPr>
        <w:ind w:firstLineChars="0"/>
        <w:rPr>
          <w:color w:val="auto"/>
          <w:highlight w:val="none"/>
        </w:rPr>
      </w:pPr>
      <w:r>
        <w:rPr>
          <w:rFonts w:hint="eastAsia"/>
          <w:color w:val="auto"/>
          <w:highlight w:val="none"/>
        </w:rPr>
        <w:t>投标方应提供所有安装和检修所需专用工具。</w:t>
      </w:r>
    </w:p>
    <w:p>
      <w:pPr>
        <w:pStyle w:val="29"/>
        <w:numPr>
          <w:ilvl w:val="0"/>
          <w:numId w:val="5"/>
        </w:numPr>
        <w:ind w:firstLineChars="0"/>
        <w:rPr>
          <w:color w:val="auto"/>
          <w:highlight w:val="none"/>
        </w:rPr>
      </w:pPr>
      <w:r>
        <w:rPr>
          <w:rFonts w:hint="eastAsia"/>
          <w:color w:val="auto"/>
          <w:highlight w:val="none"/>
        </w:rPr>
        <w:t>投标方提供随机备品备件和</w:t>
      </w:r>
      <w:r>
        <w:rPr>
          <w:color w:val="auto"/>
          <w:highlight w:val="none"/>
        </w:rPr>
        <w:t>2</w:t>
      </w:r>
      <w:r>
        <w:rPr>
          <w:rFonts w:hint="eastAsia"/>
          <w:color w:val="auto"/>
          <w:highlight w:val="none"/>
        </w:rPr>
        <w:t>年期系统正常运行的备品备件及其清单。</w:t>
      </w:r>
      <w:bookmarkStart w:id="35" w:name="OLE_LINK1"/>
      <w:r>
        <w:rPr>
          <w:rFonts w:hint="eastAsia"/>
          <w:color w:val="auto"/>
          <w:highlight w:val="none"/>
        </w:rPr>
        <w:t>质量保证期为颁发性能试验合格证书之日起</w:t>
      </w:r>
      <w:r>
        <w:rPr>
          <w:color w:val="auto"/>
          <w:highlight w:val="none"/>
        </w:rPr>
        <w:t>24</w:t>
      </w:r>
      <w:r>
        <w:rPr>
          <w:rFonts w:hint="eastAsia"/>
          <w:color w:val="auto"/>
          <w:highlight w:val="none"/>
        </w:rPr>
        <w:t>个月，对不合格的部分应相应延长质保期，对该部件从处理合格算起重新考核</w:t>
      </w:r>
      <w:r>
        <w:rPr>
          <w:color w:val="auto"/>
          <w:highlight w:val="none"/>
        </w:rPr>
        <w:t>24</w:t>
      </w:r>
      <w:r>
        <w:rPr>
          <w:rFonts w:hint="eastAsia"/>
          <w:color w:val="auto"/>
          <w:highlight w:val="none"/>
        </w:rPr>
        <w:t>个月。</w:t>
      </w:r>
    </w:p>
    <w:bookmarkEnd w:id="35"/>
    <w:p>
      <w:pPr>
        <w:pStyle w:val="29"/>
        <w:numPr>
          <w:ilvl w:val="0"/>
          <w:numId w:val="5"/>
        </w:numPr>
        <w:ind w:firstLineChars="0"/>
        <w:rPr>
          <w:color w:val="auto"/>
          <w:highlight w:val="none"/>
        </w:rPr>
      </w:pPr>
      <w:r>
        <w:rPr>
          <w:rFonts w:hint="eastAsia"/>
          <w:color w:val="auto"/>
          <w:highlight w:val="none"/>
        </w:rPr>
        <w:t>投标方应按本技术规格及要求提供技术资料，在中标后1周内提供满足设计要求的土建、电气、控制等设计资料。</w:t>
      </w:r>
    </w:p>
    <w:p>
      <w:pPr>
        <w:pStyle w:val="29"/>
        <w:numPr>
          <w:ilvl w:val="0"/>
          <w:numId w:val="5"/>
        </w:numPr>
        <w:ind w:firstLineChars="0"/>
        <w:rPr>
          <w:color w:val="auto"/>
          <w:highlight w:val="none"/>
        </w:rPr>
      </w:pPr>
      <w:r>
        <w:rPr>
          <w:rFonts w:hint="eastAsia"/>
          <w:color w:val="auto"/>
          <w:highlight w:val="none"/>
        </w:rPr>
        <w:t>投标方所供设备之间的和供货范围分交界面内的管道、阀门、法兰、垫片、螺栓、螺母、管道、管件及安装材料等由投标方供货。</w:t>
      </w:r>
    </w:p>
    <w:p>
      <w:pPr>
        <w:pStyle w:val="29"/>
        <w:numPr>
          <w:ilvl w:val="0"/>
          <w:numId w:val="5"/>
        </w:numPr>
        <w:ind w:firstLineChars="0"/>
        <w:rPr>
          <w:color w:val="auto"/>
          <w:highlight w:val="none"/>
        </w:rPr>
      </w:pPr>
      <w:r>
        <w:rPr>
          <w:rFonts w:hint="eastAsia"/>
          <w:color w:val="auto"/>
          <w:highlight w:val="none"/>
        </w:rPr>
        <w:t>供货范围内设备之间的电线电缆等由投标方供货。</w:t>
      </w:r>
    </w:p>
    <w:p>
      <w:pPr>
        <w:pStyle w:val="29"/>
        <w:numPr>
          <w:ilvl w:val="0"/>
          <w:numId w:val="5"/>
        </w:numPr>
        <w:ind w:firstLineChars="0"/>
        <w:rPr>
          <w:color w:val="auto"/>
          <w:highlight w:val="none"/>
        </w:rPr>
      </w:pPr>
      <w:r>
        <w:rPr>
          <w:rFonts w:hint="eastAsia"/>
          <w:color w:val="auto"/>
          <w:highlight w:val="none"/>
        </w:rPr>
        <w:t>用于设备紧固、钢结构和安装所需材料以及连接件（如配对法兰、螺栓、螺母、垫圈等），所有的地脚螺栓、垫铁及预紧固件等由投标方提供。</w:t>
      </w:r>
    </w:p>
    <w:p>
      <w:pPr>
        <w:pStyle w:val="29"/>
        <w:numPr>
          <w:ilvl w:val="0"/>
          <w:numId w:val="5"/>
        </w:numPr>
        <w:ind w:firstLineChars="0"/>
        <w:rPr>
          <w:color w:val="auto"/>
          <w:highlight w:val="none"/>
        </w:rPr>
      </w:pPr>
      <w:r>
        <w:rPr>
          <w:rFonts w:hint="eastAsia"/>
          <w:color w:val="auto"/>
          <w:highlight w:val="none"/>
        </w:rPr>
        <w:t>所供设备油漆（包括底漆和面漆）完好，所有投标方供货范围内设备及设备本体自带的管道、支吊架等的油漆属于投标方的供货内容。</w:t>
      </w:r>
    </w:p>
    <w:p>
      <w:pPr>
        <w:spacing w:line="360" w:lineRule="auto"/>
        <w:jc w:val="left"/>
        <w:outlineLvl w:val="1"/>
        <w:rPr>
          <w:rFonts w:ascii="宋体" w:hAnsi="宋体"/>
          <w:b/>
          <w:color w:val="auto"/>
          <w:sz w:val="24"/>
          <w:highlight w:val="none"/>
        </w:rPr>
      </w:pPr>
      <w:bookmarkStart w:id="36" w:name="_Toc89846176"/>
      <w:r>
        <w:rPr>
          <w:rFonts w:hint="eastAsia" w:ascii="宋体" w:hAnsi="宋体"/>
          <w:b/>
          <w:color w:val="auto"/>
          <w:sz w:val="24"/>
          <w:highlight w:val="none"/>
        </w:rPr>
        <w:t>6.2 设计与供货界限及接口</w:t>
      </w:r>
      <w:bookmarkEnd w:id="36"/>
    </w:p>
    <w:p>
      <w:pPr>
        <w:pStyle w:val="29"/>
        <w:rPr>
          <w:color w:val="auto"/>
          <w:highlight w:val="none"/>
        </w:rPr>
      </w:pPr>
      <w:r>
        <w:rPr>
          <w:rFonts w:hint="eastAsia"/>
          <w:color w:val="auto"/>
          <w:highlight w:val="none"/>
        </w:rPr>
        <w:t>投标方提供的设备应包括完整的油罐装置，包括但不限于油罐、阻火透气阀、底阀、油罐地脚螺栓及附件、密封件及其它附件等设备的供货。</w:t>
      </w:r>
    </w:p>
    <w:p>
      <w:pPr>
        <w:pStyle w:val="29"/>
        <w:rPr>
          <w:color w:val="auto"/>
          <w:highlight w:val="none"/>
        </w:rPr>
      </w:pPr>
      <w:r>
        <w:rPr>
          <w:rFonts w:hint="eastAsia"/>
          <w:color w:val="auto"/>
          <w:highlight w:val="none"/>
        </w:rPr>
        <w:t>投标方所供设备之间的和供货范围分交界面内的管道、阀门、法兰、垫片、螺栓、螺母、管道、管件及安装材料等由投标方供货。</w:t>
      </w:r>
    </w:p>
    <w:p>
      <w:pPr>
        <w:pStyle w:val="29"/>
        <w:rPr>
          <w:color w:val="auto"/>
          <w:highlight w:val="none"/>
        </w:rPr>
      </w:pPr>
      <w:r>
        <w:rPr>
          <w:rFonts w:hint="eastAsia"/>
          <w:color w:val="auto"/>
          <w:highlight w:val="none"/>
        </w:rPr>
        <w:t>投标方应负责本体内电气接线﹑控制接线设计。投标方将动力电源接线的位置提供在设备旁。买方可提供380V/220VAC三相四线（A\B\C\N\PE）制电源。卖方需要其它等级、其它规格的电源时，由卖方通过自配变压器等方式自行解决。电源短路容量为50kA, 3s, 卖方设备应能满足此短路容量。卖方所有负荷由卖方自行供电，买方只负责提供总电源。</w:t>
      </w:r>
    </w:p>
    <w:p>
      <w:pPr>
        <w:spacing w:line="360" w:lineRule="auto"/>
        <w:jc w:val="left"/>
        <w:outlineLvl w:val="1"/>
        <w:rPr>
          <w:rFonts w:ascii="宋体" w:hAnsi="宋体"/>
          <w:b/>
          <w:color w:val="auto"/>
          <w:sz w:val="24"/>
          <w:highlight w:val="none"/>
        </w:rPr>
      </w:pPr>
      <w:bookmarkStart w:id="37" w:name="_Toc89846177"/>
      <w:r>
        <w:rPr>
          <w:rFonts w:hint="eastAsia" w:ascii="宋体" w:hAnsi="宋体"/>
          <w:b/>
          <w:color w:val="auto"/>
          <w:sz w:val="24"/>
          <w:highlight w:val="none"/>
        </w:rPr>
        <w:t>6.3 供货</w:t>
      </w:r>
      <w:r>
        <w:rPr>
          <w:rFonts w:ascii="宋体" w:hAnsi="宋体"/>
          <w:b/>
          <w:color w:val="auto"/>
          <w:sz w:val="24"/>
          <w:highlight w:val="none"/>
        </w:rPr>
        <w:t>范围（</w:t>
      </w:r>
      <w:r>
        <w:rPr>
          <w:rFonts w:hint="eastAsia" w:ascii="宋体" w:hAnsi="宋体"/>
          <w:b/>
          <w:color w:val="auto"/>
          <w:sz w:val="24"/>
          <w:highlight w:val="none"/>
        </w:rPr>
        <w:t>包括</w:t>
      </w:r>
      <w:r>
        <w:rPr>
          <w:rFonts w:ascii="宋体" w:hAnsi="宋体"/>
          <w:b/>
          <w:color w:val="auto"/>
          <w:sz w:val="24"/>
          <w:highlight w:val="none"/>
        </w:rPr>
        <w:t>但不仅限于此）</w:t>
      </w:r>
      <w:bookmarkEnd w:id="37"/>
    </w:p>
    <w:p>
      <w:pPr>
        <w:pStyle w:val="29"/>
        <w:rPr>
          <w:color w:val="auto"/>
          <w:highlight w:val="none"/>
        </w:rPr>
      </w:pPr>
      <w:r>
        <w:rPr>
          <w:rFonts w:hint="eastAsia"/>
          <w:color w:val="auto"/>
          <w:highlight w:val="none"/>
        </w:rPr>
        <w:t>投标方保证提供的设备组成一个完整的油罐设备的功能整体，达到招标方所提的要求。</w:t>
      </w:r>
    </w:p>
    <w:p>
      <w:pPr>
        <w:numPr>
          <w:ilvl w:val="0"/>
          <w:numId w:val="6"/>
        </w:numPr>
        <w:spacing w:line="360" w:lineRule="auto"/>
        <w:rPr>
          <w:rFonts w:ascii="宋体" w:hAnsi="宋体"/>
          <w:b/>
          <w:color w:val="auto"/>
          <w:sz w:val="24"/>
          <w:szCs w:val="21"/>
          <w:highlight w:val="none"/>
        </w:rPr>
      </w:pPr>
      <w:r>
        <w:rPr>
          <w:rFonts w:hint="eastAsia"/>
          <w:color w:val="auto"/>
          <w:sz w:val="24"/>
          <w:highlight w:val="none"/>
        </w:rPr>
        <w:t>投标方应提供详细的供货清单，以说明供货设备的名称、规格、型号、数量、生产投标方等内容。对于属于整套设备运行和施工所必需的部件，即使技术规格及要求未列出和/或数量不足，供方仍需在执行合同时补足，且不发生费用问题。</w:t>
      </w:r>
    </w:p>
    <w:p>
      <w:pPr>
        <w:numPr>
          <w:ilvl w:val="0"/>
          <w:numId w:val="6"/>
        </w:numPr>
        <w:spacing w:line="360" w:lineRule="auto"/>
        <w:rPr>
          <w:rFonts w:ascii="宋体" w:hAnsi="宋体"/>
          <w:b/>
          <w:color w:val="auto"/>
          <w:szCs w:val="21"/>
          <w:highlight w:val="none"/>
        </w:rPr>
      </w:pPr>
      <w:r>
        <w:rPr>
          <w:rFonts w:hint="eastAsia" w:ascii="宋体" w:hAnsi="宋体"/>
          <w:b/>
          <w:color w:val="auto"/>
          <w:szCs w:val="21"/>
          <w:highlight w:val="none"/>
        </w:rPr>
        <w:t>油罐：</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1755"/>
        <w:gridCol w:w="858"/>
        <w:gridCol w:w="5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529" w:type="pct"/>
            <w:vAlign w:val="center"/>
          </w:tcPr>
          <w:p>
            <w:pPr>
              <w:adjustRightInd w:val="0"/>
              <w:snapToGrid w:val="0"/>
              <w:jc w:val="center"/>
              <w:rPr>
                <w:rFonts w:ascii="宋体" w:hAnsi="宋体"/>
                <w:b/>
                <w:color w:val="auto"/>
                <w:szCs w:val="21"/>
                <w:highlight w:val="none"/>
              </w:rPr>
            </w:pPr>
            <w:r>
              <w:rPr>
                <w:rFonts w:hint="eastAsia" w:ascii="宋体" w:hAnsi="宋体"/>
                <w:b/>
                <w:color w:val="auto"/>
                <w:szCs w:val="21"/>
                <w:highlight w:val="none"/>
              </w:rPr>
              <w:t>序号</w:t>
            </w:r>
          </w:p>
        </w:tc>
        <w:tc>
          <w:tcPr>
            <w:tcW w:w="945" w:type="pct"/>
            <w:vAlign w:val="center"/>
          </w:tcPr>
          <w:p>
            <w:pPr>
              <w:adjustRightInd w:val="0"/>
              <w:snapToGrid w:val="0"/>
              <w:jc w:val="center"/>
              <w:rPr>
                <w:rFonts w:ascii="宋体" w:hAnsi="宋体"/>
                <w:b/>
                <w:color w:val="auto"/>
                <w:szCs w:val="21"/>
                <w:highlight w:val="none"/>
              </w:rPr>
            </w:pPr>
            <w:r>
              <w:rPr>
                <w:rFonts w:hint="eastAsia" w:ascii="宋体" w:hAnsi="宋体"/>
                <w:b/>
                <w:color w:val="auto"/>
                <w:szCs w:val="21"/>
                <w:highlight w:val="none"/>
              </w:rPr>
              <w:t>项目</w:t>
            </w:r>
          </w:p>
        </w:tc>
        <w:tc>
          <w:tcPr>
            <w:tcW w:w="462" w:type="pct"/>
          </w:tcPr>
          <w:p>
            <w:pPr>
              <w:adjustRightInd w:val="0"/>
              <w:snapToGrid w:val="0"/>
              <w:jc w:val="center"/>
              <w:rPr>
                <w:rFonts w:ascii="宋体" w:hAnsi="宋体"/>
                <w:b/>
                <w:color w:val="auto"/>
                <w:szCs w:val="21"/>
                <w:highlight w:val="none"/>
              </w:rPr>
            </w:pPr>
            <w:r>
              <w:rPr>
                <w:rFonts w:hint="eastAsia" w:ascii="宋体" w:hAnsi="宋体"/>
                <w:b/>
                <w:color w:val="auto"/>
                <w:szCs w:val="21"/>
                <w:highlight w:val="none"/>
              </w:rPr>
              <w:t>单位</w:t>
            </w:r>
          </w:p>
        </w:tc>
        <w:tc>
          <w:tcPr>
            <w:tcW w:w="3063" w:type="pct"/>
            <w:vAlign w:val="center"/>
          </w:tcPr>
          <w:p>
            <w:pPr>
              <w:adjustRightInd w:val="0"/>
              <w:snapToGrid w:val="0"/>
              <w:jc w:val="center"/>
              <w:rPr>
                <w:rFonts w:ascii="宋体" w:hAnsi="宋体"/>
                <w:b/>
                <w:color w:val="auto"/>
                <w:szCs w:val="21"/>
                <w:highlight w:val="none"/>
              </w:rPr>
            </w:pPr>
            <w:r>
              <w:rPr>
                <w:rFonts w:ascii="宋体" w:hAnsi="宋体"/>
                <w:b/>
                <w:color w:val="auto"/>
                <w:szCs w:val="21"/>
                <w:highlight w:val="none"/>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529" w:type="pct"/>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1</w:t>
            </w:r>
          </w:p>
        </w:tc>
        <w:tc>
          <w:tcPr>
            <w:tcW w:w="945" w:type="pct"/>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设备名称</w:t>
            </w:r>
          </w:p>
        </w:tc>
        <w:tc>
          <w:tcPr>
            <w:tcW w:w="462" w:type="pct"/>
          </w:tcPr>
          <w:p>
            <w:pPr>
              <w:adjustRightInd w:val="0"/>
              <w:snapToGrid w:val="0"/>
              <w:jc w:val="center"/>
              <w:rPr>
                <w:rFonts w:ascii="宋体" w:hAnsi="宋体"/>
                <w:color w:val="auto"/>
                <w:szCs w:val="21"/>
                <w:highlight w:val="none"/>
              </w:rPr>
            </w:pPr>
          </w:p>
        </w:tc>
        <w:tc>
          <w:tcPr>
            <w:tcW w:w="3063" w:type="pct"/>
            <w:vAlign w:val="center"/>
          </w:tcPr>
          <w:p>
            <w:pPr>
              <w:adjustRightInd w:val="0"/>
              <w:snapToGrid w:val="0"/>
              <w:jc w:val="left"/>
              <w:rPr>
                <w:rFonts w:ascii="宋体" w:hAnsi="宋体"/>
                <w:color w:val="auto"/>
                <w:szCs w:val="21"/>
                <w:highlight w:val="none"/>
              </w:rPr>
            </w:pPr>
            <w:r>
              <w:rPr>
                <w:rFonts w:hint="eastAsia" w:ascii="宋体" w:hAnsi="宋体"/>
                <w:color w:val="auto"/>
                <w:szCs w:val="21"/>
                <w:highlight w:val="none"/>
              </w:rPr>
              <w:t>油罐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 w:hRule="atLeast"/>
          <w:jc w:val="center"/>
        </w:trPr>
        <w:tc>
          <w:tcPr>
            <w:tcW w:w="529" w:type="pct"/>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2</w:t>
            </w:r>
          </w:p>
        </w:tc>
        <w:tc>
          <w:tcPr>
            <w:tcW w:w="945" w:type="pct"/>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物料</w:t>
            </w:r>
          </w:p>
        </w:tc>
        <w:tc>
          <w:tcPr>
            <w:tcW w:w="462" w:type="pct"/>
          </w:tcPr>
          <w:p>
            <w:pPr>
              <w:adjustRightInd w:val="0"/>
              <w:snapToGrid w:val="0"/>
              <w:jc w:val="center"/>
              <w:rPr>
                <w:color w:val="auto"/>
                <w:highlight w:val="none"/>
              </w:rPr>
            </w:pPr>
          </w:p>
        </w:tc>
        <w:tc>
          <w:tcPr>
            <w:tcW w:w="3063" w:type="pct"/>
            <w:vAlign w:val="center"/>
          </w:tcPr>
          <w:p>
            <w:pPr>
              <w:adjustRightInd w:val="0"/>
              <w:snapToGrid w:val="0"/>
              <w:rPr>
                <w:rFonts w:ascii="宋体" w:hAnsi="宋体"/>
                <w:bCs/>
                <w:color w:val="auto"/>
                <w:szCs w:val="21"/>
                <w:highlight w:val="none"/>
              </w:rPr>
            </w:pPr>
            <w:r>
              <w:rPr>
                <w:rFonts w:hint="eastAsia"/>
                <w:color w:val="auto"/>
                <w:highlight w:val="none"/>
              </w:rPr>
              <w:t>0#（-10#）轻柴油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529" w:type="pct"/>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3</w:t>
            </w:r>
          </w:p>
        </w:tc>
        <w:tc>
          <w:tcPr>
            <w:tcW w:w="945" w:type="pct"/>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计算容积m³</w:t>
            </w:r>
          </w:p>
        </w:tc>
        <w:tc>
          <w:tcPr>
            <w:tcW w:w="462" w:type="pct"/>
          </w:tcPr>
          <w:p>
            <w:pPr>
              <w:adjustRightInd w:val="0"/>
              <w:snapToGrid w:val="0"/>
              <w:jc w:val="center"/>
              <w:rPr>
                <w:rFonts w:ascii="宋体" w:hAnsi="宋体"/>
                <w:color w:val="auto"/>
                <w:szCs w:val="21"/>
                <w:highlight w:val="none"/>
              </w:rPr>
            </w:pPr>
            <w:r>
              <w:rPr>
                <w:rFonts w:ascii="宋体" w:hAnsi="宋体"/>
                <w:color w:val="auto"/>
                <w:szCs w:val="21"/>
                <w:highlight w:val="none"/>
              </w:rPr>
              <w:t>m</w:t>
            </w:r>
            <w:r>
              <w:rPr>
                <w:rFonts w:ascii="宋体" w:hAnsi="宋体"/>
                <w:color w:val="auto"/>
                <w:szCs w:val="21"/>
                <w:highlight w:val="none"/>
                <w:vertAlign w:val="superscript"/>
              </w:rPr>
              <w:t>3</w:t>
            </w:r>
          </w:p>
        </w:tc>
        <w:tc>
          <w:tcPr>
            <w:tcW w:w="3063" w:type="pct"/>
            <w:vAlign w:val="center"/>
          </w:tcPr>
          <w:p>
            <w:pPr>
              <w:adjustRightInd w:val="0"/>
              <w:snapToGrid w:val="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16.67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6" w:hRule="atLeast"/>
          <w:jc w:val="center"/>
        </w:trPr>
        <w:tc>
          <w:tcPr>
            <w:tcW w:w="529" w:type="pct"/>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4</w:t>
            </w:r>
          </w:p>
        </w:tc>
        <w:tc>
          <w:tcPr>
            <w:tcW w:w="945" w:type="pct"/>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公称容积m³</w:t>
            </w:r>
          </w:p>
        </w:tc>
        <w:tc>
          <w:tcPr>
            <w:tcW w:w="462" w:type="pct"/>
          </w:tcPr>
          <w:p>
            <w:pPr>
              <w:adjustRightInd w:val="0"/>
              <w:snapToGrid w:val="0"/>
              <w:jc w:val="center"/>
              <w:rPr>
                <w:rFonts w:ascii="宋体" w:hAnsi="宋体"/>
                <w:color w:val="auto"/>
                <w:szCs w:val="21"/>
                <w:highlight w:val="none"/>
              </w:rPr>
            </w:pPr>
            <w:r>
              <w:rPr>
                <w:rFonts w:ascii="宋体" w:hAnsi="宋体"/>
                <w:color w:val="auto"/>
                <w:szCs w:val="21"/>
                <w:highlight w:val="none"/>
              </w:rPr>
              <w:t>m</w:t>
            </w:r>
            <w:r>
              <w:rPr>
                <w:rFonts w:ascii="宋体" w:hAnsi="宋体"/>
                <w:color w:val="auto"/>
                <w:szCs w:val="21"/>
                <w:highlight w:val="none"/>
                <w:vertAlign w:val="superscript"/>
              </w:rPr>
              <w:t>3</w:t>
            </w:r>
          </w:p>
        </w:tc>
        <w:tc>
          <w:tcPr>
            <w:tcW w:w="3063" w:type="pct"/>
            <w:vAlign w:val="center"/>
          </w:tcPr>
          <w:p>
            <w:pPr>
              <w:adjustRightInd w:val="0"/>
              <w:snapToGrid w:val="0"/>
              <w:rPr>
                <w:rFonts w:hint="default" w:eastAsia="宋体"/>
                <w:color w:val="auto"/>
                <w:highlight w:val="none"/>
                <w:lang w:val="en-US" w:eastAsia="zh-CN"/>
              </w:rPr>
            </w:pPr>
            <w:r>
              <w:rPr>
                <w:rFonts w:hint="eastAsia"/>
                <w:color w:val="auto"/>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529" w:type="pct"/>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5</w:t>
            </w:r>
          </w:p>
        </w:tc>
        <w:tc>
          <w:tcPr>
            <w:tcW w:w="945" w:type="pct"/>
            <w:vAlign w:val="center"/>
          </w:tcPr>
          <w:p>
            <w:pPr>
              <w:adjustRightInd w:val="0"/>
              <w:snapToGrid w:val="0"/>
              <w:jc w:val="center"/>
              <w:rPr>
                <w:rFonts w:ascii="宋体" w:hAnsi="宋体"/>
                <w:color w:val="auto"/>
                <w:szCs w:val="21"/>
                <w:highlight w:val="none"/>
              </w:rPr>
            </w:pPr>
            <w:r>
              <w:rPr>
                <w:rFonts w:hint="eastAsia"/>
                <w:color w:val="auto"/>
                <w:highlight w:val="none"/>
                <w:lang w:val="zh-CN"/>
              </w:rPr>
              <w:t>装量系数</w:t>
            </w:r>
          </w:p>
        </w:tc>
        <w:tc>
          <w:tcPr>
            <w:tcW w:w="462" w:type="pct"/>
          </w:tcPr>
          <w:p>
            <w:pPr>
              <w:adjustRightInd w:val="0"/>
              <w:snapToGrid w:val="0"/>
              <w:jc w:val="center"/>
              <w:rPr>
                <w:rFonts w:ascii="宋体" w:hAnsi="宋体"/>
                <w:color w:val="auto"/>
                <w:szCs w:val="21"/>
                <w:highlight w:val="none"/>
              </w:rPr>
            </w:pPr>
          </w:p>
        </w:tc>
        <w:tc>
          <w:tcPr>
            <w:tcW w:w="3063" w:type="pct"/>
            <w:vAlign w:val="center"/>
          </w:tcPr>
          <w:p>
            <w:pPr>
              <w:adjustRightInd w:val="0"/>
              <w:snapToGrid w:val="0"/>
              <w:rPr>
                <w:color w:val="auto"/>
                <w:highlight w:val="none"/>
              </w:rPr>
            </w:pPr>
            <w:r>
              <w:rPr>
                <w:rFonts w:hint="eastAsia"/>
                <w:color w:val="auto"/>
                <w:highlight w:val="none"/>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529" w:type="pct"/>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6</w:t>
            </w:r>
          </w:p>
        </w:tc>
        <w:tc>
          <w:tcPr>
            <w:tcW w:w="945" w:type="pct"/>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数量</w:t>
            </w:r>
          </w:p>
        </w:tc>
        <w:tc>
          <w:tcPr>
            <w:tcW w:w="462" w:type="pct"/>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台</w:t>
            </w:r>
          </w:p>
        </w:tc>
        <w:tc>
          <w:tcPr>
            <w:tcW w:w="3063" w:type="pct"/>
            <w:vAlign w:val="center"/>
          </w:tcPr>
          <w:p>
            <w:pPr>
              <w:adjustRightInd w:val="0"/>
              <w:snapToGrid w:val="0"/>
              <w:rPr>
                <w:rFonts w:ascii="宋体" w:hAnsi="宋体"/>
                <w:color w:val="auto"/>
                <w:szCs w:val="21"/>
                <w:highlight w:val="none"/>
              </w:rPr>
            </w:pPr>
            <w:r>
              <w:rPr>
                <w:rFonts w:hint="eastAsia" w:ascii="宋体" w:hAnsi="宋体"/>
                <w:color w:val="auto"/>
                <w:szCs w:val="21"/>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529" w:type="pct"/>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7</w:t>
            </w:r>
          </w:p>
        </w:tc>
        <w:tc>
          <w:tcPr>
            <w:tcW w:w="945" w:type="pct"/>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形式</w:t>
            </w:r>
          </w:p>
        </w:tc>
        <w:tc>
          <w:tcPr>
            <w:tcW w:w="462" w:type="pct"/>
          </w:tcPr>
          <w:p>
            <w:pPr>
              <w:adjustRightInd w:val="0"/>
              <w:snapToGrid w:val="0"/>
              <w:jc w:val="center"/>
              <w:rPr>
                <w:color w:val="auto"/>
                <w:highlight w:val="none"/>
              </w:rPr>
            </w:pPr>
          </w:p>
        </w:tc>
        <w:tc>
          <w:tcPr>
            <w:tcW w:w="3063" w:type="pct"/>
            <w:vAlign w:val="center"/>
          </w:tcPr>
          <w:p>
            <w:pPr>
              <w:adjustRightInd w:val="0"/>
              <w:snapToGrid w:val="0"/>
              <w:rPr>
                <w:rFonts w:ascii="宋体" w:hAnsi="宋体"/>
                <w:color w:val="auto"/>
                <w:szCs w:val="21"/>
                <w:highlight w:val="none"/>
              </w:rPr>
            </w:pPr>
            <w:r>
              <w:rPr>
                <w:color w:val="auto"/>
                <w:highlight w:val="none"/>
              </w:rPr>
              <w:t>埋地卧式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529" w:type="pct"/>
            <w:vAlign w:val="center"/>
          </w:tcPr>
          <w:p>
            <w:pPr>
              <w:adjustRightInd w:val="0"/>
              <w:snapToGrid w:val="0"/>
              <w:jc w:val="center"/>
              <w:rPr>
                <w:color w:val="auto"/>
                <w:highlight w:val="none"/>
              </w:rPr>
            </w:pPr>
            <w:r>
              <w:rPr>
                <w:rFonts w:hint="eastAsia"/>
                <w:color w:val="auto"/>
                <w:highlight w:val="none"/>
              </w:rPr>
              <w:t>8</w:t>
            </w:r>
          </w:p>
        </w:tc>
        <w:tc>
          <w:tcPr>
            <w:tcW w:w="945" w:type="pct"/>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设计压力</w:t>
            </w:r>
          </w:p>
        </w:tc>
        <w:tc>
          <w:tcPr>
            <w:tcW w:w="462" w:type="pct"/>
          </w:tcPr>
          <w:p>
            <w:pPr>
              <w:adjustRightInd w:val="0"/>
              <w:snapToGrid w:val="0"/>
              <w:jc w:val="center"/>
              <w:rPr>
                <w:rFonts w:ascii="宋体" w:hAnsi="宋体"/>
                <w:color w:val="auto"/>
                <w:szCs w:val="21"/>
                <w:highlight w:val="none"/>
              </w:rPr>
            </w:pPr>
          </w:p>
        </w:tc>
        <w:tc>
          <w:tcPr>
            <w:tcW w:w="3063" w:type="pct"/>
            <w:vAlign w:val="center"/>
          </w:tcPr>
          <w:p>
            <w:pPr>
              <w:adjustRightInd w:val="0"/>
              <w:snapToGrid w:val="0"/>
              <w:rPr>
                <w:rFonts w:ascii="宋体" w:hAnsi="宋体"/>
                <w:color w:val="auto"/>
                <w:szCs w:val="21"/>
                <w:highlight w:val="none"/>
              </w:rPr>
            </w:pPr>
            <w:r>
              <w:rPr>
                <w:rFonts w:hint="eastAsia" w:ascii="宋体" w:hAnsi="宋体"/>
                <w:color w:val="auto"/>
                <w:szCs w:val="21"/>
                <w:highlight w:val="none"/>
              </w:rPr>
              <w:t>常压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529" w:type="pct"/>
            <w:vAlign w:val="center"/>
          </w:tcPr>
          <w:p>
            <w:pPr>
              <w:adjustRightInd w:val="0"/>
              <w:snapToGrid w:val="0"/>
              <w:jc w:val="center"/>
              <w:rPr>
                <w:color w:val="auto"/>
                <w:highlight w:val="none"/>
              </w:rPr>
            </w:pPr>
            <w:r>
              <w:rPr>
                <w:rFonts w:hint="eastAsia"/>
                <w:color w:val="auto"/>
                <w:highlight w:val="none"/>
              </w:rPr>
              <w:t>9</w:t>
            </w:r>
          </w:p>
        </w:tc>
        <w:tc>
          <w:tcPr>
            <w:tcW w:w="945" w:type="pct"/>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设计温度</w:t>
            </w:r>
          </w:p>
        </w:tc>
        <w:tc>
          <w:tcPr>
            <w:tcW w:w="462" w:type="pct"/>
          </w:tcPr>
          <w:p>
            <w:pPr>
              <w:adjustRightInd w:val="0"/>
              <w:snapToGrid w:val="0"/>
              <w:jc w:val="center"/>
              <w:rPr>
                <w:rFonts w:ascii="宋体" w:hAnsi="宋体"/>
                <w:color w:val="auto"/>
                <w:szCs w:val="21"/>
                <w:highlight w:val="none"/>
              </w:rPr>
            </w:pPr>
          </w:p>
        </w:tc>
        <w:tc>
          <w:tcPr>
            <w:tcW w:w="3063" w:type="pct"/>
            <w:vAlign w:val="center"/>
          </w:tcPr>
          <w:p>
            <w:pPr>
              <w:adjustRightInd w:val="0"/>
              <w:snapToGrid w:val="0"/>
              <w:rPr>
                <w:rFonts w:ascii="宋体" w:hAnsi="宋体"/>
                <w:color w:val="auto"/>
                <w:szCs w:val="21"/>
                <w:highlight w:val="none"/>
              </w:rPr>
            </w:pPr>
            <w:r>
              <w:rPr>
                <w:color w:val="auto"/>
                <w:highlight w:val="none"/>
                <w:lang w:val="zh-CN"/>
              </w:rPr>
              <w:t>-19~20</w:t>
            </w:r>
            <w:r>
              <w:rPr>
                <w:rFonts w:hint="eastAsia"/>
                <w:color w:val="auto"/>
                <w:highlight w:val="none"/>
                <w:lang w:val="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6" w:hRule="atLeast"/>
          <w:jc w:val="center"/>
        </w:trPr>
        <w:tc>
          <w:tcPr>
            <w:tcW w:w="529" w:type="pct"/>
            <w:vAlign w:val="center"/>
          </w:tcPr>
          <w:p>
            <w:pPr>
              <w:adjustRightInd w:val="0"/>
              <w:snapToGrid w:val="0"/>
              <w:jc w:val="center"/>
              <w:rPr>
                <w:color w:val="auto"/>
                <w:highlight w:val="none"/>
              </w:rPr>
            </w:pPr>
            <w:r>
              <w:rPr>
                <w:rFonts w:hint="eastAsia"/>
                <w:color w:val="auto"/>
                <w:highlight w:val="none"/>
              </w:rPr>
              <w:t>10</w:t>
            </w:r>
          </w:p>
        </w:tc>
        <w:tc>
          <w:tcPr>
            <w:tcW w:w="945" w:type="pct"/>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水压试验压力</w:t>
            </w:r>
          </w:p>
        </w:tc>
        <w:tc>
          <w:tcPr>
            <w:tcW w:w="462" w:type="pct"/>
          </w:tcPr>
          <w:p>
            <w:pPr>
              <w:adjustRightInd w:val="0"/>
              <w:snapToGrid w:val="0"/>
              <w:jc w:val="center"/>
              <w:rPr>
                <w:rFonts w:ascii="宋体" w:hAnsi="宋体"/>
                <w:color w:val="auto"/>
                <w:szCs w:val="21"/>
                <w:highlight w:val="none"/>
              </w:rPr>
            </w:pPr>
          </w:p>
        </w:tc>
        <w:tc>
          <w:tcPr>
            <w:tcW w:w="3063" w:type="pct"/>
            <w:vAlign w:val="center"/>
          </w:tcPr>
          <w:p>
            <w:pPr>
              <w:adjustRightInd w:val="0"/>
              <w:snapToGrid w:val="0"/>
              <w:rPr>
                <w:rFonts w:ascii="宋体" w:hAnsi="宋体"/>
                <w:color w:val="auto"/>
                <w:szCs w:val="21"/>
                <w:highlight w:val="none"/>
              </w:rPr>
            </w:pPr>
            <w:r>
              <w:rPr>
                <w:rFonts w:hint="eastAsia"/>
                <w:color w:val="auto"/>
                <w:highlight w:val="none"/>
                <w:lang w:val="zh-CN"/>
              </w:rPr>
              <w:t>盛水试漏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529" w:type="pct"/>
            <w:vAlign w:val="center"/>
          </w:tcPr>
          <w:p>
            <w:pPr>
              <w:adjustRightInd w:val="0"/>
              <w:snapToGrid w:val="0"/>
              <w:jc w:val="center"/>
              <w:rPr>
                <w:color w:val="auto"/>
                <w:highlight w:val="none"/>
              </w:rPr>
            </w:pPr>
            <w:r>
              <w:rPr>
                <w:rFonts w:hint="eastAsia"/>
                <w:color w:val="auto"/>
                <w:highlight w:val="none"/>
              </w:rPr>
              <w:t>11</w:t>
            </w:r>
          </w:p>
        </w:tc>
        <w:tc>
          <w:tcPr>
            <w:tcW w:w="945" w:type="pct"/>
            <w:vAlign w:val="center"/>
          </w:tcPr>
          <w:p>
            <w:pPr>
              <w:adjustRightInd w:val="0"/>
              <w:snapToGrid w:val="0"/>
              <w:jc w:val="center"/>
              <w:rPr>
                <w:rFonts w:ascii="宋体" w:hAnsi="宋体"/>
                <w:color w:val="auto"/>
                <w:szCs w:val="21"/>
                <w:highlight w:val="none"/>
              </w:rPr>
            </w:pPr>
            <w:r>
              <w:rPr>
                <w:rFonts w:hint="eastAsia" w:ascii="宋体" w:hAnsi="宋体"/>
                <w:color w:val="auto"/>
                <w:szCs w:val="21"/>
                <w:highlight w:val="none"/>
              </w:rPr>
              <w:t>使用寿命</w:t>
            </w:r>
          </w:p>
        </w:tc>
        <w:tc>
          <w:tcPr>
            <w:tcW w:w="462" w:type="pct"/>
          </w:tcPr>
          <w:p>
            <w:pPr>
              <w:adjustRightInd w:val="0"/>
              <w:snapToGrid w:val="0"/>
              <w:jc w:val="center"/>
              <w:rPr>
                <w:rFonts w:ascii="宋体" w:hAnsi="宋体"/>
                <w:color w:val="auto"/>
                <w:szCs w:val="21"/>
                <w:highlight w:val="none"/>
              </w:rPr>
            </w:pPr>
          </w:p>
        </w:tc>
        <w:tc>
          <w:tcPr>
            <w:tcW w:w="3063" w:type="pct"/>
            <w:vAlign w:val="center"/>
          </w:tcPr>
          <w:p>
            <w:pPr>
              <w:adjustRightInd w:val="0"/>
              <w:snapToGrid w:val="0"/>
              <w:rPr>
                <w:rFonts w:ascii="宋体" w:hAnsi="宋体"/>
                <w:color w:val="auto"/>
                <w:szCs w:val="21"/>
                <w:highlight w:val="none"/>
              </w:rPr>
            </w:pPr>
            <w:r>
              <w:rPr>
                <w:rFonts w:hint="eastAsia" w:ascii="宋体" w:hAnsi="宋体"/>
                <w:color w:val="auto"/>
                <w:szCs w:val="21"/>
                <w:highlight w:val="none"/>
              </w:rPr>
              <w:t>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6" w:hRule="atLeast"/>
          <w:jc w:val="center"/>
        </w:trPr>
        <w:tc>
          <w:tcPr>
            <w:tcW w:w="529" w:type="pct"/>
            <w:vAlign w:val="center"/>
          </w:tcPr>
          <w:p>
            <w:pPr>
              <w:adjustRightInd w:val="0"/>
              <w:snapToGrid w:val="0"/>
              <w:jc w:val="center"/>
              <w:rPr>
                <w:color w:val="auto"/>
                <w:highlight w:val="none"/>
              </w:rPr>
            </w:pPr>
            <w:r>
              <w:rPr>
                <w:rFonts w:hint="eastAsia"/>
                <w:color w:val="auto"/>
                <w:highlight w:val="none"/>
              </w:rPr>
              <w:t>12</w:t>
            </w:r>
          </w:p>
        </w:tc>
        <w:tc>
          <w:tcPr>
            <w:tcW w:w="945" w:type="pct"/>
            <w:vAlign w:val="center"/>
          </w:tcPr>
          <w:p>
            <w:pPr>
              <w:adjustRightInd w:val="0"/>
              <w:snapToGrid w:val="0"/>
              <w:jc w:val="center"/>
              <w:rPr>
                <w:rFonts w:ascii="宋体" w:hAnsi="宋体"/>
                <w:color w:val="auto"/>
                <w:szCs w:val="21"/>
                <w:highlight w:val="none"/>
              </w:rPr>
            </w:pPr>
            <w:r>
              <w:rPr>
                <w:rFonts w:hint="eastAsia"/>
                <w:color w:val="auto"/>
                <w:highlight w:val="none"/>
                <w:lang w:val="zh-CN"/>
              </w:rPr>
              <w:t>腐蚀裕量</w:t>
            </w:r>
          </w:p>
        </w:tc>
        <w:tc>
          <w:tcPr>
            <w:tcW w:w="462" w:type="pct"/>
          </w:tcPr>
          <w:p>
            <w:pPr>
              <w:adjustRightInd w:val="0"/>
              <w:snapToGrid w:val="0"/>
              <w:jc w:val="center"/>
              <w:rPr>
                <w:rFonts w:ascii="宋体" w:hAnsi="宋体"/>
                <w:color w:val="auto"/>
                <w:szCs w:val="21"/>
                <w:highlight w:val="none"/>
              </w:rPr>
            </w:pPr>
          </w:p>
        </w:tc>
        <w:tc>
          <w:tcPr>
            <w:tcW w:w="3063" w:type="pct"/>
            <w:vAlign w:val="center"/>
          </w:tcPr>
          <w:p>
            <w:pPr>
              <w:adjustRightInd w:val="0"/>
              <w:snapToGrid w:val="0"/>
              <w:rPr>
                <w:rFonts w:ascii="宋体" w:hAnsi="宋体"/>
                <w:color w:val="auto"/>
                <w:szCs w:val="21"/>
                <w:highlight w:val="none"/>
              </w:rPr>
            </w:pPr>
            <w:r>
              <w:rPr>
                <w:color w:val="auto"/>
                <w:highlight w:val="none"/>
                <w:lang w:val="zh-CN"/>
              </w:rPr>
              <w:t>1.5mm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6" w:hRule="atLeast"/>
          <w:jc w:val="center"/>
        </w:trPr>
        <w:tc>
          <w:tcPr>
            <w:tcW w:w="529" w:type="pct"/>
            <w:vAlign w:val="center"/>
          </w:tcPr>
          <w:p>
            <w:pPr>
              <w:adjustRightInd w:val="0"/>
              <w:snapToGrid w:val="0"/>
              <w:jc w:val="center"/>
              <w:rPr>
                <w:color w:val="auto"/>
                <w:highlight w:val="none"/>
              </w:rPr>
            </w:pPr>
            <w:r>
              <w:rPr>
                <w:rFonts w:hint="eastAsia"/>
                <w:color w:val="auto"/>
                <w:highlight w:val="none"/>
              </w:rPr>
              <w:t>13</w:t>
            </w:r>
          </w:p>
        </w:tc>
        <w:tc>
          <w:tcPr>
            <w:tcW w:w="945" w:type="pct"/>
            <w:vAlign w:val="center"/>
          </w:tcPr>
          <w:p>
            <w:pPr>
              <w:adjustRightInd w:val="0"/>
              <w:snapToGrid w:val="0"/>
              <w:jc w:val="center"/>
              <w:rPr>
                <w:rFonts w:ascii="宋体" w:hAnsi="宋体"/>
                <w:color w:val="auto"/>
                <w:szCs w:val="21"/>
                <w:highlight w:val="none"/>
              </w:rPr>
            </w:pPr>
            <w:r>
              <w:rPr>
                <w:rFonts w:hint="eastAsia"/>
                <w:color w:val="auto"/>
                <w:highlight w:val="none"/>
                <w:lang w:val="zh-CN"/>
              </w:rPr>
              <w:t>焊接接头系数</w:t>
            </w:r>
          </w:p>
        </w:tc>
        <w:tc>
          <w:tcPr>
            <w:tcW w:w="462" w:type="pct"/>
          </w:tcPr>
          <w:p>
            <w:pPr>
              <w:adjustRightInd w:val="0"/>
              <w:snapToGrid w:val="0"/>
              <w:jc w:val="center"/>
              <w:rPr>
                <w:rFonts w:ascii="宋体" w:hAnsi="宋体"/>
                <w:color w:val="auto"/>
                <w:szCs w:val="21"/>
                <w:highlight w:val="none"/>
              </w:rPr>
            </w:pPr>
          </w:p>
        </w:tc>
        <w:tc>
          <w:tcPr>
            <w:tcW w:w="3063" w:type="pct"/>
            <w:vAlign w:val="center"/>
          </w:tcPr>
          <w:p>
            <w:pPr>
              <w:adjustRightInd w:val="0"/>
              <w:snapToGrid w:val="0"/>
              <w:rPr>
                <w:rFonts w:ascii="宋体" w:hAnsi="宋体"/>
                <w:color w:val="auto"/>
                <w:szCs w:val="21"/>
                <w:highlight w:val="none"/>
              </w:rPr>
            </w:pPr>
            <w:r>
              <w:rPr>
                <w:rFonts w:hint="eastAsia" w:ascii="宋体" w:hAnsi="宋体"/>
                <w:color w:val="auto"/>
                <w:szCs w:val="21"/>
                <w:highlight w:val="none"/>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529" w:type="pct"/>
            <w:vAlign w:val="center"/>
          </w:tcPr>
          <w:p>
            <w:pPr>
              <w:adjustRightInd w:val="0"/>
              <w:snapToGrid w:val="0"/>
              <w:jc w:val="center"/>
              <w:rPr>
                <w:color w:val="auto"/>
                <w:highlight w:val="none"/>
              </w:rPr>
            </w:pPr>
            <w:r>
              <w:rPr>
                <w:rFonts w:hint="eastAsia"/>
                <w:color w:val="auto"/>
                <w:highlight w:val="none"/>
              </w:rPr>
              <w:t>14</w:t>
            </w:r>
          </w:p>
        </w:tc>
        <w:tc>
          <w:tcPr>
            <w:tcW w:w="945" w:type="pct"/>
            <w:vAlign w:val="center"/>
          </w:tcPr>
          <w:p>
            <w:pPr>
              <w:adjustRightInd w:val="0"/>
              <w:snapToGrid w:val="0"/>
              <w:jc w:val="center"/>
              <w:rPr>
                <w:rFonts w:ascii="宋体" w:hAnsi="宋体"/>
                <w:color w:val="auto"/>
                <w:szCs w:val="21"/>
                <w:highlight w:val="none"/>
              </w:rPr>
            </w:pPr>
            <w:r>
              <w:rPr>
                <w:rFonts w:hint="eastAsia"/>
                <w:color w:val="auto"/>
                <w:highlight w:val="none"/>
              </w:rPr>
              <w:t>介质温度</w:t>
            </w:r>
          </w:p>
        </w:tc>
        <w:tc>
          <w:tcPr>
            <w:tcW w:w="462" w:type="pct"/>
          </w:tcPr>
          <w:p>
            <w:pPr>
              <w:adjustRightInd w:val="0"/>
              <w:snapToGrid w:val="0"/>
              <w:jc w:val="center"/>
              <w:rPr>
                <w:rFonts w:ascii="宋体" w:hAnsi="宋体"/>
                <w:color w:val="auto"/>
                <w:szCs w:val="21"/>
                <w:highlight w:val="none"/>
              </w:rPr>
            </w:pPr>
          </w:p>
        </w:tc>
        <w:tc>
          <w:tcPr>
            <w:tcW w:w="3063" w:type="pct"/>
            <w:vAlign w:val="center"/>
          </w:tcPr>
          <w:p>
            <w:pPr>
              <w:adjustRightInd w:val="0"/>
              <w:snapToGrid w:val="0"/>
              <w:rPr>
                <w:rFonts w:ascii="宋体" w:hAnsi="宋体"/>
                <w:color w:val="auto"/>
                <w:szCs w:val="21"/>
                <w:highlight w:val="none"/>
              </w:rPr>
            </w:pPr>
            <w:r>
              <w:rPr>
                <w:rFonts w:hint="eastAsia" w:ascii="宋体" w:hAnsi="宋体"/>
                <w:color w:val="auto"/>
                <w:szCs w:val="21"/>
                <w:highlight w:val="none"/>
              </w:rPr>
              <w:t>不大于50℃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529" w:type="pct"/>
            <w:vAlign w:val="center"/>
          </w:tcPr>
          <w:p>
            <w:pPr>
              <w:adjustRightInd w:val="0"/>
              <w:snapToGrid w:val="0"/>
              <w:jc w:val="center"/>
              <w:rPr>
                <w:color w:val="auto"/>
                <w:highlight w:val="none"/>
              </w:rPr>
            </w:pPr>
            <w:r>
              <w:rPr>
                <w:rFonts w:hint="eastAsia"/>
                <w:color w:val="auto"/>
                <w:highlight w:val="none"/>
              </w:rPr>
              <w:t>15</w:t>
            </w:r>
          </w:p>
        </w:tc>
        <w:tc>
          <w:tcPr>
            <w:tcW w:w="945" w:type="pct"/>
            <w:vAlign w:val="center"/>
          </w:tcPr>
          <w:p>
            <w:pPr>
              <w:adjustRightInd w:val="0"/>
              <w:snapToGrid w:val="0"/>
              <w:jc w:val="center"/>
              <w:rPr>
                <w:rFonts w:ascii="宋体" w:hAnsi="宋体"/>
                <w:color w:val="auto"/>
                <w:szCs w:val="21"/>
                <w:highlight w:val="none"/>
              </w:rPr>
            </w:pPr>
            <w:r>
              <w:rPr>
                <w:rFonts w:hint="eastAsia"/>
                <w:color w:val="auto"/>
                <w:highlight w:val="none"/>
              </w:rPr>
              <w:t>罐体材质</w:t>
            </w:r>
          </w:p>
        </w:tc>
        <w:tc>
          <w:tcPr>
            <w:tcW w:w="462" w:type="pct"/>
          </w:tcPr>
          <w:p>
            <w:pPr>
              <w:adjustRightInd w:val="0"/>
              <w:snapToGrid w:val="0"/>
              <w:jc w:val="center"/>
              <w:rPr>
                <w:rFonts w:ascii="宋体" w:hAnsi="宋体"/>
                <w:color w:val="auto"/>
                <w:szCs w:val="21"/>
                <w:highlight w:val="none"/>
              </w:rPr>
            </w:pPr>
          </w:p>
        </w:tc>
        <w:tc>
          <w:tcPr>
            <w:tcW w:w="3063" w:type="pct"/>
            <w:vAlign w:val="center"/>
          </w:tcPr>
          <w:p>
            <w:pPr>
              <w:adjustRightInd w:val="0"/>
              <w:snapToGrid w:val="0"/>
              <w:rPr>
                <w:rFonts w:ascii="宋体" w:hAnsi="宋体"/>
                <w:color w:val="auto"/>
                <w:szCs w:val="21"/>
                <w:highlight w:val="none"/>
              </w:rPr>
            </w:pPr>
            <w:r>
              <w:rPr>
                <w:rFonts w:ascii="宋体" w:hAnsi="宋体"/>
                <w:color w:val="auto"/>
                <w:highlight w:val="none"/>
              </w:rPr>
              <w:t>Q245R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29" w:type="pct"/>
            <w:vAlign w:val="center"/>
          </w:tcPr>
          <w:p>
            <w:pPr>
              <w:adjustRightInd w:val="0"/>
              <w:snapToGrid w:val="0"/>
              <w:jc w:val="center"/>
              <w:rPr>
                <w:color w:val="auto"/>
                <w:szCs w:val="21"/>
                <w:highlight w:val="none"/>
              </w:rPr>
            </w:pPr>
            <w:r>
              <w:rPr>
                <w:rFonts w:hint="eastAsia"/>
                <w:color w:val="auto"/>
                <w:szCs w:val="21"/>
                <w:highlight w:val="none"/>
              </w:rPr>
              <w:t>16</w:t>
            </w:r>
          </w:p>
        </w:tc>
        <w:tc>
          <w:tcPr>
            <w:tcW w:w="945" w:type="pct"/>
            <w:vAlign w:val="center"/>
          </w:tcPr>
          <w:p>
            <w:pPr>
              <w:adjustRightInd w:val="0"/>
              <w:snapToGrid w:val="0"/>
              <w:jc w:val="center"/>
              <w:rPr>
                <w:rFonts w:ascii="宋体" w:hAnsi="宋体"/>
                <w:color w:val="auto"/>
                <w:szCs w:val="21"/>
                <w:highlight w:val="none"/>
              </w:rPr>
            </w:pPr>
            <w:r>
              <w:rPr>
                <w:rFonts w:hint="eastAsia"/>
                <w:color w:val="auto"/>
                <w:highlight w:val="none"/>
              </w:rPr>
              <w:t>罐壁厚度</w:t>
            </w:r>
          </w:p>
        </w:tc>
        <w:tc>
          <w:tcPr>
            <w:tcW w:w="462" w:type="pct"/>
          </w:tcPr>
          <w:p>
            <w:pPr>
              <w:adjustRightInd w:val="0"/>
              <w:snapToGrid w:val="0"/>
              <w:jc w:val="center"/>
              <w:rPr>
                <w:rFonts w:ascii="宋体" w:hAnsi="宋体"/>
                <w:color w:val="auto"/>
                <w:szCs w:val="21"/>
                <w:highlight w:val="none"/>
              </w:rPr>
            </w:pPr>
          </w:p>
        </w:tc>
        <w:tc>
          <w:tcPr>
            <w:tcW w:w="3063" w:type="pct"/>
            <w:vAlign w:val="center"/>
          </w:tcPr>
          <w:p>
            <w:pPr>
              <w:adjustRightInd w:val="0"/>
              <w:snapToGrid w:val="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29" w:type="pct"/>
            <w:vAlign w:val="center"/>
          </w:tcPr>
          <w:p>
            <w:pPr>
              <w:adjustRightInd w:val="0"/>
              <w:snapToGrid w:val="0"/>
              <w:jc w:val="center"/>
              <w:rPr>
                <w:color w:val="auto"/>
                <w:szCs w:val="21"/>
                <w:highlight w:val="none"/>
              </w:rPr>
            </w:pPr>
            <w:r>
              <w:rPr>
                <w:rFonts w:hint="eastAsia"/>
                <w:color w:val="auto"/>
                <w:szCs w:val="21"/>
                <w:highlight w:val="none"/>
              </w:rPr>
              <w:t>17</w:t>
            </w:r>
          </w:p>
        </w:tc>
        <w:tc>
          <w:tcPr>
            <w:tcW w:w="945" w:type="pct"/>
            <w:vAlign w:val="center"/>
          </w:tcPr>
          <w:p>
            <w:pPr>
              <w:adjustRightInd w:val="0"/>
              <w:snapToGrid w:val="0"/>
              <w:jc w:val="center"/>
              <w:rPr>
                <w:color w:val="auto"/>
                <w:highlight w:val="none"/>
              </w:rPr>
            </w:pPr>
            <w:r>
              <w:rPr>
                <w:rFonts w:hint="eastAsia"/>
                <w:color w:val="auto"/>
                <w:highlight w:val="none"/>
              </w:rPr>
              <w:t>呼吸阀</w:t>
            </w:r>
          </w:p>
        </w:tc>
        <w:tc>
          <w:tcPr>
            <w:tcW w:w="462" w:type="pct"/>
          </w:tcPr>
          <w:p>
            <w:pPr>
              <w:adjustRightInd w:val="0"/>
              <w:snapToGrid w:val="0"/>
              <w:jc w:val="center"/>
              <w:rPr>
                <w:rFonts w:ascii="宋体" w:hAnsi="宋体"/>
                <w:color w:val="auto"/>
                <w:szCs w:val="21"/>
                <w:highlight w:val="none"/>
              </w:rPr>
            </w:pPr>
          </w:p>
        </w:tc>
        <w:tc>
          <w:tcPr>
            <w:tcW w:w="3063" w:type="pct"/>
            <w:vAlign w:val="center"/>
          </w:tcPr>
          <w:p>
            <w:pPr>
              <w:adjustRightInd w:val="0"/>
              <w:snapToGrid w:val="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29" w:type="pct"/>
            <w:vAlign w:val="center"/>
          </w:tcPr>
          <w:p>
            <w:pPr>
              <w:adjustRightInd w:val="0"/>
              <w:snapToGrid w:val="0"/>
              <w:jc w:val="center"/>
              <w:rPr>
                <w:color w:val="auto"/>
                <w:szCs w:val="21"/>
                <w:highlight w:val="none"/>
              </w:rPr>
            </w:pPr>
            <w:r>
              <w:rPr>
                <w:rFonts w:hint="eastAsia"/>
                <w:color w:val="auto"/>
                <w:szCs w:val="21"/>
                <w:highlight w:val="none"/>
              </w:rPr>
              <w:t>18</w:t>
            </w:r>
          </w:p>
        </w:tc>
        <w:tc>
          <w:tcPr>
            <w:tcW w:w="945" w:type="pct"/>
            <w:vAlign w:val="center"/>
          </w:tcPr>
          <w:p>
            <w:pPr>
              <w:adjustRightInd w:val="0"/>
              <w:snapToGrid w:val="0"/>
              <w:jc w:val="center"/>
              <w:rPr>
                <w:color w:val="auto"/>
                <w:highlight w:val="none"/>
              </w:rPr>
            </w:pPr>
            <w:r>
              <w:rPr>
                <w:rFonts w:hint="eastAsia"/>
                <w:color w:val="auto"/>
                <w:highlight w:val="none"/>
              </w:rPr>
              <w:t>阻火器</w:t>
            </w:r>
          </w:p>
        </w:tc>
        <w:tc>
          <w:tcPr>
            <w:tcW w:w="462" w:type="pct"/>
          </w:tcPr>
          <w:p>
            <w:pPr>
              <w:adjustRightInd w:val="0"/>
              <w:snapToGrid w:val="0"/>
              <w:jc w:val="center"/>
              <w:rPr>
                <w:rFonts w:ascii="宋体" w:hAnsi="宋体"/>
                <w:color w:val="auto"/>
                <w:szCs w:val="21"/>
                <w:highlight w:val="none"/>
              </w:rPr>
            </w:pPr>
          </w:p>
        </w:tc>
        <w:tc>
          <w:tcPr>
            <w:tcW w:w="3063" w:type="pct"/>
            <w:vAlign w:val="center"/>
          </w:tcPr>
          <w:p>
            <w:pPr>
              <w:adjustRightInd w:val="0"/>
              <w:snapToGrid w:val="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jc w:val="center"/>
        </w:trPr>
        <w:tc>
          <w:tcPr>
            <w:tcW w:w="529" w:type="pct"/>
            <w:vAlign w:val="center"/>
          </w:tcPr>
          <w:p>
            <w:pPr>
              <w:adjustRightInd w:val="0"/>
              <w:snapToGrid w:val="0"/>
              <w:jc w:val="center"/>
              <w:rPr>
                <w:color w:val="auto"/>
                <w:szCs w:val="21"/>
                <w:highlight w:val="none"/>
              </w:rPr>
            </w:pPr>
            <w:r>
              <w:rPr>
                <w:rFonts w:hint="eastAsia"/>
                <w:color w:val="auto"/>
                <w:szCs w:val="21"/>
                <w:highlight w:val="none"/>
              </w:rPr>
              <w:t>19</w:t>
            </w:r>
          </w:p>
        </w:tc>
        <w:tc>
          <w:tcPr>
            <w:tcW w:w="945" w:type="pct"/>
            <w:vAlign w:val="center"/>
          </w:tcPr>
          <w:p>
            <w:pPr>
              <w:adjustRightInd w:val="0"/>
              <w:snapToGrid w:val="0"/>
              <w:jc w:val="center"/>
              <w:rPr>
                <w:color w:val="auto"/>
                <w:highlight w:val="none"/>
              </w:rPr>
            </w:pPr>
            <w:r>
              <w:rPr>
                <w:rFonts w:hint="eastAsia"/>
                <w:color w:val="auto"/>
                <w:highlight w:val="none"/>
              </w:rPr>
              <w:t>出油底阀</w:t>
            </w:r>
          </w:p>
        </w:tc>
        <w:tc>
          <w:tcPr>
            <w:tcW w:w="462" w:type="pct"/>
          </w:tcPr>
          <w:p>
            <w:pPr>
              <w:adjustRightInd w:val="0"/>
              <w:snapToGrid w:val="0"/>
              <w:jc w:val="center"/>
              <w:rPr>
                <w:rFonts w:ascii="宋体" w:hAnsi="宋体"/>
                <w:color w:val="auto"/>
                <w:szCs w:val="21"/>
                <w:highlight w:val="none"/>
              </w:rPr>
            </w:pPr>
          </w:p>
        </w:tc>
        <w:tc>
          <w:tcPr>
            <w:tcW w:w="3063" w:type="pct"/>
            <w:vAlign w:val="center"/>
          </w:tcPr>
          <w:p>
            <w:pPr>
              <w:adjustRightInd w:val="0"/>
              <w:snapToGrid w:val="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29" w:type="pct"/>
            <w:vAlign w:val="center"/>
          </w:tcPr>
          <w:p>
            <w:pPr>
              <w:adjustRightInd w:val="0"/>
              <w:snapToGrid w:val="0"/>
              <w:jc w:val="center"/>
              <w:rPr>
                <w:color w:val="auto"/>
                <w:szCs w:val="21"/>
                <w:highlight w:val="none"/>
              </w:rPr>
            </w:pPr>
            <w:r>
              <w:rPr>
                <w:rFonts w:hint="eastAsia"/>
                <w:color w:val="auto"/>
                <w:szCs w:val="21"/>
                <w:highlight w:val="none"/>
              </w:rPr>
              <w:t>20</w:t>
            </w:r>
          </w:p>
        </w:tc>
        <w:tc>
          <w:tcPr>
            <w:tcW w:w="945" w:type="pct"/>
            <w:vAlign w:val="center"/>
          </w:tcPr>
          <w:p>
            <w:pPr>
              <w:adjustRightInd w:val="0"/>
              <w:snapToGrid w:val="0"/>
              <w:jc w:val="center"/>
              <w:rPr>
                <w:color w:val="auto"/>
                <w:highlight w:val="none"/>
              </w:rPr>
            </w:pPr>
            <w:r>
              <w:rPr>
                <w:rFonts w:hint="eastAsia"/>
                <w:color w:val="auto"/>
                <w:highlight w:val="none"/>
              </w:rPr>
              <w:t>带钢制的两个检修孔及雨棚</w:t>
            </w:r>
          </w:p>
        </w:tc>
        <w:tc>
          <w:tcPr>
            <w:tcW w:w="462" w:type="pct"/>
          </w:tcPr>
          <w:p>
            <w:pPr>
              <w:adjustRightInd w:val="0"/>
              <w:snapToGrid w:val="0"/>
              <w:jc w:val="center"/>
              <w:rPr>
                <w:rFonts w:ascii="宋体" w:hAnsi="宋体"/>
                <w:color w:val="auto"/>
                <w:szCs w:val="21"/>
                <w:highlight w:val="none"/>
              </w:rPr>
            </w:pPr>
          </w:p>
        </w:tc>
        <w:tc>
          <w:tcPr>
            <w:tcW w:w="3063" w:type="pct"/>
            <w:vAlign w:val="center"/>
          </w:tcPr>
          <w:p>
            <w:pPr>
              <w:adjustRightInd w:val="0"/>
              <w:snapToGrid w:val="0"/>
              <w:rPr>
                <w:rFonts w:ascii="宋体" w:hAnsi="宋体"/>
                <w:color w:val="auto"/>
                <w:szCs w:val="21"/>
                <w:highlight w:val="none"/>
              </w:rPr>
            </w:pPr>
          </w:p>
        </w:tc>
      </w:tr>
    </w:tbl>
    <w:p>
      <w:pPr>
        <w:pStyle w:val="29"/>
        <w:ind w:firstLineChars="0"/>
        <w:rPr>
          <w:b/>
          <w:bCs/>
          <w:color w:val="auto"/>
          <w:highlight w:val="none"/>
        </w:rPr>
      </w:pPr>
      <w:r>
        <w:rPr>
          <w:rFonts w:hint="eastAsia"/>
          <w:b/>
          <w:bCs/>
          <w:color w:val="auto"/>
          <w:highlight w:val="none"/>
        </w:rPr>
        <w:t>注:油罐相关必须的附件请参考参照《小型立、卧式油罐图集》（图集号02R111）</w:t>
      </w:r>
    </w:p>
    <w:p>
      <w:pPr>
        <w:pStyle w:val="29"/>
        <w:ind w:firstLine="0" w:firstLineChars="0"/>
        <w:jc w:val="center"/>
        <w:rPr>
          <w:color w:val="auto"/>
          <w:highlight w:val="none"/>
        </w:rPr>
      </w:pPr>
      <w:bookmarkStart w:id="38" w:name="_Toc107808185"/>
      <w:bookmarkStart w:id="39" w:name="_Toc109535621"/>
      <w:bookmarkStart w:id="40" w:name="_Toc107808726"/>
      <w:bookmarkStart w:id="41" w:name="_Toc112558238"/>
      <w:bookmarkStart w:id="42" w:name="_Toc196116566"/>
      <w:bookmarkStart w:id="43" w:name="_Toc7633"/>
      <w:bookmarkStart w:id="44" w:name="_Toc197670686"/>
      <w:bookmarkStart w:id="45" w:name="_Toc233598518"/>
      <w:r>
        <w:rPr>
          <w:rFonts w:hint="eastAsia"/>
          <w:color w:val="auto"/>
          <w:highlight w:val="none"/>
        </w:rPr>
        <w:t>专用工具及备品备件清单</w:t>
      </w:r>
      <w:bookmarkEnd w:id="38"/>
      <w:bookmarkEnd w:id="39"/>
      <w:bookmarkEnd w:id="40"/>
      <w:bookmarkEnd w:id="41"/>
      <w:r>
        <w:rPr>
          <w:rFonts w:hint="eastAsia"/>
          <w:color w:val="auto"/>
          <w:highlight w:val="none"/>
        </w:rPr>
        <w:t>(投标方填写)</w:t>
      </w:r>
    </w:p>
    <w:tbl>
      <w:tblPr>
        <w:tblStyle w:val="21"/>
        <w:tblW w:w="5000" w:type="pct"/>
        <w:jc w:val="center"/>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12"/>
        <w:gridCol w:w="1774"/>
        <w:gridCol w:w="1605"/>
        <w:gridCol w:w="990"/>
        <w:gridCol w:w="990"/>
        <w:gridCol w:w="990"/>
        <w:gridCol w:w="1337"/>
        <w:gridCol w:w="988"/>
      </w:tblGrid>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30" w:type="pct"/>
            <w:tcBorders>
              <w:top w:val="thinThickSmallGap" w:color="auto" w:sz="12" w:space="0"/>
              <w:left w:val="thinThickSmallGap" w:color="auto" w:sz="12" w:space="0"/>
              <w:bottom w:val="single" w:color="auto" w:sz="4" w:space="0"/>
              <w:right w:val="single" w:color="auto" w:sz="6" w:space="0"/>
            </w:tcBorders>
            <w:shd w:val="clear" w:color="auto" w:fill="D9D9D9"/>
            <w:vAlign w:val="center"/>
          </w:tcPr>
          <w:p>
            <w:pPr>
              <w:pStyle w:val="35"/>
              <w:spacing w:line="240" w:lineRule="auto"/>
              <w:rPr>
                <w:b/>
                <w:color w:val="auto"/>
                <w:highlight w:val="none"/>
              </w:rPr>
            </w:pPr>
            <w:r>
              <w:rPr>
                <w:rFonts w:hint="eastAsia"/>
                <w:b/>
                <w:color w:val="auto"/>
                <w:highlight w:val="none"/>
              </w:rPr>
              <w:t>序号</w:t>
            </w:r>
          </w:p>
        </w:tc>
        <w:tc>
          <w:tcPr>
            <w:tcW w:w="955" w:type="pct"/>
            <w:tcBorders>
              <w:top w:val="thinThickSmallGap" w:color="auto" w:sz="12" w:space="0"/>
              <w:left w:val="single" w:color="auto" w:sz="6" w:space="0"/>
              <w:bottom w:val="single" w:color="auto" w:sz="4" w:space="0"/>
              <w:right w:val="single" w:color="auto" w:sz="6" w:space="0"/>
            </w:tcBorders>
            <w:shd w:val="clear" w:color="auto" w:fill="D9D9D9"/>
            <w:vAlign w:val="center"/>
          </w:tcPr>
          <w:p>
            <w:pPr>
              <w:pStyle w:val="35"/>
              <w:spacing w:line="240" w:lineRule="auto"/>
              <w:rPr>
                <w:b/>
                <w:color w:val="auto"/>
                <w:highlight w:val="none"/>
              </w:rPr>
            </w:pPr>
            <w:r>
              <w:rPr>
                <w:rFonts w:hint="eastAsia"/>
                <w:b/>
                <w:color w:val="auto"/>
                <w:highlight w:val="none"/>
              </w:rPr>
              <w:t>名称</w:t>
            </w:r>
          </w:p>
        </w:tc>
        <w:tc>
          <w:tcPr>
            <w:tcW w:w="864" w:type="pct"/>
            <w:tcBorders>
              <w:top w:val="thinThickSmallGap" w:color="auto" w:sz="12" w:space="0"/>
              <w:left w:val="single" w:color="auto" w:sz="6" w:space="0"/>
              <w:bottom w:val="single" w:color="auto" w:sz="4" w:space="0"/>
              <w:right w:val="single" w:color="auto" w:sz="6" w:space="0"/>
            </w:tcBorders>
            <w:shd w:val="clear" w:color="auto" w:fill="D9D9D9"/>
            <w:vAlign w:val="center"/>
          </w:tcPr>
          <w:p>
            <w:pPr>
              <w:pStyle w:val="35"/>
              <w:spacing w:line="240" w:lineRule="auto"/>
              <w:rPr>
                <w:b/>
                <w:color w:val="auto"/>
                <w:highlight w:val="none"/>
              </w:rPr>
            </w:pPr>
            <w:r>
              <w:rPr>
                <w:rFonts w:hint="eastAsia"/>
                <w:b/>
                <w:color w:val="auto"/>
                <w:highlight w:val="none"/>
              </w:rPr>
              <w:t>规格及型号</w:t>
            </w:r>
          </w:p>
        </w:tc>
        <w:tc>
          <w:tcPr>
            <w:tcW w:w="533" w:type="pct"/>
            <w:tcBorders>
              <w:top w:val="thinThickSmallGap" w:color="auto" w:sz="12" w:space="0"/>
              <w:left w:val="single" w:color="auto" w:sz="6" w:space="0"/>
              <w:bottom w:val="single" w:color="auto" w:sz="4" w:space="0"/>
              <w:right w:val="single" w:color="auto" w:sz="6" w:space="0"/>
            </w:tcBorders>
            <w:shd w:val="clear" w:color="auto" w:fill="D9D9D9"/>
            <w:vAlign w:val="center"/>
          </w:tcPr>
          <w:p>
            <w:pPr>
              <w:pStyle w:val="35"/>
              <w:spacing w:line="240" w:lineRule="auto"/>
              <w:rPr>
                <w:b/>
                <w:color w:val="auto"/>
                <w:highlight w:val="none"/>
              </w:rPr>
            </w:pPr>
            <w:r>
              <w:rPr>
                <w:rFonts w:hint="eastAsia"/>
                <w:b/>
                <w:color w:val="auto"/>
                <w:highlight w:val="none"/>
              </w:rPr>
              <w:t>数量</w:t>
            </w:r>
          </w:p>
        </w:tc>
        <w:tc>
          <w:tcPr>
            <w:tcW w:w="533" w:type="pct"/>
            <w:tcBorders>
              <w:top w:val="thinThickSmallGap" w:color="auto" w:sz="12" w:space="0"/>
              <w:left w:val="single" w:color="auto" w:sz="6" w:space="0"/>
              <w:bottom w:val="single" w:color="auto" w:sz="4" w:space="0"/>
              <w:right w:val="single" w:color="auto" w:sz="6" w:space="0"/>
            </w:tcBorders>
            <w:shd w:val="clear" w:color="auto" w:fill="D9D9D9"/>
            <w:vAlign w:val="center"/>
          </w:tcPr>
          <w:p>
            <w:pPr>
              <w:pStyle w:val="35"/>
              <w:spacing w:line="240" w:lineRule="auto"/>
              <w:rPr>
                <w:b/>
                <w:color w:val="auto"/>
                <w:highlight w:val="none"/>
              </w:rPr>
            </w:pPr>
            <w:r>
              <w:rPr>
                <w:rFonts w:hint="eastAsia"/>
                <w:b/>
                <w:color w:val="auto"/>
                <w:highlight w:val="none"/>
              </w:rPr>
              <w:t>单位</w:t>
            </w:r>
          </w:p>
        </w:tc>
        <w:tc>
          <w:tcPr>
            <w:tcW w:w="533" w:type="pct"/>
            <w:tcBorders>
              <w:top w:val="thinThickSmallGap" w:color="auto" w:sz="12" w:space="0"/>
              <w:left w:val="single" w:color="auto" w:sz="6" w:space="0"/>
              <w:bottom w:val="single" w:color="auto" w:sz="4" w:space="0"/>
              <w:right w:val="single" w:color="auto" w:sz="6" w:space="0"/>
            </w:tcBorders>
            <w:shd w:val="clear" w:color="auto" w:fill="D9D9D9"/>
            <w:vAlign w:val="center"/>
          </w:tcPr>
          <w:p>
            <w:pPr>
              <w:pStyle w:val="35"/>
              <w:spacing w:line="240" w:lineRule="auto"/>
              <w:rPr>
                <w:b/>
                <w:color w:val="auto"/>
                <w:highlight w:val="none"/>
              </w:rPr>
            </w:pPr>
            <w:r>
              <w:rPr>
                <w:rFonts w:hint="eastAsia"/>
                <w:b/>
                <w:color w:val="auto"/>
                <w:highlight w:val="none"/>
              </w:rPr>
              <w:t>产地</w:t>
            </w:r>
          </w:p>
        </w:tc>
        <w:tc>
          <w:tcPr>
            <w:tcW w:w="720" w:type="pct"/>
            <w:tcBorders>
              <w:top w:val="thinThickSmallGap" w:color="auto" w:sz="12" w:space="0"/>
              <w:left w:val="single" w:color="auto" w:sz="6" w:space="0"/>
              <w:bottom w:val="single" w:color="auto" w:sz="4" w:space="0"/>
              <w:right w:val="single" w:color="auto" w:sz="6" w:space="0"/>
            </w:tcBorders>
            <w:shd w:val="clear" w:color="auto" w:fill="D9D9D9"/>
            <w:vAlign w:val="center"/>
          </w:tcPr>
          <w:p>
            <w:pPr>
              <w:pStyle w:val="35"/>
              <w:spacing w:line="240" w:lineRule="auto"/>
              <w:rPr>
                <w:b/>
                <w:color w:val="auto"/>
                <w:highlight w:val="none"/>
              </w:rPr>
            </w:pPr>
            <w:r>
              <w:rPr>
                <w:rFonts w:hint="eastAsia"/>
                <w:b/>
                <w:color w:val="auto"/>
                <w:highlight w:val="none"/>
              </w:rPr>
              <w:t>生产投标方</w:t>
            </w:r>
          </w:p>
        </w:tc>
        <w:tc>
          <w:tcPr>
            <w:tcW w:w="533" w:type="pct"/>
            <w:tcBorders>
              <w:top w:val="thinThickSmallGap" w:color="auto" w:sz="12" w:space="0"/>
              <w:left w:val="single" w:color="auto" w:sz="6" w:space="0"/>
              <w:bottom w:val="single" w:color="auto" w:sz="4" w:space="0"/>
              <w:right w:val="thickThinSmallGap" w:color="auto" w:sz="12" w:space="0"/>
            </w:tcBorders>
            <w:shd w:val="clear" w:color="auto" w:fill="D9D9D9"/>
            <w:vAlign w:val="center"/>
          </w:tcPr>
          <w:p>
            <w:pPr>
              <w:pStyle w:val="35"/>
              <w:spacing w:line="240" w:lineRule="auto"/>
              <w:rPr>
                <w:b/>
                <w:color w:val="auto"/>
                <w:highlight w:val="none"/>
              </w:rPr>
            </w:pPr>
            <w:r>
              <w:rPr>
                <w:rFonts w:hint="eastAsia"/>
                <w:b/>
                <w:color w:val="auto"/>
                <w:highlight w:val="none"/>
              </w:rPr>
              <w:t>备注</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PrEx>
        <w:trPr>
          <w:jc w:val="center"/>
        </w:trPr>
        <w:tc>
          <w:tcPr>
            <w:tcW w:w="330" w:type="pct"/>
            <w:vAlign w:val="center"/>
          </w:tcPr>
          <w:p>
            <w:pPr>
              <w:pStyle w:val="35"/>
              <w:spacing w:line="240" w:lineRule="auto"/>
              <w:rPr>
                <w:color w:val="auto"/>
                <w:highlight w:val="none"/>
              </w:rPr>
            </w:pPr>
            <w:r>
              <w:rPr>
                <w:rFonts w:hint="eastAsia"/>
                <w:color w:val="auto"/>
                <w:highlight w:val="none"/>
              </w:rPr>
              <w:t>1</w:t>
            </w:r>
          </w:p>
        </w:tc>
        <w:tc>
          <w:tcPr>
            <w:tcW w:w="955" w:type="pct"/>
            <w:vAlign w:val="center"/>
          </w:tcPr>
          <w:p>
            <w:pPr>
              <w:pStyle w:val="35"/>
              <w:spacing w:line="240" w:lineRule="auto"/>
              <w:rPr>
                <w:color w:val="auto"/>
                <w:highlight w:val="none"/>
              </w:rPr>
            </w:pPr>
          </w:p>
        </w:tc>
        <w:tc>
          <w:tcPr>
            <w:tcW w:w="864" w:type="pct"/>
            <w:vAlign w:val="center"/>
          </w:tcPr>
          <w:p>
            <w:pPr>
              <w:pStyle w:val="35"/>
              <w:spacing w:line="240" w:lineRule="auto"/>
              <w:rPr>
                <w:color w:val="auto"/>
                <w:highlight w:val="none"/>
              </w:rPr>
            </w:pPr>
          </w:p>
        </w:tc>
        <w:tc>
          <w:tcPr>
            <w:tcW w:w="533" w:type="pct"/>
            <w:vAlign w:val="center"/>
          </w:tcPr>
          <w:p>
            <w:pPr>
              <w:pStyle w:val="35"/>
              <w:spacing w:line="240" w:lineRule="auto"/>
              <w:rPr>
                <w:color w:val="auto"/>
                <w:highlight w:val="none"/>
              </w:rPr>
            </w:pPr>
          </w:p>
        </w:tc>
        <w:tc>
          <w:tcPr>
            <w:tcW w:w="533" w:type="pct"/>
            <w:vAlign w:val="center"/>
          </w:tcPr>
          <w:p>
            <w:pPr>
              <w:pStyle w:val="35"/>
              <w:spacing w:line="240" w:lineRule="auto"/>
              <w:rPr>
                <w:color w:val="auto"/>
                <w:highlight w:val="none"/>
              </w:rPr>
            </w:pPr>
          </w:p>
        </w:tc>
        <w:tc>
          <w:tcPr>
            <w:tcW w:w="533" w:type="pct"/>
            <w:vAlign w:val="center"/>
          </w:tcPr>
          <w:p>
            <w:pPr>
              <w:pStyle w:val="35"/>
              <w:spacing w:line="240" w:lineRule="auto"/>
              <w:rPr>
                <w:color w:val="auto"/>
                <w:highlight w:val="none"/>
              </w:rPr>
            </w:pPr>
          </w:p>
        </w:tc>
        <w:tc>
          <w:tcPr>
            <w:tcW w:w="720" w:type="pct"/>
            <w:vAlign w:val="center"/>
          </w:tcPr>
          <w:p>
            <w:pPr>
              <w:pStyle w:val="35"/>
              <w:spacing w:line="240" w:lineRule="auto"/>
              <w:rPr>
                <w:color w:val="auto"/>
                <w:highlight w:val="none"/>
              </w:rPr>
            </w:pPr>
          </w:p>
        </w:tc>
        <w:tc>
          <w:tcPr>
            <w:tcW w:w="533" w:type="pct"/>
            <w:vAlign w:val="center"/>
          </w:tcPr>
          <w:p>
            <w:pPr>
              <w:pStyle w:val="35"/>
              <w:spacing w:line="240" w:lineRule="auto"/>
              <w:rPr>
                <w:color w:val="auto"/>
                <w:highlight w:val="none"/>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PrEx>
        <w:trPr>
          <w:jc w:val="center"/>
        </w:trPr>
        <w:tc>
          <w:tcPr>
            <w:tcW w:w="330" w:type="pct"/>
            <w:vAlign w:val="center"/>
          </w:tcPr>
          <w:p>
            <w:pPr>
              <w:pStyle w:val="35"/>
              <w:spacing w:line="240" w:lineRule="auto"/>
              <w:rPr>
                <w:color w:val="auto"/>
                <w:highlight w:val="none"/>
              </w:rPr>
            </w:pPr>
            <w:r>
              <w:rPr>
                <w:rFonts w:hint="eastAsia"/>
                <w:color w:val="auto"/>
                <w:highlight w:val="none"/>
              </w:rPr>
              <w:t>2</w:t>
            </w:r>
          </w:p>
        </w:tc>
        <w:tc>
          <w:tcPr>
            <w:tcW w:w="955" w:type="pct"/>
            <w:vAlign w:val="center"/>
          </w:tcPr>
          <w:p>
            <w:pPr>
              <w:pStyle w:val="35"/>
              <w:spacing w:line="240" w:lineRule="auto"/>
              <w:rPr>
                <w:color w:val="auto"/>
                <w:highlight w:val="none"/>
              </w:rPr>
            </w:pPr>
          </w:p>
        </w:tc>
        <w:tc>
          <w:tcPr>
            <w:tcW w:w="864" w:type="pct"/>
            <w:vAlign w:val="center"/>
          </w:tcPr>
          <w:p>
            <w:pPr>
              <w:pStyle w:val="35"/>
              <w:spacing w:line="240" w:lineRule="auto"/>
              <w:rPr>
                <w:color w:val="auto"/>
                <w:highlight w:val="none"/>
              </w:rPr>
            </w:pPr>
          </w:p>
        </w:tc>
        <w:tc>
          <w:tcPr>
            <w:tcW w:w="533" w:type="pct"/>
            <w:vAlign w:val="center"/>
          </w:tcPr>
          <w:p>
            <w:pPr>
              <w:pStyle w:val="35"/>
              <w:spacing w:line="240" w:lineRule="auto"/>
              <w:rPr>
                <w:color w:val="auto"/>
                <w:highlight w:val="none"/>
              </w:rPr>
            </w:pPr>
          </w:p>
        </w:tc>
        <w:tc>
          <w:tcPr>
            <w:tcW w:w="533" w:type="pct"/>
            <w:vAlign w:val="center"/>
          </w:tcPr>
          <w:p>
            <w:pPr>
              <w:pStyle w:val="35"/>
              <w:spacing w:line="240" w:lineRule="auto"/>
              <w:rPr>
                <w:color w:val="auto"/>
                <w:highlight w:val="none"/>
              </w:rPr>
            </w:pPr>
          </w:p>
        </w:tc>
        <w:tc>
          <w:tcPr>
            <w:tcW w:w="533" w:type="pct"/>
            <w:vAlign w:val="center"/>
          </w:tcPr>
          <w:p>
            <w:pPr>
              <w:pStyle w:val="35"/>
              <w:spacing w:line="240" w:lineRule="auto"/>
              <w:rPr>
                <w:color w:val="auto"/>
                <w:highlight w:val="none"/>
              </w:rPr>
            </w:pPr>
          </w:p>
        </w:tc>
        <w:tc>
          <w:tcPr>
            <w:tcW w:w="720" w:type="pct"/>
            <w:vAlign w:val="center"/>
          </w:tcPr>
          <w:p>
            <w:pPr>
              <w:pStyle w:val="35"/>
              <w:spacing w:line="240" w:lineRule="auto"/>
              <w:rPr>
                <w:color w:val="auto"/>
                <w:highlight w:val="none"/>
              </w:rPr>
            </w:pPr>
          </w:p>
        </w:tc>
        <w:tc>
          <w:tcPr>
            <w:tcW w:w="533" w:type="pct"/>
            <w:vAlign w:val="center"/>
          </w:tcPr>
          <w:p>
            <w:pPr>
              <w:pStyle w:val="35"/>
              <w:spacing w:line="240" w:lineRule="auto"/>
              <w:rPr>
                <w:color w:val="auto"/>
                <w:highlight w:val="none"/>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30" w:type="pct"/>
            <w:vAlign w:val="center"/>
          </w:tcPr>
          <w:p>
            <w:pPr>
              <w:pStyle w:val="35"/>
              <w:spacing w:line="240" w:lineRule="auto"/>
              <w:rPr>
                <w:color w:val="auto"/>
                <w:highlight w:val="none"/>
              </w:rPr>
            </w:pPr>
            <w:r>
              <w:rPr>
                <w:rFonts w:hint="eastAsia"/>
                <w:color w:val="auto"/>
                <w:highlight w:val="none"/>
              </w:rPr>
              <w:t>3</w:t>
            </w:r>
          </w:p>
        </w:tc>
        <w:tc>
          <w:tcPr>
            <w:tcW w:w="955" w:type="pct"/>
            <w:vAlign w:val="center"/>
          </w:tcPr>
          <w:p>
            <w:pPr>
              <w:pStyle w:val="35"/>
              <w:spacing w:line="240" w:lineRule="auto"/>
              <w:rPr>
                <w:color w:val="auto"/>
                <w:highlight w:val="none"/>
              </w:rPr>
            </w:pPr>
          </w:p>
        </w:tc>
        <w:tc>
          <w:tcPr>
            <w:tcW w:w="864" w:type="pct"/>
            <w:vAlign w:val="center"/>
          </w:tcPr>
          <w:p>
            <w:pPr>
              <w:pStyle w:val="35"/>
              <w:spacing w:line="240" w:lineRule="auto"/>
              <w:rPr>
                <w:color w:val="auto"/>
                <w:highlight w:val="none"/>
              </w:rPr>
            </w:pPr>
          </w:p>
        </w:tc>
        <w:tc>
          <w:tcPr>
            <w:tcW w:w="533" w:type="pct"/>
            <w:vAlign w:val="center"/>
          </w:tcPr>
          <w:p>
            <w:pPr>
              <w:pStyle w:val="35"/>
              <w:spacing w:line="240" w:lineRule="auto"/>
              <w:rPr>
                <w:color w:val="auto"/>
                <w:highlight w:val="none"/>
              </w:rPr>
            </w:pPr>
          </w:p>
        </w:tc>
        <w:tc>
          <w:tcPr>
            <w:tcW w:w="533" w:type="pct"/>
            <w:vAlign w:val="center"/>
          </w:tcPr>
          <w:p>
            <w:pPr>
              <w:pStyle w:val="35"/>
              <w:spacing w:line="240" w:lineRule="auto"/>
              <w:rPr>
                <w:color w:val="auto"/>
                <w:highlight w:val="none"/>
              </w:rPr>
            </w:pPr>
          </w:p>
        </w:tc>
        <w:tc>
          <w:tcPr>
            <w:tcW w:w="533" w:type="pct"/>
            <w:vAlign w:val="center"/>
          </w:tcPr>
          <w:p>
            <w:pPr>
              <w:pStyle w:val="35"/>
              <w:spacing w:line="240" w:lineRule="auto"/>
              <w:rPr>
                <w:color w:val="auto"/>
                <w:highlight w:val="none"/>
              </w:rPr>
            </w:pPr>
          </w:p>
        </w:tc>
        <w:tc>
          <w:tcPr>
            <w:tcW w:w="720" w:type="pct"/>
            <w:vAlign w:val="center"/>
          </w:tcPr>
          <w:p>
            <w:pPr>
              <w:pStyle w:val="35"/>
              <w:spacing w:line="240" w:lineRule="auto"/>
              <w:rPr>
                <w:color w:val="auto"/>
                <w:highlight w:val="none"/>
              </w:rPr>
            </w:pPr>
          </w:p>
        </w:tc>
        <w:tc>
          <w:tcPr>
            <w:tcW w:w="533" w:type="pct"/>
            <w:vAlign w:val="center"/>
          </w:tcPr>
          <w:p>
            <w:pPr>
              <w:pStyle w:val="35"/>
              <w:spacing w:line="240" w:lineRule="auto"/>
              <w:rPr>
                <w:color w:val="auto"/>
                <w:highlight w:val="none"/>
              </w:rPr>
            </w:pPr>
          </w:p>
        </w:tc>
      </w:tr>
    </w:tbl>
    <w:p>
      <w:pPr>
        <w:pStyle w:val="29"/>
        <w:jc w:val="center"/>
        <w:rPr>
          <w:color w:val="auto"/>
          <w:highlight w:val="none"/>
        </w:rPr>
      </w:pPr>
      <w:r>
        <w:rPr>
          <w:rFonts w:hint="eastAsia"/>
          <w:color w:val="auto"/>
          <w:highlight w:val="none"/>
        </w:rPr>
        <w:t>随机备品备件和2年期内运行所需的备品备件(投标方填写)</w:t>
      </w:r>
    </w:p>
    <w:tbl>
      <w:tblPr>
        <w:tblStyle w:val="21"/>
        <w:tblW w:w="5000" w:type="pct"/>
        <w:jc w:val="center"/>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99"/>
        <w:gridCol w:w="1762"/>
        <w:gridCol w:w="1540"/>
        <w:gridCol w:w="951"/>
        <w:gridCol w:w="951"/>
        <w:gridCol w:w="951"/>
        <w:gridCol w:w="1283"/>
        <w:gridCol w:w="949"/>
      </w:tblGrid>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84" w:type="pct"/>
            <w:tcBorders>
              <w:top w:val="thinThickSmallGap" w:color="auto" w:sz="12" w:space="0"/>
              <w:left w:val="thinThickSmallGap" w:color="auto" w:sz="12" w:space="0"/>
              <w:bottom w:val="single" w:color="auto" w:sz="4" w:space="0"/>
              <w:right w:val="single" w:color="auto" w:sz="6" w:space="0"/>
            </w:tcBorders>
            <w:shd w:val="clear" w:color="auto" w:fill="D9D9D9"/>
            <w:vAlign w:val="center"/>
          </w:tcPr>
          <w:p>
            <w:pPr>
              <w:pStyle w:val="35"/>
              <w:spacing w:line="240" w:lineRule="auto"/>
              <w:rPr>
                <w:b/>
                <w:color w:val="auto"/>
                <w:highlight w:val="none"/>
              </w:rPr>
            </w:pPr>
            <w:r>
              <w:rPr>
                <w:rFonts w:hint="eastAsia"/>
                <w:b/>
                <w:color w:val="auto"/>
                <w:highlight w:val="none"/>
              </w:rPr>
              <w:t>序号</w:t>
            </w:r>
          </w:p>
        </w:tc>
        <w:tc>
          <w:tcPr>
            <w:tcW w:w="949" w:type="pct"/>
            <w:tcBorders>
              <w:top w:val="thinThickSmallGap" w:color="auto" w:sz="12" w:space="0"/>
              <w:left w:val="single" w:color="auto" w:sz="6" w:space="0"/>
              <w:bottom w:val="single" w:color="auto" w:sz="4" w:space="0"/>
              <w:right w:val="single" w:color="auto" w:sz="6" w:space="0"/>
            </w:tcBorders>
            <w:shd w:val="clear" w:color="auto" w:fill="D9D9D9"/>
            <w:vAlign w:val="center"/>
          </w:tcPr>
          <w:p>
            <w:pPr>
              <w:pStyle w:val="35"/>
              <w:spacing w:line="240" w:lineRule="auto"/>
              <w:rPr>
                <w:b/>
                <w:color w:val="auto"/>
                <w:highlight w:val="none"/>
              </w:rPr>
            </w:pPr>
            <w:r>
              <w:rPr>
                <w:rFonts w:hint="eastAsia"/>
                <w:b/>
                <w:color w:val="auto"/>
                <w:highlight w:val="none"/>
              </w:rPr>
              <w:t>名称</w:t>
            </w:r>
          </w:p>
        </w:tc>
        <w:tc>
          <w:tcPr>
            <w:tcW w:w="829" w:type="pct"/>
            <w:tcBorders>
              <w:top w:val="thinThickSmallGap" w:color="auto" w:sz="12" w:space="0"/>
              <w:left w:val="single" w:color="auto" w:sz="6" w:space="0"/>
              <w:bottom w:val="single" w:color="auto" w:sz="4" w:space="0"/>
              <w:right w:val="single" w:color="auto" w:sz="6" w:space="0"/>
            </w:tcBorders>
            <w:shd w:val="clear" w:color="auto" w:fill="D9D9D9"/>
            <w:vAlign w:val="center"/>
          </w:tcPr>
          <w:p>
            <w:pPr>
              <w:pStyle w:val="35"/>
              <w:spacing w:line="240" w:lineRule="auto"/>
              <w:rPr>
                <w:b/>
                <w:color w:val="auto"/>
                <w:highlight w:val="none"/>
              </w:rPr>
            </w:pPr>
            <w:r>
              <w:rPr>
                <w:rFonts w:hint="eastAsia"/>
                <w:b/>
                <w:color w:val="auto"/>
                <w:highlight w:val="none"/>
              </w:rPr>
              <w:t>规格及型号</w:t>
            </w:r>
          </w:p>
        </w:tc>
        <w:tc>
          <w:tcPr>
            <w:tcW w:w="512" w:type="pct"/>
            <w:tcBorders>
              <w:top w:val="thinThickSmallGap" w:color="auto" w:sz="12" w:space="0"/>
              <w:left w:val="single" w:color="auto" w:sz="6" w:space="0"/>
              <w:bottom w:val="single" w:color="auto" w:sz="4" w:space="0"/>
              <w:right w:val="single" w:color="auto" w:sz="6" w:space="0"/>
            </w:tcBorders>
            <w:shd w:val="clear" w:color="auto" w:fill="D9D9D9"/>
            <w:vAlign w:val="center"/>
          </w:tcPr>
          <w:p>
            <w:pPr>
              <w:pStyle w:val="35"/>
              <w:spacing w:line="240" w:lineRule="auto"/>
              <w:rPr>
                <w:b/>
                <w:color w:val="auto"/>
                <w:highlight w:val="none"/>
              </w:rPr>
            </w:pPr>
            <w:r>
              <w:rPr>
                <w:rFonts w:hint="eastAsia"/>
                <w:b/>
                <w:color w:val="auto"/>
                <w:highlight w:val="none"/>
              </w:rPr>
              <w:t>数量</w:t>
            </w:r>
          </w:p>
        </w:tc>
        <w:tc>
          <w:tcPr>
            <w:tcW w:w="512" w:type="pct"/>
            <w:tcBorders>
              <w:top w:val="thinThickSmallGap" w:color="auto" w:sz="12" w:space="0"/>
              <w:left w:val="single" w:color="auto" w:sz="6" w:space="0"/>
              <w:bottom w:val="single" w:color="auto" w:sz="4" w:space="0"/>
              <w:right w:val="single" w:color="auto" w:sz="6" w:space="0"/>
            </w:tcBorders>
            <w:shd w:val="clear" w:color="auto" w:fill="D9D9D9"/>
            <w:vAlign w:val="center"/>
          </w:tcPr>
          <w:p>
            <w:pPr>
              <w:pStyle w:val="35"/>
              <w:spacing w:line="240" w:lineRule="auto"/>
              <w:rPr>
                <w:b/>
                <w:color w:val="auto"/>
                <w:highlight w:val="none"/>
              </w:rPr>
            </w:pPr>
            <w:r>
              <w:rPr>
                <w:rFonts w:hint="eastAsia"/>
                <w:b/>
                <w:color w:val="auto"/>
                <w:highlight w:val="none"/>
              </w:rPr>
              <w:t>单位</w:t>
            </w:r>
          </w:p>
        </w:tc>
        <w:tc>
          <w:tcPr>
            <w:tcW w:w="512" w:type="pct"/>
            <w:tcBorders>
              <w:top w:val="thinThickSmallGap" w:color="auto" w:sz="12" w:space="0"/>
              <w:left w:val="single" w:color="auto" w:sz="6" w:space="0"/>
              <w:bottom w:val="single" w:color="auto" w:sz="4" w:space="0"/>
              <w:right w:val="single" w:color="auto" w:sz="6" w:space="0"/>
            </w:tcBorders>
            <w:shd w:val="clear" w:color="auto" w:fill="D9D9D9"/>
            <w:vAlign w:val="center"/>
          </w:tcPr>
          <w:p>
            <w:pPr>
              <w:pStyle w:val="35"/>
              <w:spacing w:line="240" w:lineRule="auto"/>
              <w:rPr>
                <w:b/>
                <w:color w:val="auto"/>
                <w:highlight w:val="none"/>
              </w:rPr>
            </w:pPr>
            <w:r>
              <w:rPr>
                <w:rFonts w:hint="eastAsia"/>
                <w:b/>
                <w:color w:val="auto"/>
                <w:highlight w:val="none"/>
              </w:rPr>
              <w:t>产地</w:t>
            </w:r>
          </w:p>
        </w:tc>
        <w:tc>
          <w:tcPr>
            <w:tcW w:w="691" w:type="pct"/>
            <w:tcBorders>
              <w:top w:val="thinThickSmallGap" w:color="auto" w:sz="12" w:space="0"/>
              <w:left w:val="single" w:color="auto" w:sz="6" w:space="0"/>
              <w:bottom w:val="single" w:color="auto" w:sz="4" w:space="0"/>
              <w:right w:val="single" w:color="auto" w:sz="6" w:space="0"/>
            </w:tcBorders>
            <w:shd w:val="clear" w:color="auto" w:fill="D9D9D9"/>
            <w:vAlign w:val="center"/>
          </w:tcPr>
          <w:p>
            <w:pPr>
              <w:pStyle w:val="35"/>
              <w:spacing w:line="240" w:lineRule="auto"/>
              <w:rPr>
                <w:b/>
                <w:color w:val="auto"/>
                <w:highlight w:val="none"/>
              </w:rPr>
            </w:pPr>
            <w:r>
              <w:rPr>
                <w:rFonts w:hint="eastAsia"/>
                <w:b/>
                <w:color w:val="auto"/>
                <w:highlight w:val="none"/>
              </w:rPr>
              <w:t>生产投标方</w:t>
            </w:r>
          </w:p>
        </w:tc>
        <w:tc>
          <w:tcPr>
            <w:tcW w:w="512" w:type="pct"/>
            <w:tcBorders>
              <w:top w:val="thinThickSmallGap" w:color="auto" w:sz="12" w:space="0"/>
              <w:left w:val="single" w:color="auto" w:sz="6" w:space="0"/>
              <w:bottom w:val="single" w:color="auto" w:sz="4" w:space="0"/>
              <w:right w:val="thickThinSmallGap" w:color="auto" w:sz="12" w:space="0"/>
            </w:tcBorders>
            <w:shd w:val="clear" w:color="auto" w:fill="D9D9D9"/>
            <w:vAlign w:val="center"/>
          </w:tcPr>
          <w:p>
            <w:pPr>
              <w:pStyle w:val="35"/>
              <w:spacing w:line="240" w:lineRule="auto"/>
              <w:rPr>
                <w:b/>
                <w:color w:val="auto"/>
                <w:highlight w:val="none"/>
              </w:rPr>
            </w:pPr>
            <w:r>
              <w:rPr>
                <w:rFonts w:hint="eastAsia"/>
                <w:b/>
                <w:color w:val="auto"/>
                <w:highlight w:val="none"/>
              </w:rPr>
              <w:t>备注</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84" w:type="pct"/>
            <w:vAlign w:val="center"/>
          </w:tcPr>
          <w:p>
            <w:pPr>
              <w:pStyle w:val="35"/>
              <w:spacing w:line="240" w:lineRule="auto"/>
              <w:rPr>
                <w:color w:val="auto"/>
                <w:highlight w:val="none"/>
              </w:rPr>
            </w:pPr>
            <w:r>
              <w:rPr>
                <w:rFonts w:hint="eastAsia"/>
                <w:color w:val="auto"/>
                <w:highlight w:val="none"/>
              </w:rPr>
              <w:t>1</w:t>
            </w:r>
          </w:p>
        </w:tc>
        <w:tc>
          <w:tcPr>
            <w:tcW w:w="949" w:type="pct"/>
            <w:vAlign w:val="center"/>
          </w:tcPr>
          <w:p>
            <w:pPr>
              <w:pStyle w:val="35"/>
              <w:spacing w:line="240" w:lineRule="auto"/>
              <w:rPr>
                <w:color w:val="auto"/>
                <w:highlight w:val="none"/>
              </w:rPr>
            </w:pPr>
          </w:p>
        </w:tc>
        <w:tc>
          <w:tcPr>
            <w:tcW w:w="829" w:type="pct"/>
            <w:vAlign w:val="center"/>
          </w:tcPr>
          <w:p>
            <w:pPr>
              <w:pStyle w:val="35"/>
              <w:spacing w:line="240" w:lineRule="auto"/>
              <w:rPr>
                <w:color w:val="auto"/>
                <w:highlight w:val="none"/>
              </w:rPr>
            </w:pPr>
          </w:p>
        </w:tc>
        <w:tc>
          <w:tcPr>
            <w:tcW w:w="512" w:type="pct"/>
            <w:vAlign w:val="center"/>
          </w:tcPr>
          <w:p>
            <w:pPr>
              <w:pStyle w:val="35"/>
              <w:spacing w:line="240" w:lineRule="auto"/>
              <w:rPr>
                <w:color w:val="auto"/>
                <w:highlight w:val="none"/>
              </w:rPr>
            </w:pPr>
          </w:p>
        </w:tc>
        <w:tc>
          <w:tcPr>
            <w:tcW w:w="512" w:type="pct"/>
            <w:vAlign w:val="center"/>
          </w:tcPr>
          <w:p>
            <w:pPr>
              <w:pStyle w:val="35"/>
              <w:spacing w:line="240" w:lineRule="auto"/>
              <w:rPr>
                <w:color w:val="auto"/>
                <w:highlight w:val="none"/>
              </w:rPr>
            </w:pPr>
          </w:p>
        </w:tc>
        <w:tc>
          <w:tcPr>
            <w:tcW w:w="512" w:type="pct"/>
            <w:vAlign w:val="center"/>
          </w:tcPr>
          <w:p>
            <w:pPr>
              <w:pStyle w:val="35"/>
              <w:spacing w:line="240" w:lineRule="auto"/>
              <w:rPr>
                <w:color w:val="auto"/>
                <w:highlight w:val="none"/>
              </w:rPr>
            </w:pPr>
          </w:p>
        </w:tc>
        <w:tc>
          <w:tcPr>
            <w:tcW w:w="691" w:type="pct"/>
            <w:vAlign w:val="center"/>
          </w:tcPr>
          <w:p>
            <w:pPr>
              <w:pStyle w:val="35"/>
              <w:spacing w:line="240" w:lineRule="auto"/>
              <w:rPr>
                <w:color w:val="auto"/>
                <w:highlight w:val="none"/>
              </w:rPr>
            </w:pPr>
          </w:p>
        </w:tc>
        <w:tc>
          <w:tcPr>
            <w:tcW w:w="512" w:type="pct"/>
            <w:vAlign w:val="center"/>
          </w:tcPr>
          <w:p>
            <w:pPr>
              <w:pStyle w:val="35"/>
              <w:spacing w:line="240" w:lineRule="auto"/>
              <w:rPr>
                <w:color w:val="auto"/>
                <w:highlight w:val="none"/>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84" w:type="pct"/>
            <w:vAlign w:val="center"/>
          </w:tcPr>
          <w:p>
            <w:pPr>
              <w:pStyle w:val="35"/>
              <w:spacing w:line="240" w:lineRule="auto"/>
              <w:rPr>
                <w:color w:val="auto"/>
                <w:highlight w:val="none"/>
              </w:rPr>
            </w:pPr>
            <w:r>
              <w:rPr>
                <w:rFonts w:hint="eastAsia"/>
                <w:color w:val="auto"/>
                <w:highlight w:val="none"/>
              </w:rPr>
              <w:t>2</w:t>
            </w:r>
          </w:p>
        </w:tc>
        <w:tc>
          <w:tcPr>
            <w:tcW w:w="949" w:type="pct"/>
            <w:vAlign w:val="center"/>
          </w:tcPr>
          <w:p>
            <w:pPr>
              <w:pStyle w:val="35"/>
              <w:spacing w:line="240" w:lineRule="auto"/>
              <w:rPr>
                <w:color w:val="auto"/>
                <w:highlight w:val="none"/>
              </w:rPr>
            </w:pPr>
          </w:p>
        </w:tc>
        <w:tc>
          <w:tcPr>
            <w:tcW w:w="829" w:type="pct"/>
            <w:vAlign w:val="center"/>
          </w:tcPr>
          <w:p>
            <w:pPr>
              <w:pStyle w:val="35"/>
              <w:spacing w:line="240" w:lineRule="auto"/>
              <w:rPr>
                <w:color w:val="auto"/>
                <w:highlight w:val="none"/>
              </w:rPr>
            </w:pPr>
          </w:p>
        </w:tc>
        <w:tc>
          <w:tcPr>
            <w:tcW w:w="512" w:type="pct"/>
            <w:vAlign w:val="center"/>
          </w:tcPr>
          <w:p>
            <w:pPr>
              <w:pStyle w:val="35"/>
              <w:spacing w:line="240" w:lineRule="auto"/>
              <w:rPr>
                <w:color w:val="auto"/>
                <w:highlight w:val="none"/>
              </w:rPr>
            </w:pPr>
          </w:p>
        </w:tc>
        <w:tc>
          <w:tcPr>
            <w:tcW w:w="512" w:type="pct"/>
            <w:vAlign w:val="center"/>
          </w:tcPr>
          <w:p>
            <w:pPr>
              <w:pStyle w:val="35"/>
              <w:spacing w:line="240" w:lineRule="auto"/>
              <w:rPr>
                <w:color w:val="auto"/>
                <w:highlight w:val="none"/>
              </w:rPr>
            </w:pPr>
          </w:p>
        </w:tc>
        <w:tc>
          <w:tcPr>
            <w:tcW w:w="512" w:type="pct"/>
            <w:vAlign w:val="center"/>
          </w:tcPr>
          <w:p>
            <w:pPr>
              <w:pStyle w:val="35"/>
              <w:spacing w:line="240" w:lineRule="auto"/>
              <w:rPr>
                <w:color w:val="auto"/>
                <w:highlight w:val="none"/>
              </w:rPr>
            </w:pPr>
          </w:p>
        </w:tc>
        <w:tc>
          <w:tcPr>
            <w:tcW w:w="691" w:type="pct"/>
            <w:vAlign w:val="center"/>
          </w:tcPr>
          <w:p>
            <w:pPr>
              <w:pStyle w:val="35"/>
              <w:spacing w:line="240" w:lineRule="auto"/>
              <w:rPr>
                <w:color w:val="auto"/>
                <w:highlight w:val="none"/>
              </w:rPr>
            </w:pPr>
          </w:p>
        </w:tc>
        <w:tc>
          <w:tcPr>
            <w:tcW w:w="512" w:type="pct"/>
            <w:vAlign w:val="center"/>
          </w:tcPr>
          <w:p>
            <w:pPr>
              <w:pStyle w:val="35"/>
              <w:spacing w:line="240" w:lineRule="auto"/>
              <w:rPr>
                <w:color w:val="auto"/>
                <w:highlight w:val="none"/>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84" w:type="pct"/>
            <w:vAlign w:val="center"/>
          </w:tcPr>
          <w:p>
            <w:pPr>
              <w:pStyle w:val="35"/>
              <w:spacing w:line="240" w:lineRule="auto"/>
              <w:rPr>
                <w:color w:val="auto"/>
                <w:highlight w:val="none"/>
              </w:rPr>
            </w:pPr>
            <w:r>
              <w:rPr>
                <w:rFonts w:hint="eastAsia"/>
                <w:color w:val="auto"/>
                <w:highlight w:val="none"/>
              </w:rPr>
              <w:t>3</w:t>
            </w:r>
          </w:p>
        </w:tc>
        <w:tc>
          <w:tcPr>
            <w:tcW w:w="949" w:type="pct"/>
            <w:vAlign w:val="center"/>
          </w:tcPr>
          <w:p>
            <w:pPr>
              <w:pStyle w:val="35"/>
              <w:spacing w:line="240" w:lineRule="auto"/>
              <w:rPr>
                <w:color w:val="auto"/>
                <w:highlight w:val="none"/>
              </w:rPr>
            </w:pPr>
          </w:p>
        </w:tc>
        <w:tc>
          <w:tcPr>
            <w:tcW w:w="829" w:type="pct"/>
            <w:vAlign w:val="center"/>
          </w:tcPr>
          <w:p>
            <w:pPr>
              <w:pStyle w:val="35"/>
              <w:spacing w:line="240" w:lineRule="auto"/>
              <w:rPr>
                <w:color w:val="auto"/>
                <w:highlight w:val="none"/>
              </w:rPr>
            </w:pPr>
          </w:p>
        </w:tc>
        <w:tc>
          <w:tcPr>
            <w:tcW w:w="512" w:type="pct"/>
            <w:vAlign w:val="center"/>
          </w:tcPr>
          <w:p>
            <w:pPr>
              <w:pStyle w:val="35"/>
              <w:spacing w:line="240" w:lineRule="auto"/>
              <w:rPr>
                <w:color w:val="auto"/>
                <w:highlight w:val="none"/>
              </w:rPr>
            </w:pPr>
          </w:p>
        </w:tc>
        <w:tc>
          <w:tcPr>
            <w:tcW w:w="512" w:type="pct"/>
            <w:vAlign w:val="center"/>
          </w:tcPr>
          <w:p>
            <w:pPr>
              <w:pStyle w:val="35"/>
              <w:spacing w:line="240" w:lineRule="auto"/>
              <w:rPr>
                <w:color w:val="auto"/>
                <w:highlight w:val="none"/>
              </w:rPr>
            </w:pPr>
          </w:p>
        </w:tc>
        <w:tc>
          <w:tcPr>
            <w:tcW w:w="512" w:type="pct"/>
            <w:vAlign w:val="center"/>
          </w:tcPr>
          <w:p>
            <w:pPr>
              <w:pStyle w:val="35"/>
              <w:spacing w:line="240" w:lineRule="auto"/>
              <w:rPr>
                <w:color w:val="auto"/>
                <w:highlight w:val="none"/>
              </w:rPr>
            </w:pPr>
          </w:p>
        </w:tc>
        <w:tc>
          <w:tcPr>
            <w:tcW w:w="691" w:type="pct"/>
            <w:vAlign w:val="center"/>
          </w:tcPr>
          <w:p>
            <w:pPr>
              <w:pStyle w:val="35"/>
              <w:spacing w:line="240" w:lineRule="auto"/>
              <w:rPr>
                <w:color w:val="auto"/>
                <w:highlight w:val="none"/>
              </w:rPr>
            </w:pPr>
          </w:p>
        </w:tc>
        <w:tc>
          <w:tcPr>
            <w:tcW w:w="512" w:type="pct"/>
            <w:vAlign w:val="center"/>
          </w:tcPr>
          <w:p>
            <w:pPr>
              <w:pStyle w:val="35"/>
              <w:spacing w:line="240" w:lineRule="auto"/>
              <w:rPr>
                <w:color w:val="auto"/>
                <w:highlight w:val="none"/>
              </w:rPr>
            </w:pPr>
          </w:p>
        </w:tc>
      </w:tr>
      <w:bookmarkEnd w:id="42"/>
      <w:bookmarkEnd w:id="43"/>
      <w:bookmarkEnd w:id="44"/>
      <w:bookmarkEnd w:id="45"/>
    </w:tbl>
    <w:p>
      <w:pPr>
        <w:pStyle w:val="32"/>
        <w:numPr>
          <w:ilvl w:val="0"/>
          <w:numId w:val="4"/>
        </w:numPr>
        <w:tabs>
          <w:tab w:val="left" w:pos="720"/>
        </w:tabs>
        <w:ind w:firstLine="0"/>
        <w:outlineLvl w:val="0"/>
        <w:rPr>
          <w:color w:val="auto"/>
          <w:highlight w:val="none"/>
        </w:rPr>
      </w:pPr>
      <w:bookmarkStart w:id="46" w:name="_Toc89846178"/>
      <w:r>
        <w:rPr>
          <w:rFonts w:hint="eastAsia"/>
          <w:color w:val="auto"/>
          <w:highlight w:val="none"/>
        </w:rPr>
        <w:t>技术</w:t>
      </w:r>
      <w:r>
        <w:rPr>
          <w:color w:val="auto"/>
          <w:highlight w:val="none"/>
        </w:rPr>
        <w:t>服务</w:t>
      </w:r>
      <w:bookmarkEnd w:id="46"/>
    </w:p>
    <w:p>
      <w:pPr>
        <w:pStyle w:val="29"/>
        <w:shd w:val="clear" w:color="auto" w:fill="FFFFFF"/>
        <w:snapToGrid w:val="0"/>
        <w:rPr>
          <w:color w:val="auto"/>
          <w:highlight w:val="none"/>
        </w:rPr>
      </w:pPr>
      <w:r>
        <w:rPr>
          <w:rFonts w:hint="eastAsia" w:hAnsi="宋体"/>
          <w:color w:val="auto"/>
          <w:highlight w:val="none"/>
        </w:rPr>
        <w:t>投标方充分考虑招标方对项目总体进度的要求，列表明确不同阶段（包括安装施工指导阶段、系统调试和试运行阶段、性能试验验收阶段和培训阶段）所派出技术服务人员的费用包含在投标报价中。</w:t>
      </w:r>
    </w:p>
    <w:p>
      <w:pPr>
        <w:spacing w:line="360" w:lineRule="auto"/>
        <w:jc w:val="left"/>
        <w:outlineLvl w:val="1"/>
        <w:rPr>
          <w:rFonts w:ascii="宋体" w:hAnsi="宋体"/>
          <w:b/>
          <w:color w:val="auto"/>
          <w:sz w:val="24"/>
          <w:highlight w:val="none"/>
        </w:rPr>
      </w:pPr>
      <w:bookmarkStart w:id="47" w:name="_Toc89846179"/>
      <w:r>
        <w:rPr>
          <w:rFonts w:hint="eastAsia" w:ascii="宋体" w:hAnsi="宋体"/>
          <w:b/>
          <w:color w:val="auto"/>
          <w:sz w:val="24"/>
          <w:highlight w:val="none"/>
        </w:rPr>
        <w:t>7.1 一般</w:t>
      </w:r>
      <w:r>
        <w:rPr>
          <w:rFonts w:ascii="宋体" w:hAnsi="宋体"/>
          <w:b/>
          <w:color w:val="auto"/>
          <w:sz w:val="24"/>
          <w:highlight w:val="none"/>
        </w:rPr>
        <w:t>要求</w:t>
      </w:r>
      <w:bookmarkEnd w:id="47"/>
    </w:p>
    <w:p>
      <w:pPr>
        <w:pStyle w:val="29"/>
        <w:numPr>
          <w:ilvl w:val="0"/>
          <w:numId w:val="7"/>
        </w:numPr>
        <w:shd w:val="clear" w:color="auto" w:fill="FFFFFF"/>
        <w:snapToGrid w:val="0"/>
        <w:ind w:firstLine="480"/>
        <w:rPr>
          <w:color w:val="auto"/>
          <w:highlight w:val="none"/>
        </w:rPr>
      </w:pPr>
      <w:r>
        <w:rPr>
          <w:rFonts w:hint="eastAsia" w:hAnsi="宋体"/>
          <w:color w:val="auto"/>
          <w:highlight w:val="none"/>
        </w:rPr>
        <w:t>投标方提交的图纸文件应使用国家法定单位制，并清楚，完整。</w:t>
      </w:r>
    </w:p>
    <w:p>
      <w:pPr>
        <w:pStyle w:val="29"/>
        <w:numPr>
          <w:ilvl w:val="0"/>
          <w:numId w:val="7"/>
        </w:numPr>
        <w:shd w:val="clear" w:color="auto" w:fill="FFFFFF"/>
        <w:snapToGrid w:val="0"/>
        <w:ind w:firstLine="480"/>
        <w:rPr>
          <w:color w:val="auto"/>
          <w:highlight w:val="none"/>
        </w:rPr>
      </w:pPr>
      <w:r>
        <w:rPr>
          <w:rFonts w:hint="eastAsia" w:hAnsi="宋体"/>
          <w:color w:val="auto"/>
          <w:highlight w:val="none"/>
        </w:rPr>
        <w:t>投标方向招标方提供对采购设备所做出的质量保证计划文件。</w:t>
      </w:r>
    </w:p>
    <w:p>
      <w:pPr>
        <w:pStyle w:val="29"/>
        <w:numPr>
          <w:ilvl w:val="0"/>
          <w:numId w:val="7"/>
        </w:numPr>
        <w:shd w:val="clear" w:color="auto" w:fill="FFFFFF"/>
        <w:snapToGrid w:val="0"/>
        <w:ind w:firstLine="480"/>
        <w:rPr>
          <w:color w:val="auto"/>
          <w:highlight w:val="none"/>
        </w:rPr>
      </w:pPr>
      <w:r>
        <w:rPr>
          <w:rFonts w:hint="eastAsia" w:hAnsi="宋体"/>
          <w:color w:val="auto"/>
          <w:highlight w:val="none"/>
        </w:rPr>
        <w:t>对于其它未列入合同的技术资料清单，却是工程必须的文件资料，投标方也应及时免费提供。</w:t>
      </w:r>
    </w:p>
    <w:p>
      <w:pPr>
        <w:pStyle w:val="29"/>
        <w:numPr>
          <w:ilvl w:val="0"/>
          <w:numId w:val="7"/>
        </w:numPr>
        <w:shd w:val="clear" w:color="auto" w:fill="FFFFFF"/>
        <w:snapToGrid w:val="0"/>
        <w:ind w:firstLine="480"/>
        <w:rPr>
          <w:color w:val="auto"/>
          <w:highlight w:val="none"/>
        </w:rPr>
      </w:pPr>
      <w:r>
        <w:rPr>
          <w:rFonts w:hint="eastAsia" w:hAnsi="宋体"/>
          <w:color w:val="auto"/>
          <w:highlight w:val="none"/>
        </w:rPr>
        <w:t>投标阶段文件的数量按照招标规定。</w:t>
      </w:r>
    </w:p>
    <w:p>
      <w:pPr>
        <w:pStyle w:val="29"/>
        <w:numPr>
          <w:ilvl w:val="0"/>
          <w:numId w:val="7"/>
        </w:numPr>
        <w:shd w:val="clear" w:color="auto" w:fill="FFFFFF"/>
        <w:snapToGrid w:val="0"/>
        <w:ind w:firstLine="480"/>
        <w:rPr>
          <w:color w:val="auto"/>
          <w:highlight w:val="none"/>
        </w:rPr>
      </w:pPr>
      <w:r>
        <w:rPr>
          <w:rFonts w:hint="eastAsia" w:hAnsi="宋体"/>
          <w:color w:val="auto"/>
          <w:highlight w:val="none"/>
        </w:rPr>
        <w:t>中标方应负责提供8份完整的文件和资料（含可编辑的CAD版1份）。</w:t>
      </w:r>
    </w:p>
    <w:p>
      <w:pPr>
        <w:spacing w:line="360" w:lineRule="auto"/>
        <w:jc w:val="left"/>
        <w:outlineLvl w:val="1"/>
        <w:rPr>
          <w:rFonts w:ascii="宋体" w:hAnsi="宋体"/>
          <w:b/>
          <w:color w:val="auto"/>
          <w:sz w:val="24"/>
          <w:highlight w:val="none"/>
        </w:rPr>
      </w:pPr>
      <w:bookmarkStart w:id="48" w:name="_Toc89846180"/>
      <w:r>
        <w:rPr>
          <w:rFonts w:hint="eastAsia" w:ascii="宋体" w:hAnsi="宋体"/>
          <w:b/>
          <w:color w:val="auto"/>
          <w:sz w:val="24"/>
          <w:highlight w:val="none"/>
        </w:rPr>
        <w:t>7.2 文件</w:t>
      </w:r>
      <w:r>
        <w:rPr>
          <w:rFonts w:ascii="宋体" w:hAnsi="宋体"/>
          <w:b/>
          <w:color w:val="auto"/>
          <w:sz w:val="24"/>
          <w:highlight w:val="none"/>
        </w:rPr>
        <w:t>提交的具体要求</w:t>
      </w:r>
      <w:bookmarkEnd w:id="48"/>
    </w:p>
    <w:p>
      <w:pPr>
        <w:pStyle w:val="29"/>
        <w:shd w:val="clear" w:color="auto" w:fill="FFFFFF"/>
        <w:snapToGrid w:val="0"/>
        <w:rPr>
          <w:color w:val="auto"/>
          <w:highlight w:val="none"/>
        </w:rPr>
      </w:pPr>
      <w:r>
        <w:rPr>
          <w:rFonts w:hint="eastAsia" w:hAnsi="宋体"/>
          <w:color w:val="auto"/>
          <w:highlight w:val="none"/>
        </w:rPr>
        <w:t>收到中标通知后5个工作日内，投标方提供设计用图纸（签字盖章版）7套和可编辑CAD版1套。</w:t>
      </w:r>
    </w:p>
    <w:p>
      <w:pPr>
        <w:pStyle w:val="29"/>
        <w:shd w:val="clear" w:color="auto" w:fill="FFFFFF"/>
        <w:snapToGrid w:val="0"/>
        <w:rPr>
          <w:color w:val="auto"/>
          <w:highlight w:val="none"/>
        </w:rPr>
      </w:pPr>
      <w:r>
        <w:rPr>
          <w:rFonts w:hint="eastAsia" w:hAnsi="宋体"/>
          <w:color w:val="auto"/>
          <w:highlight w:val="none"/>
        </w:rPr>
        <w:t>随机图纸和文件：随着设备发货，投标方向招标方各提供7套图纸和技术文件，并提供电子版1套。</w:t>
      </w:r>
    </w:p>
    <w:p>
      <w:pPr>
        <w:pStyle w:val="29"/>
        <w:shd w:val="clear" w:color="auto" w:fill="FFFFFF"/>
        <w:snapToGrid w:val="0"/>
        <w:rPr>
          <w:rFonts w:hAnsi="宋体"/>
          <w:color w:val="auto"/>
          <w:highlight w:val="none"/>
        </w:rPr>
      </w:pPr>
      <w:r>
        <w:rPr>
          <w:rFonts w:hint="eastAsia" w:hAnsi="宋体"/>
          <w:color w:val="auto"/>
          <w:highlight w:val="none"/>
        </w:rPr>
        <w:t>其它没有列入本技术协议的技术资料，却是工程所必须的文件和资料，一经招标方要求，投标方也及时免费提供。</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
        <w:gridCol w:w="3635"/>
        <w:gridCol w:w="3027"/>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tcBorders>
              <w:top w:val="single" w:color="auto" w:sz="4" w:space="0"/>
              <w:left w:val="single" w:color="auto" w:sz="4" w:space="0"/>
              <w:bottom w:val="single" w:color="auto" w:sz="4" w:space="0"/>
              <w:right w:val="single" w:color="auto" w:sz="4" w:space="0"/>
            </w:tcBorders>
            <w:vAlign w:val="center"/>
          </w:tcPr>
          <w:p>
            <w:pPr>
              <w:spacing w:line="500" w:lineRule="exact"/>
              <w:rPr>
                <w:rFonts w:ascii="宋体" w:hAnsi="宋体"/>
                <w:b/>
                <w:color w:val="auto"/>
                <w:highlight w:val="none"/>
              </w:rPr>
            </w:pPr>
            <w:r>
              <w:rPr>
                <w:rFonts w:hint="eastAsia" w:ascii="宋体" w:hAnsi="宋体"/>
                <w:b/>
                <w:color w:val="auto"/>
                <w:highlight w:val="none"/>
              </w:rPr>
              <w:t>序号</w:t>
            </w:r>
          </w:p>
        </w:tc>
        <w:tc>
          <w:tcPr>
            <w:tcW w:w="1957" w:type="pc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宋体" w:hAnsi="宋体"/>
                <w:b/>
                <w:color w:val="auto"/>
                <w:highlight w:val="none"/>
              </w:rPr>
            </w:pPr>
            <w:r>
              <w:rPr>
                <w:rFonts w:hint="eastAsia" w:ascii="宋体" w:hAnsi="宋体"/>
                <w:b/>
                <w:color w:val="auto"/>
                <w:highlight w:val="none"/>
              </w:rPr>
              <w:t>图纸资料名称</w:t>
            </w:r>
          </w:p>
        </w:tc>
        <w:tc>
          <w:tcPr>
            <w:tcW w:w="1630" w:type="pc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宋体" w:hAnsi="宋体"/>
                <w:b/>
                <w:color w:val="auto"/>
                <w:highlight w:val="none"/>
              </w:rPr>
            </w:pPr>
            <w:r>
              <w:rPr>
                <w:rFonts w:hint="eastAsia" w:ascii="宋体" w:hAnsi="宋体"/>
                <w:b/>
                <w:color w:val="auto"/>
                <w:highlight w:val="none"/>
              </w:rPr>
              <w:t>提供时间</w:t>
            </w:r>
          </w:p>
        </w:tc>
        <w:tc>
          <w:tcPr>
            <w:tcW w:w="913" w:type="pc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宋体" w:hAnsi="宋体"/>
                <w:b/>
                <w:color w:val="auto"/>
                <w:highlight w:val="none"/>
              </w:rPr>
            </w:pPr>
            <w:r>
              <w:rPr>
                <w:rFonts w:hint="eastAsia" w:ascii="宋体" w:hAnsi="宋体"/>
                <w:b/>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tcBorders>
              <w:top w:val="single" w:color="auto" w:sz="4" w:space="0"/>
              <w:left w:val="single" w:color="auto" w:sz="4" w:space="0"/>
              <w:bottom w:val="single" w:color="auto" w:sz="4" w:space="0"/>
              <w:right w:val="single" w:color="auto" w:sz="4" w:space="0"/>
            </w:tcBorders>
          </w:tcPr>
          <w:p>
            <w:pPr>
              <w:numPr>
                <w:ilvl w:val="0"/>
                <w:numId w:val="8"/>
              </w:numPr>
              <w:spacing w:line="500" w:lineRule="exact"/>
              <w:jc w:val="center"/>
              <w:rPr>
                <w:rFonts w:ascii="宋体" w:hAnsi="宋体"/>
                <w:color w:val="auto"/>
                <w:highlight w:val="none"/>
              </w:rPr>
            </w:pPr>
          </w:p>
        </w:tc>
        <w:tc>
          <w:tcPr>
            <w:tcW w:w="1957"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油罐外型安装图</w:t>
            </w:r>
          </w:p>
        </w:tc>
        <w:tc>
          <w:tcPr>
            <w:tcW w:w="1630"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技术协议签订后7天内</w:t>
            </w:r>
          </w:p>
        </w:tc>
        <w:tc>
          <w:tcPr>
            <w:tcW w:w="913"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500" w:type="pct"/>
            <w:tcBorders>
              <w:top w:val="single" w:color="auto" w:sz="4" w:space="0"/>
              <w:left w:val="single" w:color="auto" w:sz="4" w:space="0"/>
              <w:bottom w:val="single" w:color="auto" w:sz="4" w:space="0"/>
              <w:right w:val="single" w:color="auto" w:sz="4" w:space="0"/>
            </w:tcBorders>
          </w:tcPr>
          <w:p>
            <w:pPr>
              <w:numPr>
                <w:ilvl w:val="0"/>
                <w:numId w:val="8"/>
              </w:numPr>
              <w:spacing w:line="500" w:lineRule="exact"/>
              <w:jc w:val="center"/>
              <w:rPr>
                <w:rFonts w:ascii="宋体" w:hAnsi="宋体"/>
                <w:color w:val="auto"/>
                <w:highlight w:val="none"/>
              </w:rPr>
            </w:pPr>
          </w:p>
        </w:tc>
        <w:tc>
          <w:tcPr>
            <w:tcW w:w="1957"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载荷图</w:t>
            </w:r>
          </w:p>
        </w:tc>
        <w:tc>
          <w:tcPr>
            <w:tcW w:w="1630"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技术协议签订后7天内</w:t>
            </w:r>
          </w:p>
        </w:tc>
        <w:tc>
          <w:tcPr>
            <w:tcW w:w="913"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tcBorders>
              <w:top w:val="single" w:color="auto" w:sz="4" w:space="0"/>
              <w:left w:val="single" w:color="auto" w:sz="4" w:space="0"/>
              <w:bottom w:val="single" w:color="auto" w:sz="4" w:space="0"/>
              <w:right w:val="single" w:color="auto" w:sz="4" w:space="0"/>
            </w:tcBorders>
          </w:tcPr>
          <w:p>
            <w:pPr>
              <w:numPr>
                <w:ilvl w:val="0"/>
                <w:numId w:val="8"/>
              </w:numPr>
              <w:spacing w:line="500" w:lineRule="exact"/>
              <w:jc w:val="center"/>
              <w:rPr>
                <w:rFonts w:ascii="宋体" w:hAnsi="宋体"/>
                <w:color w:val="auto"/>
                <w:highlight w:val="none"/>
              </w:rPr>
            </w:pPr>
          </w:p>
        </w:tc>
        <w:tc>
          <w:tcPr>
            <w:tcW w:w="1957"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接口尺寸等参数要求</w:t>
            </w:r>
          </w:p>
        </w:tc>
        <w:tc>
          <w:tcPr>
            <w:tcW w:w="1630"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技术协议签订后7天内</w:t>
            </w:r>
          </w:p>
        </w:tc>
        <w:tc>
          <w:tcPr>
            <w:tcW w:w="913"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tcBorders>
              <w:top w:val="single" w:color="auto" w:sz="4" w:space="0"/>
              <w:left w:val="single" w:color="auto" w:sz="4" w:space="0"/>
              <w:bottom w:val="single" w:color="auto" w:sz="4" w:space="0"/>
              <w:right w:val="single" w:color="auto" w:sz="4" w:space="0"/>
            </w:tcBorders>
          </w:tcPr>
          <w:p>
            <w:pPr>
              <w:numPr>
                <w:ilvl w:val="0"/>
                <w:numId w:val="8"/>
              </w:numPr>
              <w:spacing w:line="500" w:lineRule="exact"/>
              <w:jc w:val="center"/>
              <w:rPr>
                <w:rFonts w:ascii="宋体" w:hAnsi="宋体"/>
                <w:color w:val="auto"/>
                <w:highlight w:val="none"/>
              </w:rPr>
            </w:pPr>
          </w:p>
        </w:tc>
        <w:tc>
          <w:tcPr>
            <w:tcW w:w="1957"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设备安装总图</w:t>
            </w:r>
          </w:p>
        </w:tc>
        <w:tc>
          <w:tcPr>
            <w:tcW w:w="1630"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随机</w:t>
            </w:r>
          </w:p>
        </w:tc>
        <w:tc>
          <w:tcPr>
            <w:tcW w:w="913"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tcBorders>
              <w:top w:val="single" w:color="auto" w:sz="4" w:space="0"/>
              <w:left w:val="single" w:color="auto" w:sz="4" w:space="0"/>
              <w:bottom w:val="single" w:color="auto" w:sz="4" w:space="0"/>
              <w:right w:val="single" w:color="auto" w:sz="4" w:space="0"/>
            </w:tcBorders>
          </w:tcPr>
          <w:p>
            <w:pPr>
              <w:numPr>
                <w:ilvl w:val="0"/>
                <w:numId w:val="8"/>
              </w:numPr>
              <w:spacing w:line="500" w:lineRule="exact"/>
              <w:jc w:val="center"/>
              <w:rPr>
                <w:rFonts w:ascii="宋体" w:hAnsi="宋体"/>
                <w:color w:val="auto"/>
                <w:highlight w:val="none"/>
              </w:rPr>
            </w:pPr>
          </w:p>
        </w:tc>
        <w:tc>
          <w:tcPr>
            <w:tcW w:w="1957"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装配图及零件清单</w:t>
            </w:r>
          </w:p>
        </w:tc>
        <w:tc>
          <w:tcPr>
            <w:tcW w:w="1630"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随机</w:t>
            </w:r>
          </w:p>
        </w:tc>
        <w:tc>
          <w:tcPr>
            <w:tcW w:w="913"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tcBorders>
              <w:top w:val="single" w:color="auto" w:sz="4" w:space="0"/>
              <w:left w:val="single" w:color="auto" w:sz="4" w:space="0"/>
              <w:bottom w:val="single" w:color="auto" w:sz="4" w:space="0"/>
              <w:right w:val="single" w:color="auto" w:sz="4" w:space="0"/>
            </w:tcBorders>
          </w:tcPr>
          <w:p>
            <w:pPr>
              <w:numPr>
                <w:ilvl w:val="0"/>
                <w:numId w:val="8"/>
              </w:numPr>
              <w:spacing w:line="500" w:lineRule="exact"/>
              <w:jc w:val="center"/>
              <w:rPr>
                <w:rFonts w:ascii="宋体" w:hAnsi="宋体"/>
                <w:color w:val="auto"/>
                <w:highlight w:val="none"/>
              </w:rPr>
            </w:pPr>
          </w:p>
        </w:tc>
        <w:tc>
          <w:tcPr>
            <w:tcW w:w="1957"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箱件清单和详细的装箱清单</w:t>
            </w:r>
          </w:p>
        </w:tc>
        <w:tc>
          <w:tcPr>
            <w:tcW w:w="1630"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随机</w:t>
            </w:r>
          </w:p>
        </w:tc>
        <w:tc>
          <w:tcPr>
            <w:tcW w:w="913"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tcBorders>
              <w:top w:val="single" w:color="auto" w:sz="4" w:space="0"/>
              <w:left w:val="single" w:color="auto" w:sz="4" w:space="0"/>
              <w:bottom w:val="single" w:color="auto" w:sz="4" w:space="0"/>
              <w:right w:val="single" w:color="auto" w:sz="4" w:space="0"/>
            </w:tcBorders>
          </w:tcPr>
          <w:p>
            <w:pPr>
              <w:numPr>
                <w:ilvl w:val="0"/>
                <w:numId w:val="8"/>
              </w:numPr>
              <w:spacing w:line="500" w:lineRule="exact"/>
              <w:jc w:val="center"/>
              <w:rPr>
                <w:rFonts w:ascii="宋体" w:hAnsi="宋体"/>
                <w:color w:val="auto"/>
                <w:highlight w:val="none"/>
              </w:rPr>
            </w:pPr>
          </w:p>
        </w:tc>
        <w:tc>
          <w:tcPr>
            <w:tcW w:w="1957"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产品合格证书</w:t>
            </w:r>
          </w:p>
        </w:tc>
        <w:tc>
          <w:tcPr>
            <w:tcW w:w="1630"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随机</w:t>
            </w:r>
          </w:p>
        </w:tc>
        <w:tc>
          <w:tcPr>
            <w:tcW w:w="913"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tcBorders>
              <w:top w:val="single" w:color="auto" w:sz="4" w:space="0"/>
              <w:left w:val="single" w:color="auto" w:sz="4" w:space="0"/>
              <w:bottom w:val="single" w:color="auto" w:sz="4" w:space="0"/>
              <w:right w:val="single" w:color="auto" w:sz="4" w:space="0"/>
            </w:tcBorders>
          </w:tcPr>
          <w:p>
            <w:pPr>
              <w:numPr>
                <w:ilvl w:val="0"/>
                <w:numId w:val="8"/>
              </w:numPr>
              <w:spacing w:line="500" w:lineRule="exact"/>
              <w:jc w:val="center"/>
              <w:rPr>
                <w:rFonts w:ascii="宋体" w:hAnsi="宋体"/>
                <w:color w:val="auto"/>
                <w:highlight w:val="none"/>
              </w:rPr>
            </w:pPr>
          </w:p>
        </w:tc>
        <w:tc>
          <w:tcPr>
            <w:tcW w:w="1957"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安装和运行维护说明书</w:t>
            </w:r>
          </w:p>
        </w:tc>
        <w:tc>
          <w:tcPr>
            <w:tcW w:w="1630"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随机</w:t>
            </w:r>
          </w:p>
        </w:tc>
        <w:tc>
          <w:tcPr>
            <w:tcW w:w="913"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tcBorders>
              <w:top w:val="single" w:color="auto" w:sz="4" w:space="0"/>
              <w:left w:val="single" w:color="auto" w:sz="4" w:space="0"/>
              <w:bottom w:val="single" w:color="auto" w:sz="4" w:space="0"/>
              <w:right w:val="single" w:color="auto" w:sz="4" w:space="0"/>
            </w:tcBorders>
          </w:tcPr>
          <w:p>
            <w:pPr>
              <w:numPr>
                <w:ilvl w:val="0"/>
                <w:numId w:val="8"/>
              </w:numPr>
              <w:spacing w:line="500" w:lineRule="exact"/>
              <w:jc w:val="center"/>
              <w:rPr>
                <w:rFonts w:ascii="宋体" w:hAnsi="宋体"/>
                <w:color w:val="auto"/>
                <w:highlight w:val="none"/>
              </w:rPr>
            </w:pPr>
          </w:p>
        </w:tc>
        <w:tc>
          <w:tcPr>
            <w:tcW w:w="1957"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随机备品备件清单</w:t>
            </w:r>
          </w:p>
        </w:tc>
        <w:tc>
          <w:tcPr>
            <w:tcW w:w="1630"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随机</w:t>
            </w:r>
          </w:p>
        </w:tc>
        <w:tc>
          <w:tcPr>
            <w:tcW w:w="913"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tcBorders>
              <w:top w:val="single" w:color="auto" w:sz="4" w:space="0"/>
              <w:left w:val="single" w:color="auto" w:sz="4" w:space="0"/>
              <w:bottom w:val="single" w:color="auto" w:sz="4" w:space="0"/>
              <w:right w:val="single" w:color="auto" w:sz="4" w:space="0"/>
            </w:tcBorders>
          </w:tcPr>
          <w:p>
            <w:pPr>
              <w:numPr>
                <w:ilvl w:val="0"/>
                <w:numId w:val="8"/>
              </w:numPr>
              <w:spacing w:line="500" w:lineRule="exact"/>
              <w:jc w:val="center"/>
              <w:rPr>
                <w:rFonts w:ascii="宋体" w:hAnsi="宋体"/>
                <w:color w:val="auto"/>
                <w:highlight w:val="none"/>
              </w:rPr>
            </w:pPr>
          </w:p>
        </w:tc>
        <w:tc>
          <w:tcPr>
            <w:tcW w:w="1957"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易损件清单</w:t>
            </w:r>
          </w:p>
        </w:tc>
        <w:tc>
          <w:tcPr>
            <w:tcW w:w="1630"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随机</w:t>
            </w:r>
          </w:p>
        </w:tc>
        <w:tc>
          <w:tcPr>
            <w:tcW w:w="913"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tcBorders>
              <w:top w:val="single" w:color="auto" w:sz="4" w:space="0"/>
              <w:left w:val="single" w:color="auto" w:sz="4" w:space="0"/>
              <w:bottom w:val="single" w:color="auto" w:sz="4" w:space="0"/>
              <w:right w:val="single" w:color="auto" w:sz="4" w:space="0"/>
            </w:tcBorders>
          </w:tcPr>
          <w:p>
            <w:pPr>
              <w:numPr>
                <w:ilvl w:val="0"/>
                <w:numId w:val="8"/>
              </w:numPr>
              <w:spacing w:line="500" w:lineRule="exact"/>
              <w:jc w:val="center"/>
              <w:rPr>
                <w:rFonts w:ascii="宋体" w:hAnsi="宋体"/>
                <w:color w:val="auto"/>
                <w:highlight w:val="none"/>
              </w:rPr>
            </w:pPr>
          </w:p>
        </w:tc>
        <w:tc>
          <w:tcPr>
            <w:tcW w:w="1957"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试验报告</w:t>
            </w:r>
          </w:p>
        </w:tc>
        <w:tc>
          <w:tcPr>
            <w:tcW w:w="1630"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随机</w:t>
            </w:r>
          </w:p>
        </w:tc>
        <w:tc>
          <w:tcPr>
            <w:tcW w:w="913"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tcBorders>
              <w:top w:val="single" w:color="auto" w:sz="4" w:space="0"/>
              <w:left w:val="single" w:color="auto" w:sz="4" w:space="0"/>
              <w:bottom w:val="single" w:color="auto" w:sz="4" w:space="0"/>
              <w:right w:val="single" w:color="auto" w:sz="4" w:space="0"/>
            </w:tcBorders>
          </w:tcPr>
          <w:p>
            <w:pPr>
              <w:numPr>
                <w:ilvl w:val="0"/>
                <w:numId w:val="8"/>
              </w:numPr>
              <w:spacing w:line="500" w:lineRule="exact"/>
              <w:jc w:val="center"/>
              <w:rPr>
                <w:rFonts w:ascii="宋体" w:hAnsi="宋体"/>
                <w:color w:val="auto"/>
                <w:highlight w:val="none"/>
              </w:rPr>
            </w:pPr>
          </w:p>
        </w:tc>
        <w:tc>
          <w:tcPr>
            <w:tcW w:w="1957"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r>
              <w:rPr>
                <w:rFonts w:hint="eastAsia" w:ascii="宋体" w:hAnsi="宋体"/>
                <w:color w:val="auto"/>
                <w:highlight w:val="none"/>
              </w:rPr>
              <w:t>其余必要资料</w:t>
            </w:r>
          </w:p>
        </w:tc>
        <w:tc>
          <w:tcPr>
            <w:tcW w:w="1630"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p>
        </w:tc>
        <w:tc>
          <w:tcPr>
            <w:tcW w:w="913" w:type="pct"/>
            <w:tcBorders>
              <w:top w:val="single" w:color="auto" w:sz="4" w:space="0"/>
              <w:left w:val="single" w:color="auto" w:sz="4" w:space="0"/>
              <w:bottom w:val="single" w:color="auto" w:sz="4" w:space="0"/>
              <w:right w:val="single" w:color="auto" w:sz="4" w:space="0"/>
            </w:tcBorders>
          </w:tcPr>
          <w:p>
            <w:pPr>
              <w:spacing w:line="500" w:lineRule="exact"/>
              <w:rPr>
                <w:rFonts w:ascii="宋体" w:hAnsi="宋体"/>
                <w:color w:val="auto"/>
                <w:highlight w:val="none"/>
              </w:rPr>
            </w:pPr>
          </w:p>
        </w:tc>
      </w:tr>
    </w:tbl>
    <w:p>
      <w:pPr>
        <w:spacing w:line="360" w:lineRule="auto"/>
        <w:jc w:val="left"/>
        <w:outlineLvl w:val="1"/>
        <w:rPr>
          <w:rFonts w:ascii="宋体" w:hAnsi="宋体"/>
          <w:b/>
          <w:color w:val="auto"/>
          <w:sz w:val="24"/>
          <w:highlight w:val="none"/>
        </w:rPr>
      </w:pPr>
      <w:bookmarkStart w:id="49" w:name="_Toc89846181"/>
      <w:r>
        <w:rPr>
          <w:rFonts w:hint="eastAsia" w:ascii="宋体" w:hAnsi="宋体"/>
          <w:b/>
          <w:color w:val="auto"/>
          <w:sz w:val="24"/>
          <w:highlight w:val="none"/>
        </w:rPr>
        <w:t>7.3 资料</w:t>
      </w:r>
      <w:r>
        <w:rPr>
          <w:rFonts w:ascii="宋体" w:hAnsi="宋体"/>
          <w:b/>
          <w:color w:val="auto"/>
          <w:sz w:val="24"/>
          <w:highlight w:val="none"/>
        </w:rPr>
        <w:t>提交的具体要求</w:t>
      </w:r>
      <w:bookmarkEnd w:id="49"/>
    </w:p>
    <w:p>
      <w:pPr>
        <w:pStyle w:val="29"/>
        <w:shd w:val="clear" w:color="auto" w:fill="FFFFFF"/>
        <w:snapToGrid w:val="0"/>
        <w:rPr>
          <w:color w:val="auto"/>
          <w:highlight w:val="none"/>
        </w:rPr>
      </w:pPr>
      <w:r>
        <w:rPr>
          <w:rFonts w:hint="eastAsia" w:hAnsi="宋体"/>
          <w:color w:val="auto"/>
          <w:highlight w:val="none"/>
        </w:rPr>
        <w:t>中标方必须提供下述的安装施工、调试、试运、机组性能试验和运行维护所需的技术资料（具体清单由中标方开列，招标方根据需要提出补充要求并最终确认）。</w:t>
      </w:r>
    </w:p>
    <w:p>
      <w:pPr>
        <w:pStyle w:val="29"/>
        <w:numPr>
          <w:ilvl w:val="0"/>
          <w:numId w:val="9"/>
        </w:numPr>
        <w:shd w:val="clear" w:color="auto" w:fill="FFFFFF"/>
        <w:snapToGrid w:val="0"/>
        <w:ind w:firstLine="480"/>
        <w:rPr>
          <w:color w:val="auto"/>
          <w:highlight w:val="none"/>
        </w:rPr>
      </w:pPr>
      <w:r>
        <w:rPr>
          <w:rFonts w:hint="eastAsia" w:hAnsi="宋体"/>
          <w:color w:val="auto"/>
          <w:highlight w:val="none"/>
        </w:rPr>
        <w:t>设备的安装、运行、维护、检修说明书，包括设备的结构特点、安装程序和工艺要求，运行操作规定和控制数据、定期校验和维护说明。</w:t>
      </w:r>
    </w:p>
    <w:p>
      <w:pPr>
        <w:pStyle w:val="29"/>
        <w:numPr>
          <w:ilvl w:val="0"/>
          <w:numId w:val="9"/>
        </w:numPr>
        <w:shd w:val="clear" w:color="auto" w:fill="FFFFFF"/>
        <w:snapToGrid w:val="0"/>
        <w:ind w:firstLine="480"/>
        <w:rPr>
          <w:color w:val="auto"/>
          <w:highlight w:val="none"/>
        </w:rPr>
      </w:pPr>
      <w:bookmarkStart w:id="50" w:name="_Toc236473850"/>
      <w:bookmarkStart w:id="51" w:name="_Toc226359951"/>
      <w:r>
        <w:rPr>
          <w:rFonts w:hint="eastAsia" w:hAnsi="宋体"/>
          <w:color w:val="auto"/>
          <w:highlight w:val="none"/>
        </w:rPr>
        <w:t>投标方提供备品、配件总清单和易损零件图。</w:t>
      </w:r>
    </w:p>
    <w:p>
      <w:pPr>
        <w:pStyle w:val="29"/>
        <w:numPr>
          <w:ilvl w:val="0"/>
          <w:numId w:val="9"/>
        </w:numPr>
        <w:shd w:val="clear" w:color="auto" w:fill="FFFFFF"/>
        <w:snapToGrid w:val="0"/>
        <w:ind w:firstLine="480"/>
        <w:rPr>
          <w:color w:val="auto"/>
          <w:highlight w:val="none"/>
        </w:rPr>
      </w:pPr>
      <w:r>
        <w:rPr>
          <w:rFonts w:hint="eastAsia" w:hAnsi="宋体"/>
          <w:color w:val="auto"/>
          <w:highlight w:val="none"/>
        </w:rPr>
        <w:t>检验记录，试验报告及质量合格证等出厂报告。</w:t>
      </w:r>
    </w:p>
    <w:p>
      <w:pPr>
        <w:pStyle w:val="32"/>
        <w:numPr>
          <w:ilvl w:val="0"/>
          <w:numId w:val="4"/>
        </w:numPr>
        <w:tabs>
          <w:tab w:val="left" w:pos="720"/>
        </w:tabs>
        <w:ind w:firstLine="0"/>
        <w:outlineLvl w:val="0"/>
        <w:rPr>
          <w:color w:val="auto"/>
          <w:highlight w:val="none"/>
        </w:rPr>
      </w:pPr>
      <w:bookmarkStart w:id="52" w:name="_Toc89846182"/>
      <w:r>
        <w:rPr>
          <w:rFonts w:hint="eastAsia"/>
          <w:color w:val="auto"/>
          <w:highlight w:val="none"/>
        </w:rPr>
        <w:t>监造</w:t>
      </w:r>
      <w:r>
        <w:rPr>
          <w:color w:val="auto"/>
          <w:highlight w:val="none"/>
        </w:rPr>
        <w:t>和检验</w:t>
      </w:r>
      <w:bookmarkEnd w:id="52"/>
    </w:p>
    <w:p>
      <w:pPr>
        <w:spacing w:line="360" w:lineRule="auto"/>
        <w:jc w:val="left"/>
        <w:outlineLvl w:val="1"/>
        <w:rPr>
          <w:rFonts w:ascii="宋体" w:hAnsi="宋体"/>
          <w:b/>
          <w:color w:val="auto"/>
          <w:sz w:val="24"/>
          <w:highlight w:val="none"/>
        </w:rPr>
      </w:pPr>
      <w:bookmarkStart w:id="53" w:name="_Toc89846183"/>
      <w:r>
        <w:rPr>
          <w:rFonts w:hint="eastAsia" w:ascii="宋体" w:hAnsi="宋体"/>
          <w:b/>
          <w:color w:val="auto"/>
          <w:sz w:val="24"/>
          <w:highlight w:val="none"/>
        </w:rPr>
        <w:t>8.1 设备</w:t>
      </w:r>
      <w:r>
        <w:rPr>
          <w:rFonts w:ascii="宋体" w:hAnsi="宋体"/>
          <w:b/>
          <w:color w:val="auto"/>
          <w:sz w:val="24"/>
          <w:highlight w:val="none"/>
        </w:rPr>
        <w:t>监造</w:t>
      </w:r>
      <w:bookmarkEnd w:id="53"/>
    </w:p>
    <w:bookmarkEnd w:id="50"/>
    <w:bookmarkEnd w:id="51"/>
    <w:p>
      <w:pPr>
        <w:pStyle w:val="29"/>
        <w:shd w:val="clear" w:color="auto" w:fill="FFFFFF"/>
        <w:snapToGrid w:val="0"/>
        <w:rPr>
          <w:rFonts w:hAnsi="宋体"/>
          <w:color w:val="auto"/>
          <w:highlight w:val="none"/>
        </w:rPr>
      </w:pPr>
      <w:r>
        <w:rPr>
          <w:rFonts w:hint="eastAsia" w:hAnsi="宋体"/>
          <w:color w:val="auto"/>
          <w:highlight w:val="none"/>
        </w:rPr>
        <w:t>在设备制造过程中，需方有权派出工程技术人员进行监造和检验，合同执行期间对投标方的制造</w:t>
      </w:r>
      <w:r>
        <w:rPr>
          <w:color w:val="auto"/>
          <w:highlight w:val="none"/>
        </w:rPr>
        <w:t>(包括对分包外购设备)进行监造、检查和性能验收试验</w:t>
      </w:r>
      <w:r>
        <w:rPr>
          <w:rFonts w:hint="eastAsia" w:hAnsi="宋体"/>
          <w:color w:val="auto"/>
          <w:highlight w:val="none"/>
        </w:rPr>
        <w:t>。不论监造代表是否参与监造与检验，即使签署了监造检验报告，也不能免除投标方对质量应负的责任。</w:t>
      </w:r>
    </w:p>
    <w:p>
      <w:pPr>
        <w:spacing w:line="360" w:lineRule="auto"/>
        <w:jc w:val="left"/>
        <w:outlineLvl w:val="1"/>
        <w:rPr>
          <w:rFonts w:ascii="宋体" w:hAnsi="宋体"/>
          <w:b/>
          <w:color w:val="auto"/>
          <w:sz w:val="24"/>
          <w:highlight w:val="none"/>
        </w:rPr>
      </w:pPr>
      <w:bookmarkStart w:id="54" w:name="_Toc89846184"/>
      <w:r>
        <w:rPr>
          <w:rFonts w:hint="eastAsia" w:ascii="宋体" w:hAnsi="宋体"/>
          <w:b/>
          <w:color w:val="auto"/>
          <w:sz w:val="24"/>
          <w:highlight w:val="none"/>
        </w:rPr>
        <w:t xml:space="preserve">8.2 </w:t>
      </w:r>
      <w:r>
        <w:rPr>
          <w:rFonts w:ascii="宋体" w:hAnsi="宋体"/>
          <w:b/>
          <w:color w:val="auto"/>
          <w:sz w:val="24"/>
          <w:highlight w:val="none"/>
        </w:rPr>
        <w:t>监造</w:t>
      </w:r>
      <w:r>
        <w:rPr>
          <w:rFonts w:hint="eastAsia" w:ascii="宋体" w:hAnsi="宋体"/>
          <w:b/>
          <w:color w:val="auto"/>
          <w:sz w:val="24"/>
          <w:highlight w:val="none"/>
        </w:rPr>
        <w:t>方式</w:t>
      </w:r>
      <w:bookmarkEnd w:id="54"/>
    </w:p>
    <w:p>
      <w:pPr>
        <w:pStyle w:val="29"/>
        <w:shd w:val="clear" w:color="auto" w:fill="FFFFFF"/>
        <w:snapToGrid w:val="0"/>
        <w:rPr>
          <w:color w:val="auto"/>
          <w:highlight w:val="none"/>
        </w:rPr>
      </w:pPr>
      <w:r>
        <w:rPr>
          <w:rFonts w:hint="eastAsia" w:hAnsi="宋体"/>
          <w:color w:val="auto"/>
          <w:highlight w:val="none"/>
        </w:rPr>
        <w:t>文件见证、现场见证和停工待检，即R点、W点、H点。每次监造内容完成后，投标方和监造代表均须在见证表格上履行签字手续。投标方复印3份，交监造代表1份。</w:t>
      </w:r>
    </w:p>
    <w:p>
      <w:pPr>
        <w:pStyle w:val="29"/>
        <w:shd w:val="clear" w:color="auto" w:fill="FFFFFF"/>
        <w:snapToGrid w:val="0"/>
        <w:rPr>
          <w:color w:val="auto"/>
          <w:highlight w:val="none"/>
        </w:rPr>
      </w:pPr>
      <w:r>
        <w:rPr>
          <w:color w:val="auto"/>
          <w:highlight w:val="none"/>
        </w:rPr>
        <w:t>R点：投标方只需提供检查或试验记录或报告的项目，即文件见证。</w:t>
      </w:r>
    </w:p>
    <w:p>
      <w:pPr>
        <w:pStyle w:val="29"/>
        <w:shd w:val="clear" w:color="auto" w:fill="FFFFFF"/>
        <w:snapToGrid w:val="0"/>
        <w:rPr>
          <w:color w:val="auto"/>
          <w:highlight w:val="none"/>
        </w:rPr>
      </w:pPr>
      <w:r>
        <w:rPr>
          <w:color w:val="auto"/>
          <w:highlight w:val="none"/>
        </w:rPr>
        <w:t>W点：需方监造代表参加的检验或试验的项目，即现场见证。</w:t>
      </w:r>
    </w:p>
    <w:p>
      <w:pPr>
        <w:pStyle w:val="29"/>
        <w:shd w:val="clear" w:color="auto" w:fill="FFFFFF"/>
        <w:snapToGrid w:val="0"/>
        <w:rPr>
          <w:color w:val="auto"/>
          <w:highlight w:val="none"/>
        </w:rPr>
      </w:pPr>
      <w:r>
        <w:rPr>
          <w:color w:val="auto"/>
          <w:highlight w:val="none"/>
        </w:rPr>
        <w:t>H点：投标方在进行至该点时必须停工等待需方监造代表参加的检验或试验的项目，即停工待检。</w:t>
      </w:r>
    </w:p>
    <w:p>
      <w:pPr>
        <w:pStyle w:val="29"/>
        <w:shd w:val="clear" w:color="auto" w:fill="FFFFFF"/>
        <w:snapToGrid w:val="0"/>
        <w:rPr>
          <w:color w:val="auto"/>
          <w:highlight w:val="none"/>
        </w:rPr>
      </w:pPr>
      <w:r>
        <w:rPr>
          <w:rFonts w:hint="eastAsia" w:hAnsi="宋体"/>
          <w:color w:val="auto"/>
          <w:highlight w:val="none"/>
        </w:rPr>
        <w:t>需方接到见证通知后，应及时派代表到投标方检验或试验的现场参加现场见证或停工待检。如果需方代表不能按时参加，W点可自动转为R点，但H点如果没有需方书面通知同意转为R点，投标方不得自行转入下道工序，应与需方商定更改见证时间，如果更改后，需方仍不能按时参加，则H点自动转为R点。</w:t>
      </w:r>
    </w:p>
    <w:p>
      <w:pPr>
        <w:pStyle w:val="29"/>
        <w:numPr>
          <w:ilvl w:val="0"/>
          <w:numId w:val="10"/>
        </w:numPr>
        <w:shd w:val="clear" w:color="auto" w:fill="FFFFFF"/>
        <w:snapToGrid w:val="0"/>
        <w:ind w:firstLine="480"/>
        <w:rPr>
          <w:color w:val="auto"/>
          <w:highlight w:val="none"/>
        </w:rPr>
      </w:pPr>
      <w:r>
        <w:rPr>
          <w:rFonts w:hint="eastAsia" w:hAnsi="宋体"/>
          <w:color w:val="auto"/>
          <w:highlight w:val="none"/>
        </w:rPr>
        <w:t>投标方配合监造的要求</w:t>
      </w:r>
    </w:p>
    <w:p>
      <w:pPr>
        <w:pStyle w:val="29"/>
        <w:shd w:val="clear" w:color="auto" w:fill="FFFFFF"/>
        <w:snapToGrid w:val="0"/>
        <w:rPr>
          <w:color w:val="auto"/>
          <w:highlight w:val="none"/>
        </w:rPr>
      </w:pPr>
      <w:r>
        <w:rPr>
          <w:rFonts w:hint="eastAsia" w:hAnsi="宋体"/>
          <w:color w:val="auto"/>
          <w:highlight w:val="none"/>
        </w:rPr>
        <w:t>投标方有配合需方监造的义务并应及时提供相关资料，不产生任何费用。</w:t>
      </w:r>
    </w:p>
    <w:p>
      <w:pPr>
        <w:pStyle w:val="29"/>
        <w:numPr>
          <w:ilvl w:val="0"/>
          <w:numId w:val="11"/>
        </w:numPr>
        <w:shd w:val="clear" w:color="auto" w:fill="FFFFFF"/>
        <w:snapToGrid w:val="0"/>
        <w:ind w:firstLine="480"/>
        <w:rPr>
          <w:color w:val="auto"/>
          <w:highlight w:val="none"/>
        </w:rPr>
      </w:pPr>
      <w:r>
        <w:rPr>
          <w:rFonts w:hint="eastAsia" w:hAnsi="宋体"/>
          <w:color w:val="auto"/>
          <w:highlight w:val="none"/>
        </w:rPr>
        <w:t>质量控制检验计划（主要及关键部件检验内容和方法）；</w:t>
      </w:r>
    </w:p>
    <w:p>
      <w:pPr>
        <w:pStyle w:val="29"/>
        <w:numPr>
          <w:ilvl w:val="0"/>
          <w:numId w:val="11"/>
        </w:numPr>
        <w:shd w:val="clear" w:color="auto" w:fill="FFFFFF"/>
        <w:snapToGrid w:val="0"/>
        <w:ind w:firstLine="480"/>
        <w:rPr>
          <w:color w:val="auto"/>
          <w:highlight w:val="none"/>
        </w:rPr>
      </w:pPr>
      <w:r>
        <w:rPr>
          <w:rFonts w:hint="eastAsia" w:hAnsi="宋体"/>
          <w:color w:val="auto"/>
          <w:highlight w:val="none"/>
        </w:rPr>
        <w:t>设备排产计划；</w:t>
      </w:r>
    </w:p>
    <w:p>
      <w:pPr>
        <w:pStyle w:val="29"/>
        <w:shd w:val="clear" w:color="auto" w:fill="FFFFFF"/>
        <w:snapToGrid w:val="0"/>
        <w:rPr>
          <w:color w:val="auto"/>
          <w:highlight w:val="none"/>
        </w:rPr>
      </w:pPr>
      <w:r>
        <w:rPr>
          <w:rFonts w:hint="eastAsia" w:hAnsi="宋体"/>
          <w:color w:val="auto"/>
          <w:highlight w:val="none"/>
        </w:rPr>
        <w:t>需方监造代表有权查(借)阅与合同监造设备有关的技术资料，如需方认为需要复印存档，投标方应积极配合。</w:t>
      </w:r>
    </w:p>
    <w:p>
      <w:pPr>
        <w:pStyle w:val="29"/>
        <w:shd w:val="clear" w:color="auto" w:fill="FFFFFF"/>
        <w:snapToGrid w:val="0"/>
        <w:rPr>
          <w:color w:val="auto"/>
          <w:highlight w:val="none"/>
        </w:rPr>
      </w:pPr>
      <w:r>
        <w:rPr>
          <w:rFonts w:hint="eastAsia" w:hAnsi="宋体"/>
          <w:color w:val="auto"/>
          <w:highlight w:val="none"/>
        </w:rPr>
        <w:t>投标方在现场见证或停工待检前</w:t>
      </w:r>
      <w:r>
        <w:rPr>
          <w:color w:val="auto"/>
          <w:highlight w:val="none"/>
        </w:rPr>
        <w:t>14</w:t>
      </w:r>
      <w:r>
        <w:rPr>
          <w:rFonts w:hint="eastAsia" w:hAnsi="宋体"/>
          <w:color w:val="auto"/>
          <w:highlight w:val="none"/>
        </w:rPr>
        <w:t>天将设备监造项目、监造时间通知需方监造代表。</w:t>
      </w:r>
    </w:p>
    <w:p>
      <w:pPr>
        <w:pStyle w:val="29"/>
        <w:shd w:val="clear" w:color="auto" w:fill="FFFFFF"/>
        <w:snapToGrid w:val="0"/>
        <w:rPr>
          <w:color w:val="auto"/>
          <w:highlight w:val="none"/>
        </w:rPr>
      </w:pPr>
      <w:r>
        <w:rPr>
          <w:rFonts w:hint="eastAsia" w:hAnsi="宋体"/>
          <w:color w:val="auto"/>
          <w:highlight w:val="none"/>
        </w:rPr>
        <w:t>在见证后十天内将有关检查或试验记录等资料提供给需方监造代表。</w:t>
      </w:r>
    </w:p>
    <w:p>
      <w:pPr>
        <w:pStyle w:val="29"/>
        <w:shd w:val="clear" w:color="auto" w:fill="FFFFFF"/>
        <w:snapToGrid w:val="0"/>
        <w:rPr>
          <w:color w:val="auto"/>
          <w:highlight w:val="none"/>
        </w:rPr>
      </w:pPr>
      <w:r>
        <w:rPr>
          <w:rFonts w:hint="eastAsia" w:hAnsi="宋体"/>
          <w:color w:val="auto"/>
          <w:highlight w:val="none"/>
        </w:rPr>
        <w:t>在合同履行过程中，监造代表发现必要的监造、检验或验收点有遗漏时，投标方无条件按照监造要求执行而不产生相关费用。</w:t>
      </w:r>
    </w:p>
    <w:p>
      <w:pPr>
        <w:pStyle w:val="29"/>
        <w:numPr>
          <w:ilvl w:val="0"/>
          <w:numId w:val="10"/>
        </w:numPr>
        <w:shd w:val="clear" w:color="auto" w:fill="FFFFFF"/>
        <w:snapToGrid w:val="0"/>
        <w:ind w:firstLine="480"/>
        <w:rPr>
          <w:color w:val="auto"/>
          <w:highlight w:val="none"/>
        </w:rPr>
      </w:pPr>
      <w:r>
        <w:rPr>
          <w:rFonts w:hint="eastAsia" w:hAnsi="宋体"/>
          <w:color w:val="auto"/>
          <w:highlight w:val="none"/>
        </w:rPr>
        <w:t>监造的实施</w:t>
      </w:r>
    </w:p>
    <w:p>
      <w:pPr>
        <w:pStyle w:val="29"/>
        <w:shd w:val="clear" w:color="auto" w:fill="FFFFFF"/>
        <w:snapToGrid w:val="0"/>
        <w:rPr>
          <w:color w:val="auto"/>
          <w:highlight w:val="none"/>
        </w:rPr>
      </w:pPr>
      <w:r>
        <w:rPr>
          <w:rFonts w:hint="eastAsia" w:hAnsi="宋体"/>
          <w:color w:val="auto"/>
          <w:highlight w:val="none"/>
        </w:rPr>
        <w:t>需方人员在监造过程中如发现设备和材料缺陷或不符合标准要求时，投标方将积极配合需方并采取改进措施。设备制造过程中出现的较大质量问题和质量缺陷无论需方是否要求，投标方均主动及时向需方提供质量问题产生原因及处理结果，不得隐瞒。投标方在对质量问题或质量缺陷处理前，须先征得需方监造代表的同意，未得到需方同意投标方不得擅自处理。</w:t>
      </w:r>
    </w:p>
    <w:p>
      <w:pPr>
        <w:pStyle w:val="29"/>
        <w:shd w:val="clear" w:color="auto" w:fill="FFFFFF"/>
        <w:snapToGrid w:val="0"/>
        <w:rPr>
          <w:color w:val="auto"/>
          <w:highlight w:val="none"/>
        </w:rPr>
      </w:pPr>
      <w:r>
        <w:rPr>
          <w:rFonts w:hint="eastAsia" w:hAnsi="宋体"/>
          <w:color w:val="auto"/>
          <w:highlight w:val="none"/>
        </w:rPr>
        <w:t>最终检验放行</w:t>
      </w:r>
    </w:p>
    <w:p>
      <w:pPr>
        <w:pStyle w:val="29"/>
        <w:numPr>
          <w:ilvl w:val="0"/>
          <w:numId w:val="12"/>
        </w:numPr>
        <w:shd w:val="clear" w:color="auto" w:fill="FFFFFF"/>
        <w:snapToGrid w:val="0"/>
        <w:ind w:firstLine="480"/>
        <w:rPr>
          <w:rFonts w:ascii="宋体" w:hAnsi="宋体"/>
          <w:color w:val="auto"/>
          <w:szCs w:val="21"/>
          <w:highlight w:val="none"/>
        </w:rPr>
      </w:pPr>
      <w:r>
        <w:rPr>
          <w:rFonts w:hint="eastAsia" w:ascii="宋体" w:hAnsi="宋体"/>
          <w:color w:val="auto"/>
          <w:szCs w:val="21"/>
          <w:highlight w:val="none"/>
        </w:rPr>
        <w:t>投标方应在检验/试验完成且其结果符合要求后，按需方监造代表提供的标准格式填写“设备放行单”。</w:t>
      </w:r>
    </w:p>
    <w:p>
      <w:pPr>
        <w:pStyle w:val="29"/>
        <w:numPr>
          <w:ilvl w:val="0"/>
          <w:numId w:val="12"/>
        </w:numPr>
        <w:shd w:val="clear" w:color="auto" w:fill="FFFFFF"/>
        <w:snapToGrid w:val="0"/>
        <w:ind w:firstLine="480"/>
        <w:rPr>
          <w:rFonts w:ascii="宋体" w:hAnsi="宋体"/>
          <w:color w:val="auto"/>
          <w:szCs w:val="21"/>
          <w:highlight w:val="none"/>
        </w:rPr>
      </w:pPr>
      <w:r>
        <w:rPr>
          <w:rFonts w:hint="eastAsia" w:ascii="宋体" w:hAnsi="宋体"/>
          <w:color w:val="auto"/>
          <w:szCs w:val="21"/>
          <w:highlight w:val="none"/>
        </w:rPr>
        <w:t>监造代表确认该产品符合合同要求后，报公司签发设备放行单。</w:t>
      </w:r>
    </w:p>
    <w:p>
      <w:pPr>
        <w:pStyle w:val="29"/>
        <w:numPr>
          <w:ilvl w:val="0"/>
          <w:numId w:val="12"/>
        </w:numPr>
        <w:shd w:val="clear" w:color="auto" w:fill="FFFFFF"/>
        <w:snapToGrid w:val="0"/>
        <w:ind w:firstLine="480"/>
        <w:rPr>
          <w:rFonts w:ascii="宋体" w:hAnsi="宋体"/>
          <w:color w:val="auto"/>
          <w:szCs w:val="21"/>
          <w:highlight w:val="none"/>
        </w:rPr>
      </w:pPr>
      <w:r>
        <w:rPr>
          <w:rFonts w:hint="eastAsia" w:ascii="宋体" w:hAnsi="宋体"/>
          <w:color w:val="auto"/>
          <w:szCs w:val="21"/>
          <w:highlight w:val="none"/>
        </w:rPr>
        <w:t>货物运输人需将“设备放行单”、和“发货清单”一起交于收货人；无“设备放行单”收货人可不予接收。</w:t>
      </w:r>
    </w:p>
    <w:p>
      <w:pPr>
        <w:pStyle w:val="29"/>
        <w:shd w:val="clear" w:color="auto" w:fill="FFFFFF"/>
        <w:snapToGrid w:val="0"/>
        <w:rPr>
          <w:rFonts w:hAnsi="宋体"/>
          <w:color w:val="auto"/>
          <w:highlight w:val="none"/>
        </w:rPr>
      </w:pPr>
      <w:r>
        <w:rPr>
          <w:rFonts w:hint="eastAsia" w:hAnsi="宋体"/>
          <w:color w:val="auto"/>
          <w:highlight w:val="none"/>
        </w:rPr>
        <w:t>投标方应在设备和材料发运前，向需方脱硫项目部提交一份检验文件，包括材质证书、关键尺寸检验报告、性能试验报告等文件。</w:t>
      </w:r>
    </w:p>
    <w:p>
      <w:pPr>
        <w:pStyle w:val="29"/>
        <w:shd w:val="clear" w:color="auto" w:fill="FFFFFF"/>
        <w:snapToGrid w:val="0"/>
        <w:ind w:firstLine="0" w:firstLineChars="0"/>
        <w:rPr>
          <w:rFonts w:hAnsi="宋体"/>
          <w:color w:val="auto"/>
          <w:highlight w:val="none"/>
        </w:rPr>
      </w:pPr>
    </w:p>
    <w:p>
      <w:pPr>
        <w:pStyle w:val="32"/>
        <w:numPr>
          <w:ilvl w:val="0"/>
          <w:numId w:val="4"/>
        </w:numPr>
        <w:tabs>
          <w:tab w:val="left" w:pos="720"/>
        </w:tabs>
        <w:ind w:firstLine="0"/>
        <w:outlineLvl w:val="0"/>
        <w:rPr>
          <w:color w:val="auto"/>
          <w:highlight w:val="none"/>
        </w:rPr>
      </w:pPr>
      <w:bookmarkStart w:id="55" w:name="_Toc89846185"/>
      <w:r>
        <w:rPr>
          <w:rFonts w:hint="eastAsia"/>
          <w:color w:val="auto"/>
          <w:highlight w:val="none"/>
        </w:rPr>
        <w:t>质量</w:t>
      </w:r>
      <w:r>
        <w:rPr>
          <w:color w:val="auto"/>
          <w:highlight w:val="none"/>
        </w:rPr>
        <w:t>保证</w:t>
      </w:r>
      <w:r>
        <w:rPr>
          <w:rFonts w:hint="eastAsia"/>
          <w:color w:val="auto"/>
          <w:highlight w:val="none"/>
        </w:rPr>
        <w:t>与</w:t>
      </w:r>
      <w:r>
        <w:rPr>
          <w:color w:val="auto"/>
          <w:highlight w:val="none"/>
        </w:rPr>
        <w:t>性能</w:t>
      </w:r>
      <w:r>
        <w:rPr>
          <w:rFonts w:hint="eastAsia"/>
          <w:color w:val="auto"/>
          <w:highlight w:val="none"/>
        </w:rPr>
        <w:t>验收</w:t>
      </w:r>
      <w:bookmarkEnd w:id="55"/>
    </w:p>
    <w:p>
      <w:pPr>
        <w:spacing w:line="360" w:lineRule="auto"/>
        <w:jc w:val="left"/>
        <w:outlineLvl w:val="1"/>
        <w:rPr>
          <w:rFonts w:ascii="宋体" w:hAnsi="宋体"/>
          <w:b/>
          <w:color w:val="auto"/>
          <w:sz w:val="24"/>
          <w:highlight w:val="none"/>
        </w:rPr>
      </w:pPr>
      <w:bookmarkStart w:id="56" w:name="_Toc89846186"/>
      <w:r>
        <w:rPr>
          <w:rFonts w:hint="eastAsia" w:ascii="宋体" w:hAnsi="宋体"/>
          <w:b/>
          <w:color w:val="auto"/>
          <w:sz w:val="24"/>
          <w:highlight w:val="none"/>
        </w:rPr>
        <w:t>9.1 质量</w:t>
      </w:r>
      <w:r>
        <w:rPr>
          <w:rFonts w:ascii="宋体" w:hAnsi="宋体"/>
          <w:b/>
          <w:color w:val="auto"/>
          <w:sz w:val="24"/>
          <w:highlight w:val="none"/>
        </w:rPr>
        <w:t>保证</w:t>
      </w:r>
      <w:bookmarkEnd w:id="56"/>
    </w:p>
    <w:p>
      <w:pPr>
        <w:pStyle w:val="29"/>
        <w:rPr>
          <w:rFonts w:ascii="宋体" w:hAnsi="宋体"/>
          <w:color w:val="auto"/>
          <w:highlight w:val="none"/>
        </w:rPr>
      </w:pPr>
      <w:r>
        <w:rPr>
          <w:rFonts w:ascii="宋体" w:hAnsi="宋体"/>
          <w:color w:val="auto"/>
          <w:highlight w:val="none"/>
        </w:rPr>
        <w:t>1</w:t>
      </w:r>
      <w:r>
        <w:rPr>
          <w:rFonts w:hint="eastAsia" w:ascii="宋体" w:hAnsi="宋体"/>
          <w:color w:val="auto"/>
          <w:highlight w:val="none"/>
        </w:rPr>
        <w:t>.设备产品设计、制造应遵照的国家及行业有关规范和标准，质量保证体系，执行ISO9001质量保证体系。</w:t>
      </w:r>
    </w:p>
    <w:p>
      <w:pPr>
        <w:pStyle w:val="29"/>
        <w:rPr>
          <w:rFonts w:ascii="宋体" w:hAnsi="宋体"/>
          <w:color w:val="auto"/>
          <w:highlight w:val="none"/>
        </w:rPr>
      </w:pPr>
      <w:r>
        <w:rPr>
          <w:rFonts w:hint="eastAsia" w:ascii="宋体" w:hAnsi="宋体"/>
          <w:color w:val="auto"/>
          <w:highlight w:val="none"/>
        </w:rPr>
        <w:t>2. 投标方应至少提供下列质量保证文件：</w:t>
      </w:r>
    </w:p>
    <w:p>
      <w:pPr>
        <w:pStyle w:val="29"/>
        <w:numPr>
          <w:ilvl w:val="0"/>
          <w:numId w:val="13"/>
        </w:numPr>
        <w:ind w:left="1265" w:firstLineChars="0"/>
        <w:rPr>
          <w:rFonts w:ascii="宋体" w:hAnsi="宋体"/>
          <w:color w:val="auto"/>
          <w:highlight w:val="none"/>
        </w:rPr>
      </w:pPr>
      <w:r>
        <w:rPr>
          <w:rFonts w:hint="eastAsia" w:ascii="宋体" w:hAnsi="宋体"/>
          <w:color w:val="auto"/>
          <w:highlight w:val="none"/>
        </w:rPr>
        <w:t>设计、制造许可证；</w:t>
      </w:r>
    </w:p>
    <w:p>
      <w:pPr>
        <w:pStyle w:val="29"/>
        <w:numPr>
          <w:ilvl w:val="0"/>
          <w:numId w:val="13"/>
        </w:numPr>
        <w:ind w:left="1265" w:firstLineChars="0"/>
        <w:rPr>
          <w:rFonts w:ascii="宋体" w:hAnsi="宋体"/>
          <w:color w:val="auto"/>
          <w:highlight w:val="none"/>
        </w:rPr>
      </w:pPr>
      <w:r>
        <w:rPr>
          <w:rFonts w:hint="eastAsia" w:ascii="宋体" w:hAnsi="宋体"/>
          <w:color w:val="auto"/>
          <w:highlight w:val="none"/>
        </w:rPr>
        <w:t>产品合格证；</w:t>
      </w:r>
    </w:p>
    <w:p>
      <w:pPr>
        <w:pStyle w:val="29"/>
        <w:numPr>
          <w:ilvl w:val="0"/>
          <w:numId w:val="13"/>
        </w:numPr>
        <w:ind w:left="1265" w:firstLineChars="0"/>
        <w:rPr>
          <w:rFonts w:ascii="宋体" w:hAnsi="宋体"/>
          <w:color w:val="auto"/>
          <w:highlight w:val="none"/>
        </w:rPr>
      </w:pPr>
      <w:r>
        <w:rPr>
          <w:rFonts w:hint="eastAsia" w:ascii="宋体" w:hAnsi="宋体"/>
          <w:color w:val="auto"/>
          <w:highlight w:val="none"/>
        </w:rPr>
        <w:t>主要配套件的生产投标方及产品合格证；</w:t>
      </w:r>
    </w:p>
    <w:p>
      <w:pPr>
        <w:pStyle w:val="29"/>
        <w:numPr>
          <w:ilvl w:val="0"/>
          <w:numId w:val="13"/>
        </w:numPr>
        <w:ind w:left="1265" w:firstLineChars="0"/>
        <w:rPr>
          <w:rFonts w:ascii="宋体" w:hAnsi="宋体"/>
          <w:color w:val="auto"/>
          <w:highlight w:val="none"/>
        </w:rPr>
      </w:pPr>
      <w:r>
        <w:rPr>
          <w:rFonts w:hint="eastAsia" w:ascii="宋体" w:hAnsi="宋体"/>
          <w:color w:val="auto"/>
          <w:highlight w:val="none"/>
        </w:rPr>
        <w:t>制造、检验记录；</w:t>
      </w:r>
    </w:p>
    <w:p>
      <w:pPr>
        <w:pStyle w:val="29"/>
        <w:numPr>
          <w:ilvl w:val="0"/>
          <w:numId w:val="13"/>
        </w:numPr>
        <w:ind w:left="1265" w:firstLineChars="0"/>
        <w:rPr>
          <w:rFonts w:ascii="宋体" w:hAnsi="宋体"/>
          <w:color w:val="auto"/>
          <w:highlight w:val="none"/>
        </w:rPr>
      </w:pPr>
      <w:r>
        <w:rPr>
          <w:rFonts w:hint="eastAsia" w:ascii="宋体" w:hAnsi="宋体"/>
          <w:color w:val="auto"/>
          <w:highlight w:val="none"/>
        </w:rPr>
        <w:t>说明供应的所有设备和材料完全符合本规范书；</w:t>
      </w:r>
    </w:p>
    <w:p>
      <w:pPr>
        <w:pStyle w:val="29"/>
        <w:numPr>
          <w:ilvl w:val="0"/>
          <w:numId w:val="13"/>
        </w:numPr>
        <w:ind w:left="1265" w:firstLineChars="0"/>
        <w:rPr>
          <w:rFonts w:ascii="宋体" w:hAnsi="宋体"/>
          <w:color w:val="auto"/>
          <w:highlight w:val="none"/>
        </w:rPr>
      </w:pPr>
      <w:r>
        <w:rPr>
          <w:rFonts w:hint="eastAsia" w:ascii="宋体" w:hAnsi="宋体"/>
          <w:color w:val="auto"/>
          <w:highlight w:val="none"/>
        </w:rPr>
        <w:t>招标方、投标方一致通过的“变更”合格证书及其接受的文件（如果有）；</w:t>
      </w:r>
    </w:p>
    <w:p>
      <w:pPr>
        <w:pStyle w:val="29"/>
        <w:numPr>
          <w:ilvl w:val="0"/>
          <w:numId w:val="13"/>
        </w:numPr>
        <w:ind w:left="1265" w:firstLineChars="0"/>
        <w:rPr>
          <w:rFonts w:ascii="宋体" w:hAnsi="宋体"/>
          <w:color w:val="auto"/>
          <w:highlight w:val="none"/>
        </w:rPr>
      </w:pPr>
      <w:r>
        <w:rPr>
          <w:rFonts w:hint="eastAsia" w:ascii="宋体" w:hAnsi="宋体"/>
          <w:color w:val="auto"/>
          <w:highlight w:val="none"/>
        </w:rPr>
        <w:t>料试验报告及材料鉴定合格证；</w:t>
      </w:r>
    </w:p>
    <w:p>
      <w:pPr>
        <w:pStyle w:val="29"/>
        <w:numPr>
          <w:ilvl w:val="0"/>
          <w:numId w:val="13"/>
        </w:numPr>
        <w:ind w:left="1265" w:firstLineChars="0"/>
        <w:rPr>
          <w:rFonts w:ascii="宋体" w:hAnsi="宋体"/>
          <w:color w:val="auto"/>
          <w:highlight w:val="none"/>
        </w:rPr>
      </w:pPr>
      <w:r>
        <w:rPr>
          <w:rFonts w:hint="eastAsia" w:ascii="宋体" w:hAnsi="宋体"/>
          <w:color w:val="auto"/>
          <w:highlight w:val="none"/>
        </w:rPr>
        <w:t>出厂前各项试验结果。</w:t>
      </w:r>
    </w:p>
    <w:p>
      <w:pPr>
        <w:spacing w:line="360" w:lineRule="auto"/>
        <w:jc w:val="left"/>
        <w:outlineLvl w:val="1"/>
        <w:rPr>
          <w:rFonts w:ascii="宋体" w:hAnsi="宋体"/>
          <w:b/>
          <w:color w:val="auto"/>
          <w:sz w:val="24"/>
          <w:highlight w:val="none"/>
        </w:rPr>
      </w:pPr>
      <w:bookmarkStart w:id="57" w:name="_Toc89846187"/>
      <w:r>
        <w:rPr>
          <w:rFonts w:hint="eastAsia" w:ascii="宋体" w:hAnsi="宋体"/>
          <w:b/>
          <w:color w:val="auto"/>
          <w:sz w:val="24"/>
          <w:highlight w:val="none"/>
        </w:rPr>
        <w:t>9.2 性能</w:t>
      </w:r>
      <w:r>
        <w:rPr>
          <w:rFonts w:ascii="宋体" w:hAnsi="宋体"/>
          <w:b/>
          <w:color w:val="auto"/>
          <w:sz w:val="24"/>
          <w:highlight w:val="none"/>
        </w:rPr>
        <w:t>验收</w:t>
      </w:r>
      <w:bookmarkEnd w:id="57"/>
    </w:p>
    <w:p>
      <w:pPr>
        <w:pStyle w:val="29"/>
        <w:numPr>
          <w:ilvl w:val="0"/>
          <w:numId w:val="14"/>
        </w:numPr>
        <w:shd w:val="clear" w:color="auto" w:fill="FFFFFF"/>
        <w:snapToGrid w:val="0"/>
        <w:ind w:firstLine="480"/>
        <w:rPr>
          <w:color w:val="auto"/>
          <w:highlight w:val="none"/>
        </w:rPr>
      </w:pPr>
      <w:r>
        <w:rPr>
          <w:rFonts w:hint="eastAsia" w:hAnsi="宋体"/>
          <w:color w:val="auto"/>
          <w:highlight w:val="none"/>
        </w:rPr>
        <w:t>性能验收试验的地点为设备安装现场。</w:t>
      </w:r>
    </w:p>
    <w:p>
      <w:pPr>
        <w:pStyle w:val="29"/>
        <w:numPr>
          <w:ilvl w:val="0"/>
          <w:numId w:val="14"/>
        </w:numPr>
        <w:shd w:val="clear" w:color="auto" w:fill="FFFFFF"/>
        <w:snapToGrid w:val="0"/>
        <w:ind w:firstLine="480"/>
        <w:rPr>
          <w:color w:val="auto"/>
          <w:highlight w:val="none"/>
        </w:rPr>
      </w:pPr>
      <w:r>
        <w:rPr>
          <w:rFonts w:hint="eastAsia" w:hAnsi="宋体"/>
          <w:color w:val="auto"/>
          <w:highlight w:val="none"/>
        </w:rPr>
        <w:t>在电厂试生产期间（72+24小时满负荷连续试运行结束后的半年内）委托有资质的试验单位进行性能试验，具体试验时间、试验单位和性能试验方案须经中标方和投标双方讨论确认。</w:t>
      </w:r>
    </w:p>
    <w:p>
      <w:pPr>
        <w:pStyle w:val="29"/>
        <w:numPr>
          <w:ilvl w:val="0"/>
          <w:numId w:val="14"/>
        </w:numPr>
        <w:shd w:val="clear" w:color="auto" w:fill="FFFFFF"/>
        <w:snapToGrid w:val="0"/>
        <w:ind w:firstLine="480"/>
        <w:rPr>
          <w:color w:val="auto"/>
          <w:highlight w:val="none"/>
        </w:rPr>
      </w:pPr>
      <w:r>
        <w:rPr>
          <w:rFonts w:hint="eastAsia" w:hAnsi="宋体"/>
          <w:color w:val="auto"/>
          <w:highlight w:val="none"/>
        </w:rPr>
        <w:t>性能验收由招标方主持，中标方参加。进行性能验收试验时，一方接到另一方试验通知而不派人参加试验，则被视为对验收试验结果的同意，并进行确认签盖章。</w:t>
      </w:r>
    </w:p>
    <w:p>
      <w:pPr>
        <w:pStyle w:val="29"/>
        <w:numPr>
          <w:ilvl w:val="0"/>
          <w:numId w:val="14"/>
        </w:numPr>
        <w:shd w:val="clear" w:color="auto" w:fill="FFFFFF"/>
        <w:snapToGrid w:val="0"/>
        <w:ind w:firstLine="480"/>
        <w:rPr>
          <w:color w:val="auto"/>
          <w:highlight w:val="none"/>
        </w:rPr>
      </w:pPr>
      <w:r>
        <w:rPr>
          <w:rFonts w:hint="eastAsia" w:hAnsi="宋体"/>
          <w:color w:val="auto"/>
          <w:highlight w:val="none"/>
        </w:rPr>
        <w:t>性能验收试验所需的测点、 一次元件和就地仪表的装设应由中标方提供。中标方也可提供试验所需的技术配合和人员配合。</w:t>
      </w:r>
    </w:p>
    <w:p>
      <w:pPr>
        <w:pStyle w:val="29"/>
        <w:numPr>
          <w:ilvl w:val="0"/>
          <w:numId w:val="14"/>
        </w:numPr>
        <w:shd w:val="clear" w:color="auto" w:fill="FFFFFF"/>
        <w:snapToGrid w:val="0"/>
        <w:ind w:firstLine="480"/>
        <w:rPr>
          <w:color w:val="auto"/>
          <w:highlight w:val="none"/>
        </w:rPr>
      </w:pPr>
      <w:r>
        <w:rPr>
          <w:rFonts w:hint="eastAsia" w:hAnsi="宋体"/>
          <w:color w:val="auto"/>
          <w:highlight w:val="none"/>
        </w:rPr>
        <w:t>性能试验的费用包含在合同总价内。</w:t>
      </w:r>
    </w:p>
    <w:p>
      <w:pPr>
        <w:pStyle w:val="29"/>
        <w:numPr>
          <w:ilvl w:val="0"/>
          <w:numId w:val="14"/>
        </w:numPr>
        <w:shd w:val="clear" w:color="auto" w:fill="FFFFFF"/>
        <w:snapToGrid w:val="0"/>
        <w:ind w:firstLine="480"/>
        <w:rPr>
          <w:color w:val="auto"/>
          <w:highlight w:val="none"/>
        </w:rPr>
      </w:pPr>
      <w:r>
        <w:rPr>
          <w:rFonts w:hint="eastAsia" w:hAnsi="宋体"/>
          <w:color w:val="auto"/>
          <w:highlight w:val="none"/>
        </w:rPr>
        <w:t>性能验收试验结果的确认</w:t>
      </w:r>
    </w:p>
    <w:p>
      <w:pPr>
        <w:pStyle w:val="29"/>
        <w:numPr>
          <w:ilvl w:val="0"/>
          <w:numId w:val="14"/>
        </w:numPr>
        <w:shd w:val="clear" w:color="auto" w:fill="FFFFFF"/>
        <w:snapToGrid w:val="0"/>
        <w:ind w:firstLine="480"/>
        <w:rPr>
          <w:color w:val="auto"/>
          <w:highlight w:val="none"/>
        </w:rPr>
      </w:pPr>
      <w:r>
        <w:rPr>
          <w:rFonts w:hint="eastAsia" w:hAnsi="宋体"/>
          <w:color w:val="auto"/>
          <w:highlight w:val="none"/>
        </w:rPr>
        <w:t>性能测试应满足本技术规范书的保证及承诺要求内。</w:t>
      </w:r>
    </w:p>
    <w:p>
      <w:pPr>
        <w:pStyle w:val="29"/>
        <w:numPr>
          <w:ilvl w:val="0"/>
          <w:numId w:val="14"/>
        </w:numPr>
        <w:shd w:val="clear" w:color="auto" w:fill="FFFFFF"/>
        <w:snapToGrid w:val="0"/>
        <w:ind w:firstLine="480"/>
        <w:rPr>
          <w:color w:val="auto"/>
          <w:highlight w:val="none"/>
        </w:rPr>
      </w:pPr>
      <w:r>
        <w:rPr>
          <w:rFonts w:hint="eastAsia" w:hAnsi="宋体"/>
          <w:color w:val="auto"/>
          <w:highlight w:val="none"/>
        </w:rPr>
        <w:t>性能验收试验报告以招标方为主编写，投标方参加，共同签章确认结论。如双方对试验的结果有不一致意见，双方协商解决；如仍不能达成一致，则提交双方上级部门协调。</w:t>
      </w:r>
    </w:p>
    <w:p>
      <w:pPr>
        <w:pStyle w:val="29"/>
        <w:numPr>
          <w:ilvl w:val="0"/>
          <w:numId w:val="14"/>
        </w:numPr>
        <w:shd w:val="clear" w:color="auto" w:fill="FFFFFF"/>
        <w:snapToGrid w:val="0"/>
        <w:ind w:firstLine="480"/>
        <w:rPr>
          <w:rFonts w:hAnsi="宋体"/>
          <w:color w:val="auto"/>
          <w:highlight w:val="none"/>
        </w:rPr>
      </w:pPr>
      <w:r>
        <w:rPr>
          <w:rFonts w:hint="eastAsia" w:hAnsi="宋体"/>
          <w:color w:val="auto"/>
          <w:highlight w:val="none"/>
        </w:rPr>
        <w:t>性能试验合格，试生产期满，各项指标达到设计要求，由招标方向投标方签发验收合格文件。</w:t>
      </w:r>
    </w:p>
    <w:p>
      <w:pPr>
        <w:pStyle w:val="29"/>
        <w:numPr>
          <w:ilvl w:val="0"/>
          <w:numId w:val="14"/>
        </w:numPr>
        <w:shd w:val="clear" w:color="auto" w:fill="FFFFFF"/>
        <w:snapToGrid w:val="0"/>
        <w:ind w:firstLine="480"/>
        <w:rPr>
          <w:rFonts w:hAnsi="宋体"/>
          <w:color w:val="auto"/>
          <w:highlight w:val="none"/>
        </w:rPr>
      </w:pPr>
      <w:r>
        <w:rPr>
          <w:rFonts w:hint="eastAsia"/>
          <w:color w:val="auto"/>
          <w:highlight w:val="none"/>
        </w:rPr>
        <w:t>投标方必须保证提供的设备通过有关消防审核要求。</w:t>
      </w:r>
    </w:p>
    <w:p>
      <w:pPr>
        <w:pStyle w:val="29"/>
        <w:shd w:val="clear" w:color="auto" w:fill="FFFFFF"/>
        <w:snapToGrid w:val="0"/>
        <w:ind w:firstLine="0" w:firstLineChars="0"/>
        <w:rPr>
          <w:rFonts w:hAnsi="宋体"/>
          <w:color w:val="auto"/>
          <w:highlight w:val="none"/>
        </w:rPr>
      </w:pPr>
    </w:p>
    <w:p>
      <w:pPr>
        <w:pStyle w:val="32"/>
        <w:numPr>
          <w:ilvl w:val="0"/>
          <w:numId w:val="4"/>
        </w:numPr>
        <w:tabs>
          <w:tab w:val="left" w:pos="720"/>
        </w:tabs>
        <w:ind w:firstLine="0"/>
        <w:outlineLvl w:val="0"/>
        <w:rPr>
          <w:color w:val="auto"/>
          <w:highlight w:val="none"/>
        </w:rPr>
      </w:pPr>
      <w:bookmarkStart w:id="58" w:name="_Toc89846188"/>
      <w:r>
        <w:rPr>
          <w:rFonts w:hint="eastAsia"/>
          <w:color w:val="auto"/>
          <w:highlight w:val="none"/>
        </w:rPr>
        <w:t>设备</w:t>
      </w:r>
      <w:r>
        <w:rPr>
          <w:color w:val="auto"/>
          <w:highlight w:val="none"/>
        </w:rPr>
        <w:t>出厂运输与储存</w:t>
      </w:r>
      <w:bookmarkEnd w:id="58"/>
    </w:p>
    <w:p>
      <w:pPr>
        <w:pStyle w:val="29"/>
        <w:numPr>
          <w:ilvl w:val="0"/>
          <w:numId w:val="15"/>
        </w:numPr>
        <w:shd w:val="clear" w:color="auto" w:fill="FFFFFF"/>
        <w:snapToGrid w:val="0"/>
        <w:ind w:firstLine="480"/>
        <w:rPr>
          <w:color w:val="auto"/>
          <w:highlight w:val="none"/>
        </w:rPr>
      </w:pPr>
      <w:r>
        <w:rPr>
          <w:rFonts w:hint="eastAsia" w:hAnsi="宋体"/>
          <w:color w:val="auto"/>
          <w:highlight w:val="none"/>
        </w:rPr>
        <w:t>油漆质量，应符合有关国家标准的规定，同时必须考虑安装地点和当地大气环境的影响。</w:t>
      </w:r>
    </w:p>
    <w:p>
      <w:pPr>
        <w:pStyle w:val="29"/>
        <w:numPr>
          <w:ilvl w:val="0"/>
          <w:numId w:val="15"/>
        </w:numPr>
        <w:shd w:val="clear" w:color="auto" w:fill="FFFFFF"/>
        <w:snapToGrid w:val="0"/>
        <w:ind w:firstLine="480"/>
        <w:rPr>
          <w:color w:val="auto"/>
          <w:highlight w:val="none"/>
        </w:rPr>
      </w:pPr>
      <w:r>
        <w:rPr>
          <w:rFonts w:hint="eastAsia" w:hAnsi="宋体"/>
          <w:color w:val="auto"/>
          <w:highlight w:val="none"/>
        </w:rPr>
        <w:t>设备组装前应从每个零件内部清除全部加工垃圾，如金属切屑、填充物等；应从内、外表面清除所有渣屑、锈皮、油脂。</w:t>
      </w:r>
    </w:p>
    <w:p>
      <w:pPr>
        <w:pStyle w:val="29"/>
        <w:numPr>
          <w:ilvl w:val="0"/>
          <w:numId w:val="15"/>
        </w:numPr>
        <w:shd w:val="clear" w:color="auto" w:fill="FFFFFF"/>
        <w:snapToGrid w:val="0"/>
        <w:ind w:firstLine="480"/>
        <w:rPr>
          <w:color w:val="auto"/>
          <w:highlight w:val="none"/>
        </w:rPr>
      </w:pPr>
      <w:r>
        <w:rPr>
          <w:rFonts w:hint="eastAsia" w:hAnsi="宋体"/>
          <w:color w:val="auto"/>
          <w:highlight w:val="none"/>
        </w:rPr>
        <w:t>产品包装、运输、储存符合标准GB191-2000的规定及国家主管机关的规定，由于包装不当而在运输及贮存过程中造成的损坏，由投标方负全部责任。</w:t>
      </w:r>
    </w:p>
    <w:p>
      <w:pPr>
        <w:pStyle w:val="29"/>
        <w:shd w:val="clear" w:color="auto" w:fill="FFFFFF"/>
        <w:snapToGrid w:val="0"/>
        <w:ind w:left="480" w:firstLine="0" w:firstLineChars="0"/>
        <w:rPr>
          <w:color w:val="auto"/>
          <w:highlight w:val="none"/>
        </w:rPr>
      </w:pPr>
      <w:r>
        <w:rPr>
          <w:rFonts w:hint="eastAsia" w:hAnsi="宋体"/>
          <w:color w:val="auto"/>
          <w:highlight w:val="none"/>
        </w:rPr>
        <w:t>其它详细要求见商务部分。</w:t>
      </w:r>
    </w:p>
    <w:p>
      <w:pPr>
        <w:pStyle w:val="29"/>
        <w:numPr>
          <w:ilvl w:val="0"/>
          <w:numId w:val="15"/>
        </w:numPr>
        <w:shd w:val="clear" w:color="auto" w:fill="FFFFFF"/>
        <w:snapToGrid w:val="0"/>
        <w:ind w:firstLine="480"/>
        <w:rPr>
          <w:color w:val="auto"/>
          <w:highlight w:val="none"/>
        </w:rPr>
      </w:pPr>
      <w:r>
        <w:rPr>
          <w:rFonts w:hint="eastAsia" w:hAnsi="宋体"/>
          <w:color w:val="auto"/>
          <w:highlight w:val="none"/>
        </w:rPr>
        <w:t>设备铭牌采用耐腐蚀的金属板制造。铭牌安放在运行人员容易看到的地方。</w:t>
      </w:r>
    </w:p>
    <w:p>
      <w:pPr>
        <w:pStyle w:val="29"/>
        <w:numPr>
          <w:ilvl w:val="0"/>
          <w:numId w:val="15"/>
        </w:numPr>
        <w:shd w:val="clear" w:color="auto" w:fill="FFFFFF"/>
        <w:snapToGrid w:val="0"/>
        <w:ind w:firstLine="480"/>
        <w:rPr>
          <w:color w:val="auto"/>
          <w:highlight w:val="none"/>
        </w:rPr>
      </w:pPr>
      <w:r>
        <w:rPr>
          <w:rFonts w:hint="eastAsia" w:hAnsi="宋体"/>
          <w:color w:val="auto"/>
          <w:highlight w:val="none"/>
        </w:rPr>
        <w:t>包装费包括在设备总价内。</w:t>
      </w:r>
    </w:p>
    <w:p>
      <w:pPr>
        <w:pStyle w:val="29"/>
        <w:shd w:val="clear" w:color="auto" w:fill="FFFFFF"/>
        <w:snapToGrid w:val="0"/>
        <w:ind w:firstLine="0" w:firstLineChars="0"/>
        <w:rPr>
          <w:rFonts w:hAnsi="宋体"/>
          <w:color w:val="auto"/>
          <w:highlight w:val="none"/>
        </w:rPr>
      </w:pPr>
    </w:p>
    <w:p>
      <w:pPr>
        <w:pStyle w:val="32"/>
        <w:numPr>
          <w:ilvl w:val="0"/>
          <w:numId w:val="4"/>
        </w:numPr>
        <w:tabs>
          <w:tab w:val="left" w:pos="720"/>
        </w:tabs>
        <w:ind w:firstLine="0"/>
        <w:outlineLvl w:val="0"/>
        <w:rPr>
          <w:color w:val="auto"/>
          <w:highlight w:val="none"/>
        </w:rPr>
      </w:pPr>
      <w:bookmarkStart w:id="59" w:name="_Toc89846189"/>
      <w:r>
        <w:rPr>
          <w:rFonts w:hint="eastAsia"/>
          <w:color w:val="auto"/>
          <w:highlight w:val="none"/>
        </w:rPr>
        <w:t>交货</w:t>
      </w:r>
      <w:r>
        <w:rPr>
          <w:color w:val="auto"/>
          <w:highlight w:val="none"/>
        </w:rPr>
        <w:t>时间与</w:t>
      </w:r>
      <w:r>
        <w:rPr>
          <w:rFonts w:hint="eastAsia"/>
          <w:color w:val="auto"/>
          <w:highlight w:val="none"/>
        </w:rPr>
        <w:t>交货</w:t>
      </w:r>
      <w:r>
        <w:rPr>
          <w:color w:val="auto"/>
          <w:highlight w:val="none"/>
        </w:rPr>
        <w:t>状态</w:t>
      </w:r>
      <w:bookmarkEnd w:id="59"/>
    </w:p>
    <w:p>
      <w:pPr>
        <w:widowControl/>
        <w:spacing w:line="360" w:lineRule="auto"/>
        <w:ind w:firstLine="480" w:firstLineChars="200"/>
        <w:rPr>
          <w:rFonts w:hAnsi="宋体"/>
          <w:color w:val="auto"/>
          <w:sz w:val="24"/>
          <w:highlight w:val="none"/>
        </w:rPr>
      </w:pPr>
      <w:r>
        <w:rPr>
          <w:color w:val="auto"/>
          <w:sz w:val="24"/>
          <w:highlight w:val="none"/>
        </w:rPr>
        <w:t>1</w:t>
      </w:r>
      <w:r>
        <w:rPr>
          <w:rFonts w:hint="eastAsia" w:hAnsi="宋体"/>
          <w:color w:val="auto"/>
          <w:sz w:val="24"/>
          <w:highlight w:val="none"/>
        </w:rPr>
        <w:t xml:space="preserve">. </w:t>
      </w:r>
      <w:r>
        <w:rPr>
          <w:rFonts w:hint="eastAsia"/>
          <w:color w:val="auto"/>
          <w:kern w:val="0"/>
          <w:sz w:val="24"/>
          <w:highlight w:val="none"/>
        </w:rPr>
        <w:t>交货时间根据项目整体进度计划确定，需满足项目整体进度要求，具体交货时间将在设备采购合同中予以明确。</w:t>
      </w:r>
    </w:p>
    <w:p>
      <w:pPr>
        <w:widowControl/>
        <w:spacing w:line="360" w:lineRule="auto"/>
        <w:ind w:firstLine="480" w:firstLineChars="200"/>
        <w:rPr>
          <w:rFonts w:hAnsi="宋体"/>
          <w:color w:val="auto"/>
          <w:sz w:val="24"/>
          <w:highlight w:val="none"/>
        </w:rPr>
      </w:pPr>
      <w:r>
        <w:rPr>
          <w:rFonts w:hint="eastAsia"/>
          <w:color w:val="auto"/>
          <w:sz w:val="24"/>
          <w:highlight w:val="none"/>
        </w:rPr>
        <w:t xml:space="preserve">2. </w:t>
      </w:r>
      <w:r>
        <w:rPr>
          <w:rFonts w:hint="eastAsia" w:hAnsi="宋体"/>
          <w:color w:val="auto"/>
          <w:sz w:val="24"/>
          <w:highlight w:val="none"/>
        </w:rPr>
        <w:t>交货状态：现场指定地点车板交货。</w:t>
      </w:r>
    </w:p>
    <w:p>
      <w:pPr>
        <w:pStyle w:val="29"/>
        <w:shd w:val="clear" w:color="auto" w:fill="FFFFFF"/>
        <w:snapToGrid w:val="0"/>
        <w:ind w:firstLine="0" w:firstLineChars="0"/>
        <w:rPr>
          <w:rFonts w:hAnsi="宋体"/>
          <w:color w:val="auto"/>
          <w:highlight w:val="none"/>
        </w:rPr>
      </w:pPr>
    </w:p>
    <w:p>
      <w:pPr>
        <w:pStyle w:val="32"/>
        <w:numPr>
          <w:ilvl w:val="0"/>
          <w:numId w:val="4"/>
        </w:numPr>
        <w:tabs>
          <w:tab w:val="left" w:pos="720"/>
        </w:tabs>
        <w:ind w:firstLine="0"/>
        <w:outlineLvl w:val="0"/>
        <w:rPr>
          <w:color w:val="auto"/>
          <w:highlight w:val="none"/>
        </w:rPr>
      </w:pPr>
      <w:bookmarkStart w:id="60" w:name="_Toc89846190"/>
      <w:r>
        <w:rPr>
          <w:rFonts w:hint="eastAsia"/>
          <w:color w:val="auto"/>
          <w:highlight w:val="none"/>
        </w:rPr>
        <w:t>设计</w:t>
      </w:r>
      <w:r>
        <w:rPr>
          <w:color w:val="auto"/>
          <w:highlight w:val="none"/>
        </w:rPr>
        <w:t>联络及售后服务</w:t>
      </w:r>
      <w:bookmarkEnd w:id="60"/>
    </w:p>
    <w:p>
      <w:pPr>
        <w:pStyle w:val="29"/>
        <w:numPr>
          <w:ilvl w:val="0"/>
          <w:numId w:val="16"/>
        </w:numPr>
        <w:shd w:val="clear" w:color="auto" w:fill="FFFFFF"/>
        <w:snapToGrid w:val="0"/>
        <w:ind w:firstLine="480"/>
        <w:rPr>
          <w:color w:val="auto"/>
          <w:highlight w:val="none"/>
        </w:rPr>
      </w:pPr>
      <w:r>
        <w:rPr>
          <w:rFonts w:hint="eastAsia" w:hAnsi="宋体"/>
          <w:color w:val="auto"/>
          <w:highlight w:val="none"/>
        </w:rPr>
        <w:t>中标方有指定专人负责设计联络。</w:t>
      </w:r>
    </w:p>
    <w:p>
      <w:pPr>
        <w:pStyle w:val="29"/>
        <w:numPr>
          <w:ilvl w:val="0"/>
          <w:numId w:val="16"/>
        </w:numPr>
        <w:shd w:val="clear" w:color="auto" w:fill="FFFFFF"/>
        <w:snapToGrid w:val="0"/>
        <w:ind w:firstLine="480"/>
        <w:rPr>
          <w:color w:val="auto"/>
          <w:highlight w:val="none"/>
        </w:rPr>
      </w:pPr>
      <w:r>
        <w:rPr>
          <w:rFonts w:hint="eastAsia" w:hAnsi="宋体"/>
          <w:color w:val="auto"/>
          <w:highlight w:val="none"/>
        </w:rPr>
        <w:t>投标方按承诺提供售后服务及在保质期内的免费维修，超出保质期后的维修只收取材料费用。</w:t>
      </w:r>
    </w:p>
    <w:p>
      <w:pPr>
        <w:pStyle w:val="29"/>
        <w:numPr>
          <w:ilvl w:val="0"/>
          <w:numId w:val="16"/>
        </w:numPr>
        <w:shd w:val="clear" w:color="auto" w:fill="FFFFFF"/>
        <w:snapToGrid w:val="0"/>
        <w:ind w:firstLine="480"/>
        <w:rPr>
          <w:color w:val="auto"/>
          <w:highlight w:val="none"/>
        </w:rPr>
      </w:pPr>
      <w:r>
        <w:rPr>
          <w:rFonts w:hint="eastAsia" w:hAnsi="宋体"/>
          <w:color w:val="auto"/>
          <w:highlight w:val="none"/>
        </w:rPr>
        <w:t>投标方承诺在收到招标方故障申报1小时内给予响应，24小时内抵达维修现场。</w:t>
      </w:r>
    </w:p>
    <w:p>
      <w:pPr>
        <w:pStyle w:val="29"/>
        <w:shd w:val="clear" w:color="auto" w:fill="FFFFFF"/>
        <w:snapToGrid w:val="0"/>
        <w:ind w:firstLine="0" w:firstLineChars="0"/>
        <w:rPr>
          <w:rFonts w:hAnsi="宋体"/>
          <w:color w:val="auto"/>
          <w:highlight w:val="none"/>
        </w:rPr>
      </w:pPr>
    </w:p>
    <w:p>
      <w:pPr>
        <w:pStyle w:val="32"/>
        <w:numPr>
          <w:ilvl w:val="0"/>
          <w:numId w:val="4"/>
        </w:numPr>
        <w:tabs>
          <w:tab w:val="left" w:pos="720"/>
        </w:tabs>
        <w:ind w:firstLine="0"/>
        <w:outlineLvl w:val="0"/>
        <w:rPr>
          <w:color w:val="auto"/>
          <w:highlight w:val="none"/>
        </w:rPr>
      </w:pPr>
      <w:bookmarkStart w:id="61" w:name="_Toc89846191"/>
      <w:r>
        <w:rPr>
          <w:rFonts w:hint="eastAsia"/>
          <w:color w:val="auto"/>
          <w:highlight w:val="none"/>
        </w:rPr>
        <w:t>调试</w:t>
      </w:r>
      <w:bookmarkEnd w:id="61"/>
    </w:p>
    <w:p>
      <w:pPr>
        <w:pStyle w:val="29"/>
        <w:numPr>
          <w:ilvl w:val="0"/>
          <w:numId w:val="17"/>
        </w:numPr>
        <w:shd w:val="clear" w:color="auto" w:fill="FFFFFF"/>
        <w:snapToGrid w:val="0"/>
        <w:ind w:firstLine="480"/>
        <w:rPr>
          <w:color w:val="auto"/>
          <w:highlight w:val="none"/>
        </w:rPr>
      </w:pPr>
      <w:r>
        <w:rPr>
          <w:rFonts w:hint="eastAsia" w:hAnsi="宋体"/>
          <w:color w:val="auto"/>
          <w:highlight w:val="none"/>
        </w:rPr>
        <w:t>投标方可派遣有从事同类工作三年以上实践经验的技术人员负责设备的调试及运行工作，直到保证正常稳定运行。</w:t>
      </w:r>
    </w:p>
    <w:p>
      <w:pPr>
        <w:pStyle w:val="29"/>
        <w:numPr>
          <w:ilvl w:val="0"/>
          <w:numId w:val="17"/>
        </w:numPr>
        <w:shd w:val="clear" w:color="auto" w:fill="FFFFFF"/>
        <w:snapToGrid w:val="0"/>
        <w:ind w:firstLine="480"/>
        <w:rPr>
          <w:color w:val="auto"/>
          <w:highlight w:val="none"/>
        </w:rPr>
      </w:pPr>
      <w:r>
        <w:rPr>
          <w:rFonts w:hint="eastAsia" w:hAnsi="宋体"/>
          <w:color w:val="auto"/>
          <w:highlight w:val="none"/>
        </w:rPr>
        <w:t>调试运行期间，在招标方的工程技术人员的监督下，中标方在现场协助操作、测试和调整。测试、调试方案及记录表格式应由招标方认可后方可执行。</w:t>
      </w:r>
    </w:p>
    <w:p>
      <w:pPr>
        <w:pStyle w:val="29"/>
        <w:numPr>
          <w:ilvl w:val="0"/>
          <w:numId w:val="17"/>
        </w:numPr>
        <w:shd w:val="clear" w:color="auto" w:fill="FFFFFF"/>
        <w:snapToGrid w:val="0"/>
        <w:ind w:firstLine="480"/>
        <w:rPr>
          <w:color w:val="auto"/>
          <w:highlight w:val="none"/>
        </w:rPr>
      </w:pPr>
      <w:r>
        <w:rPr>
          <w:rFonts w:hint="eastAsia" w:hAnsi="宋体"/>
          <w:color w:val="auto"/>
          <w:highlight w:val="none"/>
        </w:rPr>
        <w:t>供应的设备、系统应参加并满足电厂发电机组72+24小时满负荷连续试运行，满负荷连续试运行期间在投标方监督下由电厂运行人员操作。</w:t>
      </w:r>
    </w:p>
    <w:p>
      <w:pPr>
        <w:pStyle w:val="29"/>
        <w:numPr>
          <w:ilvl w:val="0"/>
          <w:numId w:val="17"/>
        </w:numPr>
        <w:shd w:val="clear" w:color="auto" w:fill="FFFFFF"/>
        <w:snapToGrid w:val="0"/>
        <w:ind w:firstLine="480"/>
        <w:rPr>
          <w:color w:val="auto"/>
          <w:highlight w:val="none"/>
        </w:rPr>
      </w:pPr>
      <w:r>
        <w:rPr>
          <w:rFonts w:hint="eastAsia" w:hAnsi="宋体"/>
          <w:color w:val="auto"/>
          <w:highlight w:val="none"/>
        </w:rPr>
        <w:t>在电厂发电机组试生产期间（72+24小时满负荷连续试运行结束后的半年内）进行性能测试测，投标方应提供性能测试方案并经招标方确认。</w:t>
      </w:r>
    </w:p>
    <w:p>
      <w:pPr>
        <w:pStyle w:val="29"/>
        <w:numPr>
          <w:ilvl w:val="0"/>
          <w:numId w:val="17"/>
        </w:numPr>
        <w:shd w:val="clear" w:color="auto" w:fill="FFFFFF"/>
        <w:snapToGrid w:val="0"/>
        <w:ind w:firstLine="480"/>
        <w:rPr>
          <w:color w:val="auto"/>
          <w:highlight w:val="none"/>
        </w:rPr>
      </w:pPr>
      <w:r>
        <w:rPr>
          <w:rFonts w:hint="eastAsia" w:hAnsi="宋体"/>
          <w:color w:val="auto"/>
          <w:highlight w:val="none"/>
        </w:rPr>
        <w:t>测试、调试过程一切费用由投标方负责。</w:t>
      </w:r>
    </w:p>
    <w:bookmarkEnd w:id="62"/>
    <w:sectPr>
      <w:footerReference r:id="rId6" w:type="first"/>
      <w:footerReference r:id="rId5" w:type="default"/>
      <w:pgSz w:w="11906" w:h="16838"/>
      <w:pgMar w:top="1418" w:right="1418" w:bottom="1418" w:left="1418" w:header="850" w:footer="850" w:gutter="0"/>
      <w:pgNumType w:start="1"/>
      <w:cols w:space="720" w:num="1"/>
      <w:titlePg/>
      <w:docGrid w:type="lines" w:linePitch="380" w:charSpace="-43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4" name="文本框1"/>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5</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1"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&#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Qe10z0AAAAAMBAAAPAAAAAAAAAAEAIAAAACIAAABk&#10;cnMvZG93bnJldi54bWxQSwECFAAUAAAACACHTuJApv2XzQ4CAAAPBAAADgAAAAAAAAABACAAAAAf&#10;AQAAZHJzL2Uyb0RvYy54bWxQSwUGAAAAAAYABgBZAQAAnw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5</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7310" cy="153035"/>
              <wp:effectExtent l="0" t="0" r="0" b="0"/>
              <wp:wrapNone/>
              <wp:docPr id="5" name="文本框2"/>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2" o:spid="_x0000_s1026" o:spt="202" type="#_x0000_t202" style="position:absolute;left:0pt;margin-top:0pt;height:12.05pt;width:5.3pt;mso-position-horizontal:center;mso-position-horizontal-relative:margin;mso-wrap-style:none;z-index:251660288;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&#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erNUXQAAAAAwEAAA8AAAAAAAAAAQAgAAAAIgAAAGRy&#10;cy9kb3ducmV2LnhtbFBLAQIUABQAAAAIAIdO4kDknOCjDQIAAA4EAAAOAAAAAAAAAAEAIAAAAB8B&#10;AABkcnMvZTJvRG9jLnhtbFBLBQYAAAAABgAGAFkBAACe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decimal"/>
      <w:suff w:val="nothing"/>
      <w:lvlText w:val="%1．"/>
      <w:lvlJc w:val="left"/>
      <w:pPr>
        <w:tabs>
          <w:tab w:val="left" w:pos="0"/>
        </w:tabs>
        <w:ind w:left="0" w:firstLine="40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0000004"/>
    <w:multiLevelType w:val="multilevel"/>
    <w:tmpl w:val="00000004"/>
    <w:lvl w:ilvl="0" w:tentative="0">
      <w:start w:val="1"/>
      <w:numFmt w:val="decimal"/>
      <w:suff w:val="nothing"/>
      <w:lvlText w:val="%1．"/>
      <w:lvlJc w:val="left"/>
      <w:pPr>
        <w:tabs>
          <w:tab w:val="left" w:pos="0"/>
        </w:tabs>
        <w:ind w:left="0" w:firstLine="40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0000006"/>
    <w:multiLevelType w:val="multilevel"/>
    <w:tmpl w:val="00000006"/>
    <w:lvl w:ilvl="0" w:tentative="0">
      <w:start w:val="1"/>
      <w:numFmt w:val="decimal"/>
      <w:suff w:val="nothing"/>
      <w:lvlText w:val="%1．"/>
      <w:lvlJc w:val="left"/>
      <w:pPr>
        <w:tabs>
          <w:tab w:val="left" w:pos="0"/>
        </w:tabs>
        <w:ind w:left="0" w:firstLine="40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0000008"/>
    <w:multiLevelType w:val="multilevel"/>
    <w:tmpl w:val="00000008"/>
    <w:lvl w:ilvl="0" w:tentative="0">
      <w:start w:val="1"/>
      <w:numFmt w:val="decimal"/>
      <w:suff w:val="nothing"/>
      <w:lvlText w:val="%1．"/>
      <w:lvlJc w:val="left"/>
      <w:pPr>
        <w:tabs>
          <w:tab w:val="left" w:pos="0"/>
        </w:tabs>
        <w:ind w:left="0" w:firstLine="40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00000010"/>
    <w:multiLevelType w:val="multilevel"/>
    <w:tmpl w:val="00000010"/>
    <w:lvl w:ilvl="0" w:tentative="0">
      <w:start w:val="1"/>
      <w:numFmt w:val="decimal"/>
      <w:suff w:val="nothing"/>
      <w:lvlText w:val="%1．"/>
      <w:lvlJc w:val="left"/>
      <w:pPr>
        <w:tabs>
          <w:tab w:val="left" w:pos="0"/>
        </w:tabs>
        <w:ind w:left="0" w:firstLine="40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00000014"/>
    <w:multiLevelType w:val="multilevel"/>
    <w:tmpl w:val="00000014"/>
    <w:lvl w:ilvl="0" w:tentative="0">
      <w:start w:val="1"/>
      <w:numFmt w:val="decimal"/>
      <w:suff w:val="nothing"/>
      <w:lvlText w:val="%1．"/>
      <w:lvlJc w:val="left"/>
      <w:pPr>
        <w:tabs>
          <w:tab w:val="left" w:pos="0"/>
        </w:tabs>
        <w:ind w:left="0" w:firstLine="40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215F7D78"/>
    <w:multiLevelType w:val="multilevel"/>
    <w:tmpl w:val="215F7D78"/>
    <w:lvl w:ilvl="0" w:tentative="0">
      <w:start w:val="1"/>
      <w:numFmt w:val="decimal"/>
      <w:lvlText w:val="第%1章 "/>
      <w:lvlJc w:val="left"/>
      <w:pPr>
        <w:tabs>
          <w:tab w:val="left" w:pos="425"/>
        </w:tabs>
        <w:ind w:left="425" w:hanging="425"/>
      </w:pPr>
      <w:rPr>
        <w:rFonts w:hint="eastAsia"/>
      </w:rPr>
    </w:lvl>
    <w:lvl w:ilvl="1" w:tentative="0">
      <w:start w:val="1"/>
      <w:numFmt w:val="decimal"/>
      <w:pStyle w:val="32"/>
      <w:lvlText w:val="%1.%2 "/>
      <w:lvlJc w:val="left"/>
      <w:pPr>
        <w:tabs>
          <w:tab w:val="left" w:pos="567"/>
        </w:tabs>
        <w:ind w:left="567" w:hanging="567"/>
      </w:pPr>
      <w:rPr>
        <w:rFonts w:hint="eastAsia"/>
      </w:rPr>
    </w:lvl>
    <w:lvl w:ilvl="2" w:tentative="0">
      <w:start w:val="1"/>
      <w:numFmt w:val="decimal"/>
      <w:pStyle w:val="31"/>
      <w:lvlText w:val="%1.%2.%3 "/>
      <w:lvlJc w:val="left"/>
      <w:pPr>
        <w:tabs>
          <w:tab w:val="left" w:pos="709"/>
        </w:tabs>
        <w:ind w:left="709" w:hanging="709"/>
      </w:pPr>
      <w:rPr>
        <w:rFonts w:hint="eastAsia"/>
      </w:rPr>
    </w:lvl>
    <w:lvl w:ilvl="3" w:tentative="0">
      <w:start w:val="1"/>
      <w:numFmt w:val="decimal"/>
      <w:pStyle w:val="30"/>
      <w:lvlText w:val="%1.%2.%3.%4 "/>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
    <w:nsid w:val="3E0740B1"/>
    <w:multiLevelType w:val="multilevel"/>
    <w:tmpl w:val="3E0740B1"/>
    <w:lvl w:ilvl="0" w:tentative="0">
      <w:start w:val="1"/>
      <w:numFmt w:val="decimal"/>
      <w:suff w:val="nothing"/>
      <w:lvlText w:val="%1．"/>
      <w:lvlJc w:val="left"/>
      <w:pPr>
        <w:ind w:left="0" w:firstLine="400"/>
      </w:pPr>
      <w:rPr>
        <w:rFonts w:hint="default"/>
      </w:rPr>
    </w:lvl>
    <w:lvl w:ilvl="1" w:tentative="0">
      <w:start w:val="1"/>
      <w:numFmt w:val="decimal"/>
      <w:lvlText w:val="%1.%2 "/>
      <w:lvlJc w:val="left"/>
      <w:pPr>
        <w:tabs>
          <w:tab w:val="left" w:pos="567"/>
        </w:tabs>
        <w:ind w:left="567" w:hanging="567"/>
      </w:pPr>
      <w:rPr>
        <w:rFonts w:hint="eastAsia"/>
      </w:rPr>
    </w:lvl>
    <w:lvl w:ilvl="2" w:tentative="0">
      <w:start w:val="1"/>
      <w:numFmt w:val="decimal"/>
      <w:lvlText w:val="%1.%2.%3 "/>
      <w:lvlJc w:val="left"/>
      <w:pPr>
        <w:tabs>
          <w:tab w:val="left" w:pos="709"/>
        </w:tabs>
        <w:ind w:left="709" w:hanging="709"/>
      </w:pPr>
      <w:rPr>
        <w:rFonts w:hint="eastAsia"/>
      </w:rPr>
    </w:lvl>
    <w:lvl w:ilvl="3" w:tentative="0">
      <w:start w:val="1"/>
      <w:numFmt w:val="decimal"/>
      <w:lvlText w:val="%1.%2.%3.%4 "/>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8">
    <w:nsid w:val="407E65F9"/>
    <w:multiLevelType w:val="multilevel"/>
    <w:tmpl w:val="407E65F9"/>
    <w:lvl w:ilvl="0" w:tentative="0">
      <w:start w:val="1"/>
      <w:numFmt w:val="none"/>
      <w:pStyle w:val="34"/>
      <w:lvlText w:val="%1·　"/>
      <w:lvlJc w:val="left"/>
      <w:pPr>
        <w:tabs>
          <w:tab w:val="left" w:pos="720"/>
        </w:tabs>
        <w:ind w:left="317" w:hanging="317"/>
      </w:pPr>
      <w:rPr>
        <w:rFonts w:hint="eastAsia" w:ascii="宋体" w:hAnsi="Times New Roman" w:eastAsia="宋体"/>
        <w:b w:val="0"/>
        <w:i w:val="0"/>
        <w:sz w:val="21"/>
      </w:rPr>
    </w:lvl>
    <w:lvl w:ilvl="1" w:tentative="0">
      <w:start w:val="1"/>
      <w:numFmt w:val="bullet"/>
      <w:lvlText w:val=""/>
      <w:lvlJc w:val="left"/>
      <w:pPr>
        <w:tabs>
          <w:tab w:val="left" w:pos="-3375"/>
        </w:tabs>
        <w:ind w:left="-3375" w:hanging="420"/>
      </w:pPr>
      <w:rPr>
        <w:rFonts w:hint="default" w:ascii="Wingdings" w:hAnsi="Wingdings"/>
      </w:rPr>
    </w:lvl>
    <w:lvl w:ilvl="2" w:tentative="0">
      <w:start w:val="5"/>
      <w:numFmt w:val="decimal"/>
      <w:lvlText w:val="%3)"/>
      <w:lvlJc w:val="left"/>
      <w:pPr>
        <w:tabs>
          <w:tab w:val="left" w:pos="-3015"/>
        </w:tabs>
        <w:ind w:left="-3015" w:hanging="360"/>
      </w:pPr>
      <w:rPr>
        <w:rFonts w:hint="default"/>
      </w:rPr>
    </w:lvl>
    <w:lvl w:ilvl="3" w:tentative="0">
      <w:start w:val="1"/>
      <w:numFmt w:val="bullet"/>
      <w:lvlText w:val=""/>
      <w:lvlJc w:val="left"/>
      <w:pPr>
        <w:tabs>
          <w:tab w:val="left" w:pos="-2535"/>
        </w:tabs>
        <w:ind w:left="-2535" w:hanging="420"/>
      </w:pPr>
      <w:rPr>
        <w:rFonts w:hint="default" w:ascii="Wingdings" w:hAnsi="Wingdings"/>
      </w:rPr>
    </w:lvl>
    <w:lvl w:ilvl="4" w:tentative="0">
      <w:start w:val="1"/>
      <w:numFmt w:val="bullet"/>
      <w:lvlText w:val=""/>
      <w:lvlJc w:val="left"/>
      <w:pPr>
        <w:tabs>
          <w:tab w:val="left" w:pos="-2115"/>
        </w:tabs>
        <w:ind w:left="-2115" w:hanging="420"/>
      </w:pPr>
      <w:rPr>
        <w:rFonts w:hint="default" w:ascii="Wingdings" w:hAnsi="Wingdings"/>
      </w:rPr>
    </w:lvl>
    <w:lvl w:ilvl="5" w:tentative="0">
      <w:start w:val="1"/>
      <w:numFmt w:val="bullet"/>
      <w:lvlText w:val=""/>
      <w:lvlJc w:val="left"/>
      <w:pPr>
        <w:tabs>
          <w:tab w:val="left" w:pos="-1695"/>
        </w:tabs>
        <w:ind w:left="-1695" w:hanging="420"/>
      </w:pPr>
      <w:rPr>
        <w:rFonts w:hint="default" w:ascii="Wingdings" w:hAnsi="Wingdings"/>
      </w:rPr>
    </w:lvl>
    <w:lvl w:ilvl="6" w:tentative="0">
      <w:start w:val="1"/>
      <w:numFmt w:val="bullet"/>
      <w:lvlText w:val=""/>
      <w:lvlJc w:val="left"/>
      <w:pPr>
        <w:tabs>
          <w:tab w:val="left" w:pos="-1275"/>
        </w:tabs>
        <w:ind w:left="-1275" w:hanging="420"/>
      </w:pPr>
      <w:rPr>
        <w:rFonts w:hint="default" w:ascii="Wingdings" w:hAnsi="Wingdings"/>
      </w:rPr>
    </w:lvl>
    <w:lvl w:ilvl="7" w:tentative="0">
      <w:start w:val="1"/>
      <w:numFmt w:val="bullet"/>
      <w:lvlText w:val=""/>
      <w:lvlJc w:val="left"/>
      <w:pPr>
        <w:tabs>
          <w:tab w:val="left" w:pos="-855"/>
        </w:tabs>
        <w:ind w:left="-855" w:hanging="420"/>
      </w:pPr>
      <w:rPr>
        <w:rFonts w:hint="default" w:ascii="Wingdings" w:hAnsi="Wingdings"/>
      </w:rPr>
    </w:lvl>
    <w:lvl w:ilvl="8" w:tentative="0">
      <w:start w:val="1"/>
      <w:numFmt w:val="bullet"/>
      <w:lvlText w:val=""/>
      <w:lvlJc w:val="left"/>
      <w:pPr>
        <w:tabs>
          <w:tab w:val="left" w:pos="-435"/>
        </w:tabs>
        <w:ind w:left="-435" w:hanging="420"/>
      </w:pPr>
      <w:rPr>
        <w:rFonts w:hint="default" w:ascii="Wingdings" w:hAnsi="Wingdings"/>
      </w:rPr>
    </w:lvl>
  </w:abstractNum>
  <w:abstractNum w:abstractNumId="9">
    <w:nsid w:val="522D901C"/>
    <w:multiLevelType w:val="multilevel"/>
    <w:tmpl w:val="522D901C"/>
    <w:lvl w:ilvl="0" w:tentative="0">
      <w:start w:val="1"/>
      <w:numFmt w:val="decimal"/>
      <w:suff w:val="nothing"/>
      <w:lvlText w:val="%1．"/>
      <w:lvlJc w:val="left"/>
      <w:pPr>
        <w:tabs>
          <w:tab w:val="left" w:pos="0"/>
        </w:tabs>
        <w:ind w:left="0" w:firstLine="40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22D9037"/>
    <w:multiLevelType w:val="multilevel"/>
    <w:tmpl w:val="522D9037"/>
    <w:lvl w:ilvl="0" w:tentative="0">
      <w:start w:val="1"/>
      <w:numFmt w:val="decimalEnclosedCircleChinese"/>
      <w:suff w:val="nothing"/>
      <w:lvlText w:val="%1　"/>
      <w:lvlJc w:val="left"/>
      <w:pPr>
        <w:tabs>
          <w:tab w:val="left" w:pos="0"/>
        </w:tabs>
        <w:ind w:left="0" w:firstLine="40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22D904E"/>
    <w:multiLevelType w:val="multilevel"/>
    <w:tmpl w:val="522D904E"/>
    <w:lvl w:ilvl="0" w:tentative="0">
      <w:start w:val="1"/>
      <w:numFmt w:val="decimalEnclosedCircleChinese"/>
      <w:suff w:val="nothing"/>
      <w:lvlText w:val="%1　"/>
      <w:lvlJc w:val="left"/>
      <w:pPr>
        <w:tabs>
          <w:tab w:val="left" w:pos="0"/>
        </w:tabs>
        <w:ind w:left="0" w:firstLine="40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52A95E95"/>
    <w:multiLevelType w:val="singleLevel"/>
    <w:tmpl w:val="52A95E95"/>
    <w:lvl w:ilvl="0" w:tentative="0">
      <w:start w:val="1"/>
      <w:numFmt w:val="decimal"/>
      <w:suff w:val="nothing"/>
      <w:lvlText w:val="%1．"/>
      <w:lvlJc w:val="left"/>
      <w:pPr>
        <w:ind w:left="0" w:firstLine="400"/>
      </w:pPr>
      <w:rPr>
        <w:rFonts w:hint="default"/>
      </w:rPr>
    </w:lvl>
  </w:abstractNum>
  <w:abstractNum w:abstractNumId="13">
    <w:nsid w:val="52A97120"/>
    <w:multiLevelType w:val="singleLevel"/>
    <w:tmpl w:val="52A97120"/>
    <w:lvl w:ilvl="0" w:tentative="0">
      <w:start w:val="1"/>
      <w:numFmt w:val="decimal"/>
      <w:lvlText w:val="%1)"/>
      <w:lvlJc w:val="left"/>
      <w:pPr>
        <w:tabs>
          <w:tab w:val="left" w:pos="425"/>
        </w:tabs>
        <w:ind w:left="425" w:hanging="425"/>
      </w:pPr>
      <w:rPr>
        <w:rFonts w:hint="default"/>
      </w:rPr>
    </w:lvl>
  </w:abstractNum>
  <w:abstractNum w:abstractNumId="14">
    <w:nsid w:val="5697A9E1"/>
    <w:multiLevelType w:val="singleLevel"/>
    <w:tmpl w:val="5697A9E1"/>
    <w:lvl w:ilvl="0" w:tentative="0">
      <w:start w:val="1"/>
      <w:numFmt w:val="decimal"/>
      <w:lvlText w:val="%1"/>
      <w:lvlJc w:val="left"/>
      <w:pPr>
        <w:tabs>
          <w:tab w:val="left" w:pos="420"/>
        </w:tabs>
        <w:ind w:left="420" w:hanging="420"/>
      </w:pPr>
      <w:rPr>
        <w:rFonts w:hint="eastAsia"/>
      </w:rPr>
    </w:lvl>
  </w:abstractNum>
  <w:abstractNum w:abstractNumId="15">
    <w:nsid w:val="57133F65"/>
    <w:multiLevelType w:val="multilevel"/>
    <w:tmpl w:val="57133F65"/>
    <w:lvl w:ilvl="0" w:tentative="0">
      <w:start w:val="1"/>
      <w:numFmt w:val="decimal"/>
      <w:pStyle w:val="37"/>
      <w:lvlText w:val="第%1章 "/>
      <w:lvlJc w:val="left"/>
      <w:pPr>
        <w:tabs>
          <w:tab w:val="left" w:pos="425"/>
        </w:tabs>
        <w:ind w:left="425" w:hanging="425"/>
      </w:pPr>
      <w:rPr>
        <w:rFonts w:hint="eastAsia"/>
      </w:rPr>
    </w:lvl>
    <w:lvl w:ilvl="1" w:tentative="0">
      <w:start w:val="1"/>
      <w:numFmt w:val="decimal"/>
      <w:lvlText w:val="%1.%2 "/>
      <w:lvlJc w:val="left"/>
      <w:pPr>
        <w:tabs>
          <w:tab w:val="left" w:pos="567"/>
        </w:tabs>
        <w:ind w:left="567" w:hanging="567"/>
      </w:pPr>
      <w:rPr>
        <w:rFonts w:hint="eastAsia"/>
      </w:rPr>
    </w:lvl>
    <w:lvl w:ilvl="2" w:tentative="0">
      <w:start w:val="1"/>
      <w:numFmt w:val="decimal"/>
      <w:lvlText w:val="%1.%2.%3 "/>
      <w:lvlJc w:val="left"/>
      <w:pPr>
        <w:tabs>
          <w:tab w:val="left" w:pos="709"/>
        </w:tabs>
        <w:ind w:left="709" w:hanging="709"/>
      </w:pPr>
      <w:rPr>
        <w:rFonts w:hint="eastAsia"/>
      </w:rPr>
    </w:lvl>
    <w:lvl w:ilvl="3" w:tentative="0">
      <w:start w:val="1"/>
      <w:numFmt w:val="decimal"/>
      <w:lvlText w:val="%1.%2.%3.%4 "/>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6">
    <w:nsid w:val="736538AA"/>
    <w:multiLevelType w:val="multilevel"/>
    <w:tmpl w:val="736538AA"/>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6"/>
  </w:num>
  <w:num w:numId="2">
    <w:abstractNumId w:val="8"/>
  </w:num>
  <w:num w:numId="3">
    <w:abstractNumId w:val="15"/>
  </w:num>
  <w:num w:numId="4">
    <w:abstractNumId w:val="7"/>
  </w:num>
  <w:num w:numId="5">
    <w:abstractNumId w:val="12"/>
  </w:num>
  <w:num w:numId="6">
    <w:abstractNumId w:val="1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HorizontalSpacing w:val="189"/>
  <w:drawingGridVerticalSpacing w:val="19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6CC"/>
    <w:rsid w:val="00006D9A"/>
    <w:rsid w:val="00011131"/>
    <w:rsid w:val="00011738"/>
    <w:rsid w:val="000257E3"/>
    <w:rsid w:val="000336ED"/>
    <w:rsid w:val="00034DC5"/>
    <w:rsid w:val="0003674D"/>
    <w:rsid w:val="000437A1"/>
    <w:rsid w:val="00054034"/>
    <w:rsid w:val="00055659"/>
    <w:rsid w:val="000558D8"/>
    <w:rsid w:val="000648DD"/>
    <w:rsid w:val="00074146"/>
    <w:rsid w:val="00077164"/>
    <w:rsid w:val="000808AB"/>
    <w:rsid w:val="00087C5C"/>
    <w:rsid w:val="000939A2"/>
    <w:rsid w:val="000A200D"/>
    <w:rsid w:val="000A7E87"/>
    <w:rsid w:val="000B188A"/>
    <w:rsid w:val="000D0E89"/>
    <w:rsid w:val="000D540E"/>
    <w:rsid w:val="000D6CB6"/>
    <w:rsid w:val="000E24BD"/>
    <w:rsid w:val="000F1553"/>
    <w:rsid w:val="000F7AE2"/>
    <w:rsid w:val="001026C3"/>
    <w:rsid w:val="00106149"/>
    <w:rsid w:val="00110189"/>
    <w:rsid w:val="001114F7"/>
    <w:rsid w:val="00112643"/>
    <w:rsid w:val="0012201A"/>
    <w:rsid w:val="0012633D"/>
    <w:rsid w:val="0013154E"/>
    <w:rsid w:val="00133C86"/>
    <w:rsid w:val="00137D0E"/>
    <w:rsid w:val="00140CDA"/>
    <w:rsid w:val="00145440"/>
    <w:rsid w:val="00146255"/>
    <w:rsid w:val="0015108E"/>
    <w:rsid w:val="0015111E"/>
    <w:rsid w:val="001511EE"/>
    <w:rsid w:val="0017207A"/>
    <w:rsid w:val="001867E2"/>
    <w:rsid w:val="001A002C"/>
    <w:rsid w:val="001A0625"/>
    <w:rsid w:val="001B7609"/>
    <w:rsid w:val="001C2AD0"/>
    <w:rsid w:val="001C50F4"/>
    <w:rsid w:val="001C5FEE"/>
    <w:rsid w:val="001D0C0A"/>
    <w:rsid w:val="001E3076"/>
    <w:rsid w:val="001E36AE"/>
    <w:rsid w:val="001F0F27"/>
    <w:rsid w:val="00207BEC"/>
    <w:rsid w:val="00230522"/>
    <w:rsid w:val="002343C5"/>
    <w:rsid w:val="00236D1A"/>
    <w:rsid w:val="00237ABE"/>
    <w:rsid w:val="00237FA8"/>
    <w:rsid w:val="00241F8A"/>
    <w:rsid w:val="00243742"/>
    <w:rsid w:val="00253590"/>
    <w:rsid w:val="00274872"/>
    <w:rsid w:val="002A23F1"/>
    <w:rsid w:val="002A542F"/>
    <w:rsid w:val="002B3930"/>
    <w:rsid w:val="002E56D6"/>
    <w:rsid w:val="002E74E6"/>
    <w:rsid w:val="002F0308"/>
    <w:rsid w:val="002F0626"/>
    <w:rsid w:val="002F0BA8"/>
    <w:rsid w:val="002F4C63"/>
    <w:rsid w:val="002F6210"/>
    <w:rsid w:val="00311D42"/>
    <w:rsid w:val="003215FD"/>
    <w:rsid w:val="00325008"/>
    <w:rsid w:val="00327BAD"/>
    <w:rsid w:val="00342763"/>
    <w:rsid w:val="00343BB1"/>
    <w:rsid w:val="00350BDD"/>
    <w:rsid w:val="00360ED4"/>
    <w:rsid w:val="0036415B"/>
    <w:rsid w:val="00364581"/>
    <w:rsid w:val="00392995"/>
    <w:rsid w:val="003979E7"/>
    <w:rsid w:val="003A4100"/>
    <w:rsid w:val="003C7316"/>
    <w:rsid w:val="003E2168"/>
    <w:rsid w:val="003E6535"/>
    <w:rsid w:val="003F18EE"/>
    <w:rsid w:val="003F685D"/>
    <w:rsid w:val="00412F9A"/>
    <w:rsid w:val="0042102C"/>
    <w:rsid w:val="00432462"/>
    <w:rsid w:val="00435EA2"/>
    <w:rsid w:val="0044263B"/>
    <w:rsid w:val="00452DCF"/>
    <w:rsid w:val="00457585"/>
    <w:rsid w:val="00460264"/>
    <w:rsid w:val="0047426F"/>
    <w:rsid w:val="00491616"/>
    <w:rsid w:val="00497189"/>
    <w:rsid w:val="004A2105"/>
    <w:rsid w:val="004A3643"/>
    <w:rsid w:val="004B7EB8"/>
    <w:rsid w:val="004C0F5D"/>
    <w:rsid w:val="004C2449"/>
    <w:rsid w:val="004E0587"/>
    <w:rsid w:val="004E365B"/>
    <w:rsid w:val="004F103A"/>
    <w:rsid w:val="00500572"/>
    <w:rsid w:val="00500FA0"/>
    <w:rsid w:val="00527C12"/>
    <w:rsid w:val="00533BF1"/>
    <w:rsid w:val="00540055"/>
    <w:rsid w:val="00544820"/>
    <w:rsid w:val="00574504"/>
    <w:rsid w:val="00583951"/>
    <w:rsid w:val="00590B31"/>
    <w:rsid w:val="005939DD"/>
    <w:rsid w:val="00596E9D"/>
    <w:rsid w:val="005A1777"/>
    <w:rsid w:val="005A76EF"/>
    <w:rsid w:val="005C5729"/>
    <w:rsid w:val="005C6EC1"/>
    <w:rsid w:val="005D3F2F"/>
    <w:rsid w:val="005E54F6"/>
    <w:rsid w:val="005E608E"/>
    <w:rsid w:val="005E7C1E"/>
    <w:rsid w:val="006035FE"/>
    <w:rsid w:val="00603B70"/>
    <w:rsid w:val="006108B6"/>
    <w:rsid w:val="00614E70"/>
    <w:rsid w:val="006214BA"/>
    <w:rsid w:val="00623852"/>
    <w:rsid w:val="00672747"/>
    <w:rsid w:val="0068321F"/>
    <w:rsid w:val="00686F87"/>
    <w:rsid w:val="0069670D"/>
    <w:rsid w:val="006A2EA0"/>
    <w:rsid w:val="006A7D61"/>
    <w:rsid w:val="006D74E2"/>
    <w:rsid w:val="006E7251"/>
    <w:rsid w:val="00701532"/>
    <w:rsid w:val="00703B88"/>
    <w:rsid w:val="007045FB"/>
    <w:rsid w:val="0070551D"/>
    <w:rsid w:val="0071104B"/>
    <w:rsid w:val="00716372"/>
    <w:rsid w:val="007212E8"/>
    <w:rsid w:val="007358F2"/>
    <w:rsid w:val="007361ED"/>
    <w:rsid w:val="00737C80"/>
    <w:rsid w:val="00745BA7"/>
    <w:rsid w:val="00747D66"/>
    <w:rsid w:val="00750A45"/>
    <w:rsid w:val="007578C6"/>
    <w:rsid w:val="00765912"/>
    <w:rsid w:val="00770293"/>
    <w:rsid w:val="0078002D"/>
    <w:rsid w:val="007857BD"/>
    <w:rsid w:val="00790ABE"/>
    <w:rsid w:val="00797F9B"/>
    <w:rsid w:val="007A4495"/>
    <w:rsid w:val="007C668B"/>
    <w:rsid w:val="007C745F"/>
    <w:rsid w:val="007D3510"/>
    <w:rsid w:val="007D46E2"/>
    <w:rsid w:val="007D5FC3"/>
    <w:rsid w:val="007E5171"/>
    <w:rsid w:val="00801B28"/>
    <w:rsid w:val="00804E6F"/>
    <w:rsid w:val="00806212"/>
    <w:rsid w:val="00810DC4"/>
    <w:rsid w:val="008140BD"/>
    <w:rsid w:val="00816971"/>
    <w:rsid w:val="00820925"/>
    <w:rsid w:val="00823809"/>
    <w:rsid w:val="008329E2"/>
    <w:rsid w:val="00843B95"/>
    <w:rsid w:val="00846BE4"/>
    <w:rsid w:val="0086673C"/>
    <w:rsid w:val="00866864"/>
    <w:rsid w:val="008749B3"/>
    <w:rsid w:val="00880827"/>
    <w:rsid w:val="00882E30"/>
    <w:rsid w:val="008869E4"/>
    <w:rsid w:val="00895FD1"/>
    <w:rsid w:val="008A4692"/>
    <w:rsid w:val="008D7630"/>
    <w:rsid w:val="008F3F9B"/>
    <w:rsid w:val="009043F5"/>
    <w:rsid w:val="00913E9A"/>
    <w:rsid w:val="00923CE2"/>
    <w:rsid w:val="00924D92"/>
    <w:rsid w:val="00956EF0"/>
    <w:rsid w:val="00957C94"/>
    <w:rsid w:val="009667F0"/>
    <w:rsid w:val="00992F01"/>
    <w:rsid w:val="00997D53"/>
    <w:rsid w:val="009A7744"/>
    <w:rsid w:val="009B17BD"/>
    <w:rsid w:val="009B40EC"/>
    <w:rsid w:val="009B4416"/>
    <w:rsid w:val="009B5B7A"/>
    <w:rsid w:val="009C67DB"/>
    <w:rsid w:val="009C7801"/>
    <w:rsid w:val="009C7BDB"/>
    <w:rsid w:val="009D2D5A"/>
    <w:rsid w:val="009D697C"/>
    <w:rsid w:val="009E03D7"/>
    <w:rsid w:val="009F069F"/>
    <w:rsid w:val="009F2294"/>
    <w:rsid w:val="009F3E8A"/>
    <w:rsid w:val="009F4235"/>
    <w:rsid w:val="009F5A2A"/>
    <w:rsid w:val="009F7A39"/>
    <w:rsid w:val="00A0077F"/>
    <w:rsid w:val="00A03BF5"/>
    <w:rsid w:val="00A118EF"/>
    <w:rsid w:val="00A17828"/>
    <w:rsid w:val="00A23649"/>
    <w:rsid w:val="00A24D61"/>
    <w:rsid w:val="00A3263C"/>
    <w:rsid w:val="00A36F11"/>
    <w:rsid w:val="00A424AF"/>
    <w:rsid w:val="00A51EA7"/>
    <w:rsid w:val="00A71AF0"/>
    <w:rsid w:val="00A74B4D"/>
    <w:rsid w:val="00A811A1"/>
    <w:rsid w:val="00A83B78"/>
    <w:rsid w:val="00A85F14"/>
    <w:rsid w:val="00A92FAF"/>
    <w:rsid w:val="00AB2EA0"/>
    <w:rsid w:val="00AB326F"/>
    <w:rsid w:val="00AB48BF"/>
    <w:rsid w:val="00AC4714"/>
    <w:rsid w:val="00AD4B79"/>
    <w:rsid w:val="00AF3514"/>
    <w:rsid w:val="00B056CD"/>
    <w:rsid w:val="00B154DF"/>
    <w:rsid w:val="00B26C82"/>
    <w:rsid w:val="00B45C0C"/>
    <w:rsid w:val="00B5174F"/>
    <w:rsid w:val="00B54C0D"/>
    <w:rsid w:val="00B57CCD"/>
    <w:rsid w:val="00B67737"/>
    <w:rsid w:val="00B7140C"/>
    <w:rsid w:val="00B75419"/>
    <w:rsid w:val="00B800F4"/>
    <w:rsid w:val="00B84E11"/>
    <w:rsid w:val="00B97F8E"/>
    <w:rsid w:val="00BA2758"/>
    <w:rsid w:val="00BB51B3"/>
    <w:rsid w:val="00BC1488"/>
    <w:rsid w:val="00BD03EE"/>
    <w:rsid w:val="00BD4B93"/>
    <w:rsid w:val="00C14785"/>
    <w:rsid w:val="00C23483"/>
    <w:rsid w:val="00C33031"/>
    <w:rsid w:val="00C4536F"/>
    <w:rsid w:val="00CD259E"/>
    <w:rsid w:val="00CD578E"/>
    <w:rsid w:val="00CF3B58"/>
    <w:rsid w:val="00CF6D0F"/>
    <w:rsid w:val="00D2020E"/>
    <w:rsid w:val="00D270B0"/>
    <w:rsid w:val="00D34393"/>
    <w:rsid w:val="00D352F6"/>
    <w:rsid w:val="00D61C6B"/>
    <w:rsid w:val="00D63546"/>
    <w:rsid w:val="00D63D84"/>
    <w:rsid w:val="00D654C3"/>
    <w:rsid w:val="00D7042D"/>
    <w:rsid w:val="00D71877"/>
    <w:rsid w:val="00D74CA7"/>
    <w:rsid w:val="00D816EF"/>
    <w:rsid w:val="00D836FD"/>
    <w:rsid w:val="00D92F6A"/>
    <w:rsid w:val="00D94038"/>
    <w:rsid w:val="00D974DA"/>
    <w:rsid w:val="00DA7FEC"/>
    <w:rsid w:val="00DB2419"/>
    <w:rsid w:val="00DC1B33"/>
    <w:rsid w:val="00DC21EB"/>
    <w:rsid w:val="00DC3608"/>
    <w:rsid w:val="00DD0D5C"/>
    <w:rsid w:val="00DD4E99"/>
    <w:rsid w:val="00DE005C"/>
    <w:rsid w:val="00DF7A83"/>
    <w:rsid w:val="00E01F1F"/>
    <w:rsid w:val="00E13072"/>
    <w:rsid w:val="00E1745B"/>
    <w:rsid w:val="00E17986"/>
    <w:rsid w:val="00E50DA9"/>
    <w:rsid w:val="00E54715"/>
    <w:rsid w:val="00E54AD3"/>
    <w:rsid w:val="00E5500C"/>
    <w:rsid w:val="00E61F0E"/>
    <w:rsid w:val="00E6578B"/>
    <w:rsid w:val="00E701F9"/>
    <w:rsid w:val="00E7784E"/>
    <w:rsid w:val="00E82C63"/>
    <w:rsid w:val="00EA372F"/>
    <w:rsid w:val="00EB333C"/>
    <w:rsid w:val="00EC1361"/>
    <w:rsid w:val="00EC14A9"/>
    <w:rsid w:val="00EC272F"/>
    <w:rsid w:val="00EE6556"/>
    <w:rsid w:val="00F00617"/>
    <w:rsid w:val="00F014FD"/>
    <w:rsid w:val="00F0491D"/>
    <w:rsid w:val="00F05178"/>
    <w:rsid w:val="00F0627F"/>
    <w:rsid w:val="00F10057"/>
    <w:rsid w:val="00F44AC2"/>
    <w:rsid w:val="00F54229"/>
    <w:rsid w:val="00F82AB7"/>
    <w:rsid w:val="00F90F62"/>
    <w:rsid w:val="00F927E6"/>
    <w:rsid w:val="00F96F37"/>
    <w:rsid w:val="00FA3FA4"/>
    <w:rsid w:val="00FB0E13"/>
    <w:rsid w:val="00FC7949"/>
    <w:rsid w:val="00FD0272"/>
    <w:rsid w:val="00FD3567"/>
    <w:rsid w:val="00FD707E"/>
    <w:rsid w:val="00FE3255"/>
    <w:rsid w:val="00FE44B0"/>
    <w:rsid w:val="00FE7E1C"/>
    <w:rsid w:val="09C06C04"/>
    <w:rsid w:val="0BD8710C"/>
    <w:rsid w:val="0D5A6D91"/>
    <w:rsid w:val="138211BC"/>
    <w:rsid w:val="1814528E"/>
    <w:rsid w:val="1B420427"/>
    <w:rsid w:val="1B965997"/>
    <w:rsid w:val="1C5D2D5B"/>
    <w:rsid w:val="1E652330"/>
    <w:rsid w:val="235817A0"/>
    <w:rsid w:val="26D01FCC"/>
    <w:rsid w:val="27BD5803"/>
    <w:rsid w:val="290F10B8"/>
    <w:rsid w:val="2AD57909"/>
    <w:rsid w:val="31CB6860"/>
    <w:rsid w:val="46714521"/>
    <w:rsid w:val="481C4604"/>
    <w:rsid w:val="6F162AD6"/>
    <w:rsid w:val="70BA651D"/>
    <w:rsid w:val="72153D0E"/>
    <w:rsid w:val="742873A2"/>
    <w:rsid w:val="759267D2"/>
    <w:rsid w:val="781806B7"/>
    <w:rsid w:val="79BD74C1"/>
    <w:rsid w:val="7BEE195D"/>
    <w:rsid w:val="7D960A70"/>
    <w:rsid w:val="7E027EAE"/>
    <w:rsid w:val="7E9D58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4"/>
    <w:qFormat/>
    <w:uiPriority w:val="0"/>
    <w:pPr>
      <w:keepNext/>
      <w:keepLines/>
      <w:widowControl/>
      <w:overflowPunct w:val="0"/>
      <w:autoSpaceDE w:val="0"/>
      <w:autoSpaceDN w:val="0"/>
      <w:adjustRightInd w:val="0"/>
      <w:spacing w:line="360" w:lineRule="auto"/>
      <w:ind w:firstLine="85"/>
      <w:jc w:val="left"/>
      <w:textAlignment w:val="baseline"/>
      <w:outlineLvl w:val="1"/>
    </w:pPr>
    <w:rPr>
      <w:rFonts w:ascii="宋体" w:hAnsi="Arial"/>
      <w:kern w:val="0"/>
      <w:sz w:val="28"/>
      <w:szCs w:val="20"/>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qFormat/>
    <w:uiPriority w:val="0"/>
    <w:pPr>
      <w:ind w:left="2520" w:leftChars="1200"/>
    </w:pPr>
  </w:style>
  <w:style w:type="paragraph" w:styleId="5">
    <w:name w:val="Normal Indent"/>
    <w:basedOn w:val="1"/>
    <w:semiHidden/>
    <w:unhideWhenUsed/>
    <w:qFormat/>
    <w:uiPriority w:val="99"/>
    <w:pPr>
      <w:ind w:firstLine="420" w:firstLineChars="200"/>
    </w:pPr>
  </w:style>
  <w:style w:type="paragraph" w:styleId="6">
    <w:name w:val="Document Map"/>
    <w:basedOn w:val="1"/>
    <w:link w:val="41"/>
    <w:unhideWhenUsed/>
    <w:qFormat/>
    <w:uiPriority w:val="99"/>
    <w:rPr>
      <w:rFonts w:ascii="宋体"/>
      <w:sz w:val="18"/>
      <w:szCs w:val="18"/>
    </w:rPr>
  </w:style>
  <w:style w:type="paragraph" w:styleId="7">
    <w:name w:val="Body Text"/>
    <w:basedOn w:val="1"/>
    <w:qFormat/>
    <w:uiPriority w:val="0"/>
    <w:pPr>
      <w:spacing w:after="120"/>
    </w:pPr>
  </w:style>
  <w:style w:type="paragraph" w:styleId="8">
    <w:name w:val="toc 5"/>
    <w:basedOn w:val="1"/>
    <w:next w:val="1"/>
    <w:qFormat/>
    <w:uiPriority w:val="0"/>
    <w:pPr>
      <w:ind w:left="1680" w:leftChars="800"/>
    </w:pPr>
  </w:style>
  <w:style w:type="paragraph" w:styleId="9">
    <w:name w:val="toc 3"/>
    <w:basedOn w:val="1"/>
    <w:next w:val="1"/>
    <w:qFormat/>
    <w:uiPriority w:val="0"/>
    <w:pPr>
      <w:ind w:left="840" w:leftChars="400"/>
    </w:pPr>
  </w:style>
  <w:style w:type="paragraph" w:styleId="10">
    <w:name w:val="Plain Text"/>
    <w:basedOn w:val="1"/>
    <w:link w:val="52"/>
    <w:qFormat/>
    <w:uiPriority w:val="0"/>
    <w:rPr>
      <w:rFonts w:ascii="宋体" w:hAnsi="Courier New"/>
      <w:szCs w:val="21"/>
    </w:rPr>
  </w:style>
  <w:style w:type="paragraph" w:styleId="11">
    <w:name w:val="toc 8"/>
    <w:basedOn w:val="1"/>
    <w:next w:val="1"/>
    <w:qFormat/>
    <w:uiPriority w:val="0"/>
    <w:pPr>
      <w:ind w:left="2940" w:leftChars="1400"/>
    </w:pPr>
  </w:style>
  <w:style w:type="paragraph" w:styleId="12">
    <w:name w:val="Body Text Indent 2"/>
    <w:basedOn w:val="1"/>
    <w:link w:val="43"/>
    <w:qFormat/>
    <w:uiPriority w:val="0"/>
    <w:pPr>
      <w:spacing w:line="360" w:lineRule="auto"/>
      <w:ind w:left="540"/>
    </w:pPr>
    <w:rPr>
      <w:rFonts w:ascii="Arial Narrow" w:hAnsi="Arial Narrow"/>
      <w:sz w:val="24"/>
    </w:rPr>
  </w:style>
  <w:style w:type="paragraph" w:styleId="13">
    <w:name w:val="footer"/>
    <w:basedOn w:val="1"/>
    <w:link w:val="26"/>
    <w:qFormat/>
    <w:uiPriority w:val="0"/>
    <w:pPr>
      <w:tabs>
        <w:tab w:val="center" w:pos="4153"/>
        <w:tab w:val="right" w:pos="8306"/>
      </w:tabs>
      <w:snapToGrid w:val="0"/>
      <w:jc w:val="left"/>
    </w:pPr>
    <w:rPr>
      <w:sz w:val="18"/>
      <w:szCs w:val="18"/>
    </w:rPr>
  </w:style>
  <w:style w:type="paragraph" w:styleId="14">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style>
  <w:style w:type="paragraph" w:styleId="16">
    <w:name w:val="toc 4"/>
    <w:basedOn w:val="1"/>
    <w:next w:val="1"/>
    <w:qFormat/>
    <w:uiPriority w:val="0"/>
    <w:pPr>
      <w:ind w:left="1260" w:leftChars="600"/>
    </w:pPr>
  </w:style>
  <w:style w:type="paragraph" w:styleId="17">
    <w:name w:val="toc 6"/>
    <w:basedOn w:val="1"/>
    <w:next w:val="1"/>
    <w:qFormat/>
    <w:uiPriority w:val="0"/>
    <w:pPr>
      <w:ind w:left="2100" w:leftChars="1000"/>
    </w:pPr>
  </w:style>
  <w:style w:type="paragraph" w:styleId="18">
    <w:name w:val="toc 2"/>
    <w:basedOn w:val="1"/>
    <w:next w:val="1"/>
    <w:qFormat/>
    <w:uiPriority w:val="39"/>
    <w:pPr>
      <w:ind w:left="420" w:leftChars="200"/>
    </w:pPr>
  </w:style>
  <w:style w:type="paragraph" w:styleId="19">
    <w:name w:val="toc 9"/>
    <w:basedOn w:val="1"/>
    <w:next w:val="1"/>
    <w:qFormat/>
    <w:uiPriority w:val="0"/>
    <w:pPr>
      <w:ind w:left="3360" w:leftChars="1600"/>
    </w:pPr>
  </w:style>
  <w:style w:type="paragraph" w:styleId="20">
    <w:name w:val="Body Text First Indent"/>
    <w:basedOn w:val="7"/>
    <w:qFormat/>
    <w:uiPriority w:val="0"/>
    <w:pPr>
      <w:tabs>
        <w:tab w:val="left" w:pos="482"/>
        <w:tab w:val="left" w:pos="720"/>
      </w:tabs>
      <w:ind w:firstLine="522"/>
    </w:pPr>
  </w:style>
  <w:style w:type="character" w:styleId="23">
    <w:name w:val="Hyperlink"/>
    <w:qFormat/>
    <w:uiPriority w:val="99"/>
    <w:rPr>
      <w:color w:val="261CDC"/>
      <w:u w:val="single"/>
    </w:rPr>
  </w:style>
  <w:style w:type="character" w:customStyle="1" w:styleId="24">
    <w:name w:val="文档结构图 Char"/>
    <w:basedOn w:val="22"/>
    <w:link w:val="25"/>
    <w:semiHidden/>
    <w:qFormat/>
    <w:uiPriority w:val="0"/>
    <w:rPr>
      <w:rFonts w:ascii="宋体"/>
      <w:kern w:val="2"/>
      <w:sz w:val="18"/>
      <w:szCs w:val="18"/>
    </w:rPr>
  </w:style>
  <w:style w:type="paragraph" w:customStyle="1" w:styleId="25">
    <w:name w:val="文档结构图1"/>
    <w:basedOn w:val="1"/>
    <w:link w:val="24"/>
    <w:qFormat/>
    <w:uiPriority w:val="0"/>
    <w:rPr>
      <w:rFonts w:ascii="宋体"/>
      <w:sz w:val="18"/>
      <w:szCs w:val="18"/>
    </w:rPr>
  </w:style>
  <w:style w:type="character" w:customStyle="1" w:styleId="26">
    <w:name w:val="页脚 字符"/>
    <w:basedOn w:val="22"/>
    <w:link w:val="13"/>
    <w:semiHidden/>
    <w:qFormat/>
    <w:uiPriority w:val="0"/>
    <w:rPr>
      <w:sz w:val="18"/>
      <w:szCs w:val="18"/>
    </w:rPr>
  </w:style>
  <w:style w:type="character" w:customStyle="1" w:styleId="27">
    <w:name w:val="页眉 字符"/>
    <w:basedOn w:val="22"/>
    <w:link w:val="14"/>
    <w:semiHidden/>
    <w:qFormat/>
    <w:uiPriority w:val="0"/>
    <w:rPr>
      <w:sz w:val="18"/>
      <w:szCs w:val="18"/>
    </w:rPr>
  </w:style>
  <w:style w:type="paragraph" w:customStyle="1" w:styleId="28">
    <w:name w:val="批注框文本 Char Char"/>
    <w:basedOn w:val="1"/>
    <w:link w:val="39"/>
    <w:qFormat/>
    <w:uiPriority w:val="0"/>
    <w:rPr>
      <w:sz w:val="18"/>
      <w:szCs w:val="18"/>
    </w:rPr>
  </w:style>
  <w:style w:type="paragraph" w:customStyle="1" w:styleId="29">
    <w:name w:val="cucd-0"/>
    <w:link w:val="40"/>
    <w:qFormat/>
    <w:uiPriority w:val="0"/>
    <w:pPr>
      <w:spacing w:line="360" w:lineRule="auto"/>
      <w:ind w:firstLine="480" w:firstLineChars="200"/>
    </w:pPr>
    <w:rPr>
      <w:rFonts w:ascii="Times New Roman" w:hAnsi="Times New Roman" w:eastAsia="宋体" w:cs="Times New Roman"/>
      <w:sz w:val="24"/>
      <w:szCs w:val="24"/>
      <w:lang w:val="en-US" w:eastAsia="zh-CN" w:bidi="ar-SA"/>
    </w:rPr>
  </w:style>
  <w:style w:type="paragraph" w:customStyle="1" w:styleId="30">
    <w:name w:val="cucd-4"/>
    <w:next w:val="29"/>
    <w:qFormat/>
    <w:uiPriority w:val="0"/>
    <w:pPr>
      <w:numPr>
        <w:ilvl w:val="3"/>
        <w:numId w:val="1"/>
      </w:numPr>
      <w:tabs>
        <w:tab w:val="left" w:pos="425"/>
        <w:tab w:val="clear" w:pos="851"/>
      </w:tabs>
      <w:spacing w:line="360" w:lineRule="auto"/>
      <w:outlineLvl w:val="3"/>
    </w:pPr>
    <w:rPr>
      <w:rFonts w:ascii="Times New Roman" w:hAnsi="Times New Roman" w:eastAsia="宋体" w:cs="Times New Roman"/>
      <w:b/>
      <w:kern w:val="2"/>
      <w:sz w:val="24"/>
      <w:szCs w:val="24"/>
      <w:lang w:val="en-US" w:eastAsia="zh-CN" w:bidi="ar-SA"/>
    </w:rPr>
  </w:style>
  <w:style w:type="paragraph" w:customStyle="1" w:styleId="31">
    <w:name w:val="cucd-3"/>
    <w:next w:val="30"/>
    <w:qFormat/>
    <w:uiPriority w:val="0"/>
    <w:pPr>
      <w:numPr>
        <w:ilvl w:val="2"/>
        <w:numId w:val="1"/>
      </w:numPr>
      <w:tabs>
        <w:tab w:val="left" w:pos="425"/>
        <w:tab w:val="clear" w:pos="709"/>
      </w:tabs>
      <w:spacing w:line="360" w:lineRule="auto"/>
      <w:outlineLvl w:val="2"/>
    </w:pPr>
    <w:rPr>
      <w:rFonts w:ascii="Times New Roman" w:hAnsi="Times New Roman" w:eastAsia="宋体" w:cs="Times New Roman"/>
      <w:b/>
      <w:kern w:val="2"/>
      <w:sz w:val="28"/>
      <w:szCs w:val="24"/>
      <w:lang w:val="en-US" w:eastAsia="zh-CN" w:bidi="ar-SA"/>
    </w:rPr>
  </w:style>
  <w:style w:type="paragraph" w:customStyle="1" w:styleId="32">
    <w:name w:val="cucd-2"/>
    <w:next w:val="31"/>
    <w:qFormat/>
    <w:uiPriority w:val="0"/>
    <w:pPr>
      <w:numPr>
        <w:ilvl w:val="1"/>
        <w:numId w:val="1"/>
      </w:numPr>
      <w:tabs>
        <w:tab w:val="left" w:pos="425"/>
        <w:tab w:val="clear" w:pos="567"/>
      </w:tabs>
      <w:spacing w:line="360" w:lineRule="auto"/>
      <w:outlineLvl w:val="1"/>
    </w:pPr>
    <w:rPr>
      <w:rFonts w:ascii="Times New Roman" w:hAnsi="Times New Roman" w:eastAsia="黑体" w:cs="Times New Roman"/>
      <w:b/>
      <w:kern w:val="2"/>
      <w:sz w:val="30"/>
      <w:szCs w:val="24"/>
      <w:lang w:val="en-US" w:eastAsia="zh-CN" w:bidi="ar-SA"/>
    </w:rPr>
  </w:style>
  <w:style w:type="paragraph" w:customStyle="1" w:styleId="33">
    <w:name w:val="ÕýÎÄ"/>
    <w:qFormat/>
    <w:uiPriority w:val="0"/>
    <w:pPr>
      <w:tabs>
        <w:tab w:val="left" w:pos="630"/>
      </w:tabs>
      <w:overflowPunct w:val="0"/>
      <w:autoSpaceDE w:val="0"/>
      <w:autoSpaceDN w:val="0"/>
      <w:adjustRightInd w:val="0"/>
      <w:spacing w:line="360" w:lineRule="atLeast"/>
      <w:jc w:val="both"/>
      <w:textAlignment w:val="baseline"/>
    </w:pPr>
    <w:rPr>
      <w:rFonts w:ascii="Times New Roman" w:hAnsi="Times New Roman" w:eastAsia="宋体" w:cs="Times New Roman"/>
      <w:sz w:val="22"/>
      <w:lang w:val="en-US" w:eastAsia="zh-CN" w:bidi="ar-SA"/>
    </w:rPr>
  </w:style>
  <w:style w:type="paragraph" w:customStyle="1" w:styleId="34">
    <w:name w:val="列项·"/>
    <w:qFormat/>
    <w:uiPriority w:val="0"/>
    <w:pPr>
      <w:numPr>
        <w:ilvl w:val="0"/>
        <w:numId w:val="2"/>
      </w:numPr>
      <w:tabs>
        <w:tab w:val="left" w:pos="840"/>
        <w:tab w:val="clear" w:pos="720"/>
      </w:tabs>
      <w:jc w:val="both"/>
    </w:pPr>
    <w:rPr>
      <w:rFonts w:ascii="宋体" w:hAnsi="Times New Roman" w:eastAsia="宋体" w:cs="Times New Roman"/>
      <w:sz w:val="21"/>
      <w:lang w:val="en-US" w:eastAsia="zh-CN" w:bidi="ar-SA"/>
    </w:rPr>
  </w:style>
  <w:style w:type="paragraph" w:customStyle="1" w:styleId="35">
    <w:name w:val="cucd-TB"/>
    <w:qFormat/>
    <w:uiPriority w:val="0"/>
    <w:pPr>
      <w:spacing w:line="360" w:lineRule="auto"/>
      <w:jc w:val="center"/>
    </w:pPr>
    <w:rPr>
      <w:rFonts w:ascii="Times New Roman" w:hAnsi="Times New Roman" w:eastAsia="宋体" w:cs="Times New Roman"/>
      <w:kern w:val="2"/>
      <w:sz w:val="21"/>
      <w:szCs w:val="24"/>
      <w:lang w:val="en-US" w:eastAsia="zh-CN" w:bidi="ar-SA"/>
    </w:rPr>
  </w:style>
  <w:style w:type="paragraph" w:customStyle="1" w:styleId="36">
    <w:name w:val="cucd-TB-Head"/>
    <w:basedOn w:val="1"/>
    <w:next w:val="29"/>
    <w:qFormat/>
    <w:uiPriority w:val="0"/>
    <w:pPr>
      <w:spacing w:line="360" w:lineRule="auto"/>
      <w:jc w:val="center"/>
    </w:pPr>
    <w:rPr>
      <w:rFonts w:eastAsia="黑体"/>
      <w:sz w:val="24"/>
    </w:rPr>
  </w:style>
  <w:style w:type="paragraph" w:customStyle="1" w:styleId="37">
    <w:name w:val="cucd-1"/>
    <w:next w:val="32"/>
    <w:qFormat/>
    <w:uiPriority w:val="0"/>
    <w:pPr>
      <w:pageBreakBefore/>
      <w:numPr>
        <w:ilvl w:val="0"/>
        <w:numId w:val="3"/>
      </w:numPr>
      <w:spacing w:beforeLines="100" w:afterLines="50" w:line="360" w:lineRule="auto"/>
      <w:jc w:val="center"/>
      <w:outlineLvl w:val="0"/>
    </w:pPr>
    <w:rPr>
      <w:rFonts w:ascii="Times New Roman" w:hAnsi="Times New Roman" w:eastAsia="黑体" w:cs="Times New Roman"/>
      <w:b/>
      <w:kern w:val="2"/>
      <w:sz w:val="36"/>
      <w:szCs w:val="24"/>
      <w:lang w:val="en-US" w:eastAsia="zh-CN" w:bidi="ar-SA"/>
    </w:rPr>
  </w:style>
  <w:style w:type="character" w:customStyle="1" w:styleId="38">
    <w:name w:val="页码1"/>
    <w:basedOn w:val="22"/>
    <w:qFormat/>
    <w:uiPriority w:val="0"/>
  </w:style>
  <w:style w:type="character" w:customStyle="1" w:styleId="39">
    <w:name w:val="批注框文本 Char Char Char Char"/>
    <w:basedOn w:val="22"/>
    <w:link w:val="28"/>
    <w:semiHidden/>
    <w:qFormat/>
    <w:uiPriority w:val="0"/>
    <w:rPr>
      <w:rFonts w:ascii="Times New Roman" w:hAnsi="Times New Roman" w:eastAsia="宋体" w:cs="Times New Roman"/>
      <w:sz w:val="18"/>
      <w:szCs w:val="18"/>
    </w:rPr>
  </w:style>
  <w:style w:type="character" w:customStyle="1" w:styleId="40">
    <w:name w:val="cucd-0 Char Char"/>
    <w:link w:val="29"/>
    <w:qFormat/>
    <w:uiPriority w:val="0"/>
    <w:rPr>
      <w:sz w:val="24"/>
      <w:szCs w:val="24"/>
      <w:lang w:bidi="ar-SA"/>
    </w:rPr>
  </w:style>
  <w:style w:type="character" w:customStyle="1" w:styleId="41">
    <w:name w:val="文档结构图 字符"/>
    <w:basedOn w:val="22"/>
    <w:link w:val="6"/>
    <w:semiHidden/>
    <w:qFormat/>
    <w:uiPriority w:val="99"/>
    <w:rPr>
      <w:rFonts w:ascii="宋体"/>
      <w:kern w:val="2"/>
      <w:sz w:val="18"/>
      <w:szCs w:val="18"/>
    </w:rPr>
  </w:style>
  <w:style w:type="paragraph" w:styleId="42">
    <w:name w:val="List Paragraph"/>
    <w:basedOn w:val="1"/>
    <w:unhideWhenUsed/>
    <w:qFormat/>
    <w:uiPriority w:val="99"/>
    <w:pPr>
      <w:ind w:firstLine="420" w:firstLineChars="200"/>
    </w:pPr>
  </w:style>
  <w:style w:type="character" w:customStyle="1" w:styleId="43">
    <w:name w:val="正文文本缩进 2 字符"/>
    <w:basedOn w:val="22"/>
    <w:link w:val="12"/>
    <w:qFormat/>
    <w:uiPriority w:val="0"/>
    <w:rPr>
      <w:rFonts w:ascii="Arial Narrow" w:hAnsi="Arial Narrow"/>
      <w:kern w:val="2"/>
      <w:sz w:val="24"/>
      <w:szCs w:val="24"/>
    </w:rPr>
  </w:style>
  <w:style w:type="character" w:customStyle="1" w:styleId="44">
    <w:name w:val="标题 2 字符"/>
    <w:basedOn w:val="22"/>
    <w:link w:val="3"/>
    <w:qFormat/>
    <w:uiPriority w:val="0"/>
    <w:rPr>
      <w:rFonts w:ascii="宋体" w:hAnsi="Arial"/>
      <w:sz w:val="28"/>
    </w:rPr>
  </w:style>
  <w:style w:type="character" w:customStyle="1" w:styleId="45">
    <w:name w:val="cucd-0 Char"/>
    <w:qFormat/>
    <w:uiPriority w:val="0"/>
    <w:rPr>
      <w:rFonts w:ascii="Times New Roman" w:hAnsi="Times New Roman"/>
      <w:kern w:val="2"/>
      <w:sz w:val="24"/>
      <w:szCs w:val="24"/>
      <w:lang w:val="en-US" w:eastAsia="zh-CN" w:bidi="ar-SA"/>
    </w:rPr>
  </w:style>
  <w:style w:type="character" w:customStyle="1" w:styleId="46">
    <w:name w:val="标题 1 字符"/>
    <w:basedOn w:val="22"/>
    <w:link w:val="2"/>
    <w:qFormat/>
    <w:uiPriority w:val="9"/>
    <w:rPr>
      <w:b/>
      <w:bCs/>
      <w:kern w:val="44"/>
      <w:sz w:val="44"/>
      <w:szCs w:val="44"/>
    </w:rPr>
  </w:style>
  <w:style w:type="character" w:customStyle="1" w:styleId="47">
    <w:name w:val="纯文本 Char1"/>
    <w:link w:val="48"/>
    <w:qFormat/>
    <w:uiPriority w:val="0"/>
    <w:rPr>
      <w:rFonts w:ascii="宋体" w:hAnsi="Courier New" w:cs="Courier New"/>
      <w:szCs w:val="21"/>
    </w:rPr>
  </w:style>
  <w:style w:type="paragraph" w:customStyle="1" w:styleId="48">
    <w:name w:val="纯文本1"/>
    <w:basedOn w:val="1"/>
    <w:link w:val="47"/>
    <w:qFormat/>
    <w:uiPriority w:val="0"/>
    <w:pPr>
      <w:adjustRightInd w:val="0"/>
      <w:textAlignment w:val="baseline"/>
    </w:pPr>
    <w:rPr>
      <w:rFonts w:ascii="宋体" w:hAnsi="Courier New" w:cs="Courier New"/>
      <w:kern w:val="0"/>
      <w:sz w:val="20"/>
      <w:szCs w:val="21"/>
    </w:rPr>
  </w:style>
  <w:style w:type="paragraph" w:customStyle="1" w:styleId="49">
    <w:name w:val="Char"/>
    <w:basedOn w:val="1"/>
    <w:qFormat/>
    <w:uiPriority w:val="0"/>
  </w:style>
  <w:style w:type="character" w:customStyle="1" w:styleId="50">
    <w:name w:val="style4"/>
    <w:basedOn w:val="22"/>
    <w:qFormat/>
    <w:uiPriority w:val="0"/>
  </w:style>
  <w:style w:type="paragraph" w:customStyle="1" w:styleId="51">
    <w:name w:val="Char1"/>
    <w:basedOn w:val="1"/>
    <w:qFormat/>
    <w:uiPriority w:val="0"/>
  </w:style>
  <w:style w:type="character" w:customStyle="1" w:styleId="52">
    <w:name w:val="纯文本 字符"/>
    <w:basedOn w:val="22"/>
    <w:link w:val="10"/>
    <w:qFormat/>
    <w:uiPriority w:val="0"/>
    <w:rPr>
      <w:rFonts w:ascii="宋体" w:hAnsi="Courier New"/>
      <w:kern w:val="2"/>
      <w:sz w:val="21"/>
      <w:szCs w:val="21"/>
    </w:rPr>
  </w:style>
  <w:style w:type="character" w:customStyle="1" w:styleId="53">
    <w:name w:val="纯文本 字符1"/>
    <w:basedOn w:val="22"/>
    <w:semiHidden/>
    <w:qFormat/>
    <w:uiPriority w:val="99"/>
    <w:rPr>
      <w:rFonts w:hAnsi="Courier New" w:cs="Courier New" w:asciiTheme="minorEastAsia" w:eastAsiaTheme="minorEastAsia"/>
      <w:kern w:val="2"/>
      <w:sz w:val="21"/>
      <w:szCs w:val="24"/>
    </w:rPr>
  </w:style>
  <w:style w:type="paragraph" w:customStyle="1" w:styleId="5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CFCBAB-0253-4997-9BB3-CB4AC372BB7B}">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16</Pages>
  <Words>4813</Words>
  <Characters>5460</Characters>
  <Lines>77</Lines>
  <Paragraphs>21</Paragraphs>
  <TotalTime>2</TotalTime>
  <ScaleCrop>false</ScaleCrop>
  <LinksUpToDate>false</LinksUpToDate>
  <CharactersWithSpaces>5773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2014-05-05T02:35:00Z</dcterms:created>
  <dc:creator>lzz</dc:creator>
  <cp:lastModifiedBy>swh</cp:lastModifiedBy>
  <cp:lastPrinted>2021-12-08T01:31:00Z</cp:lastPrinted>
  <dcterms:modified xsi:type="dcterms:W3CDTF">2025-02-28T01:57:42Z</dcterms:modified>
  <dc:title>开县生活垃圾焚烧发电项目</dc:title>
  <cp:revision>222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F1A82046418948A6BB5E010DC72B5773_13</vt:lpwstr>
  </property>
  <property fmtid="{D5CDD505-2E9C-101B-9397-08002B2CF9AE}" pid="4" name="KSOTemplateDocerSaveRecord">
    <vt:lpwstr>eyJoZGlkIjoiNDNmOTBkYWQyYWRmNTFmYzJjZjkyMjRhYmMyZmViNTMiLCJ1c2VySWQiOiIyMzcwOTk0OTMifQ==</vt:lpwstr>
  </property>
</Properties>
</file>